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Securities Exchange Act of 1934, as Amended</w:t>
      </w:r>
    </w:p>
    <w:p>
      <w:pPr>
        <w:spacing w:after="0" w:line="124"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6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tbl>
      <w:tblPr>
        <w:tblLayout w:type="fixed"/>
        <w:tblInd w:w="1180" w:type="dxa"/>
        <w:tblCellMar>
          <w:top w:w="0" w:type="dxa"/>
          <w:left w:w="0" w:type="dxa"/>
          <w:bottom w:w="0" w:type="dxa"/>
          <w:right w:w="0" w:type="dxa"/>
        </w:tblCellMar>
      </w:tblPr>
      <w:tr>
        <w:trPr>
          <w:trHeight w:val="216"/>
        </w:trPr>
        <w:tc>
          <w:tcPr>
            <w:tcW w:w="2900" w:type="dxa"/>
            <w:vAlign w:val="bottom"/>
          </w:tcPr>
          <w:p>
            <w:pPr>
              <w:jc w:val="center"/>
              <w:ind w:right="1306"/>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5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2480" w:type="dxa"/>
            <w:vAlign w:val="bottom"/>
          </w:tcPr>
          <w:p>
            <w:pPr>
              <w:jc w:val="center"/>
              <w:ind w:left="1366"/>
              <w:spacing w:after="0"/>
              <w:rPr>
                <w:sz w:val="20"/>
                <w:szCs w:val="20"/>
                <w:color w:val="auto"/>
              </w:rPr>
            </w:pPr>
            <w:r>
              <w:rPr>
                <w:rFonts w:ascii="Times New Roman" w:cs="Times New Roman" w:eastAsia="Times New Roman" w:hAnsi="Times New Roman"/>
                <w:sz w:val="18"/>
                <w:szCs w:val="18"/>
                <w:b w:val="1"/>
                <w:bCs w:val="1"/>
                <w:color w:val="auto"/>
                <w:w w:val="96"/>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3560" w:type="dxa"/>
            <w:vAlign w:val="bottom"/>
          </w:tcPr>
          <w:p>
            <w:pPr>
              <w:ind w:left="13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2900" w:type="dxa"/>
            <w:vAlign w:val="bottom"/>
          </w:tcPr>
          <w:p>
            <w:pPr>
              <w:jc w:val="center"/>
              <w:ind w:right="1286"/>
              <w:spacing w:after="0"/>
              <w:rPr>
                <w:sz w:val="20"/>
                <w:szCs w:val="20"/>
                <w:color w:val="auto"/>
              </w:rPr>
            </w:pPr>
            <w:r>
              <w:rPr>
                <w:rFonts w:ascii="Times New Roman" w:cs="Times New Roman" w:eastAsia="Times New Roman" w:hAnsi="Times New Roman"/>
                <w:sz w:val="14"/>
                <w:szCs w:val="14"/>
                <w:b w:val="1"/>
                <w:bCs w:val="1"/>
                <w:color w:val="auto"/>
                <w:w w:val="95"/>
              </w:rPr>
              <w:t>of incorporation)</w:t>
            </w:r>
          </w:p>
        </w:tc>
        <w:tc>
          <w:tcPr>
            <w:tcW w:w="356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5"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43"/>
          <w:szCs w:val="43"/>
          <w:b w:val="1"/>
          <w:bCs w:val="1"/>
          <w:color w:val="auto"/>
        </w:rPr>
        <w:t>WYNN LAS VEGAS, LLC</w:t>
      </w:r>
    </w:p>
    <w:p>
      <w:pPr>
        <w:spacing w:after="0" w:line="6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8" w:right="1059" w:bottom="1440" w:gutter="0" w:footer="0" w:header="0"/>
        </w:sectPr>
      </w:pPr>
    </w:p>
    <w:p>
      <w:pPr>
        <w:spacing w:after="0" w:line="200" w:lineRule="exact"/>
        <w:rPr>
          <w:sz w:val="24"/>
          <w:szCs w:val="24"/>
          <w:color w:val="auto"/>
        </w:rPr>
      </w:pPr>
    </w:p>
    <w:p>
      <w:pPr>
        <w:spacing w:after="0" w:line="314"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6"/>
          <w:szCs w:val="16"/>
          <w:b w:val="1"/>
          <w:bCs w:val="1"/>
          <w:color w:val="auto"/>
        </w:rPr>
        <w:t>333-100768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88-0494875</w:t>
      </w:r>
    </w:p>
    <w:p>
      <w:pPr>
        <w:spacing w:after="0" w:line="37" w:lineRule="exact"/>
        <w:rPr>
          <w:sz w:val="24"/>
          <w:szCs w:val="24"/>
          <w:color w:val="auto"/>
        </w:rPr>
      </w:pPr>
    </w:p>
    <w:p>
      <w:pPr>
        <w:sectPr>
          <w:pgSz w:w="11900" w:h="16838" w:orient="portrait"/>
          <w:cols w:equalWidth="0" w:num="3">
            <w:col w:w="4700" w:space="720"/>
            <w:col w:w="3040" w:space="720"/>
            <w:col w:w="1420"/>
          </w:cols>
          <w:pgMar w:left="240" w:top="308" w:right="105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540"/>
          </w:cols>
          <w:pgMar w:left="240" w:top="308" w:right="1059" w:bottom="1440" w:gutter="0" w:footer="0" w:header="0"/>
          <w:type w:val="continuous"/>
        </w:sectPr>
      </w:pPr>
    </w:p>
    <w:p>
      <w:pPr>
        <w:ind w:left="2620"/>
        <w:spacing w:after="0"/>
        <w:rPr>
          <w:sz w:val="20"/>
          <w:szCs w:val="20"/>
          <w:color w:val="auto"/>
        </w:rPr>
      </w:pPr>
      <w:r>
        <w:rPr>
          <w:rFonts w:ascii="Times New Roman" w:cs="Times New Roman" w:eastAsia="Times New Roman" w:hAnsi="Times New Roman"/>
          <w:sz w:val="16"/>
          <w:szCs w:val="16"/>
          <w:b w:val="1"/>
          <w:bCs w:val="1"/>
          <w:color w:val="auto"/>
        </w:rPr>
        <w:t>3131 Las Vegas Boulevard South</w:t>
      </w:r>
    </w:p>
    <w:p>
      <w:pPr>
        <w:spacing w:after="0" w:line="46"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89109</w:t>
      </w:r>
    </w:p>
    <w:p>
      <w:pPr>
        <w:spacing w:after="0" w:line="46" w:lineRule="exact"/>
        <w:rPr>
          <w:sz w:val="24"/>
          <w:szCs w:val="24"/>
          <w:color w:val="auto"/>
        </w:rPr>
      </w:pPr>
    </w:p>
    <w:p>
      <w:pPr>
        <w:sectPr>
          <w:pgSz w:w="11900" w:h="16838" w:orient="portrait"/>
          <w:cols w:equalWidth="0" w:num="2">
            <w:col w:w="8660" w:space="720"/>
            <w:col w:w="1220"/>
          </w:cols>
          <w:pgMar w:left="240" w:top="308" w:right="105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8560" w:space="720"/>
            <w:col w:w="1320"/>
          </w:cols>
          <w:pgMar w:left="240" w:top="308" w:right="1059" w:bottom="1440" w:gutter="0" w:footer="0" w:header="0"/>
          <w:type w:val="continuous"/>
        </w:sect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ectPr>
          <w:pgSz w:w="11900" w:h="16838" w:orient="portrait"/>
          <w:cols w:equalWidth="0" w:num="1">
            <w:col w:w="10600"/>
          </w:cols>
          <w:pgMar w:left="240" w:top="308" w:right="1059" w:bottom="1440" w:gutter="0" w:footer="0" w:header="0"/>
          <w:type w:val="continuous"/>
        </w:sectPr>
      </w:pPr>
    </w:p>
    <w:p>
      <w:pPr>
        <w:spacing w:after="0" w:line="158"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08" w:right="10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April 25, 2013, Wynn Resorts, Limited issued a press release announcing its results of operations for the first quarter of 2013.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set forth under Item 2.02 of this report is incorporated herein by reference.</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On April 25, 2013, the Board of Directors of Wynn Resorts, Limited approved a quarterly cash dividend of $1.00 per share of its outstanding common stock. This cash dividend will be payable on May 23, 2013 to stockholders of record on May 9, 2013.</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92"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370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Press release, dated April 25, 2013, of Wynn Resorts, Limited.</w:t>
            </w:r>
          </w:p>
        </w:tc>
      </w:tr>
    </w:tbl>
    <w:p>
      <w:pPr>
        <w:sectPr>
          <w:pgSz w:w="11900" w:h="16838" w:orient="portrait"/>
          <w:cols w:equalWidth="0" w:num="1">
            <w:col w:w="11240"/>
          </w:cols>
          <w:pgMar w:left="240" w:top="272"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right="88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2013</w:t>
      </w:r>
    </w:p>
    <w:p>
      <w:pPr>
        <w:spacing w:after="0" w:line="2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Maddox</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Matt Maddox</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420"/>
          </w:cols>
          <w:pgMar w:left="240" w:top="27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right="88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2013</w:t>
      </w:r>
    </w:p>
    <w:p>
      <w:pPr>
        <w:spacing w:after="0" w:line="2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21"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0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228"/>
        </w:trPr>
        <w:tc>
          <w:tcPr>
            <w:tcW w:w="38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2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Maddox</w:t>
            </w: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Matt Maddox</w:t>
            </w:r>
          </w:p>
        </w:tc>
      </w:t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2"/>
              </w:rPr>
              <w:t>Title:</w:t>
            </w:r>
          </w:p>
        </w:tc>
        <w:tc>
          <w:tcPr>
            <w:tcW w:w="20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420"/>
          </w:cols>
          <w:pgMar w:left="240" w:top="272"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2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w w:val="96"/>
              </w:rPr>
              <w:t>EXHIBIT INDEX</w:t>
            </w:r>
          </w:p>
        </w:tc>
      </w:tr>
      <w:tr>
        <w:trPr>
          <w:trHeight w:val="165"/>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422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April 25, 2013, of Wynn Resorts, Limited.</w:t>
            </w:r>
          </w:p>
        </w:tc>
      </w:tr>
    </w:tbl>
    <w:p>
      <w:pPr>
        <w:sectPr>
          <w:pgSz w:w="11900" w:h="16838" w:orient="portrait"/>
          <w:cols w:equalWidth="0" w:num="1">
            <w:col w:w="10219"/>
          </w:cols>
          <w:pgMar w:left="240" w:top="272"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Reports First Quarter 2013 Results</w:t>
      </w:r>
    </w:p>
    <w:p>
      <w:pPr>
        <w:spacing w:after="0" w:line="173"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LAS VEGAS, April 25, 2013 (BUSINESS WIRE) — Wynn Resorts, Limited (Nasdaq: WYNN) today reported financial results for the first quarter ended March 31, 2013.</w:t>
      </w:r>
    </w:p>
    <w:p>
      <w:pPr>
        <w:spacing w:after="0" w:line="12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Net revenues for the first quarter of 2013 were $1,378.7 million, compared to $1,313.5 million in the first quarter of 2012. The revenue increase was driven by 4.4% higher revenues from our Macau Operations coupled with a 6.6% increase in revenues from our Las Vegas Operations. Adjusted property EBITDA (1) was $451.1 million for the first quarter of 2013, up 15.5% compared to $390.7 million in the first quarter of 2012.</w:t>
      </w:r>
    </w:p>
    <w:p>
      <w:pPr>
        <w:spacing w:after="0" w:line="132"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On a US GAAP basis, net income attributable to Wynn Resorts for the first quarter of 2013 was $203.0 million, or $2.00 per diluted share, compared to net income attributable to Wynn Resorts of $140.6 million, or $1.23 per diluted share in the first quarter of 2012. Adjusted net income attributable to Wynn Resorts in the first quarter of 2013 was $205.6 million, or $2.03 per diluted share (adjusted EPS) (2) compared to adjusted net income attributable to Wynn Resorts of $151.9 million, or $1.33 per diluted share in the first quarter of 2012. In the first quarter of 2013, EPS was based on 101.4 million diluted shares compared to 114.0 million diluted shares outstanding in the first quarter of 2012, largely due to the redemption of Aruze USA, Inc.’s 24.5 million shares on February 18, 2012.</w:t>
      </w:r>
    </w:p>
    <w:p>
      <w:pPr>
        <w:spacing w:after="0" w:line="108"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Wynn Resorts also announced today that it has approved a cash dividend for the quarter of $1.00 per common share. This dividend will be payable on May 23, 2013, to stockholders of record on May 9,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Operations</w:t>
      </w:r>
    </w:p>
    <w:p>
      <w:pPr>
        <w:spacing w:after="0" w:line="9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In the first quarter of 2013, net revenues were $992.1 million, a 4.4% increase from the $950.7 million generated in the first quarter of 2012. Adjusted property EBITDA in the first quarter of 2013 was $330.7 million, up 14.1% from $289.8 million in the first quarter of 2012.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games results in Macau are segregated into two distinct reporting categories, the VIP segment and the mass market segment.</w:t>
      </w:r>
    </w:p>
    <w:p>
      <w:pPr>
        <w:spacing w:after="0" w:line="1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Table games turnover in the VIP segment was $28.4 billion for the first quarter of 2013, a 15.3% decrease from $33.5 billion in the first quarter of 2012. VIP table games win as a percentage of turnover (calculated before discounts and commissions) for the quarter was 3.14%, which was higher than our expected range of 2.7% to 3.0% and the 2.59% experienced in the first quarter of 2012.</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Table games win in the mass market category was $243.1 million during the period, a 13.6% increase from $214.0 million in the first quarter of 2012. Mass market table games win percentage (calculated before discounts) of 35.5% was higher than the 30.3% generated in the 2012 quarter. Note that customers purchase mass market gaming chips at either the gaming tables or the casino cage. Chips purchased at the casino cage are excluded from table games drop and will increase the expected win percentage.</w:t>
      </w:r>
    </w:p>
    <w:p>
      <w:pPr>
        <w:spacing w:after="0" w:line="136"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Slot machine handle was $1.1 billion for the first quarter of 2013, a 23.4% decline compared to the prior year quarter. Win per unit per day was 7.1% lower at $809, compared to $871 in the first quarter of 2012.</w:t>
      </w:r>
    </w:p>
    <w:p>
      <w:pPr>
        <w:spacing w:after="0" w:line="120"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We achieved an Average Daily Rate (ADR) of $315 for the first quarter of 2013, 2.7% below the $324 reported in the first quarter of 2012 while the property’s occupancy was 93.8%, compared to 91.3% during the prior year period, and revenue per available room (REVPAR) was $296 in the 2013 quarter, which was flat with the first quarter of 2012. Gross non-casino revenues decreased 0.9% during the quarter to $105.3 million from $106.3 million in the prior year quarter.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503 tables (288 VIP tables, 205 mass market tables and 10 poker tables) and 834 slot machines.</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Cotai</w:t>
      </w:r>
    </w:p>
    <w:p>
      <w:pPr>
        <w:spacing w:after="0" w:line="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constructing a full scale integrated resort containing a casino, hotel, convention, retail, entertainment and food and beverage offerings on the Cotai land and currently estimates the project budget to be in the range of $3.5 billion to $4.0 billion. The Company expects to enter into a guaranteed maximum price contract for the project construction costs in the first half of 2013. We started foundation work in February 2013 and expect to open our resort in Cotai during the first half of 2016.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2013, we spent approximately $76.3 million on our Cotai project.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Operations</w:t>
      </w:r>
    </w:p>
    <w:p>
      <w:pPr>
        <w:spacing w:after="0" w:line="92"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18"/>
          <w:szCs w:val="18"/>
          <w:color w:val="auto"/>
        </w:rPr>
        <w:t>For the first quarter ended March 31, 2013, net revenues were $386.6 million, a 6.6% increase from the first quarter of 2012. Adjusted property EBITDA of $120.4 million was up 19.3% versus the $100.9 million generated in the comparable period in 2012. EBITDA margin on net revenues was 31.1% in the first quarter of 2013 compared to 27.8% in the first quarter of 2012.</w:t>
      </w:r>
    </w:p>
    <w:p>
      <w:pPr>
        <w:spacing w:after="0" w:line="13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Net casino revenues in the first quarter of 2013 were $176.3 million, up 11.8% from the first quarter of 2012. Table games drop of $668.9 million was up 2.2% compared to $654.5 million in the 2012 quarter and table games win percentage of 26.7% was higher than the property’s expected range of 21% to 24% and above the 22.8% reported in the 2012 quarter. Slot machine handle of $696.6 million was 3.1% below the $718.9 million in the comparable period of 2012 and net slot win was down 1.7% to $42.3 million.</w:t>
      </w:r>
    </w:p>
    <w:p>
      <w:pPr>
        <w:spacing w:after="0" w:line="136"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Gross non-casino revenues for the quarter were $256.4 million, 1.6% higher than in the first quarter of 2012 due to increases in hotel and food and beverage, which were partially offset by lower entertainment revenues.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Room revenues were up 4.8% to $91.5 million during the quarter, versus $87.4 million in the first quarter of 2012. Average Daily Rate (ADR) was up 1.4% to</w:t>
      </w:r>
    </w:p>
    <w:p>
      <w:pPr>
        <w:spacing w:after="0" w:line="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$258 while occupancy of 82.9% was higher than the 79.3% experienced in the first quarter of 2012. Revenue per available room (REVPAR) was $214 in the 2013 quarter, 6.0% above the $202 reported in the prior year quarter.</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Food and beverage revenues increased 6.0% to $115.4 million primarily due to the strength in our restaurant, night club and beach club businesses. Retail revenues were $19.7 million in the quarter, down 0.9% from last year’s quarter. Entertainment revenues were down 28.3% due to a show that ended its run at the Encore theater in November 2012.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other</w:t>
      </w:r>
    </w:p>
    <w:p>
      <w:pPr>
        <w:spacing w:after="0" w:line="9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Our total cash and investments at March 31, 2013 were $2.3 billion. Total debt outstanding at the end of the quarter was $5.8 billion, including $3.1 billion of Wynn Las Vegas debt, $749 million of Wynn Macau debt and $1.9 billion at the parent company.</w:t>
      </w:r>
    </w:p>
    <w:p>
      <w:pPr>
        <w:spacing w:after="0" w:line="120"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Corporate expense was down $7.0 million as we incurred significant expenses associated with the redemption of the Aruze USA, Inc.’s shares during the first quarter of 2012.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9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Company will hold a conference call to discuss its results on Thursday, April 25, 2013 at 1:30 p.m. PT (4:30 p.m. ET). Interested parties are invited to join the call by accessing a live audio webcast at http://www.wynnresorts.com (Investor Relations).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2"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9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2012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2" w:lineRule="exact"/>
        <w:rPr>
          <w:sz w:val="20"/>
          <w:szCs w:val="20"/>
          <w:color w:val="auto"/>
        </w:rPr>
      </w:pPr>
    </w:p>
    <w:p>
      <w:pPr>
        <w:ind w:firstLine="8"/>
        <w:spacing w:after="0" w:line="252"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42" w:lineRule="exact"/>
        <w:rPr>
          <w:rFonts w:ascii="Times New Roman" w:cs="Times New Roman" w:eastAsia="Times New Roman" w:hAnsi="Times New Roman"/>
          <w:sz w:val="18"/>
          <w:szCs w:val="18"/>
          <w:color w:val="auto"/>
        </w:rPr>
      </w:pPr>
    </w:p>
    <w:p>
      <w:pPr>
        <w:ind w:firstLine="8"/>
        <w:spacing w:after="0" w:line="254"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attributable to Wynn Resorts is net income before pre-opening costs, property charges and other, and other non-cash non-operating income and expenses. Adjusted net income attributable to Wynn Resorts and adjusted net income per share attributable to Wynn Resorts (“adjusted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and adjusted net income attributable to Wynn Resorts per share may be different from the calculation methods used by other companies and, therefore, comparability may be limited.</w:t>
      </w:r>
    </w:p>
    <w:p>
      <w:pPr>
        <w:spacing w:after="0" w:line="141"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The Company has included schedules in the tables that accompany this release that reconcile (i) net income attributable to Wynn Resorts to adjusted net income attributable to Wynn Resorts, and (ii) operating income to adjusted property EBITDA and adjusted property EBITDA to net income attributable to Wynn Resorts.</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2" w:right="2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revenues:</w:t>
            </w:r>
          </w:p>
        </w:tc>
        <w:tc>
          <w:tcPr>
            <w:tcW w:w="4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1,106,503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1,049,279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120,480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139,701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101,548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Gross revenues</w:t>
            </w:r>
          </w:p>
        </w:tc>
        <w:tc>
          <w:tcPr>
            <w:tcW w:w="4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1,468,232</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1,407,831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(89,578)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44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1,378,654</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1,313,498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697,188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33,390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73,873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40,326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94,909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7,004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92,518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4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1,045,006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1,053,399</w:t>
            </w:r>
          </w:p>
        </w:tc>
        <w:tc>
          <w:tcPr>
            <w:tcW w:w="0" w:type="dxa"/>
            <w:vAlign w:val="bottom"/>
          </w:tcPr>
          <w:p>
            <w:pPr>
              <w:spacing w:after="0"/>
              <w:rPr>
                <w:sz w:val="1"/>
                <w:szCs w:val="1"/>
                <w:color w:val="auto"/>
              </w:rPr>
            </w:pPr>
          </w:p>
        </w:tc>
      </w:tr>
      <w:tr>
        <w:trPr>
          <w:trHeight w:val="32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333,648</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260,099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4,222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(75,377)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swap fair value</w:t>
            </w: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3,144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retirement of debt</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(66,646)</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267,002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198,292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5,142</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272,144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198,409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(69,181)</w:t>
            </w:r>
          </w:p>
        </w:tc>
        <w:tc>
          <w:tcPr>
            <w:tcW w:w="8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(57,845)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202,963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140,564</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income per common share:</w:t>
            </w:r>
          </w:p>
        </w:tc>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000" w:type="dxa"/>
            <w:vAlign w:val="bottom"/>
            <w:gridSpan w:val="2"/>
            <w:vMerge w:val="continue"/>
          </w:tcPr>
          <w:p>
            <w:pPr>
              <w:spacing w:after="0"/>
              <w:rPr>
                <w:sz w:val="24"/>
                <w:szCs w:val="24"/>
                <w:color w:val="auto"/>
              </w:rPr>
            </w:pPr>
          </w:p>
        </w:tc>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100,237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4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101,373</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114,008</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400" w:type="dxa"/>
            <w:vAlign w:val="bottom"/>
          </w:tcPr>
          <w:p>
            <w:pPr>
              <w:jc w:val="right"/>
              <w:ind w:right="355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6"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NET INCOME ATTRIBUTABLE TO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ADJUSTED NET INCOME ATTRIBUTABLE TO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202,963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140,564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in swap fair value</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retirement of debt</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Adjustment for noncontrolling interest</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Wynn Resorts, Limited(2)</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205,637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151,939</w:t>
            </w:r>
          </w:p>
        </w:tc>
        <w:tc>
          <w:tcPr>
            <w:tcW w:w="0" w:type="dxa"/>
            <w:vAlign w:val="bottom"/>
          </w:tcPr>
          <w:p>
            <w:pPr>
              <w:spacing w:after="0"/>
              <w:rPr>
                <w:sz w:val="1"/>
                <w:szCs w:val="1"/>
                <w:color w:val="auto"/>
              </w:rPr>
            </w:pPr>
          </w:p>
        </w:tc>
      </w:tr>
      <w:tr>
        <w:trPr>
          <w:trHeight w:val="20"/>
        </w:trPr>
        <w:tc>
          <w:tcPr>
            <w:tcW w:w="552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Adjusted net income attributable to Wynn Resorts, Limited per diluted share</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120" w:type="dxa"/>
            <w:vAlign w:val="bottom"/>
            <w:vMerge w:val="restart"/>
          </w:tcPr>
          <w:p>
            <w:pPr>
              <w:jc w:val="right"/>
              <w:ind w:right="379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ADJUSTED PROPERTY EBITDA TO NET INCOME ATTRIBUTABLE TO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2013</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Macau</w:t>
            </w:r>
          </w:p>
        </w:tc>
        <w:tc>
          <w:tcPr>
            <w:tcW w:w="280" w:type="dxa"/>
            <w:vAlign w:val="bottom"/>
          </w:tcPr>
          <w:p>
            <w:pPr>
              <w:spacing w:after="0"/>
              <w:rPr>
                <w:sz w:val="10"/>
                <w:szCs w:val="10"/>
                <w:color w:val="auto"/>
              </w:rPr>
            </w:pPr>
          </w:p>
        </w:tc>
        <w:tc>
          <w:tcPr>
            <w:tcW w:w="940" w:type="dxa"/>
            <w:vAlign w:val="bottom"/>
            <w:gridSpan w:val="4"/>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Las Vegas</w:t>
            </w:r>
          </w:p>
        </w:tc>
        <w:tc>
          <w:tcPr>
            <w:tcW w:w="140" w:type="dxa"/>
            <w:vAlign w:val="bottom"/>
          </w:tcPr>
          <w:p>
            <w:pPr>
              <w:spacing w:after="0"/>
              <w:rPr>
                <w:sz w:val="10"/>
                <w:szCs w:val="10"/>
                <w:color w:val="auto"/>
              </w:rPr>
            </w:pPr>
          </w:p>
        </w:tc>
        <w:tc>
          <w:tcPr>
            <w:tcW w:w="1040" w:type="dxa"/>
            <w:vAlign w:val="bottom"/>
            <w:gridSpan w:val="6"/>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Operations</w:t>
            </w:r>
          </w:p>
        </w:tc>
        <w:tc>
          <w:tcPr>
            <w:tcW w:w="280" w:type="dxa"/>
            <w:vAlign w:val="bottom"/>
          </w:tcPr>
          <w:p>
            <w:pPr>
              <w:spacing w:after="0"/>
              <w:rPr>
                <w:sz w:val="14"/>
                <w:szCs w:val="14"/>
                <w:color w:val="auto"/>
              </w:rPr>
            </w:pPr>
          </w:p>
        </w:tc>
        <w:tc>
          <w:tcPr>
            <w:tcW w:w="9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Operations</w:t>
            </w:r>
          </w:p>
        </w:tc>
        <w:tc>
          <w:tcPr>
            <w:tcW w:w="140" w:type="dxa"/>
            <w:vAlign w:val="bottom"/>
          </w:tcPr>
          <w:p>
            <w:pPr>
              <w:spacing w:after="0"/>
              <w:rPr>
                <w:sz w:val="14"/>
                <w:szCs w:val="14"/>
                <w:color w:val="auto"/>
              </w:rPr>
            </w:pPr>
          </w:p>
        </w:tc>
        <w:tc>
          <w:tcPr>
            <w:tcW w:w="10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$251,526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$ 40,419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$ 41,703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$333,648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29,297</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2,619</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Management and royalty fees</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39,196</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(44,991)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Corporate expense and other</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6,618</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64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1"/>
                <w:szCs w:val="11"/>
                <w:b w:val="1"/>
                <w:bCs w:val="1"/>
                <w:color w:val="auto"/>
              </w:rPr>
              <w:t>(1)</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$ 330,711</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120,357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451,068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2012</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Macau</w:t>
            </w:r>
          </w:p>
        </w:tc>
        <w:tc>
          <w:tcPr>
            <w:tcW w:w="280" w:type="dxa"/>
            <w:vAlign w:val="bottom"/>
          </w:tcPr>
          <w:p>
            <w:pPr>
              <w:spacing w:after="0"/>
              <w:rPr>
                <w:sz w:val="10"/>
                <w:szCs w:val="10"/>
                <w:color w:val="auto"/>
              </w:rPr>
            </w:pPr>
          </w:p>
        </w:tc>
        <w:tc>
          <w:tcPr>
            <w:tcW w:w="940" w:type="dxa"/>
            <w:vAlign w:val="bottom"/>
            <w:gridSpan w:val="4"/>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Las Vegas</w:t>
            </w:r>
          </w:p>
        </w:tc>
        <w:tc>
          <w:tcPr>
            <w:tcW w:w="140" w:type="dxa"/>
            <w:vAlign w:val="bottom"/>
          </w:tcPr>
          <w:p>
            <w:pPr>
              <w:spacing w:after="0"/>
              <w:rPr>
                <w:sz w:val="10"/>
                <w:szCs w:val="10"/>
                <w:color w:val="auto"/>
              </w:rPr>
            </w:pPr>
          </w:p>
        </w:tc>
        <w:tc>
          <w:tcPr>
            <w:tcW w:w="1040" w:type="dxa"/>
            <w:vAlign w:val="bottom"/>
            <w:gridSpan w:val="6"/>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Operations</w:t>
            </w:r>
          </w:p>
        </w:tc>
        <w:tc>
          <w:tcPr>
            <w:tcW w:w="280" w:type="dxa"/>
            <w:vAlign w:val="bottom"/>
          </w:tcPr>
          <w:p>
            <w:pPr>
              <w:spacing w:after="0"/>
              <w:rPr>
                <w:sz w:val="14"/>
                <w:szCs w:val="14"/>
                <w:color w:val="auto"/>
              </w:rPr>
            </w:pPr>
          </w:p>
        </w:tc>
        <w:tc>
          <w:tcPr>
            <w:tcW w:w="9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Operations</w:t>
            </w:r>
          </w:p>
        </w:tc>
        <w:tc>
          <w:tcPr>
            <w:tcW w:w="140" w:type="dxa"/>
            <w:vAlign w:val="bottom"/>
          </w:tcPr>
          <w:p>
            <w:pPr>
              <w:spacing w:after="0"/>
              <w:rPr>
                <w:sz w:val="14"/>
                <w:szCs w:val="14"/>
                <w:color w:val="auto"/>
              </w:rPr>
            </w:pPr>
          </w:p>
        </w:tc>
        <w:tc>
          <w:tcPr>
            <w:tcW w:w="10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$ 211,723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$ 20,426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$ 27,950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$260,099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28,288</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63,418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6,568</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Management and royalty fees</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38,059</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(43,510)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Corporate expense and other</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6,548</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(1,413)</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1"/>
                <w:szCs w:val="11"/>
                <w:b w:val="1"/>
                <w:bCs w:val="1"/>
                <w:color w:val="auto"/>
              </w:rPr>
              <w:t>(1)</w:t>
            </w:r>
          </w:p>
        </w:tc>
        <w:tc>
          <w:tcPr>
            <w:tcW w:w="6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289,773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100,884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390,657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600" w:type="dxa"/>
            <w:vAlign w:val="bottom"/>
            <w:tcBorders>
              <w:top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ind w:left="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1"/>
                <w:szCs w:val="11"/>
                <w:b w:val="1"/>
                <w:bCs w:val="1"/>
                <w:color w:val="auto"/>
              </w:rPr>
              <w:t>(1)</w:t>
            </w:r>
          </w:p>
        </w:tc>
        <w:tc>
          <w:tcPr>
            <w:tcW w:w="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$451,068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$390,657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Pre-opening costs</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(92,405)</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(5,346)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(10,286)</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(24,754)</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(1,122)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(2,648)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(75,377)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(62,061)</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Increase in swap fair value</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on retirement of debt</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(4,828)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Benefit for income taxes</w:t>
            </w: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198,409</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(69,181)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(57,845)</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202,963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140,564</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5920" w:type="dxa"/>
            <w:vAlign w:val="bottom"/>
            <w:gridSpan w:val="3"/>
          </w:tcPr>
          <w:p>
            <w:pPr>
              <w:jc w:val="right"/>
              <w:ind w:right="532"/>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72" w:right="699" w:bottom="1440" w:gutter="0" w:footer="0" w:header="0"/>
        </w:sectPr>
      </w:pPr>
    </w:p>
    <w:bookmarkStart w:id="11" w:name="page12"/>
    <w:bookmarkEnd w:id="1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SUPPLEMENTAL DATA SCHEDULE</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top w:val="single" w:sz="8" w:color="auto"/>
            </w:tcBorders>
            <w:gridSpan w:val="3"/>
          </w:tcPr>
          <w:p>
            <w:pPr>
              <w:ind w:left="300"/>
              <w:spacing w:after="0" w:line="125"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Room Statistics for Macau Operations:</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Occupancy %</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Average Daily Rate (ADR)</w:t>
            </w:r>
            <w:r>
              <w:rPr>
                <w:rFonts w:ascii="Times New Roman" w:cs="Times New Roman" w:eastAsia="Times New Roman" w:hAnsi="Times New Roman"/>
                <w:sz w:val="11"/>
                <w:szCs w:val="11"/>
                <w:color w:val="auto"/>
              </w:rPr>
              <w:t>1</w:t>
            </w:r>
          </w:p>
        </w:tc>
        <w:tc>
          <w:tcPr>
            <w:tcW w:w="17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Revenue per available room (REVPAR)</w:t>
            </w:r>
            <w:r>
              <w:rPr>
                <w:rFonts w:ascii="Times New Roman" w:cs="Times New Roman" w:eastAsia="Times New Roman" w:hAnsi="Times New Roman"/>
                <w:sz w:val="11"/>
                <w:szCs w:val="11"/>
                <w:color w:val="auto"/>
              </w:rPr>
              <w:t>2</w:t>
            </w:r>
          </w:p>
        </w:tc>
        <w:tc>
          <w:tcPr>
            <w:tcW w:w="1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4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information for Macau Operations: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Table games win per unit per day</w:t>
            </w:r>
            <w:r>
              <w:rPr>
                <w:rFonts w:ascii="Times New Roman" w:cs="Times New Roman" w:eastAsia="Times New Roman" w:hAnsi="Times New Roman"/>
                <w:sz w:val="11"/>
                <w:szCs w:val="11"/>
                <w:color w:val="auto"/>
              </w:rPr>
              <w:t>3</w:t>
            </w:r>
          </w:p>
        </w:tc>
        <w:tc>
          <w:tcPr>
            <w:tcW w:w="1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25,550</w:t>
            </w:r>
          </w:p>
        </w:tc>
        <w:tc>
          <w:tcPr>
            <w:tcW w:w="44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24,337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Slot machine win per unit per day</w:t>
            </w:r>
            <w:r>
              <w:rPr>
                <w:rFonts w:ascii="Times New Roman" w:cs="Times New Roman" w:eastAsia="Times New Roman" w:hAnsi="Times New Roman"/>
                <w:sz w:val="11"/>
                <w:szCs w:val="11"/>
                <w:color w:val="auto"/>
              </w:rPr>
              <w:t>4</w:t>
            </w:r>
          </w:p>
        </w:tc>
        <w:tc>
          <w:tcPr>
            <w:tcW w:w="17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Room Statistics for Las Vegas Operations:</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Occupancy %</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Average Daily Rate (ADR)</w:t>
            </w:r>
            <w:r>
              <w:rPr>
                <w:rFonts w:ascii="Times New Roman" w:cs="Times New Roman" w:eastAsia="Times New Roman" w:hAnsi="Times New Roman"/>
                <w:sz w:val="11"/>
                <w:szCs w:val="11"/>
                <w:color w:val="auto"/>
              </w:rPr>
              <w:t>1</w:t>
            </w:r>
          </w:p>
        </w:tc>
        <w:tc>
          <w:tcPr>
            <w:tcW w:w="1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4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Revenue per available room (REVPAR)</w:t>
            </w:r>
            <w:r>
              <w:rPr>
                <w:rFonts w:ascii="Times New Roman" w:cs="Times New Roman" w:eastAsia="Times New Roman" w:hAnsi="Times New Roman"/>
                <w:sz w:val="11"/>
                <w:szCs w:val="11"/>
                <w:color w:val="auto"/>
              </w:rPr>
              <w:t>2</w:t>
            </w:r>
          </w:p>
        </w:tc>
        <w:tc>
          <w:tcPr>
            <w:tcW w:w="17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for Las Vegas Operations:</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Table games win per unit per day</w:t>
            </w:r>
            <w:r>
              <w:rPr>
                <w:rFonts w:ascii="Times New Roman" w:cs="Times New Roman" w:eastAsia="Times New Roman" w:hAnsi="Times New Roman"/>
                <w:sz w:val="11"/>
                <w:szCs w:val="11"/>
                <w:color w:val="auto"/>
              </w:rPr>
              <w:t>3</w:t>
            </w:r>
          </w:p>
        </w:tc>
        <w:tc>
          <w:tcPr>
            <w:tcW w:w="17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Table Win %</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Slot machine win per unit per day</w:t>
            </w:r>
            <w:r>
              <w:rPr>
                <w:rFonts w:ascii="Times New Roman" w:cs="Times New Roman" w:eastAsia="Times New Roman" w:hAnsi="Times New Roman"/>
                <w:sz w:val="11"/>
                <w:szCs w:val="11"/>
                <w:color w:val="auto"/>
              </w:rPr>
              <w:t>4</w:t>
            </w:r>
          </w:p>
        </w:tc>
        <w:tc>
          <w:tcPr>
            <w:tcW w:w="17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line="257"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 is Average Daily Rate and is calculated by dividing total room revenue including the retail value of promotional allowances (less service charges, if any) by total rooms occupied, including complimentary rooms.</w:t>
      </w:r>
    </w:p>
    <w:p>
      <w:pPr>
        <w:spacing w:after="0" w:line="1" w:lineRule="exact"/>
        <w:rPr>
          <w:rFonts w:ascii="Times New Roman" w:cs="Times New Roman" w:eastAsia="Times New Roman" w:hAnsi="Times New Roman"/>
          <w:sz w:val="18"/>
          <w:szCs w:val="18"/>
          <w:color w:val="auto"/>
        </w:rPr>
      </w:pPr>
    </w:p>
    <w:p>
      <w:pPr>
        <w:ind w:left="460" w:right="320" w:hanging="452"/>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REVPAR is Revenue per Available Room and is calculated by dividing total room revenue including the retail value of promotional allowances (less service charges, if any) by total rooms available.</w:t>
      </w: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per unit per day is shown before discounts and commissions.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machine win per unit per day is calculated as gross slot win minus progressive accruals and free play.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p>
      <w:pPr>
        <w:spacing w:after="0" w:line="1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240"/>
      </w:cols>
      <w:pgMar w:left="240" w:top="32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2019-12-07T04:22:12Z</dcterms:created>
  <dcterms:modified xsi:type="dcterms:W3CDTF">2019-12-07T04:22:12Z</dcterms:modified>
</cp:coreProperties>
</file>