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230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23011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SCHORR MARC D</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WYNN RESORTS, LIMITED</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3131 LAS VEGAS BOULEVARD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WYNN RESORTS LTD</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WYNN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08/06/2010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6"/>
        <w:spacing w:after="0"/>
        <w:rPr>
          <w:sz w:val="20"/>
          <w:szCs w:val="20"/>
          <w:color w:val="auto"/>
        </w:rPr>
      </w:pPr>
      <w:r>
        <w:rPr>
          <w:rFonts w:ascii="Arial" w:cs="Arial" w:eastAsia="Arial" w:hAnsi="Arial"/>
          <w:sz w:val="17"/>
          <w:szCs w:val="17"/>
          <w:color w:val="0000FF"/>
        </w:rPr>
        <w:t>Chief Operating Officer</w:t>
      </w:r>
    </w:p>
    <w:p>
      <w:pPr>
        <w:spacing w:after="0" w:line="426" w:lineRule="exact"/>
        <w:rPr>
          <w:sz w:val="24"/>
          <w:szCs w:val="24"/>
          <w:color w:val="auto"/>
        </w:rPr>
      </w:pPr>
    </w:p>
    <w:p>
      <w:pPr>
        <w:sectPr>
          <w:pgSz w:w="11900" w:h="16838" w:orient="portrait"/>
          <w:cols w:equalWidth="0" w:num="3">
            <w:col w:w="3360" w:space="720"/>
            <w:col w:w="3254" w:space="720"/>
            <w:col w:w="3466"/>
          </w:cols>
          <w:pgMar w:left="240" w:top="225" w:right="139" w:bottom="0" w:gutter="0" w:footer="0" w:header="0"/>
          <w:type w:val="continuous"/>
        </w:sectPr>
      </w:pPr>
    </w:p>
    <w:p>
      <w:pPr>
        <w:spacing w:after="0" w:line="21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LAS VEGAS</w:t>
            </w:r>
          </w:p>
        </w:tc>
        <w:tc>
          <w:tcPr>
            <w:tcW w:w="1000" w:type="dxa"/>
            <w:vAlign w:val="bottom"/>
          </w:tcPr>
          <w:p>
            <w:pPr>
              <w:ind w:left="160"/>
              <w:spacing w:after="0"/>
              <w:rPr>
                <w:sz w:val="20"/>
                <w:szCs w:val="20"/>
                <w:color w:val="auto"/>
              </w:rPr>
            </w:pPr>
            <w:r>
              <w:rPr>
                <w:rFonts w:ascii="Arial" w:cs="Arial" w:eastAsia="Arial" w:hAnsi="Arial"/>
                <w:sz w:val="17"/>
                <w:szCs w:val="17"/>
                <w:color w:val="0000FF"/>
              </w:rPr>
              <w:t>NV</w:t>
            </w:r>
          </w:p>
        </w:tc>
        <w:tc>
          <w:tcPr>
            <w:tcW w:w="1680" w:type="dxa"/>
            <w:vAlign w:val="bottom"/>
          </w:tcPr>
          <w:p>
            <w:pPr>
              <w:ind w:left="440"/>
              <w:spacing w:after="0"/>
              <w:rPr>
                <w:sz w:val="20"/>
                <w:szCs w:val="20"/>
                <w:color w:val="auto"/>
              </w:rPr>
            </w:pPr>
            <w:r>
              <w:rPr>
                <w:rFonts w:ascii="Arial" w:cs="Arial" w:eastAsia="Arial" w:hAnsi="Arial"/>
                <w:sz w:val="17"/>
                <w:szCs w:val="17"/>
                <w:color w:val="0000FF"/>
              </w:rPr>
              <w:t>89109</w:t>
            </w:r>
          </w:p>
        </w:tc>
      </w:tr>
      <w:tr>
        <w:trPr>
          <w:trHeight w:val="156"/>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68" w:lineRule="exact"/>
        <w:rPr>
          <w:sz w:val="24"/>
          <w:szCs w:val="24"/>
          <w:color w:val="auto"/>
        </w:rPr>
      </w:pPr>
    </w:p>
    <w:p>
      <w:pPr>
        <w:sectPr>
          <w:pgSz w:w="11900" w:h="16838" w:orient="portrait"/>
          <w:cols w:equalWidth="0" w:num="2">
            <w:col w:w="3920" w:space="160"/>
            <w:col w:w="744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7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tcPr>
          <w:p>
            <w:pPr>
              <w:ind w:left="4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760" w:type="dxa"/>
            <w:vAlign w:val="bottom"/>
          </w:tcPr>
          <w:p>
            <w:pPr>
              <w:spacing w:after="0"/>
              <w:rPr>
                <w:sz w:val="11"/>
                <w:szCs w:val="11"/>
                <w:color w:val="auto"/>
              </w:rPr>
            </w:pPr>
          </w:p>
        </w:tc>
        <w:tc>
          <w:tcPr>
            <w:tcW w:w="1500" w:type="dxa"/>
            <w:vAlign w:val="bottom"/>
          </w:tcPr>
          <w:p>
            <w:pPr>
              <w:ind w:left="44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2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760" w:type="dxa"/>
            <w:vAlign w:val="bottom"/>
          </w:tcPr>
          <w:p>
            <w:pPr>
              <w:spacing w:after="0"/>
              <w:rPr>
                <w:sz w:val="11"/>
                <w:szCs w:val="11"/>
                <w:color w:val="auto"/>
              </w:rPr>
            </w:pPr>
          </w:p>
        </w:tc>
        <w:tc>
          <w:tcPr>
            <w:tcW w:w="1500" w:type="dxa"/>
            <w:vAlign w:val="bottom"/>
          </w:tcPr>
          <w:p>
            <w:pPr>
              <w:jc w:val="center"/>
              <w:ind w:left="306"/>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7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7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7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7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(A) or</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7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9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7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7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760" w:type="dxa"/>
            <w:vAlign w:val="bottom"/>
          </w:tcPr>
          <w:p>
            <w:pPr>
              <w:ind w:left="60"/>
              <w:spacing w:after="0"/>
              <w:rPr>
                <w:sz w:val="20"/>
                <w:szCs w:val="20"/>
                <w:color w:val="auto"/>
              </w:rPr>
            </w:pPr>
            <w:r>
              <w:rPr>
                <w:rFonts w:ascii="Arial" w:cs="Arial" w:eastAsia="Arial" w:hAnsi="Arial"/>
                <w:sz w:val="17"/>
                <w:szCs w:val="17"/>
                <w:color w:val="0000FF"/>
              </w:rPr>
              <w:t>Common Stock, par value $0.01</w:t>
            </w:r>
          </w:p>
        </w:tc>
        <w:tc>
          <w:tcPr>
            <w:tcW w:w="1500" w:type="dxa"/>
            <w:vAlign w:val="bottom"/>
          </w:tcPr>
          <w:p>
            <w:pPr>
              <w:jc w:val="center"/>
              <w:ind w:left="306"/>
              <w:spacing w:after="0"/>
              <w:rPr>
                <w:sz w:val="20"/>
                <w:szCs w:val="20"/>
                <w:color w:val="auto"/>
              </w:rPr>
            </w:pPr>
            <w:r>
              <w:rPr>
                <w:rFonts w:ascii="Arial" w:cs="Arial" w:eastAsia="Arial" w:hAnsi="Arial"/>
                <w:sz w:val="17"/>
                <w:szCs w:val="17"/>
                <w:color w:val="0000FF"/>
                <w:w w:val="93"/>
              </w:rPr>
              <w:t>08/06/2010</w:t>
            </w:r>
          </w:p>
        </w:tc>
        <w:tc>
          <w:tcPr>
            <w:tcW w:w="1140" w:type="dxa"/>
            <w:vAlign w:val="bottom"/>
          </w:tcPr>
          <w:p>
            <w:pPr>
              <w:spacing w:after="0"/>
              <w:rPr>
                <w:sz w:val="23"/>
                <w:szCs w:val="23"/>
                <w:color w:val="auto"/>
              </w:rPr>
            </w:pPr>
          </w:p>
        </w:tc>
        <w:tc>
          <w:tcPr>
            <w:tcW w:w="800" w:type="dxa"/>
            <w:vAlign w:val="bottom"/>
          </w:tcPr>
          <w:p>
            <w:pPr>
              <w:jc w:val="center"/>
              <w:ind w:right="297"/>
              <w:spacing w:after="0"/>
              <w:rPr>
                <w:sz w:val="20"/>
                <w:szCs w:val="20"/>
                <w:color w:val="auto"/>
              </w:rPr>
            </w:pPr>
            <w:r>
              <w:rPr>
                <w:rFonts w:ascii="Arial" w:cs="Arial" w:eastAsia="Arial" w:hAnsi="Arial"/>
                <w:sz w:val="13"/>
                <w:szCs w:val="13"/>
                <w:color w:val="0000FF"/>
              </w:rPr>
              <w:t>M</w:t>
            </w: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50,000</w:t>
            </w:r>
          </w:p>
        </w:tc>
        <w:tc>
          <w:tcPr>
            <w:tcW w:w="520" w:type="dxa"/>
            <w:vAlign w:val="bottom"/>
          </w:tcPr>
          <w:p>
            <w:pPr>
              <w:jc w:val="center"/>
              <w:spacing w:after="0"/>
              <w:rPr>
                <w:sz w:val="20"/>
                <w:szCs w:val="20"/>
                <w:color w:val="auto"/>
              </w:rPr>
            </w:pPr>
            <w:r>
              <w:rPr>
                <w:rFonts w:ascii="Arial" w:cs="Arial" w:eastAsia="Arial" w:hAnsi="Arial"/>
                <w:sz w:val="17"/>
                <w:szCs w:val="17"/>
                <w:color w:val="0000FF"/>
              </w:rPr>
              <w:t>A</w:t>
            </w:r>
          </w:p>
        </w:tc>
        <w:tc>
          <w:tcPr>
            <w:tcW w:w="960" w:type="dxa"/>
            <w:vAlign w:val="bottom"/>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15.4</w:t>
            </w:r>
          </w:p>
        </w:tc>
        <w:tc>
          <w:tcPr>
            <w:tcW w:w="1140" w:type="dxa"/>
            <w:vAlign w:val="bottom"/>
          </w:tcPr>
          <w:p>
            <w:pPr>
              <w:jc w:val="center"/>
              <w:spacing w:after="0"/>
              <w:rPr>
                <w:sz w:val="20"/>
                <w:szCs w:val="20"/>
                <w:color w:val="auto"/>
              </w:rPr>
            </w:pPr>
            <w:r>
              <w:rPr>
                <w:rFonts w:ascii="Arial" w:cs="Arial" w:eastAsia="Arial" w:hAnsi="Arial"/>
                <w:sz w:val="17"/>
                <w:szCs w:val="17"/>
                <w:color w:val="0000FF"/>
                <w:w w:val="91"/>
              </w:rPr>
              <w:t>300,000</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76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760" w:type="dxa"/>
            <w:vAlign w:val="bottom"/>
          </w:tcPr>
          <w:p>
            <w:pPr>
              <w:ind w:left="60"/>
              <w:spacing w:after="0"/>
              <w:rPr>
                <w:sz w:val="20"/>
                <w:szCs w:val="20"/>
                <w:color w:val="auto"/>
              </w:rPr>
            </w:pPr>
            <w:r>
              <w:rPr>
                <w:rFonts w:ascii="Arial" w:cs="Arial" w:eastAsia="Arial" w:hAnsi="Arial"/>
                <w:sz w:val="17"/>
                <w:szCs w:val="17"/>
                <w:color w:val="0000FF"/>
              </w:rPr>
              <w:t>Common Stock, par value $0.01</w:t>
            </w:r>
          </w:p>
        </w:tc>
        <w:tc>
          <w:tcPr>
            <w:tcW w:w="1500" w:type="dxa"/>
            <w:vAlign w:val="bottom"/>
          </w:tcPr>
          <w:p>
            <w:pPr>
              <w:jc w:val="center"/>
              <w:ind w:left="306"/>
              <w:spacing w:after="0"/>
              <w:rPr>
                <w:sz w:val="20"/>
                <w:szCs w:val="20"/>
                <w:color w:val="auto"/>
              </w:rPr>
            </w:pPr>
            <w:r>
              <w:rPr>
                <w:rFonts w:ascii="Arial" w:cs="Arial" w:eastAsia="Arial" w:hAnsi="Arial"/>
                <w:sz w:val="17"/>
                <w:szCs w:val="17"/>
                <w:color w:val="0000FF"/>
                <w:w w:val="93"/>
              </w:rPr>
              <w:t>08/06/2010</w:t>
            </w:r>
          </w:p>
        </w:tc>
        <w:tc>
          <w:tcPr>
            <w:tcW w:w="1140" w:type="dxa"/>
            <w:vAlign w:val="bottom"/>
          </w:tcPr>
          <w:p>
            <w:pPr>
              <w:spacing w:after="0"/>
              <w:rPr>
                <w:sz w:val="23"/>
                <w:szCs w:val="23"/>
                <w:color w:val="auto"/>
              </w:rPr>
            </w:pPr>
          </w:p>
        </w:tc>
        <w:tc>
          <w:tcPr>
            <w:tcW w:w="800" w:type="dxa"/>
            <w:vAlign w:val="bottom"/>
          </w:tcPr>
          <w:p>
            <w:pPr>
              <w:jc w:val="center"/>
              <w:ind w:right="297"/>
              <w:spacing w:after="0"/>
              <w:rPr>
                <w:sz w:val="20"/>
                <w:szCs w:val="20"/>
                <w:color w:val="auto"/>
              </w:rPr>
            </w:pPr>
            <w:r>
              <w:rPr>
                <w:rFonts w:ascii="Arial" w:cs="Arial" w:eastAsia="Arial" w:hAnsi="Arial"/>
                <w:sz w:val="13"/>
                <w:szCs w:val="13"/>
                <w:color w:val="0000FF"/>
              </w:rPr>
              <w:t>M</w:t>
            </w: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50,000</w:t>
            </w:r>
          </w:p>
        </w:tc>
        <w:tc>
          <w:tcPr>
            <w:tcW w:w="520" w:type="dxa"/>
            <w:vAlign w:val="bottom"/>
          </w:tcPr>
          <w:p>
            <w:pPr>
              <w:jc w:val="center"/>
              <w:spacing w:after="0"/>
              <w:rPr>
                <w:sz w:val="20"/>
                <w:szCs w:val="20"/>
                <w:color w:val="auto"/>
              </w:rPr>
            </w:pPr>
            <w:r>
              <w:rPr>
                <w:rFonts w:ascii="Arial" w:cs="Arial" w:eastAsia="Arial" w:hAnsi="Arial"/>
                <w:sz w:val="17"/>
                <w:szCs w:val="17"/>
                <w:color w:val="0000FF"/>
              </w:rPr>
              <w:t>A</w:t>
            </w:r>
          </w:p>
        </w:tc>
        <w:tc>
          <w:tcPr>
            <w:tcW w:w="96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47.12</w:t>
            </w:r>
          </w:p>
        </w:tc>
        <w:tc>
          <w:tcPr>
            <w:tcW w:w="1140" w:type="dxa"/>
            <w:vAlign w:val="bottom"/>
          </w:tcPr>
          <w:p>
            <w:pPr>
              <w:jc w:val="center"/>
              <w:spacing w:after="0"/>
              <w:rPr>
                <w:sz w:val="20"/>
                <w:szCs w:val="20"/>
                <w:color w:val="auto"/>
              </w:rPr>
            </w:pPr>
            <w:r>
              <w:rPr>
                <w:rFonts w:ascii="Arial" w:cs="Arial" w:eastAsia="Arial" w:hAnsi="Arial"/>
                <w:sz w:val="17"/>
                <w:szCs w:val="17"/>
                <w:color w:val="0000FF"/>
                <w:w w:val="91"/>
              </w:rPr>
              <w:t>350,000</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76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7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 par value $0.01</w:t>
            </w:r>
          </w:p>
        </w:tc>
        <w:tc>
          <w:tcPr>
            <w:tcW w:w="1500" w:type="dxa"/>
            <w:vAlign w:val="bottom"/>
            <w:tcBorders>
              <w:bottom w:val="single" w:sz="8" w:color="2C2C2C"/>
            </w:tcBorders>
          </w:tcPr>
          <w:p>
            <w:pPr>
              <w:jc w:val="center"/>
              <w:ind w:left="306"/>
              <w:spacing w:after="0"/>
              <w:rPr>
                <w:sz w:val="20"/>
                <w:szCs w:val="20"/>
                <w:color w:val="auto"/>
              </w:rPr>
            </w:pPr>
            <w:r>
              <w:rPr>
                <w:rFonts w:ascii="Arial" w:cs="Arial" w:eastAsia="Arial" w:hAnsi="Arial"/>
                <w:sz w:val="17"/>
                <w:szCs w:val="17"/>
                <w:color w:val="0000FF"/>
                <w:w w:val="93"/>
              </w:rPr>
              <w:t>08/06/2010</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7"/>
              <w:spacing w:after="0"/>
              <w:rPr>
                <w:sz w:val="20"/>
                <w:szCs w:val="20"/>
                <w:color w:val="auto"/>
              </w:rPr>
            </w:pPr>
            <w:r>
              <w:rPr>
                <w:rFonts w:ascii="Arial" w:cs="Arial" w:eastAsia="Arial" w:hAnsi="Arial"/>
                <w:sz w:val="13"/>
                <w:szCs w:val="13"/>
                <w:color w:val="0000FF"/>
                <w:w w:val="91"/>
              </w:rPr>
              <w:t>S</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100,000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89.0742</w:t>
            </w:r>
            <w:r>
              <w:rPr>
                <w:rFonts w:ascii="Arial" w:cs="Arial" w:eastAsia="Arial" w:hAnsi="Arial"/>
                <w:sz w:val="22"/>
                <w:szCs w:val="22"/>
                <w:color w:val="008000"/>
                <w:w w:val="87"/>
                <w:vertAlign w:val="superscript"/>
              </w:rPr>
              <w:t>(1)</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250,000</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7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By the</w:t>
            </w:r>
          </w:p>
        </w:tc>
        <w:tc>
          <w:tcPr>
            <w:tcW w:w="0" w:type="dxa"/>
            <w:vAlign w:val="bottom"/>
          </w:tcPr>
          <w:p>
            <w:pPr>
              <w:spacing w:after="0"/>
              <w:rPr>
                <w:sz w:val="1"/>
                <w:szCs w:val="1"/>
                <w:color w:val="auto"/>
              </w:rPr>
            </w:pPr>
          </w:p>
        </w:tc>
      </w:tr>
      <w:tr>
        <w:trPr>
          <w:trHeight w:val="215"/>
        </w:trPr>
        <w:tc>
          <w:tcPr>
            <w:tcW w:w="2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Marc D.</w:t>
            </w:r>
          </w:p>
        </w:tc>
        <w:tc>
          <w:tcPr>
            <w:tcW w:w="0" w:type="dxa"/>
            <w:vAlign w:val="bottom"/>
          </w:tcPr>
          <w:p>
            <w:pPr>
              <w:spacing w:after="0"/>
              <w:rPr>
                <w:sz w:val="1"/>
                <w:szCs w:val="1"/>
                <w:color w:val="auto"/>
              </w:rPr>
            </w:pPr>
          </w:p>
        </w:tc>
      </w:tr>
      <w:tr>
        <w:trPr>
          <w:trHeight w:val="215"/>
        </w:trPr>
        <w:tc>
          <w:tcPr>
            <w:tcW w:w="2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Schorr</w:t>
            </w:r>
          </w:p>
        </w:tc>
        <w:tc>
          <w:tcPr>
            <w:tcW w:w="0" w:type="dxa"/>
            <w:vAlign w:val="bottom"/>
          </w:tcPr>
          <w:p>
            <w:pPr>
              <w:spacing w:after="0"/>
              <w:rPr>
                <w:sz w:val="1"/>
                <w:szCs w:val="1"/>
                <w:color w:val="auto"/>
              </w:rPr>
            </w:pPr>
          </w:p>
        </w:tc>
      </w:tr>
      <w:tr>
        <w:trPr>
          <w:trHeight w:val="215"/>
        </w:trPr>
        <w:tc>
          <w:tcPr>
            <w:tcW w:w="2760" w:type="dxa"/>
            <w:vAlign w:val="bottom"/>
            <w:vMerge w:val="restart"/>
          </w:tcPr>
          <w:p>
            <w:pPr>
              <w:ind w:left="60"/>
              <w:spacing w:after="0"/>
              <w:rPr>
                <w:sz w:val="20"/>
                <w:szCs w:val="20"/>
                <w:color w:val="auto"/>
              </w:rPr>
            </w:pPr>
            <w:r>
              <w:rPr>
                <w:rFonts w:ascii="Arial" w:cs="Arial" w:eastAsia="Arial" w:hAnsi="Arial"/>
                <w:sz w:val="17"/>
                <w:szCs w:val="17"/>
                <w:color w:val="0000FF"/>
              </w:rPr>
              <w:t>Common Stock, par value $0.01</w:t>
            </w: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2"/>
              </w:rPr>
              <w:t>15,800</w:t>
            </w:r>
          </w:p>
        </w:tc>
        <w:tc>
          <w:tcPr>
            <w:tcW w:w="960" w:type="dxa"/>
            <w:vAlign w:val="bottom"/>
            <w:vMerge w:val="restart"/>
          </w:tcPr>
          <w:p>
            <w:pPr>
              <w:jc w:val="center"/>
              <w:spacing w:after="0"/>
              <w:rPr>
                <w:sz w:val="20"/>
                <w:szCs w:val="20"/>
                <w:color w:val="auto"/>
              </w:rPr>
            </w:pPr>
            <w:r>
              <w:rPr>
                <w:rFonts w:ascii="Arial" w:cs="Arial" w:eastAsia="Arial" w:hAnsi="Arial"/>
                <w:sz w:val="17"/>
                <w:szCs w:val="17"/>
                <w:color w:val="0000FF"/>
                <w:w w:val="83"/>
              </w:rPr>
              <w:t>I</w:t>
            </w:r>
          </w:p>
        </w:tc>
        <w:tc>
          <w:tcPr>
            <w:tcW w:w="800" w:type="dxa"/>
            <w:vAlign w:val="bottom"/>
          </w:tcPr>
          <w:p>
            <w:pPr>
              <w:ind w:left="80"/>
              <w:spacing w:after="0"/>
              <w:rPr>
                <w:sz w:val="20"/>
                <w:szCs w:val="20"/>
                <w:color w:val="auto"/>
              </w:rPr>
            </w:pPr>
            <w:r>
              <w:rPr>
                <w:rFonts w:ascii="Arial" w:cs="Arial" w:eastAsia="Arial" w:hAnsi="Arial"/>
                <w:sz w:val="17"/>
                <w:szCs w:val="17"/>
                <w:color w:val="0000FF"/>
              </w:rPr>
              <w:t>and Jane</w:t>
            </w:r>
          </w:p>
        </w:tc>
        <w:tc>
          <w:tcPr>
            <w:tcW w:w="0" w:type="dxa"/>
            <w:vAlign w:val="bottom"/>
          </w:tcPr>
          <w:p>
            <w:pPr>
              <w:spacing w:after="0"/>
              <w:rPr>
                <w:sz w:val="1"/>
                <w:szCs w:val="1"/>
                <w:color w:val="auto"/>
              </w:rPr>
            </w:pPr>
          </w:p>
        </w:tc>
      </w:tr>
      <w:tr>
        <w:trPr>
          <w:trHeight w:val="114"/>
        </w:trPr>
        <w:tc>
          <w:tcPr>
            <w:tcW w:w="2760" w:type="dxa"/>
            <w:vAlign w:val="bottom"/>
            <w:vMerge w:val="continue"/>
          </w:tcPr>
          <w:p>
            <w:pPr>
              <w:spacing w:after="0"/>
              <w:rPr>
                <w:sz w:val="9"/>
                <w:szCs w:val="9"/>
                <w:color w:val="auto"/>
              </w:rPr>
            </w:pPr>
          </w:p>
        </w:tc>
        <w:tc>
          <w:tcPr>
            <w:tcW w:w="15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800" w:type="dxa"/>
            <w:vAlign w:val="bottom"/>
            <w:vMerge w:val="restart"/>
          </w:tcPr>
          <w:p>
            <w:pPr>
              <w:ind w:left="80"/>
              <w:spacing w:after="0"/>
              <w:rPr>
                <w:sz w:val="20"/>
                <w:szCs w:val="20"/>
                <w:color w:val="auto"/>
              </w:rPr>
            </w:pPr>
            <w:r>
              <w:rPr>
                <w:rFonts w:ascii="Arial" w:cs="Arial" w:eastAsia="Arial" w:hAnsi="Arial"/>
                <w:sz w:val="17"/>
                <w:szCs w:val="17"/>
                <w:color w:val="0000FF"/>
              </w:rPr>
              <w:t>R.</w:t>
            </w:r>
          </w:p>
        </w:tc>
        <w:tc>
          <w:tcPr>
            <w:tcW w:w="0" w:type="dxa"/>
            <w:vAlign w:val="bottom"/>
          </w:tcPr>
          <w:p>
            <w:pPr>
              <w:spacing w:after="0"/>
              <w:rPr>
                <w:sz w:val="1"/>
                <w:szCs w:val="1"/>
                <w:color w:val="auto"/>
              </w:rPr>
            </w:pPr>
          </w:p>
        </w:tc>
      </w:tr>
      <w:tr>
        <w:trPr>
          <w:trHeight w:val="107"/>
        </w:trPr>
        <w:tc>
          <w:tcPr>
            <w:tcW w:w="27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680"/>
        <w:spacing w:after="0"/>
        <w:rPr>
          <w:sz w:val="20"/>
          <w:szCs w:val="20"/>
          <w:color w:val="auto"/>
        </w:rPr>
      </w:pPr>
      <w:r>
        <w:rPr>
          <w:rFonts w:ascii="Arial" w:cs="Arial" w:eastAsia="Arial" w:hAnsi="Arial"/>
          <w:sz w:val="17"/>
          <w:szCs w:val="17"/>
          <w:color w:val="0000FF"/>
        </w:rPr>
        <w:t>Schorr</w:t>
      </w:r>
    </w:p>
    <w:p>
      <w:pPr>
        <w:spacing w:after="0" w:line="19" w:lineRule="exact"/>
        <w:rPr>
          <w:sz w:val="24"/>
          <w:szCs w:val="24"/>
          <w:color w:val="auto"/>
        </w:rPr>
      </w:pPr>
    </w:p>
    <w:p>
      <w:pPr>
        <w:ind w:left="10680"/>
        <w:spacing w:after="0"/>
        <w:rPr>
          <w:sz w:val="20"/>
          <w:szCs w:val="20"/>
          <w:color w:val="auto"/>
        </w:rPr>
      </w:pPr>
      <w:r>
        <w:rPr>
          <w:rFonts w:ascii="Arial" w:cs="Arial" w:eastAsia="Arial" w:hAnsi="Arial"/>
          <w:sz w:val="17"/>
          <w:szCs w:val="17"/>
          <w:color w:val="0000FF"/>
        </w:rPr>
        <w:t>Living</w:t>
      </w:r>
    </w:p>
    <w:p>
      <w:pPr>
        <w:spacing w:after="0" w:line="19" w:lineRule="exact"/>
        <w:rPr>
          <w:sz w:val="24"/>
          <w:szCs w:val="24"/>
          <w:color w:val="auto"/>
        </w:rPr>
      </w:pPr>
    </w:p>
    <w:p>
      <w:pPr>
        <w:ind w:left="10680"/>
        <w:spacing w:after="0"/>
        <w:rPr>
          <w:sz w:val="20"/>
          <w:szCs w:val="20"/>
          <w:color w:val="auto"/>
        </w:rPr>
      </w:pPr>
      <w:r>
        <w:rPr>
          <w:rFonts w:ascii="Arial" w:cs="Arial" w:eastAsia="Arial" w:hAnsi="Arial"/>
          <w:sz w:val="17"/>
          <w:szCs w:val="17"/>
          <w:color w:val="0000FF"/>
        </w:rPr>
        <w:t>Trust</w:t>
      </w:r>
    </w:p>
    <w:p>
      <w:pPr>
        <w:spacing w:after="0" w:line="16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Options</w:t>
            </w:r>
          </w:p>
        </w:tc>
        <w:tc>
          <w:tcPr>
            <w:tcW w:w="800" w:type="dxa"/>
            <w:vAlign w:val="bottom"/>
            <w:vMerge w:val="restart"/>
          </w:tcPr>
          <w:p>
            <w:pPr>
              <w:jc w:val="center"/>
              <w:ind w:righ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15.4</w:t>
            </w:r>
          </w:p>
        </w:tc>
        <w:tc>
          <w:tcPr>
            <w:tcW w:w="1140" w:type="dxa"/>
            <w:vAlign w:val="bottom"/>
            <w:vMerge w:val="restart"/>
          </w:tcPr>
          <w:p>
            <w:pPr>
              <w:jc w:val="right"/>
              <w:ind w:right="197"/>
              <w:spacing w:after="0"/>
              <w:rPr>
                <w:sz w:val="20"/>
                <w:szCs w:val="20"/>
                <w:color w:val="auto"/>
              </w:rPr>
            </w:pPr>
            <w:r>
              <w:rPr>
                <w:rFonts w:ascii="Arial" w:cs="Arial" w:eastAsia="Arial" w:hAnsi="Arial"/>
                <w:sz w:val="13"/>
                <w:szCs w:val="13"/>
                <w:color w:val="0000FF"/>
              </w:rPr>
              <w:t>08/06/2010</w:t>
            </w:r>
          </w:p>
        </w:tc>
        <w:tc>
          <w:tcPr>
            <w:tcW w:w="1120" w:type="dxa"/>
            <w:vAlign w:val="bottom"/>
          </w:tcPr>
          <w:p>
            <w:pPr>
              <w:spacing w:after="0"/>
              <w:rPr>
                <w:sz w:val="12"/>
                <w:szCs w:val="12"/>
                <w:color w:val="auto"/>
              </w:rPr>
            </w:pPr>
          </w:p>
        </w:tc>
        <w:tc>
          <w:tcPr>
            <w:tcW w:w="84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820" w:type="dxa"/>
            <w:vAlign w:val="bottom"/>
            <w:vMerge w:val="restart"/>
          </w:tcPr>
          <w:p>
            <w:pPr>
              <w:ind w:left="380"/>
              <w:spacing w:after="0"/>
              <w:rPr>
                <w:sz w:val="20"/>
                <w:szCs w:val="20"/>
                <w:color w:val="auto"/>
              </w:rPr>
            </w:pPr>
            <w:r>
              <w:rPr>
                <w:rFonts w:ascii="Arial" w:cs="Arial" w:eastAsia="Arial" w:hAnsi="Arial"/>
                <w:sz w:val="13"/>
                <w:szCs w:val="13"/>
                <w:color w:val="0000FF"/>
              </w:rPr>
              <w:t>50,000</w:t>
            </w:r>
          </w:p>
        </w:tc>
        <w:tc>
          <w:tcPr>
            <w:tcW w:w="820" w:type="dxa"/>
            <w:vAlign w:val="bottom"/>
          </w:tcPr>
          <w:p>
            <w:pPr>
              <w:ind w:left="340"/>
              <w:spacing w:after="0"/>
              <w:rPr>
                <w:sz w:val="20"/>
                <w:szCs w:val="20"/>
                <w:color w:val="auto"/>
              </w:rPr>
            </w:pPr>
            <w:r>
              <w:rPr>
                <w:rFonts w:ascii="Arial" w:cs="Arial" w:eastAsia="Arial" w:hAnsi="Arial"/>
                <w:sz w:val="11"/>
                <w:szCs w:val="11"/>
                <w:color w:val="008000"/>
              </w:rPr>
              <w:t>(2)</w:t>
            </w: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03/25/2013</w:t>
            </w:r>
          </w:p>
        </w:tc>
        <w:tc>
          <w:tcPr>
            <w:tcW w:w="700" w:type="dxa"/>
            <w:vAlign w:val="bottom"/>
          </w:tcPr>
          <w:p>
            <w:pPr>
              <w:jc w:val="center"/>
              <w:ind w:right="16"/>
              <w:spacing w:after="0" w:line="148" w:lineRule="exact"/>
              <w:rPr>
                <w:sz w:val="20"/>
                <w:szCs w:val="20"/>
                <w:color w:val="auto"/>
              </w:rPr>
            </w:pPr>
            <w:r>
              <w:rPr>
                <w:rFonts w:ascii="Arial" w:cs="Arial" w:eastAsia="Arial" w:hAnsi="Arial"/>
                <w:sz w:val="13"/>
                <w:szCs w:val="13"/>
                <w:color w:val="0000FF"/>
                <w:w w:val="93"/>
              </w:rPr>
              <w:t>Stock,</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50,000</w:t>
            </w:r>
          </w:p>
        </w:tc>
        <w:tc>
          <w:tcPr>
            <w:tcW w:w="72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60" w:type="dxa"/>
            <w:vAlign w:val="bottom"/>
            <w:vMerge w:val="restart"/>
          </w:tcPr>
          <w:p>
            <w:pPr>
              <w:jc w:val="right"/>
              <w:ind w:right="378"/>
              <w:spacing w:after="0"/>
              <w:rPr>
                <w:sz w:val="20"/>
                <w:szCs w:val="20"/>
                <w:color w:val="auto"/>
              </w:rPr>
            </w:pPr>
            <w:r>
              <w:rPr>
                <w:rFonts w:ascii="Arial" w:cs="Arial" w:eastAsia="Arial" w:hAnsi="Arial"/>
                <w:sz w:val="13"/>
                <w:szCs w:val="13"/>
                <w:color w:val="0000FF"/>
              </w:rPr>
              <w:t>0</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tcPr>
          <w:p>
            <w:pPr>
              <w:ind w:left="60"/>
              <w:spacing w:after="0" w:line="148"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jc w:val="center"/>
              <w:ind w:right="16"/>
              <w:spacing w:after="0"/>
              <w:rPr>
                <w:sz w:val="20"/>
                <w:szCs w:val="20"/>
                <w:color w:val="auto"/>
              </w:rPr>
            </w:pPr>
            <w:r>
              <w:rPr>
                <w:rFonts w:ascii="Arial" w:cs="Arial" w:eastAsia="Arial" w:hAnsi="Arial"/>
                <w:sz w:val="13"/>
                <w:szCs w:val="13"/>
                <w:color w:val="0000FF"/>
                <w:w w:val="92"/>
              </w:rPr>
              <w:t>$0.01</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Options</w:t>
            </w:r>
          </w:p>
        </w:tc>
        <w:tc>
          <w:tcPr>
            <w:tcW w:w="800" w:type="dxa"/>
            <w:vAlign w:val="bottom"/>
            <w:vMerge w:val="restart"/>
          </w:tcPr>
          <w:p>
            <w:pPr>
              <w:jc w:val="center"/>
              <w:ind w:righ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47.12</w:t>
            </w:r>
          </w:p>
        </w:tc>
        <w:tc>
          <w:tcPr>
            <w:tcW w:w="1140" w:type="dxa"/>
            <w:vAlign w:val="bottom"/>
            <w:vMerge w:val="restart"/>
          </w:tcPr>
          <w:p>
            <w:pPr>
              <w:jc w:val="right"/>
              <w:ind w:right="197"/>
              <w:spacing w:after="0"/>
              <w:rPr>
                <w:sz w:val="20"/>
                <w:szCs w:val="20"/>
                <w:color w:val="auto"/>
              </w:rPr>
            </w:pPr>
            <w:r>
              <w:rPr>
                <w:rFonts w:ascii="Arial" w:cs="Arial" w:eastAsia="Arial" w:hAnsi="Arial"/>
                <w:sz w:val="13"/>
                <w:szCs w:val="13"/>
                <w:color w:val="0000FF"/>
              </w:rPr>
              <w:t>08/06/2010</w:t>
            </w:r>
          </w:p>
        </w:tc>
        <w:tc>
          <w:tcPr>
            <w:tcW w:w="1120" w:type="dxa"/>
            <w:vAlign w:val="bottom"/>
          </w:tcPr>
          <w:p>
            <w:pPr>
              <w:spacing w:after="0"/>
              <w:rPr>
                <w:sz w:val="12"/>
                <w:szCs w:val="12"/>
                <w:color w:val="auto"/>
              </w:rPr>
            </w:pPr>
          </w:p>
        </w:tc>
        <w:tc>
          <w:tcPr>
            <w:tcW w:w="84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820" w:type="dxa"/>
            <w:vAlign w:val="bottom"/>
            <w:vMerge w:val="restart"/>
          </w:tcPr>
          <w:p>
            <w:pPr>
              <w:ind w:left="380"/>
              <w:spacing w:after="0"/>
              <w:rPr>
                <w:sz w:val="20"/>
                <w:szCs w:val="20"/>
                <w:color w:val="auto"/>
              </w:rPr>
            </w:pPr>
            <w:r>
              <w:rPr>
                <w:rFonts w:ascii="Arial" w:cs="Arial" w:eastAsia="Arial" w:hAnsi="Arial"/>
                <w:sz w:val="13"/>
                <w:szCs w:val="13"/>
                <w:color w:val="0000FF"/>
              </w:rPr>
              <w:t>50,000</w:t>
            </w:r>
          </w:p>
        </w:tc>
        <w:tc>
          <w:tcPr>
            <w:tcW w:w="820" w:type="dxa"/>
            <w:vAlign w:val="bottom"/>
          </w:tcPr>
          <w:p>
            <w:pPr>
              <w:ind w:left="340"/>
              <w:spacing w:after="0"/>
              <w:rPr>
                <w:sz w:val="20"/>
                <w:szCs w:val="20"/>
                <w:color w:val="auto"/>
              </w:rPr>
            </w:pPr>
            <w:r>
              <w:rPr>
                <w:rFonts w:ascii="Arial" w:cs="Arial" w:eastAsia="Arial" w:hAnsi="Arial"/>
                <w:sz w:val="11"/>
                <w:szCs w:val="11"/>
                <w:color w:val="008000"/>
              </w:rPr>
              <w:t>(3)</w:t>
            </w: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05/06/2019</w:t>
            </w:r>
          </w:p>
        </w:tc>
        <w:tc>
          <w:tcPr>
            <w:tcW w:w="700" w:type="dxa"/>
            <w:vAlign w:val="bottom"/>
          </w:tcPr>
          <w:p>
            <w:pPr>
              <w:jc w:val="center"/>
              <w:ind w:right="16"/>
              <w:spacing w:after="0" w:line="148" w:lineRule="exact"/>
              <w:rPr>
                <w:sz w:val="20"/>
                <w:szCs w:val="20"/>
                <w:color w:val="auto"/>
              </w:rPr>
            </w:pPr>
            <w:r>
              <w:rPr>
                <w:rFonts w:ascii="Arial" w:cs="Arial" w:eastAsia="Arial" w:hAnsi="Arial"/>
                <w:sz w:val="13"/>
                <w:szCs w:val="13"/>
                <w:color w:val="0000FF"/>
                <w:w w:val="93"/>
              </w:rPr>
              <w:t>Stock,</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50,000</w:t>
            </w:r>
          </w:p>
        </w:tc>
        <w:tc>
          <w:tcPr>
            <w:tcW w:w="72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60" w:type="dxa"/>
            <w:vAlign w:val="bottom"/>
            <w:vMerge w:val="restart"/>
          </w:tcPr>
          <w:p>
            <w:pPr>
              <w:jc w:val="right"/>
              <w:ind w:right="198"/>
              <w:spacing w:after="0"/>
              <w:rPr>
                <w:sz w:val="20"/>
                <w:szCs w:val="20"/>
                <w:color w:val="auto"/>
              </w:rPr>
            </w:pPr>
            <w:r>
              <w:rPr>
                <w:rFonts w:ascii="Arial" w:cs="Arial" w:eastAsia="Arial" w:hAnsi="Arial"/>
                <w:sz w:val="13"/>
                <w:szCs w:val="13"/>
                <w:color w:val="0000FF"/>
              </w:rPr>
              <w:t>450,000</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tcPr>
          <w:p>
            <w:pPr>
              <w:ind w:left="60"/>
              <w:spacing w:after="0" w:line="148"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jc w:val="center"/>
              <w:ind w:right="16"/>
              <w:spacing w:after="0"/>
              <w:rPr>
                <w:sz w:val="20"/>
                <w:szCs w:val="20"/>
                <w:color w:val="auto"/>
              </w:rPr>
            </w:pPr>
            <w:r>
              <w:rPr>
                <w:rFonts w:ascii="Arial" w:cs="Arial" w:eastAsia="Arial" w:hAnsi="Arial"/>
                <w:sz w:val="13"/>
                <w:szCs w:val="13"/>
                <w:color w:val="0000FF"/>
                <w:w w:val="92"/>
              </w:rPr>
              <w:t>$0.01</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weighted average price of multiple transactions with a range of prices between $89.00 and $89.21. The reporting person, upon request by the staff of the SEC, Wynn Resorts, Limited or any security holder of Wynn Resorts, Limited, undertakes to provide further information regarding the number of securities sold at each separate price.</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original grant of 200,000 options vested in four equal installments on March 25, 2004; March 25, 2005; March 25, 2006; and March 25, 2007.</w:t>
      </w:r>
    </w:p>
    <w:p>
      <w:pPr>
        <w:spacing w:after="0" w:line="51" w:lineRule="exact"/>
        <w:rPr>
          <w:rFonts w:ascii="Arial" w:cs="Arial" w:eastAsia="Arial" w:hAnsi="Arial"/>
          <w:sz w:val="13"/>
          <w:szCs w:val="13"/>
          <w:color w:val="008000"/>
        </w:rPr>
      </w:pPr>
    </w:p>
    <w:p>
      <w:pPr>
        <w:ind w:left="40" w:right="3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original grant of 500,000 options vest 10% per year on each anniversary of the date of grant (May 6, 2009); provided, that if the reporting person ceases to be an employee of the Company, any options that are unvested at such time will be forfeited.</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Kevin Tourek,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08/06/2010</w:t>
            </w:r>
          </w:p>
        </w:tc>
        <w:tc>
          <w:tcPr>
            <w:tcW w:w="0" w:type="dxa"/>
            <w:vAlign w:val="bottom"/>
          </w:tcPr>
          <w:p>
            <w:pPr>
              <w:spacing w:after="0"/>
              <w:rPr>
                <w:sz w:val="1"/>
                <w:szCs w:val="1"/>
                <w:color w:val="auto"/>
              </w:rPr>
            </w:pPr>
          </w:p>
        </w:tc>
      </w:tr>
      <w:tr>
        <w:trPr>
          <w:trHeight w:val="92"/>
        </w:trPr>
        <w:tc>
          <w:tcPr>
            <w:tcW w:w="208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 for Marc D. Schorr</w:t>
            </w:r>
          </w:p>
        </w:tc>
        <w:tc>
          <w:tcPr>
            <w:tcW w:w="2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6419"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2019-12-18T01:48:06Z</dcterms:created>
  <dcterms:modified xsi:type="dcterms:W3CDTF">2019-12-18T01:48:06Z</dcterms:modified>
</cp:coreProperties>
</file>