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2040" w:hanging="452"/>
        <w:spacing w:after="0" w:line="438"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2008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65"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7"/>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84"/>
        </w:trPr>
        <w:tc>
          <w:tcPr>
            <w:tcW w:w="2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9460" w:type="dxa"/>
            <w:vAlign w:val="bottom"/>
          </w:tcPr>
          <w:p>
            <w:pPr>
              <w:ind w:left="1780"/>
              <w:spacing w:after="0" w:line="207" w:lineRule="exact"/>
              <w:rPr>
                <w:sz w:val="20"/>
                <w:szCs w:val="20"/>
                <w:color w:val="auto"/>
              </w:rPr>
            </w:pPr>
            <w:r>
              <w:rPr>
                <w:rFonts w:ascii="Arial" w:cs="Arial" w:eastAsia="Arial" w:hAnsi="Arial"/>
                <w:sz w:val="18"/>
                <w:szCs w:val="18"/>
                <w:color w:val="auto"/>
                <w:w w:val="96"/>
              </w:rPr>
              <w:t xml:space="preserve">Large accelerated filer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Accelerated filer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Non-accelerated filer </w:t>
            </w:r>
            <w:r>
              <w:rPr>
                <w:rFonts w:ascii="MS PGothic" w:cs="MS PGothic" w:eastAsia="MS PGothic" w:hAnsi="MS PGothic"/>
                <w:sz w:val="18"/>
                <w:szCs w:val="18"/>
                <w:color w:val="auto"/>
                <w:highlight w:val="black"/>
                <w:w w:val="96"/>
              </w:rPr>
              <w:t>☒</w:t>
            </w:r>
            <w:r>
              <w:rPr>
                <w:rFonts w:ascii="Arial" w:cs="Arial" w:eastAsia="Arial" w:hAnsi="Arial"/>
                <w:sz w:val="18"/>
                <w:szCs w:val="18"/>
                <w:color w:val="auto"/>
                <w:w w:val="96"/>
              </w:rPr>
              <w:t xml:space="preserve">  Smaller reporting company</w:t>
            </w:r>
          </w:p>
        </w:tc>
        <w:tc>
          <w:tcPr>
            <w:tcW w:w="19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9460" w:type="dxa"/>
            <w:vAlign w:val="bottom"/>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Rule12b-2 of the Exchange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19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58"/>
        </w:trPr>
        <w:tc>
          <w:tcPr>
            <w:tcW w:w="9460" w:type="dxa"/>
            <w:vAlign w:val="bottom"/>
          </w:tcPr>
          <w:p>
            <w:pPr>
              <w:ind w:left="460"/>
              <w:spacing w:after="0"/>
              <w:rPr>
                <w:sz w:val="20"/>
                <w:szCs w:val="20"/>
                <w:color w:val="auto"/>
              </w:rPr>
            </w:pPr>
            <w:r>
              <w:rPr>
                <w:rFonts w:ascii="Arial" w:cs="Arial" w:eastAsia="Arial" w:hAnsi="Arial"/>
                <w:sz w:val="18"/>
                <w:szCs w:val="18"/>
                <w:color w:val="auto"/>
                <w:w w:val="91"/>
              </w:rPr>
              <w:t>Indicate the number of shares outstanding of each of the issuer’s classes of common stock, as of the latest practicable date.</w:t>
            </w:r>
          </w:p>
        </w:tc>
        <w:tc>
          <w:tcPr>
            <w:tcW w:w="1960" w:type="dxa"/>
            <w:vAlign w:val="bottom"/>
          </w:tcPr>
          <w:p>
            <w:pPr>
              <w:spacing w:after="0"/>
              <w:rPr>
                <w:sz w:val="24"/>
                <w:szCs w:val="24"/>
                <w:color w:val="auto"/>
              </w:rPr>
            </w:pPr>
          </w:p>
        </w:tc>
      </w:tr>
      <w:tr>
        <w:trPr>
          <w:trHeight w:val="378"/>
        </w:trPr>
        <w:tc>
          <w:tcPr>
            <w:tcW w:w="9460" w:type="dxa"/>
            <w:vAlign w:val="bottom"/>
          </w:tcPr>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August 8, 2008.</w:t>
            </w:r>
          </w:p>
        </w:tc>
        <w:tc>
          <w:tcPr>
            <w:tcW w:w="1960" w:type="dxa"/>
            <w:vAlign w:val="bottom"/>
          </w:tcPr>
          <w:p>
            <w:pPr>
              <w:spacing w:after="0"/>
              <w:rPr>
                <w:sz w:val="24"/>
                <w:szCs w:val="24"/>
                <w:color w:val="auto"/>
              </w:rPr>
            </w:pPr>
          </w:p>
        </w:tc>
      </w:tr>
      <w:tr>
        <w:trPr>
          <w:trHeight w:val="191"/>
        </w:trPr>
        <w:tc>
          <w:tcPr>
            <w:tcW w:w="9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r>
      <w:tr>
        <w:trPr>
          <w:trHeight w:val="21"/>
        </w:trPr>
        <w:tc>
          <w:tcPr>
            <w:tcW w:w="9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gridSpan w:val="14"/>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980" w:type="dxa"/>
            <w:vAlign w:val="bottom"/>
          </w:tcPr>
          <w:p>
            <w:pPr>
              <w:spacing w:after="0"/>
              <w:rPr>
                <w:sz w:val="24"/>
                <w:szCs w:val="24"/>
                <w:color w:val="auto"/>
              </w:rPr>
            </w:pPr>
          </w:p>
        </w:tc>
      </w:tr>
      <w:tr>
        <w:trPr>
          <w:trHeight w:val="286"/>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June 30, 2008 and December 31, 2007</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(unaudited) – Three and six months ended June 30, 2008 and 2007</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 (unaudited) – Six months ended June 30, 2008 and 2007</w:t>
              </w:r>
            </w:hyperlink>
          </w:p>
        </w:tc>
        <w:tc>
          <w:tcPr>
            <w:tcW w:w="6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10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Management’s Discussion and Analysis of Financial Condition and Results of Operations</w:t>
              </w:r>
            </w:hyperlink>
          </w:p>
        </w:tc>
        <w:tc>
          <w:tcPr>
            <w:tcW w:w="324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Quantitative and Qualitative Disclosures About Market Risk</w:t>
              </w:r>
            </w:hyperlink>
          </w:p>
        </w:tc>
        <w:tc>
          <w:tcPr>
            <w:tcW w:w="528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43"/>
        </w:trPr>
        <w:tc>
          <w:tcPr>
            <w:tcW w:w="6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782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r>
      <w:tr>
        <w:trPr>
          <w:trHeight w:val="286"/>
        </w:trPr>
        <w:tc>
          <w:tcPr>
            <w:tcW w:w="620" w:type="dxa"/>
            <w:vAlign w:val="bottom"/>
          </w:tcPr>
          <w:p>
            <w:pPr>
              <w:spacing w:after="0"/>
              <w:rPr>
                <w:sz w:val="20"/>
                <w:szCs w:val="20"/>
                <w:color w:val="auto"/>
              </w:rPr>
            </w:pPr>
            <w:r>
              <w:rPr>
                <w:rFonts w:ascii="Arial" w:cs="Arial" w:eastAsia="Arial" w:hAnsi="Arial"/>
                <w:sz w:val="18"/>
                <w:szCs w:val="18"/>
                <w:color w:val="auto"/>
              </w:rPr>
              <w:t>Item IA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530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90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580" w:type="dxa"/>
            <w:vAlign w:val="bottom"/>
            <w:tcBorders>
              <w:top w:val="single" w:sz="8" w:color="0000EE"/>
            </w:tcBorders>
            <w:gridSpan w:val="2"/>
          </w:tcPr>
          <w:p>
            <w:pPr>
              <w:spacing w:after="0"/>
              <w:rPr>
                <w:sz w:val="24"/>
                <w:szCs w:val="24"/>
                <w:color w:val="auto"/>
              </w:rPr>
            </w:pPr>
          </w:p>
        </w:tc>
        <w:tc>
          <w:tcPr>
            <w:tcW w:w="896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0" w:type="dxa"/>
            <w:vAlign w:val="bottom"/>
            <w:gridSpan w:val="8"/>
          </w:tcPr>
          <w:p>
            <w:pPr>
              <w:jc w:val="right"/>
              <w:ind w:right="32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94,768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241,829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91,379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3,493,003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3,031,403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37,818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83,579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4,001,510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3,647,256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10,670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82,495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247,492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2,315,000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1,954,084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2,645,800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2,272,236</w:t>
            </w: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1,466,328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1,461,949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(110,618)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1,355,710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1,375,020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4,001,510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3,647,256</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jc w:val="right"/>
              <w:ind w:right="1812"/>
              <w:spacing w:after="0"/>
              <w:rPr>
                <w:sz w:val="20"/>
                <w:szCs w:val="20"/>
                <w:color w:val="auto"/>
              </w:rPr>
            </w:pPr>
            <w:r>
              <w:rPr>
                <w:rFonts w:ascii="Arial" w:cs="Arial" w:eastAsia="Arial" w:hAnsi="Arial"/>
                <w:sz w:val="18"/>
                <w:szCs w:val="18"/>
                <w:color w:val="auto"/>
              </w:rPr>
              <w:t>3</w:t>
            </w: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6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7"/>
              </w:rPr>
              <w:t>Three months ended</w:t>
            </w: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Casino</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120,664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159,388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$245,798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72,140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74,449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84,295</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82,143</w:t>
            </w:r>
          </w:p>
        </w:tc>
        <w:tc>
          <w:tcPr>
            <w:tcW w:w="680" w:type="dxa"/>
            <w:vAlign w:val="bottom"/>
          </w:tcPr>
          <w:p>
            <w:pPr>
              <w:jc w:val="right"/>
              <w:spacing w:after="0"/>
              <w:rPr>
                <w:sz w:val="20"/>
                <w:szCs w:val="20"/>
                <w:color w:val="auto"/>
              </w:rPr>
            </w:pPr>
            <w:r>
              <w:rPr>
                <w:rFonts w:ascii="Arial" w:cs="Arial" w:eastAsia="Arial" w:hAnsi="Arial"/>
                <w:sz w:val="18"/>
                <w:szCs w:val="18"/>
                <w:color w:val="auto"/>
              </w:rPr>
              <w:t>161,480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54,610</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109,317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332,561</w:t>
            </w: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370,590</w:t>
            </w:r>
          </w:p>
        </w:tc>
        <w:tc>
          <w:tcPr>
            <w:tcW w:w="680" w:type="dxa"/>
            <w:vAlign w:val="bottom"/>
          </w:tcPr>
          <w:p>
            <w:pPr>
              <w:jc w:val="right"/>
              <w:spacing w:after="0"/>
              <w:rPr>
                <w:sz w:val="20"/>
                <w:szCs w:val="20"/>
                <w:color w:val="auto"/>
              </w:rPr>
            </w:pPr>
            <w:r>
              <w:rPr>
                <w:rFonts w:ascii="Arial" w:cs="Arial" w:eastAsia="Arial" w:hAnsi="Arial"/>
                <w:sz w:val="18"/>
                <w:szCs w:val="18"/>
                <w:color w:val="auto"/>
              </w:rPr>
              <w:t>659,298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738,908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(37,093)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(35,409)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(76,229)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(72,793)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2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295,468</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335,181</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583,069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666,115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Casino</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61,281</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65,116</w:t>
            </w:r>
          </w:p>
        </w:tc>
        <w:tc>
          <w:tcPr>
            <w:tcW w:w="680" w:type="dxa"/>
            <w:vAlign w:val="bottom"/>
          </w:tcPr>
          <w:p>
            <w:pPr>
              <w:jc w:val="right"/>
              <w:spacing w:after="0"/>
              <w:rPr>
                <w:sz w:val="20"/>
                <w:szCs w:val="20"/>
                <w:color w:val="auto"/>
              </w:rPr>
            </w:pPr>
            <w:r>
              <w:rPr>
                <w:rFonts w:ascii="Arial" w:cs="Arial" w:eastAsia="Arial" w:hAnsi="Arial"/>
                <w:sz w:val="18"/>
                <w:szCs w:val="18"/>
                <w:color w:val="auto"/>
              </w:rPr>
              <w:t>129,831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50,575</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50,430</w:t>
            </w:r>
          </w:p>
        </w:tc>
        <w:tc>
          <w:tcPr>
            <w:tcW w:w="680" w:type="dxa"/>
            <w:vAlign w:val="bottom"/>
          </w:tcPr>
          <w:p>
            <w:pPr>
              <w:jc w:val="right"/>
              <w:spacing w:after="0"/>
              <w:rPr>
                <w:sz w:val="20"/>
                <w:szCs w:val="20"/>
                <w:color w:val="auto"/>
              </w:rPr>
            </w:pPr>
            <w:r>
              <w:rPr>
                <w:rFonts w:ascii="Arial" w:cs="Arial" w:eastAsia="Arial" w:hAnsi="Arial"/>
                <w:sz w:val="18"/>
                <w:szCs w:val="18"/>
                <w:color w:val="auto"/>
              </w:rPr>
              <w:t>97,435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35,963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37,022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52,098</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49,648</w:t>
            </w:r>
          </w:p>
        </w:tc>
        <w:tc>
          <w:tcPr>
            <w:tcW w:w="680" w:type="dxa"/>
            <w:vAlign w:val="bottom"/>
          </w:tcPr>
          <w:p>
            <w:pPr>
              <w:jc w:val="right"/>
              <w:spacing w:after="0"/>
              <w:rPr>
                <w:sz w:val="20"/>
                <w:szCs w:val="20"/>
                <w:color w:val="auto"/>
              </w:rPr>
            </w:pPr>
            <w:r>
              <w:rPr>
                <w:rFonts w:ascii="Arial" w:cs="Arial" w:eastAsia="Arial" w:hAnsi="Arial"/>
                <w:sz w:val="18"/>
                <w:szCs w:val="18"/>
                <w:color w:val="auto"/>
              </w:rPr>
              <w:t>103,055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5,038</w:t>
            </w:r>
          </w:p>
        </w:tc>
        <w:tc>
          <w:tcPr>
            <w:tcW w:w="680" w:type="dxa"/>
            <w:vAlign w:val="bottom"/>
          </w:tcPr>
          <w:p>
            <w:pPr>
              <w:jc w:val="right"/>
              <w:spacing w:after="0"/>
              <w:rPr>
                <w:sz w:val="20"/>
                <w:szCs w:val="20"/>
                <w:color w:val="auto"/>
              </w:rPr>
            </w:pPr>
            <w:r>
              <w:rPr>
                <w:rFonts w:ascii="Arial" w:cs="Arial" w:eastAsia="Arial" w:hAnsi="Arial"/>
                <w:sz w:val="18"/>
                <w:szCs w:val="18"/>
                <w:color w:val="auto"/>
              </w:rPr>
              <w:t>8,745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40,794</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36,517</w:t>
            </w:r>
          </w:p>
        </w:tc>
        <w:tc>
          <w:tcPr>
            <w:tcW w:w="680" w:type="dxa"/>
            <w:vAlign w:val="bottom"/>
          </w:tcPr>
          <w:p>
            <w:pPr>
              <w:jc w:val="right"/>
              <w:spacing w:after="0"/>
              <w:rPr>
                <w:sz w:val="20"/>
                <w:szCs w:val="20"/>
                <w:color w:val="auto"/>
              </w:rPr>
            </w:pPr>
            <w:r>
              <w:rPr>
                <w:rFonts w:ascii="Arial" w:cs="Arial" w:eastAsia="Arial" w:hAnsi="Arial"/>
                <w:sz w:val="18"/>
                <w:szCs w:val="18"/>
                <w:color w:val="auto"/>
              </w:rPr>
              <w:t>80,274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2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275,125</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272,069</w:t>
            </w:r>
          </w:p>
        </w:tc>
        <w:tc>
          <w:tcPr>
            <w:tcW w:w="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571,599</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544,245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63,420</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122,434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3,550</w:t>
            </w:r>
          </w:p>
        </w:tc>
        <w:tc>
          <w:tcPr>
            <w:tcW w:w="680" w:type="dxa"/>
            <w:vAlign w:val="bottom"/>
          </w:tcPr>
          <w:p>
            <w:pPr>
              <w:jc w:val="right"/>
              <w:spacing w:after="0"/>
              <w:rPr>
                <w:sz w:val="20"/>
                <w:szCs w:val="20"/>
                <w:color w:val="auto"/>
              </w:rPr>
            </w:pPr>
            <w:r>
              <w:rPr>
                <w:rFonts w:ascii="Arial" w:cs="Arial" w:eastAsia="Arial" w:hAnsi="Arial"/>
                <w:sz w:val="18"/>
                <w:szCs w:val="18"/>
                <w:color w:val="auto"/>
              </w:rPr>
              <w:t>3,988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(18,135)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(22,027)</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(37,827)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411</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2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(15,221)</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(18,066)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(35,396)</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(39,508)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45,354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 (23,689)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700" w:type="dxa"/>
            <w:vAlign w:val="bottom"/>
            <w:vMerge w:val="restart"/>
          </w:tcPr>
          <w:p>
            <w:pPr>
              <w:jc w:val="right"/>
              <w:ind w:right="159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(23,689)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80,274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21,079</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(6,187)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(34,381)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11,443</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(516,158)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(541,703)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(116,954)</w:t>
            </w: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361,000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360,149</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(83,795)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62,726</w:t>
            </w:r>
          </w:p>
        </w:tc>
        <w:tc>
          <w:tcPr>
            <w:tcW w:w="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develop 240 acres on or near the Las Vegas Strip, including Wynn Las Vegas and Encore at Wynn Las Vegas and related amenities. Wynn Las Vegas opened on April 28, 2005.</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2008, the Company owned the one share that was issued and outstanding. Wynn Capital has no significant net assets or operating activity. Its sole function is to serve as the co-issuer of the first mortgage notes described below. Wynn Las Vegas, LLC and Wynn Capital together are hereinafter referred to as the “Issuers”.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currently constructing Encore at Wynn Las Vegas (“Encore”). Encore is expected to open to the public in December 2008.</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2008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2007.</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2008 and December 31, 2007, approximately 61% and 53% respectively, of the Company’s markers were due from customers residing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foreign countries, primarily in Asia. Business or economic conditions or other significant events in these countries could affect the collectibility of such receivables.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2007</w:t>
            </w:r>
          </w:p>
        </w:tc>
        <w:tc>
          <w:tcPr>
            <w:tcW w:w="420" w:type="dxa"/>
            <w:vAlign w:val="bottom"/>
          </w:tcPr>
          <w:p>
            <w:pPr>
              <w:spacing w:after="0"/>
              <w:rPr>
                <w:sz w:val="12"/>
                <w:szCs w:val="12"/>
                <w:color w:val="auto"/>
              </w:rPr>
            </w:pPr>
          </w:p>
        </w:tc>
        <w:tc>
          <w:tcPr>
            <w:tcW w:w="64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11,984</w:t>
            </w:r>
          </w:p>
        </w:tc>
        <w:tc>
          <w:tcPr>
            <w:tcW w:w="20" w:type="dxa"/>
            <w:vAlign w:val="bottom"/>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Food &amp; beverage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12,285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26,602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25,797</w:t>
            </w:r>
          </w:p>
        </w:tc>
        <w:tc>
          <w:tcPr>
            <w:tcW w:w="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20" w:type="dxa"/>
            <w:vAlign w:val="bottom"/>
          </w:tcPr>
          <w:p>
            <w:pPr>
              <w:spacing w:after="0"/>
              <w:rPr>
                <w:sz w:val="18"/>
                <w:szCs w:val="18"/>
                <w:color w:val="auto"/>
              </w:rPr>
            </w:pPr>
          </w:p>
        </w:tc>
      </w:tr>
      <w:tr>
        <w:trPr>
          <w:trHeight w:val="222"/>
        </w:trPr>
        <w:tc>
          <w:tcPr>
            <w:tcW w:w="6720" w:type="dxa"/>
            <w:vAlign w:val="bottom"/>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20,808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19,763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$ 43,861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41,725</w:t>
            </w:r>
          </w:p>
        </w:tc>
      </w:tr>
      <w:tr>
        <w:trPr>
          <w:trHeight w:val="20"/>
        </w:trPr>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takes place. Advertising cost incurred during development periods are included in pre-opening costs. Once a project is complete, advertising costs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included in general and administrative expenses. For the three months ended June 30, 2008 and 2007, advertising costs totaled approximately $5.4 million and $4.8 million, respectively. For the six months ended June 30, 2008 and 2007, advertising costs totaled approximately $11.9 million and $11.3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September 2006, the Financial Accounting Standards Board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expects to adopt the remaining provisions of SFAS 157 on January 1, 2009. The adoption of this statement did not have a material impact the Company’s consolidated financial statements.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did not have a material impact on the Company’s consolidated financial statements.</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effective for fiscal years beginning after November 15, 2008. SFAS No. 161 is not expected to have a material impact on the Company’s financial position,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paid for the six months ended June 30, 2008 and 2007, respectively, totaled approximately $68.1 million and $53.6 million. Interest capitalized for the six months ended June 30, 2008 and 2007 totaled approximately $34.9 million and $10.6 million, respectively.</w:t>
      </w:r>
    </w:p>
    <w:p>
      <w:pPr>
        <w:spacing w:after="0" w:line="132"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During the six months ended June 30, 2008 and 2007, capital expenditures include an increase of approximately $23.7 million and $35.1 million,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$126,047</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16,866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151,788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(57,020)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94,768</w:t>
            </w:r>
          </w:p>
        </w:tc>
        <w:tc>
          <w:tcPr>
            <w:tcW w:w="260" w:type="dxa"/>
            <w:vAlign w:val="bottom"/>
          </w:tcPr>
          <w:p>
            <w:pPr>
              <w:spacing w:after="0"/>
              <w:rPr>
                <w:sz w:val="19"/>
                <w:szCs w:val="19"/>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603,838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603,838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1,210,956</w:t>
            </w:r>
          </w:p>
        </w:tc>
        <w:tc>
          <w:tcPr>
            <w:tcW w:w="2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1,209,562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684,231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655,754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1,369,278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865,130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3,912,557</w:t>
            </w:r>
          </w:p>
        </w:tc>
        <w:tc>
          <w:tcPr>
            <w:tcW w:w="26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3,378,538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(419,554)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(347,135)</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$ 3,493,003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$ 3,031,403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2008 and December 31, 2007, construction in progress includes costs capitalized in conjunction with Encore.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980" w:type="dxa"/>
            <w:vAlign w:val="bottom"/>
          </w:tcPr>
          <w:p>
            <w:pPr>
              <w:spacing w:after="0"/>
              <w:rPr>
                <w:sz w:val="14"/>
                <w:szCs w:val="14"/>
                <w:color w:val="auto"/>
              </w:rPr>
            </w:pPr>
          </w:p>
        </w:tc>
        <w:tc>
          <w:tcPr>
            <w:tcW w:w="110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0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01"/>
        </w:trPr>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net of</w:t>
            </w:r>
          </w:p>
        </w:tc>
        <w:tc>
          <w:tcPr>
            <w:tcW w:w="2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4"/>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original issue discount of $10,200 and $10,816, respectively</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$ 1,689,800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$ 1,689,184</w:t>
            </w:r>
          </w:p>
        </w:tc>
      </w:tr>
      <w:tr>
        <w:trPr>
          <w:trHeight w:val="208"/>
        </w:trPr>
        <w:tc>
          <w:tcPr>
            <w:tcW w:w="8980" w:type="dxa"/>
            <w:vAlign w:val="bottom"/>
          </w:tcPr>
          <w:p>
            <w:pPr>
              <w:spacing w:after="0"/>
              <w:rPr>
                <w:sz w:val="20"/>
                <w:szCs w:val="20"/>
                <w:color w:val="auto"/>
              </w:rPr>
            </w:pPr>
            <w:r>
              <w:rPr>
                <w:rFonts w:ascii="Arial" w:cs="Arial" w:eastAsia="Arial" w:hAnsi="Arial"/>
                <w:sz w:val="18"/>
                <w:szCs w:val="18"/>
                <w:color w:val="auto"/>
              </w:rPr>
              <w:t>$900 million Revolving Credit Facility; due August 15, 2011;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8980" w:type="dxa"/>
            <w:vAlign w:val="bottom"/>
          </w:tcPr>
          <w:p>
            <w:pPr>
              <w:ind w:left="220"/>
              <w:spacing w:after="0"/>
              <w:rPr>
                <w:sz w:val="20"/>
                <w:szCs w:val="20"/>
                <w:color w:val="auto"/>
              </w:rPr>
            </w:pPr>
            <w:r>
              <w:rPr>
                <w:rFonts w:ascii="Arial" w:cs="Arial" w:eastAsia="Arial" w:hAnsi="Arial"/>
                <w:sz w:val="18"/>
                <w:szCs w:val="18"/>
                <w:color w:val="auto"/>
              </w:rPr>
              <w:t>interest at LIBOR plus 1.625%</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361,000</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2"/>
              </w:rPr>
              <w:t>$225 million Term Loan Facility; $112.5 million due September 30, 2012 with the remaining $112.5 million due August 15,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225,000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40,250</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40,950</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2,316,050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1,955,134</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(1,050)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(1,050)</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$ 2,315,000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$ 1,954,084</w:t>
            </w: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2008, management believes the Company was in compliance with all debt covenants.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August 15, 2005, the Company loaned $80 million to Wynn Resorts who then loaned those funds through its subsidiaries to Wynn Macau, S.A. as part of the financing of Wynn Macau, Wynn Resorts’ casino resort facility in the Macau Special Administrative Region of the People’s Republic of China (“Macau”). Interest accrues at 7.5% per annum and the note matures on August 15, 2012. Included in the balances as of June 30, 2008 and December 31, 2007, was approximately $11.4 and $8.4 million, respectively, of accrued interest receivable. In November 2006, Wynn Macau paid all amounts due to Wynn Resorts. In July 2008, Wynn Resorts paid all amounts due to Wynn Las Vegas.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of June 30, 2008, the Company’s net due to affiliates was primarily comprised of construction payables of approximately $69.8 million, construction retention of approximately $61.1 million, a management fee of approximately $56.1 million (equal to 1.5% of net revenues and payable upon meeting certain leverage ratios specified in the documents governing the Company’s Credit Facilities), and other net amounts receivable from affiliates totaling $21.2 million (including corporate allocations discussed below).</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December 31, 2007, the Company’s net due to affiliates was primarily comprised of construction payables of approximately $65.7 million, construction retention of approximately $41.6 million, a management fee of approximately $47.4 million (equal to 1.5% of net revenues and payable upon meeting certain leverage ratios specified in the documents governing the Company’s Credit Facilities), and other net amounts receivable from affiliates totaling $35.2 million (including corporate allocations discussed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Company settles corporate allocation charges with Wynn Resorts on a periodic basis as discussed in “Amounts Due to Affiliates, Net” above. During the three months ended June 30, 2008 and 2007, approximately $5 million and $5.5 million, respectively, was charged to Wynn Las Vegas for such corporate allocations. During the six months ended June 30, 2008 and 2007, approximately $9 million and $10.8 million, respectively, was charged to Wynn Las Vegas for such corporate allocations. Wynn Resorts maintains corporate offices at Wynn Las Vegas without charge from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household services, construction work and other personal services. The cost of these services is transferred to Wynn Resorts on a periodic basis. Mr. Wynn and these other officers have amounts on deposit with Wynn Resorts to prepay any such items, which deposits are replenished on an ongoing basis as needed. As of June 30, 2008 and December 31, 2007, Wynn Resorts owed Mr. Wynn and the other officers $165,783 and $357,145,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ended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Charges and Other</w:t>
      </w:r>
    </w:p>
    <w:p>
      <w:pPr>
        <w:spacing w:after="0" w:line="1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Property charges and other for the three months ended June 30, 2008 and 2007 were $0.6 million for each period. Property charges and other for the six months ended June 30, 2008 and 2007 were $21.1 million and $1.7 million, respectively. Property charges generally include costs related to the retirement of assets for remodels and asset abandonments. Property charges and other for the six months ended June 30,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their contract. The remaining property charges were related to miscellaneous renovations and abandonments. Property charges for the three months ended June 30, 2007 were related to renovations to portions of the Le Rêve Theater.</w:t>
      </w:r>
    </w:p>
    <w:p>
      <w:pPr>
        <w:spacing w:after="0" w:line="193" w:lineRule="exact"/>
        <w:rPr>
          <w:sz w:val="20"/>
          <w:szCs w:val="20"/>
          <w:color w:val="auto"/>
        </w:rPr>
      </w:pPr>
    </w:p>
    <w:p>
      <w:pPr>
        <w:ind w:right="87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Encore</w:t>
      </w:r>
    </w:p>
    <w:p>
      <w:pPr>
        <w:spacing w:after="0" w:line="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Encore will include a 2,034 all-suite hotel tower, an approximately 72,000 square foot casino, additional convention and meeting space, as well as restaurants, a nightclub, swimming pools, a spa and salon and retail outlets. The Company commenced construction of Encore on April 28, 2006 and expects to open it to the public in December 2008.</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project budget is approximately $2.3 billion for Encore and related capital improvements. The project is being funded from the Company’s existing Credit Facilities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February 27, 2007, the Company entered into a Design Build Architectural, Engineering and Construction Services Agreement (the “Contract”) with Tutor-Saliba Corporation (“Tutor”) for the design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construction of Encore. The Contract sets forth all of the terms and conditions pursuant to which Tutor is designing and constructing Encore. In June 2007, the Company executed the first amendment to the Contract which set the guaranteed maximum price for work under the Contract at $1.3 billion. Subsequent change orders bring the current guaranteed maximum price to $1.4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Through June 30, 2008, the Company incurred approximately $1.5 billion of project costs related to the development and construction of Encore and related capital improvements.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June 30,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2008, the Nevada Supreme Court ruled, in the matter captioned Sparks Nugget, Inc. vs. State ex rel. Department of Taxation,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approximately $5.4 million. As of June 30, 2008,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2008 and December 31, 2007, and for the three and six months ended June 30, 2008 and 2007.</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2008</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62,726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94,768</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63,300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21,035</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241,829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91,379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3,289,374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203,629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3,493,003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11,737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37,818</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79,015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(4,293)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3,746,859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218,863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4,001,510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200" w:type="dxa"/>
            <w:vAlign w:val="bottom"/>
            <w:gridSpan w:val="2"/>
          </w:tcPr>
          <w:p>
            <w:pPr>
              <w:ind w:left="11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30,815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10,670</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38,882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20,421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61,458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(106,422)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188,917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82,495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55,824</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191,668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2,275,800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59,525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2,391,149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230,868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2,645,800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1,466,328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1,466,328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(110,618)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(24,535)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(110,618)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1,355,710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(12,005)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7,712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1,355,710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3,746,859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218,863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4,001,510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00" w:type="dxa"/>
            <w:vAlign w:val="bottom"/>
            <w:gridSpan w:val="3"/>
          </w:tcPr>
          <w:p>
            <w:pPr>
              <w:ind w:left="108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146,556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135,094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58,612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19,956</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360,218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88,379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2,825,608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205,795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3,031,403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19,381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41,536</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59,174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5,077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200" w:type="dxa"/>
            <w:vAlign w:val="bottom"/>
            <w:gridSpan w:val="2"/>
          </w:tcPr>
          <w:p>
            <w:pPr>
              <w:ind w:left="110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2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28,811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10,816</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44,516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22,348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88,299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(148,607)</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189,121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191,450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1,914,184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1,954,084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55,618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2,017,103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231,350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2,272,236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1,461,949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1,461,949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earnings (deficit)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(86,929)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(21,972)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1,375,020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(9,442)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1,375,020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00" w:type="dxa"/>
            <w:vAlign w:val="bottom"/>
            <w:gridSpan w:val="2"/>
            <w:shd w:val="clear" w:color="auto" w:fill="CCEEFF"/>
          </w:tcPr>
          <w:p>
            <w:pPr>
              <w:ind w:left="1100"/>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00" w:type="dxa"/>
            <w:vAlign w:val="bottom"/>
            <w:gridSpan w:val="3"/>
          </w:tcPr>
          <w:p>
            <w:pPr>
              <w:ind w:left="108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Issuers</w:t>
            </w:r>
          </w:p>
        </w:tc>
        <w:tc>
          <w:tcPr>
            <w:tcW w:w="2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60" w:type="dxa"/>
            <w:vAlign w:val="bottom"/>
            <w:gridSpan w:val="3"/>
          </w:tcPr>
          <w:p>
            <w:pPr>
              <w:jc w:val="center"/>
              <w:ind w:left="8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120,664</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84,295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332,517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332,561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(37,093)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(37,093)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295,424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295,468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274,415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275,125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20,048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173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(17,711)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(14,970)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173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(15,221)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173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961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40" w:type="dxa"/>
            <w:vAlign w:val="bottom"/>
            <w:gridSpan w:val="4"/>
          </w:tcPr>
          <w:p>
            <w:pPr>
              <w:jc w:val="center"/>
              <w:ind w:left="252"/>
              <w:spacing w:after="0"/>
              <w:rPr>
                <w:sz w:val="20"/>
                <w:szCs w:val="20"/>
                <w:color w:val="auto"/>
              </w:rPr>
            </w:pPr>
            <w:r>
              <w:rPr>
                <w:rFonts w:ascii="Arial" w:cs="Arial" w:eastAsia="Arial" w:hAnsi="Arial"/>
                <w:sz w:val="18"/>
                <w:szCs w:val="18"/>
                <w:color w:val="auto"/>
                <w:w w:val="89"/>
              </w:rPr>
              <w:t>16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Issuers</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159,388</w:t>
            </w:r>
          </w:p>
        </w:tc>
        <w:tc>
          <w:tcPr>
            <w:tcW w:w="3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82,143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370,898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370,590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(35,409)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(35,409)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335,489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335,181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50,307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1,225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271,503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874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308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818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63,168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454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(21,321)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(17,814)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454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(18,066)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454</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818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$245,798</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$245,798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142,703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161,480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109,554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659,535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(237)</w:t>
            </w:r>
          </w:p>
        </w:tc>
        <w:tc>
          <w:tcPr>
            <w:tcW w:w="680" w:type="dxa"/>
            <w:vAlign w:val="bottom"/>
          </w:tcPr>
          <w:p>
            <w:pPr>
              <w:jc w:val="right"/>
              <w:spacing w:after="0"/>
              <w:rPr>
                <w:sz w:val="20"/>
                <w:szCs w:val="20"/>
                <w:color w:val="auto"/>
              </w:rPr>
            </w:pPr>
            <w:r>
              <w:rPr>
                <w:rFonts w:ascii="Arial" w:cs="Arial" w:eastAsia="Arial" w:hAnsi="Arial"/>
                <w:sz w:val="18"/>
                <w:szCs w:val="18"/>
                <w:color w:val="auto"/>
              </w:rPr>
              <w:t>659,298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(76,229)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583,306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(237)</w:t>
            </w:r>
          </w:p>
        </w:tc>
        <w:tc>
          <w:tcPr>
            <w:tcW w:w="680" w:type="dxa"/>
            <w:vAlign w:val="bottom"/>
          </w:tcPr>
          <w:p>
            <w:pPr>
              <w:jc w:val="right"/>
              <w:spacing w:after="0"/>
              <w:rPr>
                <w:sz w:val="20"/>
                <w:szCs w:val="20"/>
                <w:color w:val="auto"/>
              </w:rPr>
            </w:pPr>
            <w:r>
              <w:rPr>
                <w:rFonts w:ascii="Arial" w:cs="Arial" w:eastAsia="Arial" w:hAnsi="Arial"/>
                <w:sz w:val="18"/>
                <w:szCs w:val="18"/>
                <w:color w:val="auto"/>
              </w:rPr>
              <w:t>583,069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129,831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129,831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97,435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103,769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(237)</w:t>
            </w:r>
          </w:p>
        </w:tc>
        <w:tc>
          <w:tcPr>
            <w:tcW w:w="680" w:type="dxa"/>
            <w:vAlign w:val="bottom"/>
          </w:tcPr>
          <w:p>
            <w:pPr>
              <w:jc w:val="right"/>
              <w:spacing w:after="0"/>
              <w:rPr>
                <w:sz w:val="20"/>
                <w:szCs w:val="20"/>
                <w:color w:val="auto"/>
              </w:rPr>
            </w:pPr>
            <w:r>
              <w:rPr>
                <w:rFonts w:ascii="Arial" w:cs="Arial" w:eastAsia="Arial" w:hAnsi="Arial"/>
                <w:sz w:val="18"/>
                <w:szCs w:val="18"/>
                <w:color w:val="auto"/>
              </w:rPr>
              <w:t>103,055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8,745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78,047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570,081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1,755</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(237)</w:t>
            </w:r>
          </w:p>
        </w:tc>
        <w:tc>
          <w:tcPr>
            <w:tcW w:w="680" w:type="dxa"/>
            <w:vAlign w:val="bottom"/>
          </w:tcPr>
          <w:p>
            <w:pPr>
              <w:jc w:val="right"/>
              <w:spacing w:after="0"/>
              <w:rPr>
                <w:sz w:val="20"/>
                <w:szCs w:val="20"/>
                <w:color w:val="auto"/>
              </w:rPr>
            </w:pPr>
            <w:r>
              <w:rPr>
                <w:rFonts w:ascii="Arial" w:cs="Arial" w:eastAsia="Arial" w:hAnsi="Arial"/>
                <w:sz w:val="18"/>
                <w:szCs w:val="18"/>
                <w:color w:val="auto"/>
              </w:rPr>
              <w:t>571,599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237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11,105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20"/>
                <w:szCs w:val="20"/>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2,120</w:t>
            </w:r>
          </w:p>
        </w:tc>
        <w:tc>
          <w:tcPr>
            <w:tcW w:w="5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3,545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(34,794)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(35,396)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(23,689)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443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(23,689)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tcPr>
          <w:p>
            <w:pPr>
              <w:jc w:val="right"/>
              <w:ind w:right="393"/>
              <w:spacing w:after="0"/>
              <w:rPr>
                <w:sz w:val="20"/>
                <w:szCs w:val="20"/>
                <w:color w:val="auto"/>
              </w:rPr>
            </w:pPr>
            <w:r>
              <w:rPr>
                <w:rFonts w:ascii="Arial" w:cs="Arial" w:eastAsia="Arial" w:hAnsi="Arial"/>
                <w:sz w:val="18"/>
                <w:szCs w:val="18"/>
                <w:color w:val="auto"/>
                <w:w w:val="79"/>
              </w:rPr>
              <w:t>18</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5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Issuers</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332,481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147,387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159,490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100,114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739,472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738,908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(72,793)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(72,793)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666,679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666,115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Casino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137,331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38,448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98,968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69,106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102,461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10,022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69,564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542,584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544,245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564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121,977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6,486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(44,949)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(39,051)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(39,508)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82,926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60" w:type="dxa"/>
            <w:vAlign w:val="bottom"/>
            <w:gridSpan w:val="3"/>
          </w:tcPr>
          <w:p>
            <w:pPr>
              <w:jc w:val="right"/>
              <w:ind w:right="373"/>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(23,689)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(2,563)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78,047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2,227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5,369</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30,194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 .</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(6,355)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(34,803)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96,401</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915</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97,759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retentions</w:t>
            </w: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(516,249)</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(516,158)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 .</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(23,462)</w:t>
            </w: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(541,080)</w:t>
            </w:r>
          </w:p>
        </w:tc>
        <w:tc>
          <w:tcPr>
            <w:tcW w:w="18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(541,703)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361,000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360,849</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360,149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(83,830)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146,556</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82,926</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82,926</w:t>
            </w:r>
          </w:p>
        </w:tc>
        <w:tc>
          <w:tcPr>
            <w:tcW w:w="60" w:type="dxa"/>
            <w:vAlign w:val="bottom"/>
          </w:tcPr>
          <w:p>
            <w:pPr>
              <w:spacing w:after="0"/>
              <w:rPr>
                <w:sz w:val="18"/>
                <w:szCs w:val="18"/>
                <w:color w:val="auto"/>
              </w:rPr>
            </w:pPr>
          </w:p>
        </w:tc>
      </w:tr>
      <w:tr>
        <w:trPr>
          <w:trHeight w:val="20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69,564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72,587</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r>
      <w:tr>
        <w:trPr>
          <w:trHeight w:val="208"/>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60" w:type="dxa"/>
            <w:vAlign w:val="bottom"/>
            <w:shd w:val="clear" w:color="auto" w:fill="CCEEFF"/>
          </w:tcPr>
          <w:p>
            <w:pPr>
              <w:spacing w:after="0"/>
              <w:rPr>
                <w:sz w:val="19"/>
                <w:szCs w:val="19"/>
                <w:color w:val="auto"/>
              </w:rPr>
            </w:pPr>
          </w:p>
        </w:tc>
      </w:tr>
      <w:tr>
        <w:trPr>
          <w:trHeight w:val="208"/>
        </w:trPr>
        <w:tc>
          <w:tcPr>
            <w:tcW w:w="5280" w:type="dxa"/>
            <w:vAlign w:val="bottom"/>
          </w:tcPr>
          <w:p>
            <w:pPr>
              <w:ind w:left="44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280" w:type="dxa"/>
            <w:vAlign w:val="bottom"/>
          </w:tcPr>
          <w:p>
            <w:pPr>
              <w:ind w:left="66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2,118</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9"/>
                <w:szCs w:val="19"/>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1,701</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16,399</w:t>
            </w:r>
          </w:p>
        </w:tc>
        <w:tc>
          <w:tcPr>
            <w:tcW w:w="60" w:type="dxa"/>
            <w:vAlign w:val="bottom"/>
            <w:shd w:val="clear" w:color="auto" w:fill="CCEEFF"/>
          </w:tcPr>
          <w:p>
            <w:pPr>
              <w:spacing w:after="0"/>
              <w:rPr>
                <w:sz w:val="18"/>
                <w:szCs w:val="18"/>
                <w:color w:val="auto"/>
              </w:rPr>
            </w:pPr>
          </w:p>
        </w:tc>
      </w:tr>
      <w:tr>
        <w:trPr>
          <w:trHeight w:val="216"/>
        </w:trPr>
        <w:tc>
          <w:tcPr>
            <w:tcW w:w="528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(4,173)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(3,775)</w:t>
            </w:r>
          </w:p>
        </w:tc>
      </w:tr>
      <w:tr>
        <w:trPr>
          <w:trHeight w:val="216"/>
        </w:trPr>
        <w:tc>
          <w:tcPr>
            <w:tcW w:w="5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(20,283)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(20,325)</w:t>
            </w:r>
          </w:p>
        </w:tc>
      </w:tr>
      <w:tr>
        <w:trPr>
          <w:trHeight w:val="223"/>
        </w:trPr>
        <w:tc>
          <w:tcPr>
            <w:tcW w:w="528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1,517</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(265)</w:t>
            </w:r>
          </w:p>
        </w:tc>
      </w:tr>
      <w:tr>
        <w:trPr>
          <w:trHeight w:val="208"/>
        </w:trPr>
        <w:tc>
          <w:tcPr>
            <w:tcW w:w="5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operating</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2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172,562</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172,871</w:t>
            </w:r>
          </w:p>
        </w:tc>
        <w:tc>
          <w:tcPr>
            <w:tcW w:w="60" w:type="dxa"/>
            <w:vAlign w:val="bottom"/>
            <w:shd w:val="clear" w:color="auto" w:fill="CCEEFF"/>
          </w:tcPr>
          <w:p>
            <w:pPr>
              <w:spacing w:after="0"/>
              <w:rPr>
                <w:sz w:val="19"/>
                <w:szCs w:val="19"/>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retention</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(248,168)</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(7,371)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(255,539)</w:t>
            </w: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133,298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23,619</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156,917</w:t>
            </w:r>
          </w:p>
        </w:tc>
        <w:tc>
          <w:tcPr>
            <w:tcW w:w="60" w:type="dxa"/>
            <w:vAlign w:val="bottom"/>
          </w:tcPr>
          <w:p>
            <w:pPr>
              <w:spacing w:after="0"/>
              <w:rPr>
                <w:sz w:val="18"/>
                <w:szCs w:val="18"/>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(16,303)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(4,607)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(20,910)</w:t>
            </w: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17,666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(24,775)</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2,578</w:t>
            </w:r>
          </w:p>
        </w:tc>
        <w:tc>
          <w:tcPr>
            <w:tcW w:w="60" w:type="dxa"/>
            <w:vAlign w:val="bottom"/>
          </w:tcPr>
          <w:p>
            <w:pPr>
              <w:spacing w:after="0"/>
              <w:rPr>
                <w:sz w:val="18"/>
                <w:szCs w:val="18"/>
                <w:color w:val="auto"/>
              </w:rPr>
            </w:pPr>
          </w:p>
        </w:tc>
      </w:tr>
      <w:tr>
        <w:trPr>
          <w:trHeight w:val="27"/>
        </w:trPr>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(113,507)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(116,954)</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(88,892)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(38,859)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(127,751)</w:t>
            </w:r>
          </w:p>
        </w:tc>
      </w:tr>
      <w:tr>
        <w:trPr>
          <w:trHeight w:val="223"/>
        </w:trPr>
        <w:tc>
          <w:tcPr>
            <w:tcW w:w="528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42,000</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9"/>
                <w:szCs w:val="19"/>
                <w:color w:val="auto"/>
              </w:rPr>
            </w:pPr>
          </w:p>
        </w:tc>
      </w:tr>
      <w:tr>
        <w:trPr>
          <w:trHeight w:val="208"/>
        </w:trPr>
        <w:tc>
          <w:tcPr>
            <w:tcW w:w="5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financing</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2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(88,892)</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(85,751)</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(29,837)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(29,834)</w:t>
            </w: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93,825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93,820</w:t>
            </w:r>
          </w:p>
        </w:tc>
        <w:tc>
          <w:tcPr>
            <w:tcW w:w="60" w:type="dxa"/>
            <w:vAlign w:val="bottom"/>
          </w:tcPr>
          <w:p>
            <w:pPr>
              <w:spacing w:after="0"/>
              <w:rPr>
                <w:sz w:val="18"/>
                <w:szCs w:val="18"/>
                <w:color w:val="auto"/>
              </w:rPr>
            </w:pPr>
          </w:p>
        </w:tc>
      </w:tr>
      <w:tr>
        <w:trPr>
          <w:trHeight w:val="27"/>
        </w:trPr>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63,986</w:t>
            </w:r>
          </w:p>
        </w:tc>
        <w:tc>
          <w:tcPr>
            <w:tcW w:w="60" w:type="dxa"/>
            <w:vAlign w:val="bottom"/>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right="2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adjacent to Wynn Las Vegas. We expect to open Encore to the public in December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780" w:right="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22 food and beverage outlets featuring signature chefs, including the AAA Five Diamond, Mobil Five Star and Michelin award-winning restaurant, </w:t>
      </w:r>
      <w:r>
        <w:rPr>
          <w:rFonts w:ascii="Arial" w:cs="Arial" w:eastAsia="Arial" w:hAnsi="Arial"/>
          <w:sz w:val="18"/>
          <w:szCs w:val="18"/>
          <w:i w:val="1"/>
          <w:iCs w:val="1"/>
          <w:color w:val="auto"/>
        </w:rPr>
        <w:t>Alex;</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and Vertu;</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The Tower Suites at Wynn Las Vegas is the only casino resort in the world that has been awarded both the Mobil five star and AAA five diamond distinctions. In addition, Wynn Las Vegas was recognized in November 2007 by Michelin, the esteemed European restaurant rating system. Two Michelin stars were awarded to </w:t>
      </w:r>
      <w:r>
        <w:rPr>
          <w:rFonts w:ascii="Arial" w:cs="Arial" w:eastAsia="Arial" w:hAnsi="Arial"/>
          <w:sz w:val="18"/>
          <w:szCs w:val="18"/>
          <w:i w:val="1"/>
          <w:iCs w:val="1"/>
          <w:color w:val="auto"/>
        </w:rPr>
        <w:t>Alex</w:t>
      </w:r>
      <w:r>
        <w:rPr>
          <w:rFonts w:ascii="Arial" w:cs="Arial" w:eastAsia="Arial" w:hAnsi="Arial"/>
          <w:sz w:val="18"/>
          <w:szCs w:val="18"/>
          <w:color w:val="auto"/>
        </w:rPr>
        <w:t xml:space="preserve"> and one Michelin star was awarded to each of Wing Lei and Daniel Boulud Brasserie. Additionally, Wynn Las Vegas received five red pavilions, the highest honor for Michelin rated accommodations.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have made enhancements and refinements to the property which continued through June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constructing Encore on approximately 20 acres on the Las Vegas Strip, adjacent to Wynn Las Vegas. Encore includes a 2,034 all-suite hotel tower, an approximately 72,000 square foot casino, additional convention and meeting space, restaurants, a nightclub, swimming pools, a spa and salon and retail outlets. Encore is expected to open in December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owns approximately 147 acres immediately adjacent to both Wynn Las Vegas and Encore, which is currently improved with a golf course. We are in the process of creating a plan for its further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development. Conceptual plans at this point in time include additional resorts and a convention center. No construction timeline or budget has been prepared.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recorded net income for the three months ended June 30, 2008 of $5.1 million compared to net income of $45.4 million during the three months ended June 30, 2007. This decrease is primarily due to a $34.9 million decrease in departmental income from the casino department as discussed below and preopening costs related to Encore. For the six months ended June 30, 2008, we recorded a net loss of $23.7 million compared to net income of $82.9 million in the prior year. This decrease is primarily due to a $79.2 million decrease in departmental income from the casino department as explained below, the write-off of production costs and rights associated with Spamalot which closed in July 2008, and pre-opening costs associated with Encore. We also believe that our operating results at Wynn Las Vegas for the three and six months ended June 30, 2008 have been impacted by the weakened United States economy. Disruptions in the housing and stock markets, along with high gas and travel costs have and may continue to adversely impact our financial results.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June 30, 2008 compared to the three months ended June 30,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Net revenues for the three months ended June 30, 2008 are comprised of $120.7 million in casino revenues (40.8% of total net revenues) and $174.8 million of net non-casino revenues (59.2% of total net revenues). Net revenues for the three months ended June 30, 2007 were comprised of $159.4 million in casino revenues (47.6% of total net revenues) and $175.8 million of net non-casino revenues (52.4% of total net revenues).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Casino revenues are comprised of the net win from our table games and slot machine operations. Casino revenues for the three months ended June 30, 2008 of approximately $120.7 million represents a $38.7 million (or 24.3%) decrease from casino revenues of $159.4 million for the three months ended June 30, 2007. During the three months ended June 30, 2008, we experienced a 12.1% decrease in drop and a decrease in the table games win percentage compared to the prior year quarter. Our table games win percentage (before discounts) of 20.4% was below the expected range of 21% to 24% for the three months ended June 30, 2008. For the three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months ended June 30, 2007, our table games win percentage (before discounts) was 24.2%. Slot handle at Wynn Las Vegas decreased 12.7% during the three months ended June 30, 2008 as compared to the three months ended June 30, 2007, and the slot win percentage was within the expected range of 4.5% to 5.5%.</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June 30, 2008, room revenues were approximately $72.1 million, which represents a $2.3 million (or 3.1%) decrease over the $74.4 million generated in the three months ended June 30, 2007. This decrease is due to a decrease in both occupancy and rate as compared to the prior year. See the table below for key operating measures related to room revenue.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96.5%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non-casino revenues for the three months ended June 30, 2008 include: food and beverage revenues of approximately $84.3 million, retail revenues of approximately $22.1 million, entertainment revenues of approximately $18.9 million, and other revenues from outlets such as the spa and salon, of approximately $14.5 million. Other non-gaming revenues for the three months ended June 30, 2007 included food and beverage revenues of approximately $82.1 million, retail revenues of approximately $22.9 million, entertainment revenues of approximately $18.7 million, and other revenues from outlets, including the spa and salon, of approximately $13 million. In July 2008, the Las Vegas run of Spamalot ended. We have begun the renovation of the theater and in February 2009 it will reopen as the Encore Theater featuring Danny Gans.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three months ended June 30, 2008, departmental expenses included casino expenses of $61.3 million, rooms expenses of $19.3 million, food and beverage expenses of $50.6 million, and entertainment, retail and other expenses of $36 million. Also included are general and administrative expenses of approximately $52.1 million and approximately $3.3 million charged as a provision for doubtful accounts receivable. During the three months ended June 30, 2007, departmental expenses included casino expenses of $65.1 million, room expenses of $19.2 million, food and beverage expenses of $50.4 million, and entertainment, retail and other expenses of $37 million. Also included are general and administrative expenses of approximately $49.6 million and approximately $7.6 million charged as a provision for doubtful accounts receivable. The provision for doubtful accounts decreased $4.4 million quarter over quarter primarily due to a significant number of collections on fully reserved and substantially reserved casino accounts receivable.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$4.4 million for the quarter ended June 30, 2008, compared to $5 million for the quarter ended June 30,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Pre-opening costs for the three months ended June 30, 2008 were $6.8 million, compared to $0.8 million for the three months ended June 30, 2007. Pre-opening costs for the three months ended June 30, 2008 were incurred with the development of Encore. We expect that pre-opening costs will increase as the opening of Encore in December 2008 approaches.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for the three months ended June 30, 2008 was $40.8 million compared to $36.5 million for the three months ended June 30,</w:t>
      </w:r>
    </w:p>
    <w:p>
      <w:pPr>
        <w:spacing w:after="0" w:line="5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2007. This increase is primarily due to a decrease in the estimated lives of certain hotel room furniture, fixtures and equipment due to an anticipated ordinary course room renovation.</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Property charges and other were $0.6 million for each of the three months ended June 30, 2008 and 2007. In response to our evaluation of Wynn Las Vegas and the reactions of our guests, we continue to make enhancements to the property. The costs relating to assets retired as a result of these enhancement and remodel efforts are expensed as property charges.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Interest income decreased by $1.7 million to $1.8 million for the three months ended June 30, 2008 compared to the three months ended June 30, 2007. This decrease is primarily due to reduced average invested cash balances during the three months ended June 30, 2008 compared to the prior year’s quarter as a result of spending related to the development and construction of Encore and a decrease in the average interest earned on our invested cash balances.</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Interest expense was $18.1 million, net of capitalized interest of $19.1 million, for the three months ended June 30, 2008, compared to $22 million, net of capitalized interest of $6.2 million during the three months ended June 30, 2007. Interest expense increased approximately $7.4 million related to the additional $400 million first mortgage notes issued in November 2007 and $2.1 million related to additional borrowings under the Wynn Las Vegas Revolver. This increase was offset by an approximate $12.9 million increase in capitalized interest due to the construction costs of Encore and a decrease in interest on our other borrowings of approximately $0.5 million. Capitalized interest continues to increase with the ongoing borrowings and construction costs related to Encore.</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interest rate swap is accounted for in accordance with SFAS No. 133, “Accounting for Derivative Instruments and Hedging Activities”, as amended. The fair value of our interest rate swap is recorded as either an asset or liability. Changes in the fair value of our interest rate swap is recorded as an increase (or decrease) in swap fair value in each period. We recorded a gain of approximately $1.1 million for the three months ended June 30, 2008 resulting from the increase in the fair value of our interest rate swap from March 31, 2008 to June 30, 2008. During the three months ended June 30, 2007 we recorded a gain of $0.4 million resulting from the increase in the fair value of our interest rate swap between March 31, 2007 and June 30, 2007. For further information on our interest rate swaps, see Item 3 – “Quantitative and Qualitative Disclosures about Market Risk.”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six months ended June 30, 2008 compared to the six months ended June 30, 2007.</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revenues for the six months ended June 30, 2008 are comprised of $245.8 million in casino revenues (42.2% of total net revenues) and $337.3 million of net non-casino revenues (57.8% of total net revenues). Net revenues for the six months ended June 30, 2007 were comprised of $332.5 million in casino revenues (49.9% of total net revenues) and $333.6 million of net non-casino revenues (50.1% of total net revenues).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Casino revenues for the six months ended June 30, 2008 of approximately $245.8 million represents an $86.7 million (or 26.1%) decrease from casino revenues of $332.5 million for the six months ended June 30, 2007. During the six</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months ended June 30, 2008, we experienced a 7.7% decrease in drop and a decrease in the table games win percentage compared to the prior year. Our table games win percentage (before discounts) of 20.2% was below the expected range of 21% to 24% for the six months ended June 30, 2008. For the six months ended June 30, 2007, our table games win percentage (before discounts) was 25.9%. Slot handle at Wynn Las Vegas decreased 7.9% during the six months ended June 30, 2008 as compared to the six months ended June 30, 2007, and the slot win percentage was within the expected range of 4.5% to 5.5%.</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six months ended June 30, 2008, room revenues were approximately $142.7 million, which represents a $4.7 million (or 3.2%) decrease over the $147.4 million generated in the six months ended June 30, 2007. This decrease is due to a decrease in both occupancy and rate as compared to the prior year. See the table below for key operating measures related to room revenue.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Six months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5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51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48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$ 300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$ 310</w:t>
            </w:r>
          </w:p>
        </w:tc>
        <w:tc>
          <w:tcPr>
            <w:tcW w:w="14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Occupancy</w:t>
            </w:r>
          </w:p>
        </w:tc>
        <w:tc>
          <w:tcPr>
            <w:tcW w:w="4820" w:type="dxa"/>
            <w:vAlign w:val="bottom"/>
            <w:gridSpan w:val="3"/>
          </w:tcPr>
          <w:p>
            <w:pPr>
              <w:jc w:val="right"/>
              <w:ind w:right="492"/>
              <w:spacing w:after="0"/>
              <w:rPr>
                <w:sz w:val="20"/>
                <w:szCs w:val="20"/>
                <w:color w:val="auto"/>
              </w:rPr>
            </w:pPr>
            <w:r>
              <w:rPr>
                <w:rFonts w:ascii="Arial" w:cs="Arial" w:eastAsia="Arial" w:hAnsi="Arial"/>
                <w:sz w:val="18"/>
                <w:szCs w:val="18"/>
                <w:color w:val="auto"/>
              </w:rPr>
              <w:t>96.2%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48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$ 289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$ 300</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Other non-casino revenues for the six months ended June 30, 2008 include: food and beverage revenues of approximately $161.5 million, retail revenues of approximately $44.7 million, entertainment revenues of approximately $38.1 million, and other revenues from outlets such as the spa and salon, of approximately $26.5 million. Other non-gaming revenues for the six months ended June 30, 2007 included food and beverage revenues of approximately $159.5 million, retail revenues of approximately $44.3 million, entertainment revenues of approximately $29.6 million, and other revenues from outlets, including the spa and salon, of approximately $25.7 million. Entertainment revenues increased over the prior year due to Spamalot which opened in late March 2007, and a full year of Le Rêve in 2008 versus only five months during the six months ended June 30, 2007, due to a remodeling of the Le Rêve showroom in March 2007. In March 2008, together with the producers, we elected to end Spamalot’s run at Wynn Las Vegas in July 2008, pursuant to the terms of our contract. We have begun a renovation of the theater and in February 2009 it will reopen as the Encore Theater featuring Danny Gans.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During the six months ended June 30, 2008, departmental expenses included casino expenses of $129.8 million, rooms expenses of $38.4 million, food and beverage expenses of $97.4 million, and entertainment, retail and other expenses of $73.5 million. Also included are general and administrative expenses of approximately $103.1 million and approximately $7.1 million charged as a provision for doubtful accounts receivable. During the six months ended June 30, 2007, departmental expenses included casino expenses of $137.3 million, room expenses of $38.4 million, food and beverage expenses of $99 million, and entertainment, retail and other expenses of $69.1 million. Also included are general and administrative expenses of approximately $101.1 million and approximately $12.6 million charged as a provision for doubtful accounts receivable. The provision for doubtful accounts for the six months ended June 30, 2008 decreased $5.5 million from the prior year period primarily due to a significant number of collections on fully reserved and substantially reserved casino accounts receivable.</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were $8.7 million for the six months ended June 30, 2008, compared to $10 million for the six months ended June 30, 2007.</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Pre-opening costs for the six months ended June 30, 2008 were $12.1 million compared to $2.4 million for the six months ended June 30, 2007. Pre-opening costs for the six months ended June 30, 2008 were incurred with the development of Encore. We expect that pre-opening costs will increase as the opening of Encore in December 2008 approaches.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Depreciation and amortization for the six months ended June 30, 2008 was $80.3 million compared to $72.6 million for the six months ended June 30, 2007. This increase is primarily due to a decrease in the estimated lives of certain hotel room furniture, fixtures and equipment due to an anticipated ordinary course room renovation.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Property charges and other for the six months ended June 30, 2008 were $21.1 million compared to approximately $1.7 million for the six months ended June 30, 2007.</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Property charges and other for the six months ended June 30, 2008 include $17.8 million of costs associated with Spamalot at Wynn Las Vegas which closed in July 2008. The charge includes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our contract.</w:t>
      </w:r>
    </w:p>
    <w:p>
      <w:pPr>
        <w:spacing w:after="0" w:line="14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enhancements to the property. The costs relating to assets retired as a result of these enhancement and remodel efforts are expensed as property charges. During the six months ended June 30, 2008, $3.3 million of such costs were incurred at Wynn Las Vegas. During the six months ended June 30, 2007, $1.1 million was incurred related to enhancements we made to the Le Rêve theater in March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Interest income decreased by $3.7 million to $4 million for the six months ended June 30, 2008 compared to the six months ended June 30, 2007. This decrease is primarily due to reduced invested cash balances during the six months ended June 30, 2008 compared to the prior year as a result of spending related to the development and construction of Encore and a decrease in the average interest earned on our invested cash balances.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was $37.8 million, net of capitalized interest of $34.9 million, for the six months ended June 30, 2008, compared to $46.4 million, net of capitalized interest of $10.6 million during the six months ended June 30, 2007. Interest expense increased approximately $14.6 million related to the additional $400 million first mortgage notes issued in November 2007 and $1.8 million related to additional borrowings under the Wynn Las Vegas Revolver. This increase was offset by an approximate $24.3 million increase in capitalized interest due to the construction costs of Encore and a decrease in interest on our other borrowings of approximately $0.7 million. Capitalized interest continues to increase with the ongoing borrowings and construction costs related to Encore.</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interest rate swap is accounted for in accordance with SFAS No. 133, “Accounting for Derivative Instruments and Hedging Activities”, as amended. The fair value of our interest rate swap is recorded as either an asset or liability. Changes in the fair value of our interest rate swap is recorded as an increase (or decrease) in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swap fair value in each period. We recorded an expense of approximately $1.6 million for the six months ended June 30, 2008 resulting from the decrease in the fair value of our interest rate swap from December 31, 2007 to June 30, 2008. During the six months ended June 30, 2007 we recorded an expense of $0.6 million resulting from the decrease in the fair value of our interest rate swap between December 31, 2006 and June 30, 2007. For further information on our interest rate swaps, see Item 3 – “Quantitative and Qualitative Disclosures about Market Risk.”</w:t>
      </w:r>
    </w:p>
    <w:p>
      <w:pPr>
        <w:spacing w:after="0" w:line="218"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interest paid, and non-cash charges included in operating income. Net cash provided by operations for the six months ended June 30, 2008 was $97.8 million compared to $172.9 million provided by operations for the six months ended June 30, 2007. This decrease is primary due to the decrease in operating income as a result of reduced operating results especially in the casino department as discussed above.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require a certain amount of cash on hand for operations. As of June 30, 2008, we had approximately $62.7 million of cash and cash equivalents available for current operations, new development activities, general corporate purposes, enhancements to Wynn Las Vegas, and to support the development and construction of Encore. As of June 30, 2008, our completion guarantee deposit account was approximately $31.5 million and is recorded as restricted investments in the accompanying condensed consolidated balance sheet. In addition, we have availability under our Credit Facilities of $519.7 million as noted below under Financing Activities.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28, 2006, we commenced construction of Encore adjacent to Wynn Las Vegas. We expect to open Encore to the public in December 2008. Design and construction is progressing as expected. Current construction activities in the various project sections since groundbreaking include the following:</w:t>
      </w:r>
    </w:p>
    <w:p>
      <w:pPr>
        <w:spacing w:after="0" w:line="4"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Exterior glass installation is 100% complete and the tower’s illuminated “Encore” sign is operational;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Construction is essentially complete in the tower;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FF&amp;E installation in the typical guestrooms is 95% complete;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Drywall in the lowrise is 98% complete;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Enclosure of the lowrise is expected to be complete in early August;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Pool construction is 80% complete and the pool deck is 70% complete.</w:t>
      </w:r>
    </w:p>
    <w:p>
      <w:pPr>
        <w:spacing w:after="0" w:line="17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project budget is approximately $2.3 billion for Encore and related capital improvements. The project is being funded from our existing Credit Facilities and operating cash flow from Wynn Las Vegas. To the extent additional funds are required, we will provide these amounts with additional debt and equity contributions from Wynn Resorts or additional indebtedness to be incurred by Wynn Las Vegas.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February 27, 2007, we entered into a Design Build Architectural, Engineering and Construction Services Agreement (the “Contract”) with Tutor-Saliba Corporation (“Tutor”) for the design and construction of Encore.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Contract sets forth all of the terms and conditions pursuant to which Tutor is designing and constructing Encore. In June 2007, we executed the first amendment to the Contract which set the guaranteed maximum price for work under the Contract at $1.3 billion. Subsequent change orders bring the current guaranteed maximum price to $1.4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4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June 30, 2008, we incurred approximately $1.5 billion of project costs related to the development and construction of Encore and related capital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response to our evaluation of Wynn Las Vegas and the reaction of our guests, we continue to make certain enhancements and refinements to the property. As a result, we have incurred and will continue to incur capital expenditures relating to these enhancements and refinements. Under the terms of the Wynn Las Vegas Credit Facilities, we are permitted to make up to $272.1 million of capital expenditures in 2008, of which we have expended approximately $23.4 million through June 30, 2008. The spending limit may be increased to the extent funds are contributed to Wynn Las Vegas by Wynn Resorts, Limited.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June 30, 2008, our Credit Facilities consisted of a $900 million revolving credit facility (the “Revolver”) and a $225 million term loan facility (the “Term Loan”). For borrowings under the Term Loan we have elected, and expect to continue to elect, Eurodollar loans which bear interest at 1-month LIBOR and include a margin of 1.875% on that outstanding balance. We have a $200 million notional amount interest rate swap to essentially fix the interest on $200 million of this Term Loan. (For further information, see Item 3. “Quantitative and Qualitative Discussions about Market Risk”.)</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During the six months ended June 30, 2008, we borrowed $361 million under the Revolver. We also have $19.3 million of outstanding letters of credit that reduce our availability under the Revolver. Consequently, $519.7 million remains available under the Revolver for future borrowings for the construction of Encore or for other uses as necessary. For borrowings under the Revolver, we have elected, and expect to continue to elect, Eurodollar loans, which bear interest at 1-month LIBOR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Term Loan will mature in two installments: $112.5 million will be payable on September 30, 2012 and the remaining $112.5 million will be payable on August 15, 2013.</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have been no material changes during the quarter to our contractual obligations or off-balance sheet arrangements as disclosed in our Annual Report on Form 10-K for the year ended December 31, 2007, other than an increase in the amount of debt outstanding and a decrease in construction related commitments both related to the continued construction of Encore.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payments of dividends or distributions to any direct or indirect holders of equity interests of Wynn Las Vegas, LLC. These restricted payments may not be made until Encore has been completed and certain other financial and non-financial criteria have been satisfied. In addition, the Credit Facilities contain similar restrictions.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will increase correspondingly. We intend to fund our operations and capital requirements from operating cash flow and remaining availability under our Credit Facilities. We cannot assure you, however, that Wynn Las Vegas will generate sufficient cash flow from operations or that future borrowings available to us under the Credit Facilities will be sufficient to enable us to service and repay Wynn Las Vegas, LLC’s indebtedness and to fund other liquidity needs. We may refinance all or a portion of our indebtedness on or before maturity. We cannot assure you that we will be able to refinance any of the indebtedness on acceptable terms.</w:t>
      </w:r>
    </w:p>
    <w:p>
      <w:pPr>
        <w:spacing w:after="0" w:line="1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2007. There have been no material change to these policies for the six months ended June 30,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September 2006, the Financial Accounting Standards Board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recognized or disclosed at fair value in the entity’s financial statements on a recurring basis to fiscal years beginning after November 15, 2008 and interim periods within those fiscal years. The Company partially adopted the provisions of SFAS 157 effective January 1, 2008 and expects to adopt the remaining provisions of SFAS 157 on January 1, 2009. The adoption of this statement did not have a material impact the Company’s consolidated financial statements.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did not have a material impact on our consolidated financial statements.</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our financial position, results of operations or cash flows.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our financial position, results of operations or cash flows.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June 30, 2008, we have one interest rate swap arrangement to hedge the underlying interest rate risk on a total of $200 million of borrowings under the Term Loan,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Term Loan at approximately 5.7%, changes in fair value of our interest rate swap for each reporting period are, and will continue to be, recorded as an increase/(decrease) in swap fair value in our Condensed Consolidated Statements of Operations, as the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June 30, 2008 and December 31, 2007, our interest rate swap had an approximate liability fair value of $1.1 million and an asset fair value of approximately $0.4 million, respectively. The fair value approximates the amount the Company would pay/receive if this contract were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2008, approximately 82% of our long-term debt was based on fixed rates, including the notional amount related to our interest rate swap.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June 30, 2008, an assumed 1% change in variable rates would cause our annual interest cost to change by $4.3 million.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2007. There were no material changes to those risk factors during the six months ended June 30,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240" w:top="459"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6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340" w:type="dxa"/>
            <w:vAlign w:val="bottom"/>
          </w:tcPr>
          <w:p>
            <w:pPr>
              <w:spacing w:after="0"/>
              <w:rPr>
                <w:sz w:val="24"/>
                <w:szCs w:val="24"/>
                <w:color w:val="auto"/>
              </w:rPr>
            </w:pPr>
          </w:p>
        </w:tc>
      </w:tr>
      <w:tr>
        <w:trPr>
          <w:trHeight w:val="316"/>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006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1006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10060" w:type="dxa"/>
            <w:vAlign w:val="bottom"/>
            <w:gridSpan w:val="3"/>
          </w:tcPr>
          <w:p>
            <w:pPr>
              <w:ind w:left="440"/>
              <w:spacing w:after="0"/>
              <w:rPr>
                <w:sz w:val="20"/>
                <w:szCs w:val="20"/>
                <w:color w:val="auto"/>
              </w:rPr>
            </w:pPr>
            <w:r>
              <w:rPr>
                <w:rFonts w:ascii="Arial" w:cs="Arial" w:eastAsia="Arial" w:hAnsi="Arial"/>
                <w:sz w:val="18"/>
                <w:szCs w:val="18"/>
                <w:color w:val="auto"/>
                <w:w w:val="87"/>
              </w:rPr>
              <w:t>Second Amendment to Agreement of Lease, made as of June 10, 2008, by and between Wynn Las Vegas, LLC and Stephen A. Wynn (2)</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1006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10060" w:type="dxa"/>
            <w:vAlign w:val="bottom"/>
            <w:gridSpan w:val="3"/>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*32.1</w:t>
            </w:r>
          </w:p>
        </w:tc>
        <w:tc>
          <w:tcPr>
            <w:tcW w:w="10060" w:type="dxa"/>
            <w:vAlign w:val="bottom"/>
            <w:gridSpan w:val="3"/>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40" w:hanging="304"/>
        <w:spacing w:after="0"/>
        <w:tabs>
          <w:tab w:leader="none" w:pos="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12, 2008 and incorporated herein by reference.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231" w:lineRule="exact"/>
        <w:rPr>
          <w:sz w:val="20"/>
          <w:szCs w:val="20"/>
          <w:color w:val="auto"/>
        </w:rPr>
      </w:pPr>
    </w:p>
    <w:p>
      <w:pPr>
        <w:spacing w:after="0"/>
        <w:tabs>
          <w:tab w:leader="none" w:pos="5560" w:val="left"/>
          <w:tab w:leader="none" w:pos="7920" w:val="left"/>
          <w:tab w:leader="none" w:pos="8260" w:val="left"/>
        </w:tabs>
        <w:rPr>
          <w:sz w:val="20"/>
          <w:szCs w:val="20"/>
          <w:color w:val="auto"/>
        </w:rPr>
      </w:pPr>
      <w:r>
        <w:rPr>
          <w:rFonts w:ascii="Arial" w:cs="Arial" w:eastAsia="Arial" w:hAnsi="Arial"/>
          <w:sz w:val="18"/>
          <w:szCs w:val="18"/>
          <w:color w:val="auto"/>
        </w:rPr>
        <w:t>Dated: August 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David Sisk</w:t>
      </w:r>
    </w:p>
    <w:p>
      <w:pPr>
        <w:jc w:val="center"/>
        <w:ind w:left="594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40"/>
          </w:cols>
          <w:pgMar w:left="240" w:top="459" w:right="11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David R. Sisk,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2008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20"/>
              <w:spacing w:after="0" w:line="203" w:lineRule="exact"/>
              <w:rPr>
                <w:sz w:val="20"/>
                <w:szCs w:val="20"/>
                <w:color w:val="auto"/>
              </w:rPr>
            </w:pPr>
            <w:r>
              <w:rPr>
                <w:rFonts w:ascii="Arial" w:cs="Arial" w:eastAsia="Arial" w:hAnsi="Arial"/>
                <w:sz w:val="18"/>
                <w:szCs w:val="18"/>
                <w:color w:val="auto"/>
              </w:rPr>
              <w:t>Andrew Pascal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President</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August 8, 2008</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Sisk</w:t>
            </w:r>
          </w:p>
        </w:tc>
      </w:tr>
      <w:tr>
        <w:trPr>
          <w:trHeight w:val="202"/>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340" w:type="dxa"/>
            <w:vAlign w:val="bottom"/>
          </w:tcPr>
          <w:p>
            <w:pPr>
              <w:ind w:left="120"/>
              <w:spacing w:after="0" w:line="202" w:lineRule="exact"/>
              <w:rPr>
                <w:sz w:val="20"/>
                <w:szCs w:val="20"/>
                <w:color w:val="auto"/>
              </w:rPr>
            </w:pPr>
            <w:r>
              <w:rPr>
                <w:rFonts w:ascii="Arial" w:cs="Arial" w:eastAsia="Arial" w:hAnsi="Arial"/>
                <w:sz w:val="18"/>
                <w:szCs w:val="18"/>
                <w:color w:val="auto"/>
              </w:rPr>
              <w:t>David R. Sisk</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2"/>
        </w:trPr>
        <w:tc>
          <w:tcPr>
            <w:tcW w:w="580" w:type="dxa"/>
            <w:vAlign w:val="bottom"/>
          </w:tcPr>
          <w:p>
            <w:pPr>
              <w:spacing w:after="0"/>
              <w:rPr>
                <w:sz w:val="19"/>
                <w:szCs w:val="19"/>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August 8,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9"/>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lvl>
    <w:lvl w:ilvl="1">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2019-12-15T08:07:32Z</dcterms:created>
  <dcterms:modified xsi:type="dcterms:W3CDTF">2019-12-15T08:07:32Z</dcterms:modified>
</cp:coreProperties>
</file>