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6, 2025</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Wynn Resorts, Limited (the "Company") issued a press release announcing its results of operations for the quarter ended March 31, 2025.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2025, the Company announced that its Board of Directors declared a cash dividend of $0.25 per share, payable on May 30, 2025 to stockholders of record as of May 16, 2025.</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0"/>
        <w:gridCol w:w="2640"/>
        <w:gridCol w:w="376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12025pressrelease.htm">
              <w:r>
                <w:rPr>
                  <w:rStyle w:val="InternetLink"/>
                  <w:rFonts w:ascii="Times New Roman;sans-serif" w:hAnsi="Times New Roman;sans-serif"/>
                  <w:b w:val="false"/>
                  <w:color w:val="000080"/>
                  <w:sz w:val="20"/>
                  <w:u w:val="single"/>
                </w:rPr>
                <w:t xml:space="preserve">Press release, dated May </w:t>
              </w:r>
            </w:hyperlink>
            <w:hyperlink w:anchor="ex991wrlq12025pressrelease.htm">
              <w:r>
                <w:rPr>
                  <w:rStyle w:val="InternetLink"/>
                  <w:rFonts w:ascii="Times New Roman;sans-serif" w:hAnsi="Times New Roman;sans-serif"/>
                  <w:b w:val="false"/>
                  <w:color w:val="000080"/>
                  <w:sz w:val="20"/>
                  <w:u w:val="single"/>
                </w:rPr>
                <w:t>6</w:t>
              </w:r>
            </w:hyperlink>
            <w:hyperlink w:anchor="ex991wrlq12025pressrelease.htm">
              <w:r>
                <w:rPr>
                  <w:rStyle w:val="InternetLink"/>
                  <w:rFonts w:ascii="Times New Roman;sans-serif" w:hAnsi="Times New Roman;sans-serif"/>
                  <w:b w:val="false"/>
                  <w:color w:val="000080"/>
                  <w:sz w:val="20"/>
                  <w:u w:val="single"/>
                </w:rPr>
                <w:t>, 2025,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452"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777"/>
        <w:gridCol w:w="777"/>
        <w:gridCol w:w="110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First Quarter 2025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May 6, 2025 — Wynn Resorts, Limited (NASDAQ: WYNN) ("Wynn Resorts" or the "Company") today reported financial results for the first quarter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Operating revenues were $1.70 billion for the first quarter of 2025, a decrease of $162.5 million from $1.86 billion for the first quarter of 2024. Net income attributable to Wynn Resorts, Limited was $72.7 million for the first quarter of 2025, compared to net income attributable to Wynn Resorts, Limited of $144.2 million for the first quarter of 2024. Diluted net income per share was $0.69 for the first quarter of 2025, compared to diluted net income per share of $1.30 for the first quarter of 2024.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$532.9 million for the first quarter of 2025, compared to Adjusted Property EBITDAR of $646.5 million for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first quarter results reflect continued strength throughout our business," said Craig Billings, CEO of Wynn Resorts, Limited. "In Las Vegas, where we recently celebrated the resort's 20th anniversary, the team delivered healthy results against a record prior year comparison which reflected the Las Vegas Super Bowl. In Macau, while VIP hold negatively impacted results, we held market share in our expected range, and announced an increased dividend from Wynn Macau, Limited, reflecting the strong free cash flow generated by the business. In addition, construction of our growth project in the UAE, Wynn Al Marjan Island, continued to advance with the hotel tower reaching the forty-seventh floor. At the same time we continued to return capital to shareholders through our regular quarterly dividend and the repurchase of $200 million of stock in the quarter."</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$1.70 billion for the first quarter of 2025, a decrease of $162.5 million from $1.86 billion for the first quarter of 2024. For the first quarter of 2025, operating revenues decreased $81.8 million, $51.0 million, $11.3 million, and $8.6 million at Wynn Macau, Wynn Palace, our Las Vegas Operations, and Encore Boston Harbor, respectively, from the first quarter of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 attributable to Wynn Resorts, Limited was $72.7 million for the first quarter of 2025, compared to net income attributable to Wynn Resorts, Limited of $144.2 million for the first quarter of 2024. Diluted net income per share was $0.69 for the first quarter of 2025, compared to diluted net income per share of $1.30 for the first quarter of 2024.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$113.1 million, or $1.07 per diluted share, for the first quarter of 2025, compared to adjusted net income attributable to Wynn Resorts, Limited of $176.8 million, or $1.59 per diluted share, for the first quarter of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$532.9 million for the first quarter of 2025, a decrease of $113.6 million compared to Adjusted Property EBITDAR of $646.5 million for the first quarter of 2024. For the first quarter of 2025, Adjusted Property EBITDAR decreased $47.0 million, $40.5 million, $22.9 million, and $5.7 million at Wynn Macau, Wynn Palace, our Las Vegas Operations, and Encore Boston Harbor, respectively, from the first quarter of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May 30, 2025 to stockholders of record as of May 16, 2025.</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$535.9 million for the first quarter of 2025, a decrease of $51.0 million from $586.9 million for the first quarter of 2024. Adjusted Property EBITDAR from Wynn Palace was $161.9 million for the first quarter of 2025, compared to $202.4 million for the first quarter of 2024. Table games win percentage in mass market operations was 24.8%, above the 24.5% experienced in the first quarter of 2024. VIP table games win as a percentage of turnover was 2.61%, below the property's expected range of 3.1% to 3.4% and below the 3.30% experienced in the first quarter of 2024.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$330.0 million for the first quarter of 2025, a decrease of $81.8 million from $411.7 million for the first quarter of 2024. Adjusted Property EBITDAR from Wynn Macau was $90.2 million for the first quarter of 2025, compared to $137.2 million for the first quarter of 2024. Table games win percentage in mass market operations was 18.7%, below the 19.4% experienced in the first quarter of 2024. VIP table games win as a percentage of turnover was 1.09%, below the property's expected range of 3.1% to 3.4% and below the 3.39% experienced in the first quarter of 2024.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$625.3 million for the first quarter of 2025, a decrease of $11.3 million from $636.5 million for the first quarter of 2024. Adjusted Property EBITDAR from our Las Vegas Operations for the first quarter of 2025 was $223.4 million, compared to $246.3 million for the first quarter of 2024. Table games win percentage for the first quarter of 2025 was 24.3%, within the property's expected range of 22% to 26% and below the 25.9% experienced in the first quarter of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$209.2 million for the first quarter of 2025, a decrease of $8.6 million from $217.8 million for the first quarter of 2024. Adjusted Property EBITDAR from Encore Boston Harbor for the first quarter of 2025 was $57.5 million, compared to $63.1 million for the first quarter of 2024. Table games win percentage for the first quarter of 2025 was 20.5%, within the property's expected range of 18% to 22% and below the 22.6% experienced in the first quarter of 2024.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Wynn Al Marjan Island Development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contributed $51.2 million of cash into the 40%-owned joint venture that is constructing the Wynn Al Marjan Island development in the UAE, bringing our life-to-date cash contributions to the project to $682.9 million. Wynn Al Marjan Island is currently expected to open in 2027.</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March 31, 2025 totaled $2.07 billion, comprised of $1.49 billion held by Wynn Macau, Limited ("WML") and subsidiaries, $168.3 million held by Wynn Resorts Finance, LLC ("WRF") and subsidiaries excluding WML, and $411.2 million held at Corporate and other. As of March 31, 2025, the available borrowing capacity under the WRF Revolver and the WM Cayman II Revolver was $735.3 million and $353.3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March 31, 2025 was $10.55 billion, comprised of $5.80 billion of Macau related debt, $874.8 million of Wynn Las Vegas debt, $3.28 billion of WRF debt, and $597.6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2025, the Company repurchased 2,360,194 shares of its common stock under its publicly announced equity repurchase program at an average price of $84.76 per share, for an aggregate cost of $200.0 million. As of March 31, 2025, the Company had $613.0 million in repurchase authority remaining under the equity repurchase program.</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May 6, 2025 at 1:30 p.m. PT (4:30 p.m. ET). Interested parties are invited to join the call by accessing a live audio webcast at http://www.wynnresorts.com. On or before May 15, 2025, the Company will make Wynn Resorts Finance, LLC and Wynn Las Vegas, LLC financial information for the quarter ended March 31, 2025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2024,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attributable to Wynn Resorts, Limited" is net income attributable to Wynn Resorts, Limited before pre-opening expenses, property charges and other expenses, change in derivatives fair value, loss on debt financing transactions,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7644" w:type="dxa"/>
        <w:jc w:val="center"/>
        <w:tblInd w:w="0" w:type="dxa"/>
        <w:tblLayout w:type="fixed"/>
        <w:tblCellMar>
          <w:top w:w="28" w:type="dxa"/>
          <w:left w:w="28" w:type="dxa"/>
          <w:bottom w:w="28" w:type="dxa"/>
          <w:right w:w="28" w:type="dxa"/>
        </w:tblCellMar>
      </w:tblPr>
      <w:tblGrid>
        <w:gridCol w:w="1696"/>
        <w:gridCol w:w="1486"/>
        <w:gridCol w:w="1498"/>
        <w:gridCol w:w="211"/>
        <w:gridCol w:w="976"/>
        <w:gridCol w:w="109"/>
        <w:gridCol w:w="109"/>
        <w:gridCol w:w="109"/>
        <w:gridCol w:w="109"/>
        <w:gridCol w:w="211"/>
        <w:gridCol w:w="976"/>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1,700,397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1,431,808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1,499,968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362,941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(166,429)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92,427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176,498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9233" w:type="dxa"/>
        <w:jc w:val="center"/>
        <w:tblInd w:w="0" w:type="dxa"/>
        <w:tblLayout w:type="fixed"/>
        <w:tblCellMar>
          <w:top w:w="28" w:type="dxa"/>
          <w:left w:w="28" w:type="dxa"/>
          <w:bottom w:w="28" w:type="dxa"/>
          <w:right w:w="28" w:type="dxa"/>
        </w:tblCellMar>
      </w:tblPr>
      <w:tblGrid>
        <w:gridCol w:w="2368"/>
        <w:gridCol w:w="2079"/>
        <w:gridCol w:w="2092"/>
        <w:gridCol w:w="211"/>
        <w:gridCol w:w="841"/>
        <w:gridCol w:w="109"/>
        <w:gridCol w:w="109"/>
        <w:gridCol w:w="109"/>
        <w:gridCol w:w="109"/>
        <w:gridCol w:w="211"/>
        <w:gridCol w:w="841"/>
        <w:gridCol w:w="154"/>
      </w:tblGrid>
      <w:tr>
        <w:trPr/>
        <w:tc>
          <w:tcPr>
            <w:tcW w:w="236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113,145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176,801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39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127,148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268,589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76,059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155,421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36,581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19,400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35,389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161,885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90,199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252,084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223,361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57,454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532,899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48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205,983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362,941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174,933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39,905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137,186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339,556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246,262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646,535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6939" w:type="dxa"/>
        <w:jc w:val="center"/>
        <w:tblInd w:w="0" w:type="dxa"/>
        <w:tblLayout w:type="fixed"/>
        <w:tblCellMar>
          <w:top w:w="28" w:type="dxa"/>
          <w:left w:w="28" w:type="dxa"/>
          <w:bottom w:w="28" w:type="dxa"/>
          <w:right w:w="28" w:type="dxa"/>
        </w:tblCellMar>
      </w:tblPr>
      <w:tblGrid>
        <w:gridCol w:w="1537"/>
        <w:gridCol w:w="1350"/>
        <w:gridCol w:w="1358"/>
        <w:gridCol w:w="211"/>
        <w:gridCol w:w="841"/>
        <w:gridCol w:w="109"/>
        <w:gridCol w:w="109"/>
        <w:gridCol w:w="109"/>
        <w:gridCol w:w="109"/>
        <w:gridCol w:w="211"/>
        <w:gridCol w:w="84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532,899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646,535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630" w:type="dxa"/>
        <w:jc w:val="left"/>
        <w:tblInd w:w="0" w:type="dxa"/>
        <w:tblLayout w:type="fixed"/>
        <w:tblCellMar>
          <w:top w:w="28" w:type="dxa"/>
          <w:left w:w="28" w:type="dxa"/>
          <w:bottom w:w="28" w:type="dxa"/>
          <w:right w:w="28" w:type="dxa"/>
        </w:tblCellMar>
      </w:tblPr>
      <w:tblGrid>
        <w:gridCol w:w="1276"/>
        <w:gridCol w:w="1121"/>
        <w:gridCol w:w="1127"/>
        <w:gridCol w:w="217"/>
        <w:gridCol w:w="260"/>
        <w:gridCol w:w="580"/>
        <w:gridCol w:w="120"/>
        <w:gridCol w:w="120"/>
        <w:gridCol w:w="120"/>
        <w:gridCol w:w="217"/>
        <w:gridCol w:w="260"/>
        <w:gridCol w:w="580"/>
        <w:gridCol w:w="109"/>
        <w:gridCol w:w="109"/>
        <w:gridCol w:w="109"/>
        <w:gridCol w:w="381"/>
        <w:gridCol w:w="381"/>
        <w:gridCol w:w="543"/>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444,508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535,929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(8.7)</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161,885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1,704,398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422,392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734,869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7646" w:type="dxa"/>
        <w:jc w:val="center"/>
        <w:tblInd w:w="0" w:type="dxa"/>
        <w:tblLayout w:type="fixed"/>
        <w:tblCellMar>
          <w:top w:w="28" w:type="dxa"/>
          <w:left w:w="28" w:type="dxa"/>
          <w:bottom w:w="28" w:type="dxa"/>
          <w:right w:w="28" w:type="dxa"/>
        </w:tblCellMar>
      </w:tblPr>
      <w:tblGrid>
        <w:gridCol w:w="1282"/>
        <w:gridCol w:w="1126"/>
        <w:gridCol w:w="1132"/>
        <w:gridCol w:w="217"/>
        <w:gridCol w:w="260"/>
        <w:gridCol w:w="580"/>
        <w:gridCol w:w="120"/>
        <w:gridCol w:w="120"/>
        <w:gridCol w:w="120"/>
        <w:gridCol w:w="217"/>
        <w:gridCol w:w="260"/>
        <w:gridCol w:w="580"/>
        <w:gridCol w:w="109"/>
        <w:gridCol w:w="109"/>
        <w:gridCol w:w="109"/>
        <w:gridCol w:w="381"/>
        <w:gridCol w:w="381"/>
        <w:gridCol w:w="543"/>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275,550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329,960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(19.9)</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90,199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137,186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1,437,047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1,542,885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288,549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853,407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24,367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8357" w:type="dxa"/>
        <w:jc w:val="center"/>
        <w:tblInd w:w="0" w:type="dxa"/>
        <w:tblLayout w:type="fixed"/>
        <w:tblCellMar>
          <w:top w:w="28" w:type="dxa"/>
          <w:left w:w="28" w:type="dxa"/>
          <w:bottom w:w="28" w:type="dxa"/>
          <w:right w:w="28" w:type="dxa"/>
        </w:tblCellMar>
      </w:tblPr>
      <w:tblGrid>
        <w:gridCol w:w="1542"/>
        <w:gridCol w:w="1355"/>
        <w:gridCol w:w="1362"/>
        <w:gridCol w:w="227"/>
        <w:gridCol w:w="272"/>
        <w:gridCol w:w="554"/>
        <w:gridCol w:w="120"/>
        <w:gridCol w:w="120"/>
        <w:gridCol w:w="120"/>
        <w:gridCol w:w="227"/>
        <w:gridCol w:w="272"/>
        <w:gridCol w:w="554"/>
        <w:gridCol w:w="109"/>
        <w:gridCol w:w="109"/>
        <w:gridCol w:w="109"/>
        <w:gridCol w:w="381"/>
        <w:gridCol w:w="381"/>
        <w:gridCol w:w="543"/>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160,993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195,868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88,982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625,285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636,548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(1.8)</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223,361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246,262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1,778,087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123,244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8103" w:type="dxa"/>
        <w:jc w:val="center"/>
        <w:tblInd w:w="0" w:type="dxa"/>
        <w:tblLayout w:type="fixed"/>
        <w:tblCellMar>
          <w:top w:w="28" w:type="dxa"/>
          <w:left w:w="28" w:type="dxa"/>
          <w:bottom w:w="28" w:type="dxa"/>
          <w:right w:w="28" w:type="dxa"/>
        </w:tblCellMar>
      </w:tblPr>
      <w:tblGrid>
        <w:gridCol w:w="1452"/>
        <w:gridCol w:w="1273"/>
        <w:gridCol w:w="1280"/>
        <w:gridCol w:w="227"/>
        <w:gridCol w:w="272"/>
        <w:gridCol w:w="554"/>
        <w:gridCol w:w="120"/>
        <w:gridCol w:w="120"/>
        <w:gridCol w:w="120"/>
        <w:gridCol w:w="227"/>
        <w:gridCol w:w="272"/>
        <w:gridCol w:w="554"/>
        <w:gridCol w:w="109"/>
        <w:gridCol w:w="109"/>
        <w:gridCol w:w="109"/>
        <w:gridCol w:w="381"/>
        <w:gridCol w:w="381"/>
        <w:gridCol w:w="543"/>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209,223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217,784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57,454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340,062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1,357,199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107,482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(6)Refer to accompanying reconciliations of Operating Income (Loss) to Adjusted Property EBITDAR and Net Income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Lauren Seiler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4529</Words>
  <Characters>24410</Characters>
  <CharactersWithSpaces>28295</CharactersWithSpaces>
  <Paragraphs>1091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