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9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4"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5" w:lineRule="exact"/>
        <w:rPr>
          <w:sz w:val="24"/>
          <w:szCs w:val="24"/>
          <w:color w:val="auto"/>
        </w:rPr>
      </w:pPr>
    </w:p>
    <w:p>
      <w:pPr>
        <w:sectPr>
          <w:pgSz w:w="11900" w:h="16838" w:orient="portrait"/>
          <w:cols w:equalWidth="0" w:num="2">
            <w:col w:w="7540" w:space="720"/>
            <w:col w:w="3060"/>
          </w:cols>
          <w:pgMar w:left="240" w:top="230" w:right="3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20" w:space="720"/>
            <w:col w:w="3180"/>
          </w:cols>
          <w:pgMar w:left="240" w:top="23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460"/>
        <w:spacing w:after="0" w:line="207" w:lineRule="exact"/>
        <w:tabs>
          <w:tab w:leader="none" w:pos="2440" w:val="left"/>
          <w:tab w:leader="none" w:pos="4080" w:val="left"/>
          <w:tab w:leader="none" w:pos="60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August 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1680" w:type="dxa"/>
            <w:vAlign w:val="bottom"/>
            <w:tcBorders>
              <w:bottom w:val="single" w:sz="8" w:color="0000EE"/>
            </w:tcBorders>
            <w:gridSpan w:val="9"/>
          </w:tcPr>
          <w:p>
            <w:pPr>
              <w:ind w:left="20"/>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60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46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June 30, 2012 and December 31, 2011</w:t>
              </w:r>
            </w:hyperlink>
          </w:p>
        </w:tc>
        <w:tc>
          <w:tcPr>
            <w:tcW w:w="33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 (unaudited) – Three and six months ended June 30, 2012 and</w:t>
              </w:r>
            </w:hyperlink>
          </w:p>
        </w:tc>
        <w:tc>
          <w:tcPr>
            <w:tcW w:w="38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360" w:type="dxa"/>
            <w:vAlign w:val="bottom"/>
            <w:gridSpan w:val="3"/>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2011</w:t>
              </w:r>
            </w:hyperlink>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 Six months ended June 30, 2012 and 2011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2860" w:type="dxa"/>
            <w:vAlign w:val="bottom"/>
            <w:tcBorders>
              <w:top w:val="single" w:sz="8" w:color="0000EE"/>
            </w:tcBorders>
            <w:gridSpan w:val="3"/>
          </w:tcPr>
          <w:p>
            <w:pPr>
              <w:spacing w:after="0"/>
              <w:rPr>
                <w:sz w:val="24"/>
                <w:szCs w:val="24"/>
                <w:color w:val="auto"/>
              </w:rPr>
            </w:pPr>
          </w:p>
        </w:tc>
        <w:tc>
          <w:tcPr>
            <w:tcW w:w="23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Controls and Procedures</w:t>
              </w:r>
            </w:hyperlink>
          </w:p>
        </w:tc>
        <w:tc>
          <w:tcPr>
            <w:tcW w:w="82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60" w:type="dxa"/>
            <w:vAlign w:val="bottom"/>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20" w:type="dxa"/>
            <w:vAlign w:val="bottom"/>
          </w:tcPr>
          <w:p>
            <w:pPr>
              <w:spacing w:after="0"/>
              <w:rPr>
                <w:sz w:val="24"/>
                <w:szCs w:val="24"/>
                <w:color w:val="auto"/>
              </w:rPr>
            </w:pPr>
          </w:p>
        </w:tc>
        <w:tc>
          <w:tcPr>
            <w:tcW w:w="10260" w:type="dxa"/>
            <w:vAlign w:val="bottom"/>
            <w:gridSpan w:val="18"/>
          </w:tcPr>
          <w:p>
            <w:pPr>
              <w:ind w:left="60"/>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380" w:type="dxa"/>
            <w:vAlign w:val="bottom"/>
          </w:tcPr>
          <w:p>
            <w:pPr>
              <w:spacing w:after="0"/>
              <w:rPr>
                <w:sz w:val="24"/>
                <w:szCs w:val="24"/>
                <w:color w:val="auto"/>
              </w:rPr>
            </w:pPr>
          </w:p>
        </w:tc>
      </w:tr>
      <w:tr>
        <w:trPr>
          <w:trHeight w:val="304"/>
        </w:trPr>
        <w:tc>
          <w:tcPr>
            <w:tcW w:w="6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5"/>
              </w:rPr>
              <w:t>Item 1A.</w:t>
            </w: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240" w:type="dxa"/>
            <w:vAlign w:val="bottom"/>
            <w:tcBorders>
              <w:top w:val="single" w:sz="8" w:color="0000EE"/>
            </w:tcBorders>
          </w:tcPr>
          <w:p>
            <w:pPr>
              <w:spacing w:after="0"/>
              <w:rPr>
                <w:sz w:val="24"/>
                <w:szCs w:val="24"/>
                <w:color w:val="auto"/>
              </w:rPr>
            </w:pPr>
          </w:p>
        </w:tc>
        <w:tc>
          <w:tcPr>
            <w:tcW w:w="880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57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2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w:t>
              </w:r>
            </w:hyperlink>
          </w:p>
        </w:tc>
        <w:tc>
          <w:tcPr>
            <w:tcW w:w="580" w:type="dxa"/>
            <w:vAlign w:val="bottom"/>
            <w:tcBorders>
              <w:top w:val="single" w:sz="8" w:color="0000EE"/>
            </w:tcBorders>
            <w:gridSpan w:val="3"/>
          </w:tcPr>
          <w:p>
            <w:pPr>
              <w:spacing w:after="0"/>
              <w:rPr>
                <w:sz w:val="24"/>
                <w:szCs w:val="24"/>
                <w:color w:val="auto"/>
              </w:rPr>
            </w:pPr>
          </w:p>
        </w:tc>
        <w:tc>
          <w:tcPr>
            <w:tcW w:w="93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3"/>
        </w:trPr>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20" w:type="dxa"/>
            <w:vAlign w:val="bottom"/>
            <w:gridSpan w:val="14"/>
          </w:tcPr>
          <w:p>
            <w:pPr>
              <w:jc w:val="right"/>
              <w:ind w:right="15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ind w:left="398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771,928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139,350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3,419,780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3,529,376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44,944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4,492,031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1,050</w:t>
            </w: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64,848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87,878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39,304</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307,023</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392,927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3,125,412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134,667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3,567,655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1,983,560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1,980,861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(1,059,184)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924,376</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4,492,031</w:t>
            </w:r>
          </w:p>
        </w:tc>
        <w:tc>
          <w:tcPr>
            <w:tcW w:w="5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98,572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158,270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256,265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96,169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91,055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5"/>
              </w:rPr>
              <w:t>183,543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w w:val="86"/>
              </w:rPr>
              <w:t>138,373</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125,994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247,319</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112,650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w w:val="86"/>
              </w:rPr>
              <w:t>389,449</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434,008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799,777</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877,746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2"/>
              </w:rPr>
              <w:t>(43,732)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(42,994)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(90,913)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345,717</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391,014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708,864</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786,051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67,326</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69,712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146,256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32,615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61,840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79,699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70,399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145,024</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34,456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71,530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58,289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55,714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113,506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4,018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5,867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10,640</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62,776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5"/>
              </w:rPr>
              <w:t>126,194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342,179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342,405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684,900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688,268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48,609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23,964</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2"/>
              </w:rPr>
              <w:t>(58,493)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(50,317)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8"/>
              </w:rPr>
              <w:t>(110,640)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2"/>
              </w:rPr>
              <w:t>(56,738)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(50,126)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8"/>
              </w:rPr>
              <w:t>(112,594)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w w:val="92"/>
              </w:rPr>
              <w:t>(53,200)</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(88,630)</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w w:val="92"/>
              </w:rPr>
              <w:t>(53,200)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(88,630)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(88,630)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126,194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132,049</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2,699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6,669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6,592</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Loss on retirement of debt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4,828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8,524</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5,042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2,701</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swap fair value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(2,260)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(3,139)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1,823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9,494</w:t>
            </w: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8,212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(13,882)</w:t>
            </w: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8,135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(5,592)</w:t>
            </w:r>
          </w:p>
        </w:tc>
      </w:tr>
      <w:tr>
        <w:trPr>
          <w:trHeight w:val="27"/>
        </w:trPr>
        <w:tc>
          <w:tcPr>
            <w:tcW w:w="7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73,742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137,623</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9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 retention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(23,439)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(34,758)</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Purchase of other assets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(1,747)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affiliates, net</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6,863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5,432</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Proceeds from sale of assets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7"/>
        </w:trPr>
        <w:tc>
          <w:tcPr>
            <w:tcW w:w="7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(18,010)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(30,875)</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9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5"/>
              </w:rPr>
              <w:t>900,000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Principal payments on long-term debt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w w:val="88"/>
              </w:rPr>
              <w:t>(371,567)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(20,755)</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transactions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(2,368)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Payments of financing costs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(11,268)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7"/>
        </w:trPr>
        <w:tc>
          <w:tcPr>
            <w:tcW w:w="7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 activities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5"/>
              </w:rPr>
              <w:t>514,797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cash and cash equivalents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5"/>
              </w:rPr>
              <w:t>570,529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85,935</w:t>
            </w: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201,399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52,540</w:t>
            </w:r>
          </w:p>
        </w:tc>
      </w:tr>
      <w:tr>
        <w:trPr>
          <w:trHeight w:val="27"/>
        </w:trPr>
        <w:tc>
          <w:tcPr>
            <w:tcW w:w="7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5"/>
              </w:rPr>
              <w:t>771,928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138,475</w:t>
            </w:r>
          </w:p>
        </w:tc>
      </w:tr>
      <w:tr>
        <w:trPr>
          <w:trHeight w:val="20"/>
        </w:trPr>
        <w:tc>
          <w:tcPr>
            <w:tcW w:w="7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2012,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 Certain amounts in the consolidated financial statements for the previous periods have been reclassified to be consistent with the current period presentation. These reclassifications had no effect on the previously reported net loss.</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2012 and December 31, 2011, approximately 70% and 75%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During the quarter ended June 30, 2012, the Company recorded an adjustment to its reserve estimates for casino accounts receivable based on the results of historical collection patterns and current collection trends. This adjustment benefitted operating income and net loss by $9.6 million for the three and six months ended June 30, 2012. This change in estimate was the primary factor that resulted in a $0.3 million credit to the provision for doubtful accounts for the quarter ended June 30, 2012.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$17,588</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29,189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29,079</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25,157</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25,349</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53,373</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55,144</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and Comprehensive Loss. These taxes totaled $7.4 million and $11.3 million for the three months ended June 30, 2012 and 2011, respectively. For the six months ended June 30, 2012 and 2011, these taxes totaled $18.4 million and $25.1 million,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and such costs are included in general and administrative expenses. Advertising costs totaled $5.8 million and $3.3 million, for the three months ended June 30, 2012 and 2011, respectively. Advertising costs totaled $9.7 million and $6.2 million, for the six months ended June 30, 2012 and 2011,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2012 and 2011, the Company recorded $2.7 million and $4.4 million, respectively, in share based compensation with a corresponding credit to contributed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Interest paid for the six months ended June 30, 2012 and 2011 totaled $92.4 million and $99.8 million, respectively. There was no interest capitalized during the six months ended June 30, 2012 or 2011.</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2012 and 2011, capital expenditures include a decrease of $6.2 million and $6.7 million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80" w:type="dxa"/>
            <w:vAlign w:val="bottom"/>
            <w:gridSpan w:val="3"/>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$156,414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Hotel</w:t>
            </w: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17,225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14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194,082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197,006</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80" w:type="dxa"/>
            <w:vAlign w:val="bottom"/>
            <w:gridSpan w:val="2"/>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(54,732)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139,350</w:t>
            </w:r>
          </w:p>
        </w:tc>
        <w:tc>
          <w:tcPr>
            <w:tcW w:w="300" w:type="dxa"/>
            <w:vAlign w:val="bottom"/>
          </w:tcPr>
          <w:p>
            <w:pPr>
              <w:spacing w:after="0"/>
              <w:rPr>
                <w:sz w:val="19"/>
                <w:szCs w:val="19"/>
                <w:color w:val="auto"/>
              </w:rPr>
            </w:pPr>
          </w:p>
        </w:tc>
        <w:tc>
          <w:tcPr>
            <w:tcW w:w="400" w:type="dxa"/>
            <w:vAlign w:val="bottom"/>
            <w:gridSpan w:val="3"/>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140,229</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4812"/>
              <w:spacing w:after="0"/>
              <w:rPr>
                <w:sz w:val="20"/>
                <w:szCs w:val="20"/>
                <w:color w:val="auto"/>
              </w:rPr>
            </w:pPr>
            <w:r>
              <w:rPr>
                <w:rFonts w:ascii="Arial" w:cs="Arial" w:eastAsia="Arial" w:hAnsi="Arial"/>
                <w:sz w:val="18"/>
                <w:szCs w:val="18"/>
                <w:b w:val="1"/>
                <w:bCs w:val="1"/>
                <w:color w:val="auto"/>
                <w:w w:val="88"/>
              </w:rPr>
              <w:t>5. Property and Equipment, net</w:t>
            </w: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80" w:type="dxa"/>
            <w:vAlign w:val="bottom"/>
            <w:gridSpan w:val="3"/>
          </w:tcPr>
          <w:p>
            <w:pPr>
              <w:jc w:val="center"/>
              <w:ind w:left="1157"/>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1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   718,953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160" w:type="dxa"/>
            <w:vAlign w:val="bottom"/>
            <w:gridSpan w:val="4"/>
          </w:tcPr>
          <w:p>
            <w:pPr>
              <w:jc w:val="right"/>
              <w:ind w:right="80"/>
              <w:spacing w:after="0"/>
              <w:rPr>
                <w:sz w:val="20"/>
                <w:szCs w:val="20"/>
                <w:color w:val="auto"/>
              </w:rPr>
            </w:pPr>
            <w:r>
              <w:rPr>
                <w:rFonts w:ascii="Arial" w:cs="Arial" w:eastAsia="Arial" w:hAnsi="Arial"/>
                <w:sz w:val="18"/>
                <w:szCs w:val="18"/>
                <w:color w:val="auto"/>
              </w:rPr>
              <w:t>2,622,449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2,617,523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44,364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160" w:type="dxa"/>
            <w:vAlign w:val="bottom"/>
            <w:gridSpan w:val="4"/>
          </w:tcPr>
          <w:p>
            <w:pPr>
              <w:jc w:val="right"/>
              <w:ind w:right="80"/>
              <w:spacing w:after="0"/>
              <w:rPr>
                <w:sz w:val="20"/>
                <w:szCs w:val="20"/>
                <w:color w:val="auto"/>
              </w:rPr>
            </w:pPr>
            <w:r>
              <w:rPr>
                <w:rFonts w:ascii="Arial" w:cs="Arial" w:eastAsia="Arial" w:hAnsi="Arial"/>
                <w:sz w:val="18"/>
                <w:szCs w:val="18"/>
                <w:color w:val="auto"/>
              </w:rPr>
              <w:t>1,348,354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1,350,525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4,738,348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4,735,936</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(1,318,568)</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(1,206,560)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$ 3,419,780</w:t>
            </w:r>
          </w:p>
        </w:tc>
        <w:tc>
          <w:tcPr>
            <w:tcW w:w="300" w:type="dxa"/>
            <w:vAlign w:val="bottom"/>
          </w:tcPr>
          <w:p>
            <w:pPr>
              <w:spacing w:after="0"/>
              <w:rPr>
                <w:sz w:val="19"/>
                <w:szCs w:val="19"/>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$ 3,529,376</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432"/>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1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88"/>
        </w:trPr>
        <w:tc>
          <w:tcPr>
            <w:tcW w:w="1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9"/>
              </w:rPr>
              <w:t>7</w:t>
            </w:r>
          </w:p>
        </w:tc>
        <w:tc>
          <w:tcPr>
            <w:tcW w:w="89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w w:val="90"/>
              </w:rPr>
              <w:t>7/8% First Mortgage Notes, due November 1, 2017, net of original issue discount of $7,993 at June 30, 2012 and $8,578 at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120" w:type="dxa"/>
            <w:vAlign w:val="bottom"/>
            <w:shd w:val="clear" w:color="auto" w:fill="CCEEFF"/>
          </w:tcPr>
          <w:p>
            <w:pPr>
              <w:spacing w:after="0"/>
              <w:rPr>
                <w:sz w:val="19"/>
                <w:szCs w:val="19"/>
                <w:color w:val="auto"/>
              </w:rPr>
            </w:pPr>
          </w:p>
        </w:tc>
        <w:tc>
          <w:tcPr>
            <w:tcW w:w="8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492,007</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120" w:type="dxa"/>
            <w:vAlign w:val="bottom"/>
            <w:shd w:val="clear" w:color="auto" w:fill="CCEEFF"/>
          </w:tcPr>
          <w:p>
            <w:pPr>
              <w:spacing w:after="0"/>
              <w:rPr>
                <w:sz w:val="19"/>
                <w:szCs w:val="19"/>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8900" w:type="dxa"/>
            <w:vAlign w:val="bottom"/>
          </w:tcPr>
          <w:p>
            <w:pPr>
              <w:ind w:left="20"/>
              <w:spacing w:after="0"/>
              <w:rPr>
                <w:sz w:val="20"/>
                <w:szCs w:val="20"/>
                <w:color w:val="auto"/>
              </w:rPr>
            </w:pPr>
            <w:r>
              <w:rPr>
                <w:rFonts w:ascii="Arial" w:cs="Arial" w:eastAsia="Arial" w:hAnsi="Arial"/>
                <w:sz w:val="18"/>
                <w:szCs w:val="18"/>
                <w:color w:val="auto"/>
                <w:w w:val="95"/>
              </w:rPr>
              <w:t>7/8% First Mortgage Notes, due May 1, 2020, net of original issue discount of $2,205 at June 30, 2012 and $2,303 at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900" w:type="dxa"/>
            <w:vAlign w:val="bottom"/>
          </w:tcPr>
          <w:p>
            <w:pPr>
              <w:ind w:left="100"/>
              <w:spacing w:after="0"/>
              <w:rPr>
                <w:sz w:val="20"/>
                <w:szCs w:val="20"/>
                <w:color w:val="auto"/>
              </w:rPr>
            </w:pPr>
            <w:r>
              <w:rPr>
                <w:rFonts w:ascii="Arial" w:cs="Arial" w:eastAsia="Arial" w:hAnsi="Arial"/>
                <w:sz w:val="18"/>
                <w:szCs w:val="18"/>
                <w:color w:val="auto"/>
              </w:rPr>
              <w:t>December 31, 2011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349,805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349,707</w:t>
            </w:r>
          </w:p>
        </w:tc>
        <w:tc>
          <w:tcPr>
            <w:tcW w:w="120" w:type="dxa"/>
            <w:vAlign w:val="bottom"/>
          </w:tcPr>
          <w:p>
            <w:pPr>
              <w:spacing w:after="0"/>
              <w:rPr>
                <w:sz w:val="19"/>
                <w:szCs w:val="19"/>
                <w:color w:val="auto"/>
              </w:rPr>
            </w:pPr>
          </w:p>
        </w:tc>
      </w:tr>
      <w:tr>
        <w:trPr>
          <w:trHeight w:val="218"/>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7</w:t>
            </w:r>
          </w:p>
        </w:tc>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First Mortgage Notes, due August 15, 2020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8900" w:type="dxa"/>
            <w:vAlign w:val="bottom"/>
          </w:tcPr>
          <w:p>
            <w:pPr>
              <w:ind w:left="20"/>
              <w:spacing w:after="0"/>
              <w:rPr>
                <w:sz w:val="20"/>
                <w:szCs w:val="20"/>
                <w:color w:val="auto"/>
              </w:rPr>
            </w:pPr>
            <w:r>
              <w:rPr>
                <w:rFonts w:ascii="Arial" w:cs="Arial" w:eastAsia="Arial" w:hAnsi="Arial"/>
                <w:sz w:val="18"/>
                <w:szCs w:val="18"/>
                <w:color w:val="auto"/>
              </w:rPr>
              <w:t>3/8% First Mortgage Notes, due March 15, 2022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tcPr>
          <w:p>
            <w:pPr>
              <w:spacing w:after="0"/>
              <w:rPr>
                <w:sz w:val="18"/>
                <w:szCs w:val="18"/>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35,350</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r>
      <w:tr>
        <w:trPr>
          <w:trHeight w:val="216"/>
        </w:trPr>
        <w:tc>
          <w:tcPr>
            <w:tcW w:w="120" w:type="dxa"/>
            <w:vAlign w:val="bottom"/>
            <w:shd w:val="clear" w:color="auto" w:fill="CCEEFF"/>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3,126,462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2,597,346</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(89,425)</w:t>
            </w:r>
          </w:p>
        </w:tc>
      </w:tr>
      <w:tr>
        <w:trPr>
          <w:trHeight w:val="216"/>
        </w:trPr>
        <w:tc>
          <w:tcPr>
            <w:tcW w:w="120" w:type="dxa"/>
            <w:vAlign w:val="bottom"/>
            <w:shd w:val="clear" w:color="auto" w:fill="CCEEFF"/>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3,125,412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2,507,921</w:t>
            </w:r>
          </w:p>
        </w:tc>
        <w:tc>
          <w:tcPr>
            <w:tcW w:w="12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3/8% Wynn Las Vegas First Mortgage Notes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On March 12, 2012,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the Wynn Las Vegas term loan facilities.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Wynn Las Vegas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the Company’s equity interests, all of which is the same collateral that secures borrowings under the Wynn Las Vegas, LLC Credit Facilities and the Existing Notes. The first priority lien securing the 2022 Notes may be released in whole, or in part, under certain circumstances without the consent of the holders of the 2022 Notes, including if the liens on any such collateral are released either upon a termination of the credit facilities or otherwise.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Company’s credit facilities and the Existing Notes. The guarantees of the 2022 Notes will be released if the guarantees of our credit facilities are released.</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2022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the Company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June 30, 2012, no amounts had been borrowed under the Wynn Las Vegas Credit Agreement. Wynn Las Vegas, LLC had $15.8 million of outstanding letters of credit that reduce availability for borrowing under the Wynn Las Vegas Credit Agreement. Wynn Las Vegas, LLC had availability of $84.2 million under the Wynn Las Vegas Credit Agreement as of June 30,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June 30, 2012 and December 31, 2011, respectively. The estimated fair value of the Company’s outstanding first mortgage notes, based upon the most recent trades (using level 2 inputs), was approximately $3.3 billion and $2.4 billion at June 30, 2012 and December 31, 2011, respectively. The net book value of the Company’s other debt instruments was approximately $34.7 million and $406.2 million at June 30, 2012 and December 31, 2011, respectively. The estimated fair value of the Company’s other debt instruments was approximately $34.7 million and $400 million at June 30, 2012 and December 31, 2011,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June 2012, the Company terminated its only outstanding interest rate swap for a payment of $2.4 million. The Company had entered into floating-for-fixed interest rate swap arrangements in order to manage interest rate risk relating to certain of its debt facilities. These interest rate swap agreements modified the Company’s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 (decrease) in swap fair value in the accompanying Condensed Consolidated Statements of Operations and Comprehensive Loss, as the interest rate swaps do not qualify for hedge accounting.</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measured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interest rate swap agreement intended to hedge a portion of the underlying interest rate risk on borrowings under the Wynn Las Vegas credit facilities. Under this swap agreement, the Company paid a fixed interest rate of 2.485% on borrowings of $250 million incurred under the Wynn Las Vegas credit facilities in exchange for receipts on the same amount at a variable interest rate based on the applicable LIBOR at the time of payment. This interest rate swap fixed the interest rate on $250 million of borrowings at approximately 5.485%. As of December 31, 2011, the fair value of this interest rate swap was a current liability of $4.6 million.</w:t>
      </w:r>
    </w:p>
    <w:p>
      <w:pPr>
        <w:spacing w:after="0" w:line="218" w:lineRule="exact"/>
        <w:rPr>
          <w:sz w:val="20"/>
          <w:szCs w:val="20"/>
          <w:color w:val="auto"/>
        </w:rPr>
      </w:pPr>
    </w:p>
    <w:p>
      <w:pPr>
        <w:ind w:left="240" w:right="908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2012, the Company’s current Due to affiliates was primarily comprised of construction payables of approximately $3.4 million, construction retention of approximately $0.6 million and other net amounts due to affiliates totaling $35.3 million (including corporate allocations discussed below). The long-term Due to affiliates is management fees of $134.7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of December 31, 2011, the Company’s current Due to affiliates was primarily comprised of construction payables of approximately $8.4 million, construction retention of approximately $1.7 million and other net amounts due to affiliates totaling $31 million (including corporate allocations discussed below). The long-term Due to affiliates is management fees of $124 million.</w:t>
      </w:r>
    </w:p>
    <w:p>
      <w:pPr>
        <w:spacing w:after="0" w:line="14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June 30, 2012 and 2011, $7.1 million and $8 million, respectively, were charged to the Company for such corporate allocations. For the six months ended June 30, 2012 and 2011, $13.8 million and $14.4 million, respectively, were charged to the Company for such corporate allocations.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Due to Officers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as well as minimal warehouse space are included in the rental.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Property charges and other for the three months ended June 30, 2012 and 2011, were $2.2 million and $2.6 million, respectively. Property charges and other for the six months ended June 30, 2012 and 2011, were $5.9 million and $4.6 million, respectively. Property charges generally include costs related to the retirement of assets for remodels and asset abandonments. Property charges and other for the six months ended June 30, 2012 and 2011, related to miscellaneous renovations and abandonments at Wynn Las Vegas.</w:t>
      </w:r>
    </w:p>
    <w:p>
      <w:pPr>
        <w:spacing w:after="0" w:line="218" w:lineRule="exact"/>
        <w:rPr>
          <w:sz w:val="20"/>
          <w:szCs w:val="20"/>
          <w:color w:val="auto"/>
        </w:rPr>
      </w:pPr>
    </w:p>
    <w:p>
      <w:pPr>
        <w:ind w:right="866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will not have a material effect on the Company’s financial condition, results of operations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Mr. Okada has refused to acknowledge or abide by Wynn Resorts’ anti-bribery policies.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under Article VII of the Wynn Resorts articles of incorporation. The Board of Directors was unanimous (other than Mr. Okada) in its determination. The Board of Directors also requested that Mr. Okada resign as a director of Wynn Resorts and recommended that Mr. Okada be removed as a member of the board of directors of Wynn Macau, Limited. In addition, on February 18, 2012, Mr. Okada was removed from the board of directors of Wynn Las Vegas Capital Corp., a wholly owned subsidiary of Wynn Resorts.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Wynn Resorts’ articles of incorporation authorize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Price Promissory Note to Aruze USA, Inc. in redemption of the shares. The Redemption Price Promissory Note has a principal amount of $1.94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2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of Directors (other than Mr. Okada) and a senior executive of Wynn Resorts. Among other relief, the counterclaim seeks a declaration that the redemption of Aruze USA, Inc.’s shares was void, 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injunction restoring Aruze USA, Inc.’s share ownership, damages in an unspecified amount and rescission of the Stockholders Agreement. Wynn Resorts’ claim of February 19, 2012, was removed to federal court by the Okada Parties. On March 29, 2012, Wynn Resorts filed a motion to remand the action to state court and to request an extension to answer. The motion to remand was granted and Wynn Resorts’ request for related attorneys’ fees is fully briefed and pending. When the Court rules on the pending fee motion, the case will be sent back to the state court, which has determined that this action will be coordinated with Mr. Okada’s inspection action (discussed below). The Okada Parties have filed a notice of intent to commence a separate federal securities action for the securities counterclaims previously asserted.</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19, 2012, Elaine Wynn responded to Aruze USA’s Counterclaim and asserted a cross claim against Steve Wynn and Kazuo Okada seeking a declaration that (1) any and all of Elaine Wynn’s duties under the January 2010 Stockholders Agreement (the “Stockholders Agreement”) by and among Aruze USA,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By agreement of the parties, Mr. Wynn’s response to the cross claim is due within 14 days once the final order of remand is entered. The indentures for the Wynn Las Vegas, LLC 2022 Notes and Existing Notes (the “Indentures”) and the Credit Agreement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 Under the Wynn Las Vegas Credit Agreement, the occurrence of these same events would constitute a change of control, which would be an event of default and would give the lenders the right to accelerate repayment, and would prevent Wynn Las Vegas from borrowing additional amounts. In addition, if more than $20,000,000 in borrowings are accelerated under the Credit Agreement, that would trigger an event of default under the Indentures.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Wynn Resorts provided the Freeh Report to applicable regulators and law enforcement agencies and intends to cooperate with any related investigation that such regulators or agencies may undertake.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Relatedly, as described below the Salt Lake Regional Office of the U.S. Securities</w:t>
      </w:r>
    </w:p>
    <w:p>
      <w:pPr>
        <w:spacing w:after="0" w:line="2"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and Exchange Commission (“SEC”) has commenced an informal inquiry into, and other regulators could pursue separate investigations into, Wynn Resorts’ compliance with applicable laws arising from the allegations in the matters described above and in response to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On January 11, 2012, Mr. Okada commenced litigation in the District Court of Clark County, Nevada seeking to compel Wynn Resorts to produce information relating to a donation to the University of Macau, among other things.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cast by Mr. Kazuo Okada whose stated objection was to the length of time over which the donation would occur, not its propriety.</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cooperating with the Salt Lake Regional Office staff and intends to fully comply with the SEC’s request.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Wynn Resorts, Mr. Okada had the right to make a reasonable inspection of Wynn Resorts’ corporate books and records. Following the hearing, Wynn Resorts released certain documents to Mr. Okada for his inspection. At a subsequent hearing on March 8, 2012, the court considered Mr. Okada’s request that Wynn Resorts’ Board of Directors make additional documents available to him, and ruled that Mr. Okada was entitled to inspect two additional pages of documents. Wynn Resorts promptly complied with the court’s ruling.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25, 2012, Mr. Okada amended his petition to request inspection of additional records. The Nevada state court ordered Mr. Okada to file a supplemental brief addressing how his requests relate to his duties as a director of Wynn Resorts, and Wynn Resorts was to respond by filing a supplemental brief on the reasonableness of Mr. Okada’s requests. After Mr. Okada filed his supplemental brief, Wynn Resorts moved to depose Mr. Okada prior to having to file its supplemental brief. At a hearing on June 28, 2012, the state court ordered Mr. Okada to appear for a deposition in Las Vegas, Nevada. The parties are currently scheduling the deposition for a September 2012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litigation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Six derivative actions have been commenced against Wynn Resorts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four pending federal actions have been consolidated: (1) The Louisiana Municipal Police Employees’ Retirement System (“LMPERS”), (2) Maryanne Solak, (3) Excavators Union Local 731 Welfare Fund; and (4) Boilermakers Lodge No. 154 Retirement Fund.</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plaintiffs in the federal derivative actions filed a consolidated complaint on August 6, 2012, asserting claims for (1) breach of fiduciary duty; (2) waste of corporate assets; (3) injunctive relief; and (4) unjust enrichment. The claims are against all Wynn Resorts’ directors, including Mr. Okada. The federal derivative plaintiffs claim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fees (attorneys, accountants, and experts) and costs. Per the court’s July 5, 2012 Case Management Order, the parties are to confer regarding a deadline for Wynn Resorts and the directors to respond.</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two state court actions have also been consolidated: (1) IBEW Local 98 Pension Fund; and (2) Danny Hinson. Through a coordination of efforts by all parties, the directors and Wynn Resorts (a nominal defendant) have been served in all of the actions.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plaintiffs in the state derivative actions filed a consolidated complaint on July 20, 2012 asserting claims for (1) breach of fiduciary duty; (2) abuse of control; (3) gross mismanagement; and (4) unjust enrichment. The claims are against all Wynn Resorts directors, including Okada, as well as Wynn Resorts’ Chief Financial Officer, who signs financial disclosures filed with the SEC. The state derivative plaintiffs claim that the individual defendants failed to disclose to its shareholders the investigation into, and the dispute with director Okada as well as the potential violations of the FCPA related to, the University of Macau Development Foundation donation. Plaintiffs seek monetary damages (compensatory and punitive), disgorgement, reformation of corporate governance procedures, an order directing Wynn Resorts to internally investigate the donation, as well as attorneys’ fees and costs. Wynn Resorts and individual defendants will respond to the consolidated complaint by August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2012 and December 31, 2011, and for the three and six months ended June 30, 2012 and 2011.</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2012</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Subsidiary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ind w:left="1940"/>
              <w:spacing w:after="0" w:line="196" w:lineRule="exact"/>
              <w:rPr>
                <w:sz w:val="20"/>
                <w:szCs w:val="20"/>
                <w:color w:val="auto"/>
              </w:rPr>
            </w:pPr>
            <w:r>
              <w:rPr>
                <w:rFonts w:ascii="Arial" w:cs="Arial" w:eastAsia="Arial" w:hAnsi="Arial"/>
                <w:sz w:val="18"/>
                <w:szCs w:val="18"/>
                <w:b w:val="1"/>
                <w:bCs w:val="1"/>
                <w:color w:val="auto"/>
              </w:rPr>
              <w:t>ASSETS</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771,928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139,350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24,096</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981,364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981,414</w:t>
            </w:r>
          </w:p>
        </w:tc>
        <w:tc>
          <w:tcPr>
            <w:tcW w:w="0" w:type="dxa"/>
            <w:vAlign w:val="bottom"/>
          </w:tcPr>
          <w:p>
            <w:pPr>
              <w:spacing w:after="0"/>
              <w:rPr>
                <w:sz w:val="1"/>
                <w:szCs w:val="1"/>
                <w:color w:val="auto"/>
              </w:rPr>
            </w:pPr>
          </w:p>
        </w:tc>
      </w:tr>
      <w:tr>
        <w:trPr>
          <w:trHeight w:val="322"/>
        </w:trPr>
        <w:tc>
          <w:tcPr>
            <w:tcW w:w="4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3,225,525</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194,255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3,419,780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44,944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(24,223)</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4,262,561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204,274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4,492,031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1,050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64,848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87,878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(154,733)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200,950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111,153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202,783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973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307,023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3,091,812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3,125,412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134,667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3,338,185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236,383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973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3,567,655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1,983,560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1,983,560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Reatined earnings (deficit)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(1,059,184)</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(44,639)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7,886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(1,059,184)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924,376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(32,109)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vMerge w:val="continue"/>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4,262,561</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204,274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25,196</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4,492,031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ind w:left="19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201,394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140,229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48,907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3,336,516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192,860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3,529,376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41,256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35,913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(22,717)</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3,808,957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203,162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88,375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50,086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42,135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104,204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(148,662)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197,050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200,786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199,465</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392,927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2,473,621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124,027</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2,798,650</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233,765</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1,980,861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Reatined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(970,554)</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1,010,307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1,010,307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3,808,957</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203,162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23,274</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98,572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96,169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138,373</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389,554</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389,449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(43,732)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(43,732)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345,822</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67,326</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32,615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79,699</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34,456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58,608</w:t>
            </w:r>
          </w:p>
        </w:tc>
        <w:tc>
          <w:tcPr>
            <w:tcW w:w="2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5,189</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61,831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341,553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342,179</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4,269</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(58,344)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(57,469)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(56,738)</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(loss)/Comprehensive income (loss)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(53,200)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775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(53,200)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158,270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91,055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125,994</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58,787</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434,106</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434,008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(42,994)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391,112</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69,712</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31,225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70,399</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56,008</w:t>
            </w:r>
          </w:p>
        </w:tc>
        <w:tc>
          <w:tcPr>
            <w:tcW w:w="2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5,867</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65,325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341,771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732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342,405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49,341</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(50,166)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(50,858)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(50,126)</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(loss)/Comprehensive income (loss)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785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Issuers</w:t>
            </w:r>
          </w:p>
        </w:tc>
        <w:tc>
          <w:tcPr>
            <w:tcW w:w="2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256,265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183,543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247,319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112,868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799,995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799,777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(90,913)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709,082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708,864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146,256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61,840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145,024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114,165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10,640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124,333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126,194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5,892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683,698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684,900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25,384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(110,336)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2,260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(114,014)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(112,594)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(88,630)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(1,506)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352,515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179,011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232,134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114,340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878,000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877,746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(91,695)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786,305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154,184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131,507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110,594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11,795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130,193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686,998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688,268</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99,307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(100,327)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(100,390)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(1,083)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(1,570)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1,570</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Issuers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(88,630)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(88,630)</w:t>
            </w:r>
          </w:p>
        </w:tc>
      </w:tr>
      <w:tr>
        <w:trPr>
          <w:trHeight w:val="20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(used in) operating activities: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124,333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126,194</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2,699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Loss from retirement of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4,828</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Amortization and writeoff of deferred financing costs, and 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6,669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6,669</w:t>
            </w:r>
          </w:p>
        </w:tc>
      </w:tr>
      <w:tr>
        <w:trPr>
          <w:trHeight w:val="208"/>
        </w:trPr>
        <w:tc>
          <w:tcPr>
            <w:tcW w:w="5180" w:type="dxa"/>
            <w:vAlign w:val="bottom"/>
          </w:tcPr>
          <w:p>
            <w:pPr>
              <w:ind w:left="44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80" w:type="dxa"/>
            <w:vAlign w:val="bottom"/>
          </w:tcPr>
          <w:p>
            <w:pPr>
              <w:ind w:left="660"/>
              <w:spacing w:after="0"/>
              <w:rPr>
                <w:sz w:val="20"/>
                <w:szCs w:val="20"/>
                <w:color w:val="auto"/>
              </w:rPr>
            </w:pPr>
            <w:r>
              <w:rPr>
                <w:rFonts w:ascii="Arial" w:cs="Arial" w:eastAsia="Arial" w:hAnsi="Arial"/>
                <w:sz w:val="18"/>
                <w:szCs w:val="18"/>
                <w:color w:val="auto"/>
              </w:rPr>
              <w:t>distributions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1,506</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151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4,018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5,042</w:t>
            </w:r>
          </w:p>
        </w:tc>
        <w:tc>
          <w:tcPr>
            <w:tcW w:w="18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5,042</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swap fair value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(3,139)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r>
      <w:tr>
        <w:trPr>
          <w:trHeight w:val="216"/>
        </w:trPr>
        <w:tc>
          <w:tcPr>
            <w:tcW w:w="518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1,691</w:t>
            </w: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132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accrued expenses and 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8,794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8,212</w:t>
            </w:r>
          </w:p>
        </w:tc>
      </w:tr>
      <w:tr>
        <w:trPr>
          <w:trHeight w:val="216"/>
        </w:trPr>
        <w:tc>
          <w:tcPr>
            <w:tcW w:w="518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8,837</w:t>
            </w:r>
          </w:p>
        </w:tc>
        <w:tc>
          <w:tcPr>
            <w:tcW w:w="1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8,135</w:t>
            </w: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6"/>
              </w:rPr>
              <w:t>Net cash provided by (used in)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74,388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73,742</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Capital expenditures, net of construction payables and retention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(20,183)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(3,256)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(23,439)</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Deposits and 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(1,747)</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affiliates,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2,266</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6,863</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Proceeds from sale of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7"/>
              </w:rPr>
              <w:t>Net cash provided by (used in)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(19,351)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(18,010)</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(370,867)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(371,567)</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900,000</w:t>
            </w:r>
          </w:p>
        </w:tc>
        <w:tc>
          <w:tcPr>
            <w:tcW w:w="18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900,000</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transactions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(2,368)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(2,368)</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Payments of financing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(11,268)</w:t>
            </w:r>
          </w:p>
        </w:tc>
        <w:tc>
          <w:tcPr>
            <w:tcW w:w="18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(11,268)</w:t>
            </w: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7"/>
              </w:rPr>
              <w:t>Net cash provided by (used in)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515,497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514,797</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570,534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570,529</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201,394</w:t>
            </w:r>
          </w:p>
        </w:tc>
        <w:tc>
          <w:tcPr>
            <w:tcW w:w="18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201,399</w:t>
            </w: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771,928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771,928</w:t>
            </w: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233"/>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5"/>
              </w:rPr>
              <w:t>Issuers</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Subsidiaries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1,570</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130,193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w w:val="95"/>
              </w:rPr>
              <w:t>Amortization and writeoff of deferred financing costs and 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136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(1,570)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(14,079)</w:t>
            </w: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197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1280"/>
              <w:spacing w:after="0"/>
              <w:rPr>
                <w:sz w:val="20"/>
                <w:szCs w:val="20"/>
                <w:color w:val="auto"/>
              </w:rPr>
            </w:pPr>
            <w:r>
              <w:rPr>
                <w:rFonts w:ascii="Arial" w:cs="Arial" w:eastAsia="Arial" w:hAnsi="Arial"/>
                <w:sz w:val="18"/>
                <w:szCs w:val="18"/>
                <w:color w:val="auto"/>
                <w:w w:val="96"/>
              </w:rPr>
              <w:t>Net cash provided by (used in) operating activities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138,048</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(34,758)</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280"/>
              <w:spacing w:after="0"/>
              <w:rPr>
                <w:sz w:val="20"/>
                <w:szCs w:val="20"/>
                <w:color w:val="auto"/>
              </w:rPr>
            </w:pPr>
            <w:r>
              <w:rPr>
                <w:rFonts w:ascii="Arial" w:cs="Arial" w:eastAsia="Arial" w:hAnsi="Arial"/>
                <w:sz w:val="18"/>
                <w:szCs w:val="18"/>
                <w:color w:val="auto"/>
                <w:w w:val="97"/>
              </w:rPr>
              <w:t>Net cash provided by (used in) investing activities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(32,000)</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(20,055)</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(20,113)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52,535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138,470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13"/>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of a natural disaster may have on the travel and leisure industry;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the military conflicts in the Middle East and any future security alerts and/or terrorist attacks;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240" w:top="459"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December 2008, we expanded Wynn Las Vegas with the opening of Encore at Wynn Las Vegas. Wynn Las Vegas, located at the intersection of the Las Vegas Strip and Sands Avenue, occupies approximately 217 acres of land fronting the Las Vegas Strip, utilizes approximately 18 additional acres across Sands Avenue, a portion of which is improved with an employee parking garage and approximately 5 acres adjacent to the golf course on which an office building is located.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60" w:hanging="326"/>
        <w:spacing w:after="0" w:line="33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Approximately 94,000 square feet of high-end, brand-name retail shopping, including stores and boutiques by Alexander McQueen, Brioni, Cartier, Chanel, Dior, Graff, Hermes, Loro Piana, Louis Vuitton, Manolo Blahnik, Oscar de la Renta, Vertu and others;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a net loss for the three months ended June 30, 2012 of $53.2 million, compared to a net loss of $1.5 million recorded for the three months ended June 30, 2011. This decrease was primarily a result of decreased departmental profits, especially in the casino department ($57.3 million) where we experienced lower than normal table games win and hold, significantly lower than that achieved in the prior year quarter. We also recorded a loss on retirement of debt of $4.8 million for the six months ended June 30, 2012 related to an amendment of our bank credit facilities. See below for a more detailed discussion regarding our results.</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Certain key operating statistics specific to the gaming industry are included in our discussions of the Company’s operational performance for the periods in which a Condensed Consolidated Statement of Operations and Comprehensive Loss is presented. Below are definitions of the statistics discussed:</w:t>
      </w:r>
    </w:p>
    <w:p>
      <w:pPr>
        <w:spacing w:after="0" w:line="4"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2012 compared to the three months ended June 30,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three months ended June 30, 2012, are composed of $98.6 million in casino revenues (28.5% of total net revenues) and $247.1 million of net non-casino revenues (71.5% of total net revenues). Net revenues for the three months ended June 30, 2011, were comprised of $158.3 million in casino revenues (40.5% of total net revenues) and $232.7 million of net non-casino revenues (59.5% of total net revenues).</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$59.7 million (37.7%) to $98.6 million for the three months ended June 30, 2012, compared to $158.3 million for the three months ended June 30, 2011, due to a significant decrease in our table games win percentage. Our table games win percentage (before discounts) for the three months ended June 30, 2012, was 15.0%, which was below the expected range of 21% to 24%; and was significantly lower than the 27.6% experienced in the prior year quarter. Drop increased $40.9 million (7.6%) to $575.6 million during the three months ended June 30, 2012, compared to $534.7 million in the prior year quarter. Slot machine handle increased $22.2 million (3.2%) to $707.8 million compared to $685.6 million in the prior year quarter; however slot machine win of $40.5 million was flat compared to the prior year quarter.</w:t>
      </w:r>
    </w:p>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the three months ended June 30, 2012, room revenues were $96.2 million, which represents a $5.1 million (5.6%) increase over the $91.1 million generated in the three months ended June 30, 2011. We experienced an increase in ADR during the three months ended June 30, 2012, compared to the three months ended June 30, 2011, and a decrease in occupancy rate of 1.6 percentage points. ADR has increased as we adjusted rates in an effort to attract customers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14"/>
                <w:szCs w:val="14"/>
                <w:b w:val="1"/>
                <w:bCs w:val="1"/>
                <w:color w:val="auto"/>
                <w:w w:val="96"/>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4980" w:type="dxa"/>
            <w:vAlign w:val="bottom"/>
          </w:tcPr>
          <w:p>
            <w:pPr>
              <w:jc w:val="right"/>
              <w:ind w:right="28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Other non-gaming revenues for the three months ended June 30, 2012, included food and beverage revenues of $138.4 million, retail revenues of $21 million, entertainment revenues of $18.1 million, and other revenues from outlets, including the spa and salon, of $17.2 million. Other non-casino revenues for the three months ended June 30, 2011, included: food and beverage revenues of $126 million, retail revenues of $22.9 million, entertainment revenues of $19 million, and other revenues from outlets such as the spa and salon, of $16.8 million. Food and beverage revenues increased primarily due to business in our beach club and nightclubs. Retail revenues decreased as we reconfigured the Encore retail area and are in the process of rebranding several retail outlets. Entertainment revenues decreased over the prior year quarter primarily due to a loss of revenues from the Sinatra “Dance with Me” show, which ended its run on April 23, 2011.</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For the three months ended June 30, 2012, departmental expenses included casino expenses of $67.3 million, room expense of $32.6 million, food and beverage expenses of $79.7 million, and entertainment, retail and other expenses of $34.5 million. Also included are general and administrative expenses of $58.3 million and a $0.3 million credit taken to provision for doubtful accounts receivable. For the three months ended June 30, 2011, departmental expenses included casino expense of $69.7 million, room expense of $31.2 million, food and beverage expense of $70.4 million, and entertainment, retail and other expense of $36.9 million. Also included are general and administrative expenses of approximately $55.7 million and approximately $3.8 million charged as a provision for doubtful accounts receivable. Food and beverage expenses increased over prior year quarter primarily due to additional nightclub promotional costs. General and administrative expenses increased over the prior year quarter primarily due to higher advertising costs. During the quarter ended June 30, 2012, we recorded an adjustment to our reserve estimates for casino accounts receivable based on the results of historical collection patterns and current collection trends. This change in estimate was the primary factor that resulted in a $0.3 million credit to the provision for doubtful accounts for the quarter ended June 30, 2012.</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$5.2 million for the three months ended June 30, 2012, compared to $5.9 million for the three months ended June 30,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three months ended June 30, 2012 was $62.8 million compared to $66.3 million for the three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2012, were $2.2 million compared to $2.6 million for the three months ended June 30, 2011. Property charges and other for the three months ended June 30, 2012 and 2011, related to miscellaneous renovations and abandonments at our resort complex.</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Interest expense was $58.5 million for the three months ended June 30, 2012, compared to $50.3 million for the three months ended June 30, 2011. No interest was capitalized during either period. Interest expense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increased approximately $8.2 million primarily due to the issuance of the $900 million 5 3/8% first mortgage notes in March 2012, offset by the reduction of $370.9 million in term loan borrowings as described in Note 6 to our Condensed Consolidated Notes to Financial Statements.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We recorded a gain of approximately $1.3 million for the three months ended June 30, 2012, resulting from the increase in the fair value of our interest rate swap during this period. In June 2012, we terminated the interest rate swap for a payment of $2.4 million. We recorded a gain of $27,000 for the three months ended June 30, 2011, resulting from the increase in the fair value of our interest rate swap from March 31, 2011 to June 30, 2011.</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2012 compared to the six months ended June 30,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six months ended June 30, 2012, are composed of $256.3 million in casino revenues (36.2% of total net revenues) and $452.6 million of net non-casino revenues (63.8% of total net revenues). Net revenues for the six months ended June 30, 2011, were comprised of $352.5 million in casino revenues (44.8% of total net revenues) and $433.5 million of net non-casino revenues (55.2% of total net revenues).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$96.2 million (27.3%) to $256.3 million for the six months ended June 30, 2012, compared to $352.5 million for the six months ended June 30, 2011, due to a decrease in our table games win percentage. Our table games win percentage (before discounts) for the six months ended June 30, 2012, was 19.2%, which was below the expected range of 21% to 24%; and was significantly lower than the 29.1% experienced in the prior year period. Drop increased $61.4 million (5.3%) to $1,230.1 million during the six months ended June 30, 2012, compared to $1,168.7 million in the prior year period. Slot machine handle increased $22.4 million (1.6%) to $1,426.7 million compared to $1,404.3 million in the prior year period; however slot machine win decreased $0.5 million (0.6%) to $83.5 million as a result of lower hold.</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six months ended June 30, 2012, room revenues were $183.5 million, which represents a $4.5 million (2.5%) increase over the $179 million generated in the six months ended June 30, 2011. We experienced an increase in ADR during the six months ended June 30, 2012, compared to the six months ended June 30, 2011, and a decrease in occupancy rate of 5 percentage points. ADR has increased as we adjusted rates in an effort to attract customers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63"/>
              <w:spacing w:after="0"/>
              <w:rPr>
                <w:sz w:val="20"/>
                <w:szCs w:val="20"/>
                <w:color w:val="auto"/>
              </w:rPr>
            </w:pPr>
            <w:r>
              <w:rPr>
                <w:rFonts w:ascii="Arial" w:cs="Arial" w:eastAsia="Arial" w:hAnsi="Arial"/>
                <w:sz w:val="14"/>
                <w:szCs w:val="14"/>
                <w:b w:val="1"/>
                <w:bCs w:val="1"/>
                <w:color w:val="auto"/>
                <w:w w:val="96"/>
              </w:rPr>
              <w:t>June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Other non-gaming revenues for the six months ended June 30, 2012, included food and beverage revenues of $247.3 million, retail revenues of $41.2 million, entertainment revenues of $39.1 million, and other revenues from outlets, including the spa and salon, of $32.4 million. Other non-casino revenues for the six months ended June 30, 2011, included: food and beverage revenues of $232.1 million, retail revenues of $43 million,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entertainment revenues of $39.7 million, and other revenues from outlets such as the spa and salon, of $31.4 million. Food and beverage revenues increased primarily due to business in our beach club and nightclubs. Entertainment revenues decreased over the prior year period primarily due to a loss of revenues from the Sinatra “Dance with Me” show, which ended its run on April 23,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2012, departmental expenses included casino expenses of $146.3 million, room expense of $61.8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$145 million, and entertainment, retail and other expenses of $71.5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$113.5 million and $4 million charged as a provision for doubtful accounts receivable. For the six months ended June 30, 2011, departmental expenses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casino expense of $154.2 million, room expense of $61 million, food and beverage expense of $131.5 million, and entertainment, retail and other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$74.6 million. Also included are general and administrative expenses of approximately $110 million and approximately $8.5 million charged as a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doubtful accounts receivable. Food and beverage expenses increased over the prior year period primarily due to additional nightclub promotional costs.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expenses increased over the prior year period primarily due to higher advertising costs. The provision for doubtful accounts decreased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June 30, 2012 as we recorded an adjustment to our reserve estimates for casino accounts receivable based on the results of historical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collection patterns and current collection trends.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$10.6 million for the six months ended June 30, 2012, compared to $11.8 million for the six months ended June 30,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six months ended June 30, 2012 was $126.2 million compared to $132 million for the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six months ended June 30, 2012, were $5.9 million compared to $4.6 million for the six months ended June 30,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Property charges and other for the six months ended June 30, 2012 and 2011, related to miscellaneous renovations and abandonments at our resort complex.</w:t>
      </w:r>
    </w:p>
    <w:p>
      <w:pPr>
        <w:spacing w:after="0" w:line="1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expense was $110.6 million for the six months ended June 30, 2012, compared to $100.6 million for the six months ended June 30, 2011. No interest was capitalized during either period. Interest expense increased approximately $10 million primarily due to the issuance of the $900 million 5 3/8% first mortgage notes in March 2012, offset by the reduction of $370.9 million in term loan borrowings as described in Note 6 to our Condensed Consolidated Notes to Financial Statements.</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period. We recorded a gain of approximately $2.3 million for the six months ended June 30,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resulting from the increase in the fair value of our interest rate swap during this period. In June 2012, we terminated the interest rate swap for a payment of $2.4 million. We recorded a gain of approximately $1.4 million for the six months ended June 30, 2011, resulting from the increase in the fair value of our interest rate swap from December 31, 2010 to June 30, 2011.</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Net cash provided by operations for the six months ended June 30, 2012, was $73.7 million compared to $137.6 million provided by operations for the six months ended June 30, 2011. This decrease is primarily due to the decrease in operating income as a result of decreased casino department profitability offset by beneficial changes in working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At June 30, 2012, we had $771.9 million of cash and cash equivalents available for use without restriction, including for operations, debt service and retirement, new development activities, enhancements to Wynn Las Vegas and general corporate purposes. Our cash balance increased as a result of the issuance of the $900 million first mortgage notes in March 2012. We require a certain amount of cash on hand for operations. We anticipate such funds, together with any additional borrowings and cash generated from operations will satisfy our liquidity needs during 2012. As of June 30, 2012, we had $84.2 million available to draw under our Wynn Las Vegas credit facilities. Except for scheduled quarterly payments on one note payable, we have no debt maturities until July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Capital expenditures were approximately $23.2 million for the six months ended June 30, 2012, and related primarily to general property maintenance. Capital expenditures were approximately $34.8 million for the six months ended June 30, 2011 and related primarily to the room and suite remodel that began in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On March 12, 2012, Wynn Las Vegas, LLC and Wynn Las Vegas Capital Corp. (together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our term loan facilities.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2022 Notes will mature on March 15, 2022 and bear interest at the rate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Company’s credit facilities (the “Wynn Las Vegas, LLC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our equity interests, all of which is the same collateral that secures borrowings under the Wynn Las Vegas, LLC Credit Facilities and the Existing Notes. The first priority lien securing the 2022 Notes may be released in whole, or in part, under certain circumstances without the consent of the holders of the 2022 Notes, including if the liens on any such collateral are released either upon a termination of the credit facilities or otherwise.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Wynn Las Vegas, LLC Credit Facilities and the Existing Notes. The guarantees of the 2022 Notes will be released if the guarantees of our credit facilities are released.</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March 12, 2012, we entered into an eighth amendment (“Amendment No. 8”) to our Amended and Restated Credit Agreement (the “Wynn Las Vegas Credit Agreement”). Amendment No. 8 amends the Wynn Las Vegas Credit Agreement to, among other things, permit the issuance of the 2022 Notes. Concurrently with the issuance of the 2022 Notes,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June 30, 2012, no amounts had been borrowed under the Wynn Las Vegas Credit Agreement. We had $15.8 million of outstanding letters of credit that reduce availability for borrowing under the Wynn Las Vegas Credit Agreement. We had availability of $84.2 million under the Wynn Las Vegas Credit Agreement as of June 30,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noted above, in March 2012, we issued the 2022 Notes, repaid all amounts outstanding under the term loan facilities totaling $370.9 million and reduced our revolving facilities to $100 million. In June 2012, the Wynn Las Vegas interest rate swap was terminated as described herein. There have been no other material changes during the quarter to our contractual obligations or off-balance sheet arrangements as disclosed in our Annual Report on Form 10-K for the year ended December 31,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restricted under the indentures governing the Existing Notes and the 2022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Wynn Las Vegas Credit Agreement contains similar restrictions.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intend to fund our operations and capital requirements from cash on hand, operating cash flow and availability under our credit facilities.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 Certain legal matters may also impact our liquidity. See Notes to Condensed Consolidated Financial Statements, Note 10 — “Commitments and Contingencies”.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2011. There have been no material changes to these policies for the six months ended June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June 2012, we terminated our only outstanding interest rate swap agreement for a payment of $2.4 million. This interest rate swap was intended to hedge a portion of the underlying interest rate risk on borrowings under the Wynn Las Vegas Credit Agreement. Under this swap agreement, we paid a fixed interest rate of 2.485% on borrowings of $250 million incurred under the Wynn Las Vegas Credit Agreement in exchange for receipts on the same amount at a variable interest rate based on the applicable LIBOR at the time of payment. This interest rate swap fixed the interest rate on $250 million of borrowings under the Wynn Las Vegas Credit Agreement at approximately 5.485%. Changes in the fair value of this interest rate swap prior to termination were recorded as an increase (decrease) in swap fair value in our Condensed Consolidated Statements of Operations and Comprehensive Loss as the swap did not qualify for hedge accounting.</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our long-term debt was essentially based on fixed rates, including the notional amount of our swap.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2011. Except as noted below, there were no material changes to those risk factors during the six months ended June 30, 2012.</w:t>
      </w:r>
    </w:p>
    <w:p>
      <w:pPr>
        <w:spacing w:after="0" w:line="2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r>
        <w:rPr>
          <w:rFonts w:ascii="Arial" w:cs="Arial" w:eastAsia="Arial" w:hAnsi="Arial"/>
          <w:sz w:val="18"/>
          <w:szCs w:val="18"/>
          <w:i w:val="1"/>
          <w:iCs w:val="1"/>
          <w:color w:val="auto"/>
        </w:rPr>
        <w:t>.</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Existing Notes and the 2022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16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40" w:type="dxa"/>
            <w:vAlign w:val="bottom"/>
          </w:tcPr>
          <w:p>
            <w:pPr>
              <w:spacing w:after="0"/>
              <w:rPr>
                <w:sz w:val="24"/>
                <w:szCs w:val="24"/>
                <w:color w:val="auto"/>
              </w:rPr>
            </w:pPr>
          </w:p>
        </w:tc>
      </w:tr>
      <w:tr>
        <w:trPr>
          <w:trHeight w:val="316"/>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89"/>
              </w:rPr>
              <w:t>First Amendment to Amended and Restated Agreement of Lease, dated as of April 9, 2012, by and between Wynn Las Vegas, LLC and</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Stephen A. Wynn. (2)</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*10.2</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90"/>
              </w:rPr>
              <w:t>Employment Agreement, dated January 10, 2012, effective April 20, 2012, by and between Wynn Las Vegas, LLC and Scott Peterson.</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89"/>
              </w:rPr>
              <w:t>The following financial information from the Company’s Quarterly Report on Form 10-Q for the three months ended June 30, 2012, filed</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95"/>
              </w:rPr>
              <w:t>with the SEC on August 9, 2012 formatted in Extensible Business Reporting Language (XBRL): (i) the Condensed Consolidated</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91"/>
              </w:rPr>
              <w:t>Statements of Operations and Comprehensive Loss for the three and six months ended June 30, 2012 and 2011, (ii) the Condensed</w:t>
            </w:r>
          </w:p>
        </w:tc>
      </w:tr>
    </w:tbl>
    <w:p>
      <w:pPr>
        <w:ind w:left="1660"/>
        <w:spacing w:after="0" w:line="323" w:lineRule="auto"/>
        <w:rPr>
          <w:sz w:val="20"/>
          <w:szCs w:val="20"/>
          <w:color w:val="auto"/>
        </w:rPr>
      </w:pPr>
      <w:r>
        <w:rPr>
          <w:rFonts w:ascii="Arial" w:cs="Arial" w:eastAsia="Arial" w:hAnsi="Arial"/>
          <w:sz w:val="16"/>
          <w:szCs w:val="16"/>
          <w:color w:val="auto"/>
        </w:rPr>
        <w:t>Consolidated Balance Sheets at June 30, 2012 and December 31, 2011, (iii) the Condensed Consolidated Statements of Cash Flows for the six months ended June 30, 2012 and 2011,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1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63" w:lineRule="exact"/>
        <w:rPr>
          <w:sz w:val="20"/>
          <w:szCs w:val="20"/>
          <w:color w:val="auto"/>
        </w:rPr>
      </w:pPr>
    </w:p>
    <w:p>
      <w:pPr>
        <w:ind w:left="460" w:right="1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Form 8-K filed by the Registrant on April 12, 2012 and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 LLC</w:t>
      </w:r>
    </w:p>
    <w:p>
      <w:pPr>
        <w:spacing w:after="0" w:line="339" w:lineRule="exact"/>
        <w:rPr>
          <w:sz w:val="20"/>
          <w:szCs w:val="20"/>
          <w:color w:val="auto"/>
        </w:rPr>
      </w:pPr>
    </w:p>
    <w:p>
      <w:pPr>
        <w:spacing w:after="0"/>
        <w:tabs>
          <w:tab w:leader="none" w:pos="5480" w:val="left"/>
          <w:tab w:leader="none" w:pos="7840" w:val="left"/>
          <w:tab w:leader="none" w:pos="8200" w:val="left"/>
        </w:tabs>
        <w:rPr>
          <w:sz w:val="20"/>
          <w:szCs w:val="20"/>
          <w:color w:val="auto"/>
        </w:rPr>
      </w:pPr>
      <w:r>
        <w:rPr>
          <w:rFonts w:ascii="Arial" w:cs="Arial" w:eastAsia="Arial" w:hAnsi="Arial"/>
          <w:sz w:val="18"/>
          <w:szCs w:val="18"/>
          <w:color w:val="auto"/>
        </w:rPr>
        <w:t>Dated: August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6"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-94615</wp:posOffset>
            </wp:positionV>
            <wp:extent cx="3542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500"/>
        <w:spacing w:after="0" w:line="221" w:lineRule="auto"/>
        <w:rPr>
          <w:sz w:val="20"/>
          <w:szCs w:val="20"/>
          <w:color w:val="auto"/>
        </w:rPr>
      </w:pPr>
      <w:r>
        <w:rPr>
          <w:rFonts w:ascii="Arial" w:cs="Arial" w:eastAsia="Arial" w:hAnsi="Arial"/>
          <w:sz w:val="14"/>
          <w:szCs w:val="14"/>
          <w:b w:val="1"/>
          <w:bCs w:val="1"/>
          <w:color w:val="auto"/>
        </w:rPr>
        <w:t>Senior Vice President and</w:t>
      </w:r>
    </w:p>
    <w:p>
      <w:pPr>
        <w:jc w:val="center"/>
        <w:ind w:left="550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550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40"/>
          </w:cols>
          <w:pgMar w:left="240" w:top="459" w:right="11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10</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2012, by and between</w:t>
      </w:r>
      <w:r>
        <w:rPr>
          <w:rFonts w:ascii="Arial" w:cs="Arial" w:eastAsia="Arial" w:hAnsi="Arial"/>
          <w:sz w:val="18"/>
          <w:szCs w:val="18"/>
          <w:b w:val="1"/>
          <w:bCs w:val="1"/>
          <w:color w:val="auto"/>
        </w:rPr>
        <w:t xml:space="preserve"> WYNN LAS VEGAS,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SCOTT PETERSON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3131 Las Vegas Boulevard South, Las Vegas, Nevada 89109, and is engaged in the business of developing, owning and operating a casino resort at such place of business;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in furtherance of its business, Employer has need of qualified, experienced personnel; and,</w:t>
      </w:r>
    </w:p>
    <w:p>
      <w:pPr>
        <w:spacing w:after="0" w:line="165" w:lineRule="exact"/>
        <w:rPr>
          <w:sz w:val="20"/>
          <w:szCs w:val="20"/>
          <w:color w:val="auto"/>
        </w:rPr>
      </w:pPr>
    </w:p>
    <w:p>
      <w:pPr>
        <w:jc w:val="both"/>
        <w:ind w:right="5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currently serves as Senior Vice President and Chief Financial Officer of Employer pursuant to the terms of an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May 5, 2009 (the “</w:t>
      </w:r>
      <w:r>
        <w:rPr>
          <w:rFonts w:ascii="Arial" w:cs="Arial" w:eastAsia="Arial" w:hAnsi="Arial"/>
          <w:sz w:val="18"/>
          <w:szCs w:val="18"/>
          <w:b w:val="1"/>
          <w:bCs w:val="1"/>
          <w:color w:val="auto"/>
        </w:rPr>
        <w:t>Prior Agreement</w:t>
      </w:r>
      <w:r>
        <w:rPr>
          <w:rFonts w:ascii="Arial" w:cs="Arial" w:eastAsia="Arial" w:hAnsi="Arial"/>
          <w:sz w:val="18"/>
          <w:szCs w:val="18"/>
          <w:color w:val="auto"/>
        </w:rPr>
        <w:t>”); and</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Prior Agreement terminates by its terms as of April 20, 2012, and Employee and Employer desire to enter into this Agreement to ensure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continued employment of Employee by Employer; and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residing at XXXX XXXXXXXXX XXXXX; and,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32"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40" w:lineRule="exact"/>
        <w:rPr>
          <w:sz w:val="20"/>
          <w:szCs w:val="20"/>
          <w:color w:val="auto"/>
        </w:rPr>
      </w:pPr>
    </w:p>
    <w:p>
      <w:pPr>
        <w:ind w:right="200" w:firstLine="464"/>
        <w:spacing w:after="0" w:line="268" w:lineRule="auto"/>
        <w:tabs>
          <w:tab w:leader="none" w:pos="632"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44" w:lineRule="exact"/>
        <w:rPr>
          <w:rFonts w:ascii="Arial" w:cs="Arial" w:eastAsia="Arial" w:hAnsi="Arial"/>
          <w:sz w:val="18"/>
          <w:szCs w:val="18"/>
          <w:b w:val="1"/>
          <w:bCs w:val="1"/>
          <w:i w:val="1"/>
          <w:iCs w:val="1"/>
          <w:color w:val="auto"/>
        </w:rPr>
      </w:pPr>
    </w:p>
    <w:p>
      <w:pPr>
        <w:ind w:left="460" w:right="60" w:firstLine="443"/>
        <w:spacing w:after="0" w:line="254" w:lineRule="auto"/>
        <w:tabs>
          <w:tab w:leader="none" w:pos="11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ectPr>
          <w:pgSz w:w="11900" w:h="16838" w:orient="portrait"/>
          <w:cols w:equalWidth="0" w:num="1">
            <w:col w:w="11420"/>
          </w:cols>
          <w:pgMar w:left="240" w:top="125" w:right="239" w:bottom="1440" w:gutter="0" w:footer="0" w:header="0"/>
        </w:sectPr>
      </w:pPr>
    </w:p>
    <w:bookmarkStart w:id="38" w:name="page39"/>
    <w:bookmarkEnd w:id="38"/>
    <w:p>
      <w:pPr>
        <w:ind w:left="700" w:hanging="25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Section 5 hereof).</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96" w:lineRule="exact"/>
        <w:rPr>
          <w:rFonts w:ascii="Arial" w:cs="Arial" w:eastAsia="Arial" w:hAnsi="Arial"/>
          <w:sz w:val="18"/>
          <w:szCs w:val="18"/>
          <w:color w:val="auto"/>
        </w:rPr>
      </w:pPr>
    </w:p>
    <w:p>
      <w:pPr>
        <w:ind w:left="460" w:firstLine="421"/>
        <w:spacing w:after="0" w:line="268" w:lineRule="auto"/>
        <w:tabs>
          <w:tab w:leader="none" w:pos="10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Employee’s inability or failure to secure and/or maintain any licenses or permits required by government agencies with jurisdiction over the business of Employer or its Affiliate;</w:t>
      </w:r>
    </w:p>
    <w:p>
      <w:pPr>
        <w:spacing w:after="0" w:line="50" w:lineRule="exact"/>
        <w:rPr>
          <w:rFonts w:ascii="Arial" w:cs="Arial" w:eastAsia="Arial" w:hAnsi="Arial"/>
          <w:sz w:val="18"/>
          <w:szCs w:val="18"/>
          <w:color w:val="auto"/>
        </w:rPr>
      </w:pPr>
    </w:p>
    <w:p>
      <w:pPr>
        <w:ind w:left="1140" w:hanging="259"/>
        <w:spacing w:after="0"/>
        <w:tabs>
          <w:tab w:leader="none" w:pos="11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its Affiliate having a material value to Employer or such Affiliate;</w:t>
      </w:r>
    </w:p>
    <w:p>
      <w:pPr>
        <w:spacing w:after="0" w:line="113" w:lineRule="exact"/>
        <w:rPr>
          <w:rFonts w:ascii="Arial" w:cs="Arial" w:eastAsia="Arial" w:hAnsi="Arial"/>
          <w:sz w:val="16"/>
          <w:szCs w:val="16"/>
          <w:color w:val="auto"/>
        </w:rPr>
      </w:pPr>
    </w:p>
    <w:p>
      <w:pPr>
        <w:ind w:left="460" w:right="360" w:firstLine="421"/>
        <w:spacing w:after="0" w:line="268" w:lineRule="auto"/>
        <w:tabs>
          <w:tab w:leader="none" w:pos="11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fraud, embezzlement, theft, or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in any manner whatsoever to Employer or its Affiliate or their business);</w:t>
      </w:r>
    </w:p>
    <w:p>
      <w:pPr>
        <w:spacing w:after="0" w:line="50" w:lineRule="exact"/>
        <w:rPr>
          <w:rFonts w:ascii="Arial" w:cs="Arial" w:eastAsia="Arial" w:hAnsi="Arial"/>
          <w:sz w:val="18"/>
          <w:szCs w:val="18"/>
          <w:color w:val="auto"/>
        </w:rPr>
      </w:pPr>
    </w:p>
    <w:p>
      <w:pPr>
        <w:ind w:left="460" w:firstLine="421"/>
        <w:spacing w:after="0" w:line="259" w:lineRule="auto"/>
        <w:tabs>
          <w:tab w:leader="none" w:pos="11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Employee’s conviction of or entering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crime constituting a felony or any misdemeanor involving fraud, dishonesty or moral turpitude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in any manner whatsoever to Employer or its Affiliate of their business);</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Employee’s breach of this Agreement;</w:t>
      </w:r>
    </w:p>
    <w:p>
      <w:pPr>
        <w:spacing w:after="0" w:line="90" w:lineRule="exact"/>
        <w:rPr>
          <w:rFonts w:ascii="Arial" w:cs="Arial" w:eastAsia="Arial" w:hAnsi="Arial"/>
          <w:sz w:val="18"/>
          <w:szCs w:val="18"/>
          <w:color w:val="auto"/>
        </w:rPr>
      </w:pPr>
    </w:p>
    <w:p>
      <w:pPr>
        <w:ind w:left="460" w:right="220" w:firstLine="421"/>
        <w:spacing w:after="0" w:line="268" w:lineRule="auto"/>
        <w:tabs>
          <w:tab w:leader="none" w:pos="11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Employee’s neglect, refusal, or failure to discharge Employee’s duties (other than due to physical or mental illness) commensurate with Employee’s title and function, or Employee’s failure to comply with the lawful directions of Employer;</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Employee’s failure or refusal to perform Employee’s duties within the expectations of Employer or its Affiliate;</w:t>
      </w:r>
    </w:p>
    <w:p>
      <w:pPr>
        <w:spacing w:after="0" w:line="90" w:lineRule="exact"/>
        <w:rPr>
          <w:rFonts w:ascii="Arial" w:cs="Arial" w:eastAsia="Arial" w:hAnsi="Arial"/>
          <w:sz w:val="18"/>
          <w:szCs w:val="18"/>
          <w:color w:val="auto"/>
        </w:rPr>
      </w:pPr>
    </w:p>
    <w:p>
      <w:pPr>
        <w:ind w:left="1280" w:hanging="399"/>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knowing misrepresentation to Employer;</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failure to follow a policy or procedure of Employer or its Affiliate;</w:t>
      </w:r>
    </w:p>
    <w:p>
      <w:pPr>
        <w:spacing w:after="0" w:line="90" w:lineRule="exact"/>
        <w:rPr>
          <w:rFonts w:ascii="Arial" w:cs="Arial" w:eastAsia="Arial" w:hAnsi="Arial"/>
          <w:sz w:val="18"/>
          <w:szCs w:val="18"/>
          <w:color w:val="auto"/>
        </w:rPr>
      </w:pPr>
    </w:p>
    <w:p>
      <w:pPr>
        <w:ind w:left="460" w:right="140" w:firstLine="421"/>
        <w:spacing w:after="0" w:line="268" w:lineRule="auto"/>
        <w:tabs>
          <w:tab w:leader="none" w:pos="11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Employee’s violation of a statute, regulation or common law, whether federal, state or local, which applies to and/or governs the business of Employer or its Affiliate;</w:t>
      </w:r>
    </w:p>
    <w:p>
      <w:pPr>
        <w:spacing w:after="0" w:line="50" w:lineRule="exact"/>
        <w:rPr>
          <w:rFonts w:ascii="Arial" w:cs="Arial" w:eastAsia="Arial" w:hAnsi="Arial"/>
          <w:sz w:val="18"/>
          <w:szCs w:val="18"/>
          <w:color w:val="auto"/>
        </w:rPr>
      </w:pPr>
    </w:p>
    <w:p>
      <w:pPr>
        <w:ind w:left="460" w:right="60" w:firstLine="421"/>
        <w:spacing w:after="0" w:line="268" w:lineRule="auto"/>
        <w:tabs>
          <w:tab w:leader="none" w:pos="11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Employee’s breach of a statutory or common law duty of loyalty or fiduciary duty to Employer or its Affiliate including but not limited to Employer’s conflict of interest policy; or</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conduct by Employee which adversely and materially reflects upon the business, affairs or reputation of Employer and its affiliate,</w:t>
      </w:r>
    </w:p>
    <w:p>
      <w:pPr>
        <w:spacing w:after="0" w:line="113"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complete disability due to illness or accident or any other mental or physical incapacity shall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“Cause” as defined herein.</w:t>
      </w:r>
    </w:p>
    <w:p>
      <w:pPr>
        <w:spacing w:after="0" w:line="45" w:lineRule="exact"/>
        <w:rPr>
          <w:sz w:val="20"/>
          <w:szCs w:val="20"/>
          <w:color w:val="auto"/>
        </w:rPr>
      </w:pPr>
    </w:p>
    <w:p>
      <w:pPr>
        <w:ind w:right="800" w:firstLine="443"/>
        <w:spacing w:after="0" w:line="334" w:lineRule="auto"/>
        <w:tabs>
          <w:tab w:leader="none" w:pos="6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Complete Disability</w:t>
      </w:r>
      <w:r>
        <w:rPr>
          <w:rFonts w:ascii="Arial" w:cs="Arial" w:eastAsia="Arial" w:hAnsi="Arial"/>
          <w:sz w:val="16"/>
          <w:szCs w:val="16"/>
          <w:color w:val="auto"/>
        </w:rPr>
        <w:t>” - means the inability of Employee, due to illness or accident or other mental or physical incapacity, to perform Employee’s obligations under this Agreement for a period as defined by Employer’s local disability plan or plans.</w:t>
      </w:r>
    </w:p>
    <w:p>
      <w:pPr>
        <w:spacing w:after="0" w:line="1" w:lineRule="exact"/>
        <w:rPr>
          <w:rFonts w:ascii="Arial" w:cs="Arial" w:eastAsia="Arial" w:hAnsi="Arial"/>
          <w:sz w:val="16"/>
          <w:szCs w:val="16"/>
          <w:color w:val="auto"/>
        </w:rPr>
      </w:pPr>
    </w:p>
    <w:p>
      <w:pPr>
        <w:ind w:right="40" w:firstLine="443"/>
        <w:spacing w:after="0" w:line="290" w:lineRule="auto"/>
        <w:tabs>
          <w:tab w:leader="none" w:pos="6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74" w:right="279" w:bottom="1440" w:gutter="0" w:footer="0" w:header="0"/>
        </w:sectPr>
      </w:pPr>
    </w:p>
    <w:bookmarkStart w:id="39" w:name="page40"/>
    <w:bookmarkEnd w:id="39"/>
    <w:p>
      <w:pPr>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53" w:lineRule="exact"/>
        <w:rPr>
          <w:sz w:val="20"/>
          <w:szCs w:val="20"/>
          <w:color w:val="auto"/>
        </w:rPr>
      </w:pPr>
    </w:p>
    <w:p>
      <w:pPr>
        <w:ind w:left="1120" w:hanging="217"/>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April 20, 2012.</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Original Hire Date</w:t>
      </w:r>
      <w:r>
        <w:rPr>
          <w:rFonts w:ascii="Arial" w:cs="Arial" w:eastAsia="Arial" w:hAnsi="Arial"/>
          <w:sz w:val="18"/>
          <w:szCs w:val="18"/>
          <w:color w:val="auto"/>
        </w:rPr>
        <w:t>” – means April 5, 1993.</w:t>
      </w:r>
    </w:p>
    <w:p>
      <w:pPr>
        <w:spacing w:after="0" w:line="90"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57" w:lineRule="exact"/>
        <w:rPr>
          <w:rFonts w:ascii="Arial" w:cs="Arial" w:eastAsia="Arial" w:hAnsi="Arial"/>
          <w:sz w:val="18"/>
          <w:szCs w:val="18"/>
          <w:color w:val="auto"/>
        </w:rPr>
      </w:pPr>
    </w:p>
    <w:p>
      <w:pPr>
        <w:ind w:left="460" w:right="80" w:firstLine="443"/>
        <w:spacing w:after="0" w:line="296" w:lineRule="auto"/>
        <w:tabs>
          <w:tab w:leader="none" w:pos="11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of Authorship</w:t>
      </w:r>
      <w:r>
        <w:rPr>
          <w:rFonts w:ascii="Arial" w:cs="Arial" w:eastAsia="Arial" w:hAnsi="Arial"/>
          <w:sz w:val="16"/>
          <w:szCs w:val="16"/>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13" w:lineRule="exact"/>
        <w:rPr>
          <w:rFonts w:ascii="Arial" w:cs="Arial" w:eastAsia="Arial" w:hAnsi="Arial"/>
          <w:sz w:val="16"/>
          <w:szCs w:val="16"/>
          <w:color w:val="auto"/>
        </w:rPr>
      </w:pPr>
    </w:p>
    <w:p>
      <w:pPr>
        <w:ind w:firstLine="464"/>
        <w:spacing w:after="0" w:line="294" w:lineRule="auto"/>
        <w:tabs>
          <w:tab w:leader="none" w:pos="632"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 / TERMINATION OF PRIOR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forth, 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the Effective Date, this Agreement supersedes and replaces any and all prior employment agreements (including, but not limited to, the Prior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43" w:lineRule="exact"/>
        <w:rPr>
          <w:sz w:val="20"/>
          <w:szCs w:val="20"/>
          <w:color w:val="auto"/>
        </w:rPr>
      </w:pPr>
    </w:p>
    <w:p>
      <w:pPr>
        <w:ind w:right="200" w:firstLine="464"/>
        <w:spacing w:after="0" w:line="290" w:lineRule="auto"/>
        <w:tabs>
          <w:tab w:leader="none" w:pos="632"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Senior Vice President and Chief Financial Officer </w:t>
      </w:r>
      <w:r>
        <w:rPr>
          <w:rFonts w:ascii="Arial" w:cs="Arial" w:eastAsia="Arial" w:hAnsi="Arial"/>
          <w:sz w:val="16"/>
          <w:szCs w:val="16"/>
          <w:color w:val="auto"/>
        </w:rPr>
        <w:t>for Employer or such similar duties as may be assigned to Employee by Employer as Employer may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Employee’s duties shall include, but not be limited to: (i) the efficient and continuous operation of Employer and its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0" w:name="page41"/>
    <w:bookmarkEnd w:id="40"/>
    <w:p>
      <w:pPr>
        <w:ind w:right="140" w:firstLine="464"/>
        <w:spacing w:after="0" w:line="255" w:lineRule="auto"/>
        <w:tabs>
          <w:tab w:leader="none" w:pos="632"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36" w:lineRule="exact"/>
        <w:rPr>
          <w:rFonts w:ascii="Arial" w:cs="Arial" w:eastAsia="Arial" w:hAnsi="Arial"/>
          <w:sz w:val="18"/>
          <w:szCs w:val="18"/>
          <w:b w:val="1"/>
          <w:bCs w:val="1"/>
          <w:i w:val="1"/>
          <w:iCs w:val="1"/>
          <w:color w:val="auto"/>
        </w:rPr>
      </w:pPr>
    </w:p>
    <w:p>
      <w:pPr>
        <w:ind w:right="120" w:firstLine="464"/>
        <w:spacing w:after="0" w:line="293" w:lineRule="auto"/>
        <w:tabs>
          <w:tab w:leader="none" w:pos="632" w:val="left"/>
        </w:tabs>
        <w:numPr>
          <w:ilvl w:val="0"/>
          <w:numId w:val="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sooner terminated as provided in this Agreement,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consist of three years commencing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Effective Date of this Agreement and terminating on the third Anniversary of the Effective Date at which time the terms of this Agreement shall expire and shall not apply to any continued employment of Employee by Employer, except for those obligations under Paragraphs 9 and 10.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 with Employee’s resignation from Employer or upon the termination of Employee’s employment with Employer, Employee agrees to resign, and shall be deemed to have resigned, all other positions (including but not limited to board of director memberships) that Employee may have held immediately prior to Employee’s resignation or termination.</w:t>
      </w:r>
    </w:p>
    <w:p>
      <w:pPr>
        <w:spacing w:after="0" w:line="13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 Section 5, this Agreement shall terminate upon the occurrence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events:</w:t>
      </w:r>
    </w:p>
    <w:p>
      <w:pPr>
        <w:spacing w:after="0" w:line="45" w:lineRule="exact"/>
        <w:rPr>
          <w:sz w:val="20"/>
          <w:szCs w:val="20"/>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113" w:lineRule="exact"/>
        <w:rPr>
          <w:rFonts w:ascii="Arial" w:cs="Arial" w:eastAsia="Arial" w:hAnsi="Arial"/>
          <w:sz w:val="16"/>
          <w:szCs w:val="16"/>
          <w:color w:val="auto"/>
        </w:rPr>
      </w:pPr>
    </w:p>
    <w:p>
      <w:pPr>
        <w:ind w:left="460" w:right="800" w:firstLine="443"/>
        <w:spacing w:after="0" w:line="332" w:lineRule="auto"/>
        <w:tabs>
          <w:tab w:leader="none" w:pos="113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 (Employer’s right to terminate for Cause (as defined in Section 1(c) shall survive the expiration of this Agreement);</w:t>
      </w:r>
    </w:p>
    <w:p>
      <w:pPr>
        <w:spacing w:after="0" w:line="4"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w:t>
      </w:r>
    </w:p>
    <w:p>
      <w:pPr>
        <w:spacing w:after="0" w:line="4" w:lineRule="exact"/>
        <w:rPr>
          <w:rFonts w:ascii="Arial" w:cs="Arial" w:eastAsia="Arial" w:hAnsi="Arial"/>
          <w:sz w:val="16"/>
          <w:szCs w:val="16"/>
          <w:color w:val="auto"/>
        </w:rPr>
      </w:pPr>
    </w:p>
    <w:p>
      <w:pPr>
        <w:ind w:left="460" w:right="300" w:firstLine="443"/>
        <w:spacing w:after="0" w:line="256" w:lineRule="auto"/>
        <w:tabs>
          <w:tab w:leader="none" w:pos="11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upon a material breach of this Agreement by Employer, which material breach remains uncured for a period of thirty (30) days after the giving of such notice. “Material breach” under this Section 6(e) shall not be construed to include temporary suspension of the Employee from duty, pursuant to Employer’s policy, pending investigation by Employer of any incident or occurrence that could give rise to discipline or termination of employment; or</w:t>
      </w:r>
    </w:p>
    <w:p>
      <w:pPr>
        <w:spacing w:after="0" w:line="62" w:lineRule="exact"/>
        <w:rPr>
          <w:rFonts w:ascii="Arial" w:cs="Arial" w:eastAsia="Arial" w:hAnsi="Arial"/>
          <w:sz w:val="18"/>
          <w:szCs w:val="18"/>
          <w:color w:val="auto"/>
        </w:rPr>
      </w:pPr>
    </w:p>
    <w:p>
      <w:pPr>
        <w:ind w:left="460" w:right="100" w:firstLine="443"/>
        <w:spacing w:after="0" w:line="289" w:lineRule="auto"/>
        <w:tabs>
          <w:tab w:leader="none" w:pos="111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giving of written two week notice by Employer to Employee of Employer’s intention to terminate this Agreement Without Cause for any reason deemed sufficient by Employer at the end of such two week period. During such two week notice period, Employer shall be permitted to reduce Employee’s responsibilities and time commitment to Employer; provided however, Employer may not reduce Employee’s salary or benefits during such two-week period. At the end of such two week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two week period. If Employee elects to resign in lieu of termination, Employee must exercise this option in writing within 72 hours of receipt of the Employer’s notice of intention to terminate the Agreement Without Cause. Employee’s written resignation in lieu of termination must be transmitted to Employer by email or hand delivery. In the event Employee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1" w:name="page42"/>
    <w:bookmarkEnd w:id="41"/>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elects to resign pursuant to this Section 6(f), Employer’s sole liability to Employee shall be continued payment of Employee’s Base Salary for 12 months from the effective date of resignation calculated at the rate in force on the effective date of termination, and paid according to the usual payroll schedule in force for all employees of Employer less deductions of all applicable taxes and withholdings.</w:t>
      </w:r>
    </w:p>
    <w:p>
      <w:pPr>
        <w:spacing w:after="0" w:line="140"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 the event of a termination of this Agreement pursuant to the provisions of Subsection 6(a), (b), (c), or (d),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It is expressly acknowledged and agreed that the decision as to whether “Cause” exists for termination of the employment relationship by Employer is delegated to the Employer’s President. If Employee disagrees with the decision reached by Employer’s President, any dispute as to the “Cause” determination will be limited to whether Employer’s President reached his/her decision in good faith, based upon facts reasonably believed by Employer’s President to be true, and not for any arbitrary, capricious or illegal reason,. This shall be the standard applied by any fact finder, and Employee shall bear the burden to prove that “Cause,” under this standard, did not exist.</w:t>
      </w:r>
    </w:p>
    <w:p>
      <w:pPr>
        <w:spacing w:after="0" w:line="143" w:lineRule="exact"/>
        <w:rPr>
          <w:sz w:val="20"/>
          <w:szCs w:val="20"/>
          <w:color w:val="auto"/>
        </w:rPr>
      </w:pPr>
    </w:p>
    <w:p>
      <w:pPr>
        <w:ind w:right="220" w:firstLine="464"/>
        <w:spacing w:after="0" w:line="259" w:lineRule="auto"/>
        <w:tabs>
          <w:tab w:leader="none" w:pos="632"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53" w:lineRule="exact"/>
        <w:rPr>
          <w:rFonts w:ascii="Arial" w:cs="Arial" w:eastAsia="Arial" w:hAnsi="Arial"/>
          <w:sz w:val="18"/>
          <w:szCs w:val="18"/>
          <w:b w:val="1"/>
          <w:bCs w:val="1"/>
          <w:i w:val="1"/>
          <w:iCs w:val="1"/>
          <w:color w:val="auto"/>
        </w:rPr>
      </w:pPr>
    </w:p>
    <w:p>
      <w:pPr>
        <w:ind w:left="460" w:right="40" w:firstLine="443"/>
        <w:spacing w:after="0" w:line="293" w:lineRule="auto"/>
        <w:tabs>
          <w:tab w:leader="none" w:pos="1137"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Four Hundred Fifty Thousand Dollars ($450,000.00) per annum, payable in such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w:t>
      </w:r>
    </w:p>
    <w:p>
      <w:pPr>
        <w:spacing w:after="0" w:line="29" w:lineRule="exact"/>
        <w:rPr>
          <w:rFonts w:ascii="Arial" w:cs="Arial" w:eastAsia="Arial" w:hAnsi="Arial"/>
          <w:sz w:val="16"/>
          <w:szCs w:val="16"/>
          <w:color w:val="auto"/>
        </w:rPr>
      </w:pPr>
    </w:p>
    <w:p>
      <w:pPr>
        <w:ind w:left="460" w:right="360" w:firstLine="443"/>
        <w:spacing w:after="0" w:line="334" w:lineRule="auto"/>
        <w:tabs>
          <w:tab w:leader="none" w:pos="1147"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Bonus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will be eligible to receive a bonus at such times and in such amounts as Employer in its sole and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may determine. Employer retains the discretion to adopt, amend or terminate any bonus plan at any time.</w:t>
      </w:r>
    </w:p>
    <w:p>
      <w:pPr>
        <w:spacing w:after="0" w:line="1" w:lineRule="exact"/>
        <w:rPr>
          <w:rFonts w:ascii="Arial" w:cs="Arial" w:eastAsia="Arial" w:hAnsi="Arial"/>
          <w:sz w:val="16"/>
          <w:szCs w:val="16"/>
          <w:color w:val="auto"/>
        </w:rPr>
      </w:pPr>
    </w:p>
    <w:p>
      <w:pPr>
        <w:ind w:left="460" w:firstLine="443"/>
        <w:spacing w:after="0" w:line="296" w:lineRule="auto"/>
        <w:tabs>
          <w:tab w:leader="none" w:pos="1137"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color w:val="auto"/>
        </w:rPr>
        <w:t>. 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retirement plan, disability or life insurance plan, medical and/or hospitalization plan, and any other benefit plan which may be placed in effect by Employer or any of its Affiliates and generally available to Employer’s employees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w:t>
      </w:r>
    </w:p>
    <w:p>
      <w:pPr>
        <w:spacing w:after="0" w:line="26" w:lineRule="exact"/>
        <w:rPr>
          <w:rFonts w:ascii="Arial" w:cs="Arial" w:eastAsia="Arial" w:hAnsi="Arial"/>
          <w:sz w:val="16"/>
          <w:szCs w:val="16"/>
          <w:color w:val="auto"/>
        </w:rPr>
      </w:pPr>
    </w:p>
    <w:p>
      <w:pPr>
        <w:ind w:left="460" w:right="60" w:firstLine="443"/>
        <w:spacing w:after="0" w:line="301" w:lineRule="auto"/>
        <w:tabs>
          <w:tab w:leader="none" w:pos="1147"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 Reimbursement</w:t>
      </w:r>
      <w:r>
        <w:rPr>
          <w:rFonts w:ascii="Arial" w:cs="Arial" w:eastAsia="Arial" w:hAnsi="Arial"/>
          <w:sz w:val="16"/>
          <w:szCs w:val="16"/>
          <w:color w:val="auto"/>
        </w:rPr>
        <w:t>. During the Term and provided the same are authorized in advance by Employer, Employer shall either pay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22" w:lineRule="exact"/>
        <w:rPr>
          <w:rFonts w:ascii="Arial" w:cs="Arial" w:eastAsia="Arial" w:hAnsi="Arial"/>
          <w:sz w:val="16"/>
          <w:szCs w:val="16"/>
          <w:color w:val="auto"/>
        </w:rPr>
      </w:pPr>
    </w:p>
    <w:p>
      <w:pPr>
        <w:ind w:left="1140" w:hanging="237"/>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Original Hire Date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Original Hire Date shall be used for determining vacation and other benefits.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2" w:name="page43"/>
    <w:bookmarkEnd w:id="42"/>
    <w:p>
      <w:pPr>
        <w:jc w:val="both"/>
        <w:ind w:firstLine="443"/>
        <w:spacing w:after="0" w:line="258" w:lineRule="auto"/>
        <w:tabs>
          <w:tab w:leader="none" w:pos="657" w:val="left"/>
        </w:tabs>
        <w:numPr>
          <w:ilvl w:val="1"/>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of this Agreement, Employee shall be entitled to (i) annual paid vacation leave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Employer’s standard policy, but in no event less than three weeks each year of the Term, to be taken at such times as selected by Employee and approved by Employer, and (ii) paid holidays (or, at Employer’s option, an equivalent number of paid days off) in accordance with Employer’s standard policy.</w:t>
      </w:r>
    </w:p>
    <w:p>
      <w:pPr>
        <w:spacing w:after="0" w:line="55" w:lineRule="exact"/>
        <w:rPr>
          <w:rFonts w:ascii="Arial" w:cs="Arial" w:eastAsia="Arial" w:hAnsi="Arial"/>
          <w:sz w:val="18"/>
          <w:szCs w:val="18"/>
          <w:color w:val="auto"/>
        </w:rPr>
      </w:pPr>
    </w:p>
    <w:p>
      <w:pPr>
        <w:jc w:val="both"/>
        <w:ind w:right="100" w:firstLine="443"/>
        <w:spacing w:after="0" w:line="301" w:lineRule="auto"/>
        <w:tabs>
          <w:tab w:leader="none" w:pos="687"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 Term Incentive Award</w:t>
      </w:r>
      <w:r>
        <w:rPr>
          <w:rFonts w:ascii="Arial" w:cs="Arial" w:eastAsia="Arial" w:hAnsi="Arial"/>
          <w:sz w:val="16"/>
          <w:szCs w:val="16"/>
          <w:color w:val="auto"/>
        </w:rPr>
        <w:t>. Management of the Employer shall recommend to the Compensation Committee that Employee receive a long</w:t>
      </w:r>
      <w:r>
        <w:rPr>
          <w:rFonts w:ascii="Arial" w:cs="Arial" w:eastAsia="Arial" w:hAnsi="Arial"/>
          <w:sz w:val="16"/>
          <w:szCs w:val="16"/>
          <w:b w:val="1"/>
          <w:bCs w:val="1"/>
          <w:color w:val="auto"/>
        </w:rPr>
        <w:t xml:space="preserve"> </w:t>
      </w:r>
      <w:r>
        <w:rPr>
          <w:rFonts w:ascii="Arial" w:cs="Arial" w:eastAsia="Arial" w:hAnsi="Arial"/>
          <w:sz w:val="16"/>
          <w:szCs w:val="16"/>
          <w:color w:val="auto"/>
        </w:rPr>
        <w:t>term incentive award in the amount of $900,000 (the “</w:t>
      </w:r>
      <w:r>
        <w:rPr>
          <w:rFonts w:ascii="Arial" w:cs="Arial" w:eastAsia="Arial" w:hAnsi="Arial"/>
          <w:sz w:val="16"/>
          <w:szCs w:val="16"/>
          <w:b w:val="1"/>
          <w:bCs w:val="1"/>
          <w:color w:val="auto"/>
        </w:rPr>
        <w:t>Award</w:t>
      </w:r>
      <w:r>
        <w:rPr>
          <w:rFonts w:ascii="Arial" w:cs="Arial" w:eastAsia="Arial" w:hAnsi="Arial"/>
          <w:sz w:val="16"/>
          <w:szCs w:val="16"/>
          <w:color w:val="auto"/>
        </w:rPr>
        <w:t>”), which Award will vest in its entirety on the fifth Anniversary of the Effective Date (the “</w:t>
      </w:r>
      <w:r>
        <w:rPr>
          <w:rFonts w:ascii="Arial" w:cs="Arial" w:eastAsia="Arial" w:hAnsi="Arial"/>
          <w:sz w:val="16"/>
          <w:szCs w:val="16"/>
          <w:b w:val="1"/>
          <w:bCs w:val="1"/>
          <w:color w:val="auto"/>
        </w:rPr>
        <w:t>Vesting Date</w:t>
      </w:r>
      <w:r>
        <w:rPr>
          <w:rFonts w:ascii="Arial" w:cs="Arial" w:eastAsia="Arial" w:hAnsi="Arial"/>
          <w:sz w:val="16"/>
          <w:szCs w:val="16"/>
          <w:color w:val="auto"/>
        </w:rPr>
        <w:t>”) so long as Employee is an employee of Employer on the Vesting Date. Upon approval of the Award by the Compensation Committee, the Employee and Employer will enter into a separate agreement setting forth all the terms and conditions of the Award.</w:t>
      </w:r>
    </w:p>
    <w:p>
      <w:pPr>
        <w:spacing w:after="0" w:line="22" w:lineRule="exact"/>
        <w:rPr>
          <w:rFonts w:ascii="Arial" w:cs="Arial" w:eastAsia="Arial" w:hAnsi="Arial"/>
          <w:sz w:val="16"/>
          <w:szCs w:val="16"/>
          <w:b w:val="1"/>
          <w:bCs w:val="1"/>
          <w:color w:val="auto"/>
        </w:rPr>
      </w:pPr>
    </w:p>
    <w:p>
      <w:pPr>
        <w:jc w:val="both"/>
        <w:ind w:right="20" w:firstLine="443"/>
        <w:spacing w:after="0" w:line="262" w:lineRule="auto"/>
        <w:tabs>
          <w:tab w:leader="none" w:pos="687" w:val="left"/>
        </w:tabs>
        <w:numPr>
          <w:ilvl w:val="1"/>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219" w:lineRule="exact"/>
        <w:rPr>
          <w:rFonts w:ascii="Arial" w:cs="Arial" w:eastAsia="Arial" w:hAnsi="Arial"/>
          <w:sz w:val="18"/>
          <w:szCs w:val="18"/>
          <w:color w:val="auto"/>
        </w:rPr>
      </w:pPr>
    </w:p>
    <w:p>
      <w:pPr>
        <w:ind w:left="180" w:hanging="176"/>
        <w:spacing w:after="0"/>
        <w:tabs>
          <w:tab w:leader="none" w:pos="1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right="20" w:firstLine="443"/>
        <w:spacing w:after="0" w:line="283" w:lineRule="auto"/>
        <w:tabs>
          <w:tab w:leader="none" w:pos="6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and/or Employee’s employment may be subject to the approval 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 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Employer and Employee hereby covenant and agree to use their best efforts to obtain any and all approvals required by the Gaming Acts and/or Gaming Regulations. In the event that (i) an approval of this Agreement or Employee’s employment by the Authorities is required for Employee to carry out Employee’s duties and responsibilities set forth in Section 3 of this Agreement,</w:t>
      </w:r>
    </w:p>
    <w:p>
      <w:pPr>
        <w:spacing w:after="0" w:line="2" w:lineRule="exact"/>
        <w:rPr>
          <w:rFonts w:ascii="Arial" w:cs="Arial" w:eastAsia="Arial" w:hAnsi="Arial"/>
          <w:sz w:val="16"/>
          <w:szCs w:val="16"/>
          <w:color w:val="auto"/>
        </w:rPr>
      </w:pPr>
    </w:p>
    <w:p>
      <w:pPr>
        <w:ind w:right="60"/>
        <w:spacing w:after="0" w:line="323" w:lineRule="auto"/>
        <w:rPr>
          <w:rFonts w:ascii="Arial" w:cs="Arial" w:eastAsia="Arial" w:hAnsi="Arial"/>
          <w:sz w:val="16"/>
          <w:szCs w:val="16"/>
          <w:color w:val="auto"/>
        </w:rPr>
      </w:pPr>
      <w:r>
        <w:rPr>
          <w:rFonts w:ascii="Arial" w:cs="Arial" w:eastAsia="Arial" w:hAnsi="Arial"/>
          <w:sz w:val="16"/>
          <w:szCs w:val="16"/>
          <w:color w:val="auto"/>
        </w:rPr>
        <w:t>(ii)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Employer.</w:t>
      </w:r>
    </w:p>
    <w:p>
      <w:pPr>
        <w:spacing w:after="0" w:line="11" w:lineRule="exact"/>
        <w:rPr>
          <w:rFonts w:ascii="Arial" w:cs="Arial" w:eastAsia="Arial" w:hAnsi="Arial"/>
          <w:sz w:val="16"/>
          <w:szCs w:val="16"/>
          <w:color w:val="auto"/>
        </w:rPr>
      </w:pPr>
    </w:p>
    <w:p>
      <w:pPr>
        <w:ind w:right="140" w:firstLine="443"/>
        <w:spacing w:after="0" w:line="289" w:lineRule="auto"/>
        <w:tabs>
          <w:tab w:leader="none" w:pos="687"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6"/>
          <w:szCs w:val="16"/>
          <w:b w:val="1"/>
          <w:bCs w:val="1"/>
          <w:color w:val="auto"/>
        </w:rPr>
        <w:t>License</w:t>
      </w:r>
      <w:r>
        <w:rPr>
          <w:rFonts w:ascii="Arial" w:cs="Arial" w:eastAsia="Arial" w:hAnsi="Arial"/>
          <w:sz w:val="16"/>
          <w:szCs w:val="16"/>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37" w:lineRule="exact"/>
        <w:rPr>
          <w:rFonts w:ascii="Arial" w:cs="Arial" w:eastAsia="Arial" w:hAnsi="Arial"/>
          <w:sz w:val="16"/>
          <w:szCs w:val="16"/>
          <w:color w:val="auto"/>
        </w:rPr>
      </w:pPr>
    </w:p>
    <w:p>
      <w:pPr>
        <w:ind w:right="220" w:firstLine="443"/>
        <w:spacing w:after="0" w:line="268" w:lineRule="auto"/>
        <w:tabs>
          <w:tab w:leader="none" w:pos="6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12" w:lineRule="exact"/>
        <w:rPr>
          <w:rFonts w:ascii="Arial" w:cs="Arial" w:eastAsia="Arial" w:hAnsi="Arial"/>
          <w:sz w:val="18"/>
          <w:szCs w:val="18"/>
          <w:color w:val="auto"/>
        </w:rPr>
      </w:pPr>
    </w:p>
    <w:p>
      <w:pPr>
        <w:ind w:left="180" w:hanging="176"/>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color w:val="auto"/>
        </w:rPr>
      </w:pPr>
    </w:p>
    <w:p>
      <w:pPr>
        <w:ind w:right="400" w:firstLine="443"/>
        <w:spacing w:after="0" w:line="306" w:lineRule="auto"/>
        <w:tabs>
          <w:tab w:leader="none" w:pos="6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43" w:name="page44"/>
    <w:bookmarkEnd w:id="43"/>
    <w:p>
      <w:pPr>
        <w:ind w:right="26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ind w:right="20" w:firstLine="443"/>
        <w:spacing w:after="0" w:line="256" w:lineRule="auto"/>
        <w:tabs>
          <w:tab w:leader="none" w:pos="68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62" w:lineRule="exact"/>
        <w:rPr>
          <w:rFonts w:ascii="Arial" w:cs="Arial" w:eastAsia="Arial" w:hAnsi="Arial"/>
          <w:sz w:val="18"/>
          <w:szCs w:val="18"/>
          <w:color w:val="auto"/>
        </w:rPr>
      </w:pPr>
    </w:p>
    <w:p>
      <w:pPr>
        <w:ind w:firstLine="443"/>
        <w:spacing w:after="0" w:line="290" w:lineRule="auto"/>
        <w:tabs>
          <w:tab w:leader="none" w:pos="6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Upon termination of Employee’s employment with Employer for any reason,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37" w:lineRule="exact"/>
        <w:rPr>
          <w:rFonts w:ascii="Arial" w:cs="Arial" w:eastAsia="Arial" w:hAnsi="Arial"/>
          <w:sz w:val="16"/>
          <w:szCs w:val="16"/>
          <w:color w:val="auto"/>
        </w:rPr>
      </w:pPr>
    </w:p>
    <w:p>
      <w:pPr>
        <w:ind w:right="180" w:firstLine="443"/>
        <w:spacing w:after="0" w:line="294" w:lineRule="auto"/>
        <w:tabs>
          <w:tab w:leader="none" w:pos="68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obligations of this Section 9 are continuing and shall survive the termination of Employee’s employment with Employer for any reason.</w:t>
      </w:r>
    </w:p>
    <w:p>
      <w:pPr>
        <w:spacing w:after="0" w:line="275" w:lineRule="exact"/>
        <w:rPr>
          <w:rFonts w:ascii="Arial" w:cs="Arial" w:eastAsia="Arial" w:hAnsi="Arial"/>
          <w:sz w:val="16"/>
          <w:szCs w:val="16"/>
          <w:color w:val="auto"/>
        </w:rPr>
      </w:pPr>
    </w:p>
    <w:p>
      <w:pPr>
        <w:ind w:left="260" w:hanging="256"/>
        <w:spacing w:after="0"/>
        <w:tabs>
          <w:tab w:leader="none" w:pos="2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right="60" w:firstLine="443"/>
        <w:spacing w:after="0" w:line="290" w:lineRule="auto"/>
        <w:tabs>
          <w:tab w:leader="none" w:pos="6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Employer continues to employ or compensate Employee (including, but not limited to payments made pursuant to Section 6(f)), whichever is longer,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w:t>
      </w:r>
    </w:p>
    <w:p>
      <w:pPr>
        <w:spacing w:after="0" w:line="37" w:lineRule="exact"/>
        <w:rPr>
          <w:rFonts w:ascii="Arial" w:cs="Arial" w:eastAsia="Arial" w:hAnsi="Arial"/>
          <w:sz w:val="16"/>
          <w:szCs w:val="16"/>
          <w:color w:val="auto"/>
        </w:rPr>
      </w:pPr>
    </w:p>
    <w:p>
      <w:pPr>
        <w:ind w:right="40" w:firstLine="443"/>
        <w:spacing w:after="0" w:line="298" w:lineRule="auto"/>
        <w:tabs>
          <w:tab w:leader="none" w:pos="68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operate have publicly announced, publicly or otherwise, a plan to have hotel or gaming operations.</w:t>
      </w:r>
    </w:p>
    <w:p>
      <w:pPr>
        <w:spacing w:after="0" w:line="31" w:lineRule="exact"/>
        <w:rPr>
          <w:rFonts w:ascii="Arial" w:cs="Arial" w:eastAsia="Arial" w:hAnsi="Arial"/>
          <w:sz w:val="16"/>
          <w:szCs w:val="16"/>
          <w:color w:val="auto"/>
        </w:rPr>
      </w:pPr>
    </w:p>
    <w:p>
      <w:pPr>
        <w:jc w:val="both"/>
        <w:ind w:right="60" w:firstLine="443"/>
        <w:spacing w:after="0" w:line="259"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44" w:name="page45"/>
    <w:bookmarkEnd w:id="4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140" w:lineRule="exact"/>
        <w:rPr>
          <w:sz w:val="20"/>
          <w:szCs w:val="20"/>
          <w:color w:val="auto"/>
        </w:rPr>
      </w:pPr>
    </w:p>
    <w:p>
      <w:pPr>
        <w:ind w:left="-460" w:right="20" w:firstLine="464"/>
        <w:spacing w:after="0" w:line="286" w:lineRule="auto"/>
        <w:tabs>
          <w:tab w:leader="none" w:pos="25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REMEDIES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acknowledges that Employer has and will continue to deliver, provide and expose Employee to certain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127" w:lineRule="exact"/>
        <w:rPr>
          <w:rFonts w:ascii="Arial" w:cs="Arial" w:eastAsia="Arial" w:hAnsi="Arial"/>
          <w:sz w:val="16"/>
          <w:szCs w:val="16"/>
          <w:b w:val="1"/>
          <w:bCs w:val="1"/>
          <w:i w:val="1"/>
          <w:iCs w:val="1"/>
          <w:color w:val="auto"/>
        </w:rPr>
      </w:pPr>
    </w:p>
    <w:p>
      <w:pPr>
        <w:ind w:left="-460" w:right="220" w:firstLine="464"/>
        <w:spacing w:after="0" w:line="268" w:lineRule="auto"/>
        <w:tabs>
          <w:tab w:leader="none" w:pos="2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31" w:lineRule="exact"/>
        <w:rPr>
          <w:rFonts w:ascii="Arial" w:cs="Arial" w:eastAsia="Arial" w:hAnsi="Arial"/>
          <w:sz w:val="18"/>
          <w:szCs w:val="18"/>
          <w:b w:val="1"/>
          <w:bCs w:val="1"/>
          <w:i w:val="1"/>
          <w:iCs w:val="1"/>
          <w:color w:val="auto"/>
        </w:rPr>
      </w:pPr>
    </w:p>
    <w:p>
      <w:pPr>
        <w:ind w:left="260" w:hanging="256"/>
        <w:spacing w:after="0"/>
        <w:tabs>
          <w:tab w:leader="none" w:pos="260" w:val="left"/>
        </w:tabs>
        <w:numPr>
          <w:ilvl w:val="0"/>
          <w:numId w:val="2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205" w:lineRule="exact"/>
        <w:rPr>
          <w:rFonts w:ascii="Arial" w:cs="Arial" w:eastAsia="Arial" w:hAnsi="Arial"/>
          <w:sz w:val="15"/>
          <w:szCs w:val="15"/>
          <w:b w:val="1"/>
          <w:bCs w:val="1"/>
          <w:i w:val="1"/>
          <w:iCs w:val="1"/>
          <w:color w:val="auto"/>
        </w:rPr>
      </w:pPr>
    </w:p>
    <w:p>
      <w:pPr>
        <w:ind w:left="-460" w:right="40" w:firstLine="464"/>
        <w:spacing w:after="0" w:line="294" w:lineRule="auto"/>
        <w:tabs>
          <w:tab w:leader="none" w:pos="26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ASSIGNMENT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not assign this Agreement or delegate Employee’s duties hereunder without the express written prior consent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Employer thereto. Any purported assignment by Employee in violation of this Section 14 shall be null and void and of no force or effect. Employer shall have the right to assign this Agreement freely, including without limitation Employee’s obligations under Section 10, and Employee hereby acknowledges receipt of consideration in exchange for Employee’s consent to the assignability of Employee’s obligations under Section 10 that is additional to and separate from the consideration provided to Employee exchange for the other covenants in this Agreement.</w:t>
      </w:r>
    </w:p>
    <w:p>
      <w:pPr>
        <w:spacing w:after="0" w:line="115" w:lineRule="exact"/>
        <w:rPr>
          <w:rFonts w:ascii="Arial" w:cs="Arial" w:eastAsia="Arial" w:hAnsi="Arial"/>
          <w:sz w:val="16"/>
          <w:szCs w:val="16"/>
          <w:b w:val="1"/>
          <w:bCs w:val="1"/>
          <w:i w:val="1"/>
          <w:iCs w:val="1"/>
          <w:color w:val="auto"/>
        </w:rPr>
      </w:pPr>
    </w:p>
    <w:p>
      <w:pPr>
        <w:ind w:left="-460" w:right="580" w:firstLine="464"/>
        <w:spacing w:after="0" w:line="268" w:lineRule="auto"/>
        <w:tabs>
          <w:tab w:leader="none" w:pos="2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31" w:lineRule="exact"/>
        <w:rPr>
          <w:rFonts w:ascii="Arial" w:cs="Arial" w:eastAsia="Arial" w:hAnsi="Arial"/>
          <w:sz w:val="18"/>
          <w:szCs w:val="18"/>
          <w:b w:val="1"/>
          <w:bCs w:val="1"/>
          <w:i w:val="1"/>
          <w:iCs w:val="1"/>
          <w:color w:val="auto"/>
        </w:rPr>
      </w:pPr>
    </w:p>
    <w:p>
      <w:pPr>
        <w:ind w:left="-460" w:firstLine="464"/>
        <w:spacing w:after="0" w:line="268" w:lineRule="auto"/>
        <w:tabs>
          <w:tab w:leader="none" w:pos="2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 conflict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laws principles.</w:t>
      </w:r>
    </w:p>
    <w:p>
      <w:pPr>
        <w:spacing w:after="0" w:line="131" w:lineRule="exact"/>
        <w:rPr>
          <w:rFonts w:ascii="Arial" w:cs="Arial" w:eastAsia="Arial" w:hAnsi="Arial"/>
          <w:sz w:val="18"/>
          <w:szCs w:val="18"/>
          <w:b w:val="1"/>
          <w:bCs w:val="1"/>
          <w:i w:val="1"/>
          <w:iCs w:val="1"/>
          <w:color w:val="auto"/>
        </w:rPr>
      </w:pPr>
    </w:p>
    <w:p>
      <w:pPr>
        <w:ind w:left="-460" w:right="300" w:firstLine="464"/>
        <w:spacing w:after="0" w:line="268" w:lineRule="auto"/>
        <w:tabs>
          <w:tab w:leader="none" w:pos="2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Arial" w:cs="Arial" w:eastAsia="Arial" w:hAnsi="Arial"/>
                <w:sz w:val="18"/>
                <w:szCs w:val="18"/>
                <w:color w:val="auto"/>
              </w:rPr>
              <w:t>TO EMPLOYER:</w:t>
            </w:r>
          </w:p>
        </w:tc>
        <w:tc>
          <w:tcPr>
            <w:tcW w:w="4760" w:type="dxa"/>
            <w:vAlign w:val="bottom"/>
          </w:tcPr>
          <w:p>
            <w:pPr>
              <w:ind w:left="2120"/>
              <w:spacing w:after="0"/>
              <w:rPr>
                <w:sz w:val="20"/>
                <w:szCs w:val="20"/>
                <w:color w:val="auto"/>
              </w:rPr>
            </w:pPr>
            <w:r>
              <w:rPr>
                <w:rFonts w:ascii="Arial" w:cs="Arial" w:eastAsia="Arial" w:hAnsi="Arial"/>
                <w:sz w:val="18"/>
                <w:szCs w:val="18"/>
                <w:color w:val="auto"/>
              </w:rPr>
              <w:t>Wynn Las Vegas, LLC</w:t>
            </w:r>
          </w:p>
        </w:tc>
      </w:tr>
      <w:tr>
        <w:trPr>
          <w:trHeight w:val="228"/>
        </w:trPr>
        <w:tc>
          <w:tcPr>
            <w:tcW w:w="1220" w:type="dxa"/>
            <w:vAlign w:val="bottom"/>
            <w:tcBorders>
              <w:top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4760" w:type="dxa"/>
            <w:vAlign w:val="bottom"/>
          </w:tcPr>
          <w:p>
            <w:pPr>
              <w:ind w:left="2120"/>
              <w:spacing w:after="0"/>
              <w:rPr>
                <w:sz w:val="20"/>
                <w:szCs w:val="20"/>
                <w:color w:val="auto"/>
              </w:rPr>
            </w:pPr>
            <w:r>
              <w:rPr>
                <w:rFonts w:ascii="Arial" w:cs="Arial" w:eastAsia="Arial" w:hAnsi="Arial"/>
                <w:sz w:val="18"/>
                <w:szCs w:val="18"/>
                <w:color w:val="auto"/>
                <w:w w:val="97"/>
              </w:rPr>
              <w:t>3131 Las Vegas Boulevard South</w:t>
            </w:r>
          </w:p>
        </w:tc>
      </w:tr>
      <w:tr>
        <w:trPr>
          <w:trHeight w:val="216"/>
        </w:trPr>
        <w:tc>
          <w:tcPr>
            <w:tcW w:w="1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60" w:type="dxa"/>
            <w:vAlign w:val="bottom"/>
          </w:tcPr>
          <w:p>
            <w:pPr>
              <w:ind w:left="2120"/>
              <w:spacing w:after="0"/>
              <w:rPr>
                <w:sz w:val="20"/>
                <w:szCs w:val="20"/>
                <w:color w:val="auto"/>
              </w:rPr>
            </w:pPr>
            <w:r>
              <w:rPr>
                <w:rFonts w:ascii="Arial" w:cs="Arial" w:eastAsia="Arial" w:hAnsi="Arial"/>
                <w:sz w:val="18"/>
                <w:szCs w:val="18"/>
                <w:color w:val="auto"/>
              </w:rPr>
              <w:t>Las Vegas, Nevada 89109</w:t>
            </w:r>
          </w:p>
        </w:tc>
      </w:tr>
      <w:tr>
        <w:trPr>
          <w:trHeight w:val="222"/>
        </w:trPr>
        <w:tc>
          <w:tcPr>
            <w:tcW w:w="1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760" w:type="dxa"/>
            <w:vAlign w:val="bottom"/>
          </w:tcPr>
          <w:p>
            <w:pPr>
              <w:ind w:left="2120"/>
              <w:spacing w:after="0"/>
              <w:rPr>
                <w:sz w:val="20"/>
                <w:szCs w:val="20"/>
                <w:color w:val="auto"/>
              </w:rPr>
            </w:pPr>
            <w:r>
              <w:rPr>
                <w:rFonts w:ascii="Arial" w:cs="Arial" w:eastAsia="Arial" w:hAnsi="Arial"/>
                <w:sz w:val="18"/>
                <w:szCs w:val="18"/>
                <w:color w:val="auto"/>
              </w:rPr>
              <w:t>Attn: Legal Department</w:t>
            </w:r>
          </w:p>
        </w:tc>
      </w:tr>
      <w:tr>
        <w:trPr>
          <w:trHeight w:val="407"/>
        </w:trPr>
        <w:tc>
          <w:tcPr>
            <w:tcW w:w="3240" w:type="dxa"/>
            <w:vAlign w:val="bottom"/>
            <w:gridSpan w:val="2"/>
          </w:tcPr>
          <w:p>
            <w:pPr>
              <w:spacing w:after="0"/>
              <w:rPr>
                <w:sz w:val="20"/>
                <w:szCs w:val="20"/>
                <w:color w:val="auto"/>
              </w:rPr>
            </w:pPr>
            <w:r>
              <w:rPr>
                <w:rFonts w:ascii="Arial" w:cs="Arial" w:eastAsia="Arial" w:hAnsi="Arial"/>
                <w:sz w:val="18"/>
                <w:szCs w:val="18"/>
                <w:color w:val="auto"/>
              </w:rPr>
              <w:t>TO EMPLOYEE:</w:t>
            </w:r>
          </w:p>
        </w:tc>
        <w:tc>
          <w:tcPr>
            <w:tcW w:w="4760" w:type="dxa"/>
            <w:vAlign w:val="bottom"/>
          </w:tcPr>
          <w:p>
            <w:pPr>
              <w:ind w:left="2120"/>
              <w:spacing w:after="0"/>
              <w:rPr>
                <w:sz w:val="20"/>
                <w:szCs w:val="20"/>
                <w:color w:val="auto"/>
              </w:rPr>
            </w:pPr>
            <w:r>
              <w:rPr>
                <w:rFonts w:ascii="Arial" w:cs="Arial" w:eastAsia="Arial" w:hAnsi="Arial"/>
                <w:sz w:val="18"/>
                <w:szCs w:val="18"/>
                <w:color w:val="auto"/>
              </w:rPr>
              <w:t>Scott Peterson</w:t>
            </w:r>
          </w:p>
        </w:tc>
      </w:tr>
      <w:tr>
        <w:trPr>
          <w:trHeight w:val="228"/>
        </w:trPr>
        <w:tc>
          <w:tcPr>
            <w:tcW w:w="1220" w:type="dxa"/>
            <w:vAlign w:val="bottom"/>
            <w:tcBorders>
              <w:top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4760" w:type="dxa"/>
            <w:vAlign w:val="bottom"/>
          </w:tcPr>
          <w:p>
            <w:pPr>
              <w:ind w:left="2120"/>
              <w:spacing w:after="0"/>
              <w:rPr>
                <w:sz w:val="20"/>
                <w:szCs w:val="20"/>
                <w:color w:val="auto"/>
              </w:rPr>
            </w:pPr>
            <w:r>
              <w:rPr>
                <w:rFonts w:ascii="Arial" w:cs="Arial" w:eastAsia="Arial" w:hAnsi="Arial"/>
                <w:sz w:val="18"/>
                <w:szCs w:val="18"/>
                <w:color w:val="auto"/>
              </w:rPr>
              <w:t>XXXX XXXXXXXXXX XXXXXX</w:t>
            </w:r>
          </w:p>
        </w:tc>
      </w:tr>
      <w:tr>
        <w:trPr>
          <w:trHeight w:val="222"/>
        </w:trPr>
        <w:tc>
          <w:tcPr>
            <w:tcW w:w="1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760" w:type="dxa"/>
            <w:vAlign w:val="bottom"/>
          </w:tcPr>
          <w:p>
            <w:pPr>
              <w:ind w:left="2120"/>
              <w:spacing w:after="0"/>
              <w:rPr>
                <w:sz w:val="20"/>
                <w:szCs w:val="20"/>
                <w:color w:val="auto"/>
              </w:rPr>
            </w:pPr>
            <w:r>
              <w:rPr>
                <w:rFonts w:ascii="Arial" w:cs="Arial" w:eastAsia="Arial" w:hAnsi="Arial"/>
                <w:sz w:val="18"/>
                <w:szCs w:val="18"/>
                <w:color w:val="auto"/>
              </w:rPr>
              <w:t>XXX XXXXX, XXXXXX XXXXX</w:t>
            </w:r>
          </w:p>
        </w:tc>
      </w:tr>
      <w:tr>
        <w:trPr>
          <w:trHeight w:val="378"/>
        </w:trPr>
        <w:tc>
          <w:tcPr>
            <w:tcW w:w="1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760" w:type="dxa"/>
            <w:vAlign w:val="bottom"/>
          </w:tcPr>
          <w:p>
            <w:pPr>
              <w:ind w:left="19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0960"/>
          </w:cols>
          <w:pgMar w:left="700" w:top="280" w:right="239" w:bottom="1440" w:gutter="0" w:footer="0" w:header="0"/>
        </w:sectPr>
      </w:pPr>
    </w:p>
    <w:bookmarkStart w:id="45" w:name="page46"/>
    <w:bookmarkEnd w:id="45"/>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85" w:lineRule="exact"/>
        <w:rPr>
          <w:sz w:val="20"/>
          <w:szCs w:val="20"/>
          <w:color w:val="auto"/>
        </w:rPr>
      </w:pPr>
    </w:p>
    <w:p>
      <w:pPr>
        <w:ind w:right="340" w:firstLine="464"/>
        <w:spacing w:after="0" w:line="268" w:lineRule="auto"/>
        <w:tabs>
          <w:tab w:leader="none" w:pos="7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31" w:lineRule="exact"/>
        <w:rPr>
          <w:rFonts w:ascii="Arial" w:cs="Arial" w:eastAsia="Arial" w:hAnsi="Arial"/>
          <w:sz w:val="18"/>
          <w:szCs w:val="18"/>
          <w:b w:val="1"/>
          <w:bCs w:val="1"/>
          <w:i w:val="1"/>
          <w:iCs w:val="1"/>
          <w:color w:val="auto"/>
        </w:rPr>
      </w:pPr>
    </w:p>
    <w:p>
      <w:pPr>
        <w:ind w:right="180" w:firstLine="464"/>
        <w:spacing w:after="0" w:line="332" w:lineRule="auto"/>
        <w:tabs>
          <w:tab w:leader="none" w:pos="72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85" w:lineRule="exact"/>
        <w:rPr>
          <w:rFonts w:ascii="Arial" w:cs="Arial" w:eastAsia="Arial" w:hAnsi="Arial"/>
          <w:sz w:val="16"/>
          <w:szCs w:val="16"/>
          <w:b w:val="1"/>
          <w:bCs w:val="1"/>
          <w:i w:val="1"/>
          <w:iCs w:val="1"/>
          <w:color w:val="auto"/>
        </w:rPr>
      </w:pPr>
    </w:p>
    <w:p>
      <w:pPr>
        <w:ind w:right="120" w:firstLine="464"/>
        <w:spacing w:after="0" w:line="259" w:lineRule="auto"/>
        <w:tabs>
          <w:tab w:leader="none" w:pos="7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or any term, right or remedy hereunder, shall be deemed waived unless such waiver is in writing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signed by the party to be charged therewith and in no event by reason of any failure to assert or delay in asserting any such term, right or remedy or similar term, right or remedy hereunder.</w:t>
      </w:r>
    </w:p>
    <w:p>
      <w:pPr>
        <w:spacing w:after="0" w:line="140" w:lineRule="exact"/>
        <w:rPr>
          <w:rFonts w:ascii="Arial" w:cs="Arial" w:eastAsia="Arial" w:hAnsi="Arial"/>
          <w:sz w:val="18"/>
          <w:szCs w:val="18"/>
          <w:b w:val="1"/>
          <w:bCs w:val="1"/>
          <w:i w:val="1"/>
          <w:iCs w:val="1"/>
          <w:color w:val="auto"/>
        </w:rPr>
      </w:pPr>
    </w:p>
    <w:p>
      <w:pPr>
        <w:ind w:firstLine="464"/>
        <w:spacing w:after="0" w:line="290" w:lineRule="auto"/>
        <w:tabs>
          <w:tab w:leader="none" w:pos="72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a claim by either Employee or Employer for injunctive relief where such would be otherwise authorized by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enforce Sections 9, 10 and/or 11 of this Agreement, any controversy or claim arising out of or relating to this Agreement, the breach hereof, or Employee’s employment by Employer, including without limitation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(“AAA”), to the extent not inconsistent with this Section as set forth below. This Section 21 applies to any claim Employee might have against any officer, director, employee, or agent of Employer or its Affiliate, and all successors and assigns of any of them. These arbitration provisions shall survive the termination of Employee’s employment with Employer and the expiration of the Agreement.</w:t>
      </w:r>
    </w:p>
    <w:p>
      <w:pPr>
        <w:spacing w:after="0" w:line="37" w:lineRule="exact"/>
        <w:rPr>
          <w:rFonts w:ascii="Arial" w:cs="Arial" w:eastAsia="Arial" w:hAnsi="Arial"/>
          <w:sz w:val="16"/>
          <w:szCs w:val="16"/>
          <w:b w:val="1"/>
          <w:bCs w:val="1"/>
          <w:i w:val="1"/>
          <w:iCs w:val="1"/>
          <w:color w:val="auto"/>
        </w:rPr>
      </w:pPr>
    </w:p>
    <w:p>
      <w:pPr>
        <w:ind w:left="460" w:right="20" w:firstLine="443"/>
        <w:spacing w:after="0" w:line="286" w:lineRule="auto"/>
        <w:tabs>
          <w:tab w:leader="none" w:pos="11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Coverage of Arbitration Agreement: The promises by Employer and Employee to arbitrate differences, rather than litigate them before courts or other bodies, provide consideration for each other, in addition to other consideration provided under the Agreement. The parties contemplate by this Section 21 arbitration of all clams against each of them to the fullest extent permitted by law except as specifically excluded by this Agreement. Only claims that are justiciable or arguably justiciable under applicable federal, state or local law are covered by this Section, and include, without limitation, any and all alleged violations of any federal, state or local law whether common law, statutory, arising under regulation or ordinance, or any other law, brought by any current or former employee. Such claims may include, but are not limited to, claims for: wages or other compensation; breach of contract; torts; work-related injury claims not covered under workers’ compensation laws; wrongful discharge; and any and all unlawful employment discrimination and/or harassment claims. 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and claims for injunctive or equitable relief for violations of non-competition and/or confidentiality agreements in Sections 9, 10 and 11.</w:t>
      </w:r>
    </w:p>
    <w:p>
      <w:pPr>
        <w:spacing w:after="0" w:line="46" w:lineRule="exact"/>
        <w:rPr>
          <w:rFonts w:ascii="Arial" w:cs="Arial" w:eastAsia="Arial" w:hAnsi="Arial"/>
          <w:sz w:val="16"/>
          <w:szCs w:val="16"/>
          <w:color w:val="auto"/>
        </w:rPr>
      </w:pPr>
    </w:p>
    <w:p>
      <w:pPr>
        <w:ind w:left="460" w:right="80" w:firstLine="443"/>
        <w:spacing w:after="0" w:line="253" w:lineRule="auto"/>
        <w:tabs>
          <w:tab w:leader="none" w:pos="11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this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6" w:name="page47"/>
    <w:bookmarkEnd w:id="46"/>
    <w:p>
      <w:pPr>
        <w:ind w:firstLine="443"/>
        <w:spacing w:after="0" w:line="254" w:lineRule="auto"/>
        <w:tabs>
          <w:tab w:leader="none" w:pos="677"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63" w:lineRule="exact"/>
        <w:rPr>
          <w:rFonts w:ascii="Arial" w:cs="Arial" w:eastAsia="Arial" w:hAnsi="Arial"/>
          <w:sz w:val="18"/>
          <w:szCs w:val="18"/>
          <w:color w:val="auto"/>
        </w:rPr>
      </w:pPr>
    </w:p>
    <w:p>
      <w:pPr>
        <w:ind w:right="80" w:firstLine="443"/>
        <w:spacing w:after="0" w:line="291" w:lineRule="auto"/>
        <w:tabs>
          <w:tab w:leader="none" w:pos="6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39" w:lineRule="exact"/>
        <w:rPr>
          <w:rFonts w:ascii="Arial" w:cs="Arial" w:eastAsia="Arial" w:hAnsi="Arial"/>
          <w:sz w:val="16"/>
          <w:szCs w:val="16"/>
          <w:color w:val="auto"/>
        </w:rPr>
      </w:pPr>
    </w:p>
    <w:p>
      <w:pPr>
        <w:ind w:firstLine="443"/>
        <w:spacing w:after="0" w:line="254" w:lineRule="auto"/>
        <w:tabs>
          <w:tab w:leader="none" w:pos="6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63" w:lineRule="exact"/>
        <w:rPr>
          <w:rFonts w:ascii="Arial" w:cs="Arial" w:eastAsia="Arial" w:hAnsi="Arial"/>
          <w:sz w:val="18"/>
          <w:szCs w:val="18"/>
          <w:color w:val="auto"/>
        </w:rPr>
      </w:pPr>
    </w:p>
    <w:p>
      <w:pPr>
        <w:ind w:right="20" w:firstLine="443"/>
        <w:spacing w:after="0" w:line="285" w:lineRule="auto"/>
        <w:tabs>
          <w:tab w:leader="none" w:pos="6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when applicable.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47" w:lineRule="exact"/>
        <w:rPr>
          <w:rFonts w:ascii="Arial" w:cs="Arial" w:eastAsia="Arial" w:hAnsi="Arial"/>
          <w:sz w:val="16"/>
          <w:szCs w:val="16"/>
          <w:color w:val="auto"/>
        </w:rPr>
      </w:pPr>
    </w:p>
    <w:p>
      <w:pPr>
        <w:ind w:firstLine="443"/>
        <w:spacing w:after="0" w:line="255"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Arbitrator’s Award: The arbitrator will issue a written decision containing the specific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47" w:name="page48"/>
    <w:bookmarkEnd w:id="47"/>
    <w:p>
      <w:pPr>
        <w:ind w:left="460" w:firstLine="443"/>
        <w:spacing w:after="0" w:line="254" w:lineRule="auto"/>
        <w:tabs>
          <w:tab w:leader="none" w:pos="1147"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but not limited to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144" w:lineRule="exact"/>
        <w:rPr>
          <w:rFonts w:ascii="Arial" w:cs="Arial" w:eastAsia="Arial" w:hAnsi="Arial"/>
          <w:sz w:val="18"/>
          <w:szCs w:val="18"/>
          <w:color w:val="auto"/>
        </w:rPr>
      </w:pPr>
    </w:p>
    <w:p>
      <w:pPr>
        <w:ind w:right="20" w:firstLine="464"/>
        <w:spacing w:after="0" w:line="253" w:lineRule="auto"/>
        <w:tabs>
          <w:tab w:leader="none" w:pos="7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and supersedes any prior understandings,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(including, but not limited to, any prior Employment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47" w:lineRule="exact"/>
        <w:rPr>
          <w:rFonts w:ascii="Arial" w:cs="Arial" w:eastAsia="Arial" w:hAnsi="Arial"/>
          <w:sz w:val="18"/>
          <w:szCs w:val="18"/>
          <w:b w:val="1"/>
          <w:bCs w:val="1"/>
          <w:i w:val="1"/>
          <w:iCs w:val="1"/>
          <w:color w:val="auto"/>
        </w:rPr>
      </w:pPr>
    </w:p>
    <w:p>
      <w:pPr>
        <w:ind w:right="40" w:firstLine="464"/>
        <w:spacing w:after="0" w:line="285" w:lineRule="auto"/>
        <w:tabs>
          <w:tab w:leader="none" w:pos="720"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FCPA COMPLIANCE</w:t>
      </w:r>
      <w:r>
        <w:rPr>
          <w:rFonts w:ascii="Arial" w:cs="Arial" w:eastAsia="Arial" w:hAnsi="Arial"/>
          <w:sz w:val="16"/>
          <w:szCs w:val="16"/>
          <w:color w:val="auto"/>
        </w:rPr>
        <w:t>. Employer advises Employee that the United States Foreign Corrupt Practices Act (“FCPA”) prohibits offering, providing,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promising anything of value (including money, preferential treatment, and any other sort of advantage), either directly or indirectly, by a United States company, or any of its employees, subsidiaries, affiliates, or agents, to an official of a foreign government, a foreign political party, party official, or candidate for foreign political office (or any family members of any of these real persons),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Employee understands that Employee may not directly or indirectly offer, promise, grant, or authorize the giving of money or anything else of value to a government official to influence official action or obtain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will act in accordance with all applicable laws regarding anti-corruption, including the FCPA, the U.K. Bribery Act, and all other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training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1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case of breach of this provision, the Employer may suspend or terminate this Agreement at any time without notice or indemnity.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8" w:name="page49"/>
    <w:bookmarkEnd w:id="48"/>
    <w:p>
      <w:pPr>
        <w:ind w:right="120" w:firstLine="464"/>
        <w:spacing w:after="0" w:line="259" w:lineRule="auto"/>
        <w:tabs>
          <w:tab w:leader="none" w:pos="7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BY PARTIES AND THEIR LEGAL COUNSEL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represent that they have read this Agreement and acknowledge that they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discussed its contents with their respective legal counsel or have been afforded the opportunity to avail themselves of the opportunity to the extent they each wished to do so.</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160" w:type="dxa"/>
            <w:vAlign w:val="bottom"/>
          </w:tcPr>
          <w:p>
            <w:pPr>
              <w:jc w:val="center"/>
              <w:ind w:right="112"/>
              <w:spacing w:after="0"/>
              <w:rPr>
                <w:sz w:val="20"/>
                <w:szCs w:val="20"/>
                <w:color w:val="auto"/>
              </w:rPr>
            </w:pPr>
            <w:r>
              <w:rPr>
                <w:rFonts w:ascii="Arial" w:cs="Arial" w:eastAsia="Arial" w:hAnsi="Arial"/>
                <w:sz w:val="18"/>
                <w:szCs w:val="18"/>
                <w:b w:val="1"/>
                <w:bCs w:val="1"/>
                <w:color w:val="auto"/>
                <w:w w:val="97"/>
              </w:rPr>
              <w:t>WYNN LAS VEGAS, LLC</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9"/>
              </w:rPr>
              <w:t>EMPLOYEE</w:t>
            </w:r>
          </w:p>
        </w:tc>
      </w:tr>
      <w:tr>
        <w:trPr>
          <w:trHeight w:val="433"/>
        </w:trPr>
        <w:tc>
          <w:tcPr>
            <w:tcW w:w="516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7"/>
              </w:rPr>
              <w:t>/s/  Marilyn Spiegel</w:t>
            </w:r>
          </w:p>
        </w:tc>
        <w:tc>
          <w:tcPr>
            <w:tcW w:w="680" w:type="dxa"/>
            <w:vAlign w:val="bottom"/>
          </w:tcPr>
          <w:p>
            <w:pPr>
              <w:spacing w:after="0"/>
              <w:rPr>
                <w:sz w:val="24"/>
                <w:szCs w:val="2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Peterson</w:t>
            </w:r>
          </w:p>
        </w:tc>
      </w:tr>
      <w:tr>
        <w:trPr>
          <w:trHeight w:val="222"/>
        </w:trPr>
        <w:tc>
          <w:tcPr>
            <w:tcW w:w="5160" w:type="dxa"/>
            <w:vAlign w:val="bottom"/>
          </w:tcPr>
          <w:p>
            <w:pPr>
              <w:ind w:left="1360"/>
              <w:spacing w:after="0"/>
              <w:rPr>
                <w:sz w:val="20"/>
                <w:szCs w:val="20"/>
                <w:color w:val="auto"/>
              </w:rPr>
            </w:pPr>
            <w:r>
              <w:rPr>
                <w:rFonts w:ascii="Arial" w:cs="Arial" w:eastAsia="Arial" w:hAnsi="Arial"/>
                <w:sz w:val="18"/>
                <w:szCs w:val="18"/>
                <w:color w:val="auto"/>
              </w:rPr>
              <w:t>Marilyn Spiegel, President</w:t>
            </w:r>
          </w:p>
        </w:tc>
        <w:tc>
          <w:tcPr>
            <w:tcW w:w="680" w:type="dxa"/>
            <w:vAlign w:val="bottom"/>
          </w:tcPr>
          <w:p>
            <w:pPr>
              <w:spacing w:after="0"/>
              <w:rPr>
                <w:sz w:val="19"/>
                <w:szCs w:val="19"/>
                <w:color w:val="auto"/>
              </w:rPr>
            </w:pPr>
          </w:p>
        </w:tc>
        <w:tc>
          <w:tcPr>
            <w:tcW w:w="5360" w:type="dxa"/>
            <w:vAlign w:val="bottom"/>
          </w:tcPr>
          <w:p>
            <w:pPr>
              <w:ind w:left="1620"/>
              <w:spacing w:after="0"/>
              <w:rPr>
                <w:sz w:val="20"/>
                <w:szCs w:val="20"/>
                <w:color w:val="auto"/>
              </w:rPr>
            </w:pPr>
            <w:r>
              <w:rPr>
                <w:rFonts w:ascii="Arial" w:cs="Arial" w:eastAsia="Arial" w:hAnsi="Arial"/>
                <w:sz w:val="18"/>
                <w:szCs w:val="18"/>
                <w:color w:val="auto"/>
              </w:rPr>
              <w:t>Scott Peterson</w:t>
            </w:r>
          </w:p>
        </w:tc>
      </w:tr>
      <w:tr>
        <w:trPr>
          <w:trHeight w:val="365"/>
        </w:trPr>
        <w:tc>
          <w:tcPr>
            <w:tcW w:w="516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12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EMPLOYMENT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6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by and between -</w:t>
      </w:r>
    </w:p>
    <w:p>
      <w:pPr>
        <w:spacing w:after="0" w:line="16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(“Employer”)</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SCOTT PETERSON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195580</wp:posOffset>
            </wp:positionV>
            <wp:extent cx="30441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January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194945</wp:posOffset>
            </wp:positionV>
            <wp:extent cx="30441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349250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Marilyn Spiegel, certify that:</w:t>
      </w:r>
    </w:p>
    <w:p>
      <w:pPr>
        <w:spacing w:after="0" w:line="21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9, 2012</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263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Marilyn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9, 2012</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263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2012 as filed with the Securities and Exchange Commission on the date hereof (the “Report”), Marilyn Spiegel, as President of the Company and Scott Peterson, as Chief Financial Officer of the Company, each hereby certifies, pursuant to 18 U.S.C. Section 1350, as adopted pursuant to Section 906 of the Sarbanes-Oxley Act of 2002, that, to the best of their knowledge:</w:t>
      </w:r>
    </w:p>
    <w:p>
      <w:pPr>
        <w:spacing w:after="0" w:line="6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Marilyn Spiegel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Marilyn Spiegel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August 9, 2012</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02"/>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340" w:type="dxa"/>
            <w:vAlign w:val="bottom"/>
          </w:tcPr>
          <w:p>
            <w:pPr>
              <w:ind w:left="120"/>
              <w:spacing w:after="0" w:line="202" w:lineRule="exact"/>
              <w:rPr>
                <w:sz w:val="20"/>
                <w:szCs w:val="20"/>
                <w:color w:val="auto"/>
              </w:rPr>
            </w:pPr>
            <w:r>
              <w:rPr>
                <w:rFonts w:ascii="Arial" w:cs="Arial" w:eastAsia="Arial" w:hAnsi="Arial"/>
                <w:sz w:val="18"/>
                <w:szCs w:val="18"/>
                <w:color w:val="auto"/>
              </w:rPr>
              <w:t>Scott Peterson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August 9,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8"/>
    </w:lvl>
  </w:abstractNum>
  <w:abstractNum w:abstractNumId="4">
    <w:nsid w:val="257130A3"/>
    <w:multiLevelType w:val="hybridMultilevel"/>
    <w:lvl w:ilvl="0">
      <w:lvlJc w:val="left"/>
      <w:lvlText w:val="%1."/>
      <w:numFmt w:val="decimal"/>
      <w:start w:val="10"/>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lvl w:ilvl="1">
      <w:lvlJc w:val="left"/>
      <w:lvlText w:val="(%2)"/>
      <w:numFmt w:val="lowerLetter"/>
      <w:start w:val="1"/>
    </w:lvl>
  </w:abstractNum>
  <w:abstractNum w:abstractNumId="13">
    <w:nsid w:val="75A2A8D4"/>
    <w:multiLevelType w:val="hybridMultilevel"/>
    <w:lvl w:ilvl="0">
      <w:lvlJc w:val="left"/>
      <w:lvlText w:val="(%1)"/>
      <w:numFmt w:val="lowerLetter"/>
      <w:start w:val="2"/>
    </w:lvl>
    <w:lvl w:ilvl="1">
      <w:lvlJc w:val="left"/>
      <w:lvlText w:val="(%2)"/>
      <w:numFmt w:val="lowerRoman"/>
      <w:start w:val="1"/>
    </w:lvl>
  </w:abstractNum>
  <w:abstractNum w:abstractNumId="14">
    <w:nsid w:val="8EDBDAB"/>
    <w:multiLevelType w:val="hybridMultilevel"/>
    <w:lvl w:ilvl="0">
      <w:lvlJc w:val="left"/>
      <w:lvlText w:val="(%1)"/>
      <w:numFmt w:val="lowerLetter"/>
      <w:start w:val="4"/>
    </w:lvl>
  </w:abstractNum>
  <w:abstractNum w:abstractNumId="15">
    <w:nsid w:val="79838CB2"/>
    <w:multiLevelType w:val="hybridMultilevel"/>
    <w:lvl w:ilvl="0">
      <w:lvlJc w:val="left"/>
      <w:lvlText w:val="%1"/>
      <w:numFmt w:val="decimal"/>
      <w:start w:val="1"/>
    </w:lvl>
    <w:lvl w:ilvl="1">
      <w:lvlJc w:val="left"/>
      <w:lvlText w:val="(%2)"/>
      <w:numFmt w:val="lowerLetter"/>
      <w:start w:val="6"/>
    </w:lvl>
  </w:abstractNum>
  <w:abstractNum w:abstractNumId="16">
    <w:nsid w:val="4353D0CD"/>
    <w:multiLevelType w:val="hybridMultilevel"/>
    <w:lvl w:ilvl="0">
      <w:lvlJc w:val="left"/>
      <w:lvlText w:val="%1."/>
      <w:numFmt w:val="decimal"/>
      <w:start w:val="2"/>
    </w:lvl>
    <w:lvl w:ilvl="1">
      <w:lvlJc w:val="left"/>
      <w:lvlText w:val="%2"/>
      <w:numFmt w:val="lowerLetter"/>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decimal"/>
      <w:start w:val="4"/>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decimal"/>
      <w:start w:val="7"/>
    </w:lvl>
    <w:lvl w:ilvl="1">
      <w:lvlJc w:val="left"/>
      <w:lvlText w:val="(%2)"/>
      <w:numFmt w:val="lowerLetter"/>
      <w:start w:val="1"/>
    </w:lvl>
  </w:abstractNum>
  <w:abstractNum w:abstractNumId="21">
    <w:nsid w:val="2CA88611"/>
    <w:multiLevelType w:val="hybridMultilevel"/>
    <w:lvl w:ilvl="0">
      <w:lvlJc w:val="left"/>
      <w:lvlText w:val="%1"/>
      <w:numFmt w:val="decimal"/>
      <w:start w:val="1"/>
    </w:lvl>
    <w:lvl w:ilvl="1">
      <w:lvlJc w:val="left"/>
      <w:lvlText w:val="(%2)"/>
      <w:numFmt w:val="lowerLetter"/>
      <w:start w:val="6"/>
    </w:lvl>
  </w:abstractNum>
  <w:abstractNum w:abstractNumId="22">
    <w:nsid w:val="836C40E"/>
    <w:multiLevelType w:val="hybridMultilevel"/>
    <w:lvl w:ilvl="0">
      <w:lvlJc w:val="left"/>
      <w:lvlText w:val="%1."/>
      <w:numFmt w:val="decimal"/>
      <w:start w:val="8"/>
    </w:lvl>
    <w:lvl w:ilvl="1">
      <w:lvlJc w:val="left"/>
      <w:lvlText w:val="(%2)"/>
      <w:numFmt w:val="lowerLetter"/>
      <w:start w:val="1"/>
    </w:lvl>
  </w:abstractNum>
  <w:abstractNum w:abstractNumId="23">
    <w:nsid w:val="2901D82"/>
    <w:multiLevelType w:val="hybridMultilevel"/>
    <w:lvl w:ilvl="0">
      <w:lvlJc w:val="left"/>
      <w:lvlText w:val="%1"/>
      <w:numFmt w:val="decimal"/>
      <w:start w:val="1"/>
    </w:lvl>
    <w:lvl w:ilvl="1">
      <w:lvlJc w:val="left"/>
      <w:lvlText w:val="(%2)"/>
      <w:numFmt w:val="lowerLetter"/>
      <w:start w:val="2"/>
    </w:lvl>
  </w:abstractNum>
  <w:abstractNum w:abstractNumId="24">
    <w:nsid w:val="3A95F874"/>
    <w:multiLevelType w:val="hybridMultilevel"/>
    <w:lvl w:ilvl="0">
      <w:lvlJc w:val="left"/>
      <w:lvlText w:val="%1."/>
      <w:numFmt w:val="decimal"/>
      <w:start w:val="10"/>
    </w:lvl>
    <w:lvl w:ilvl="1">
      <w:lvlJc w:val="left"/>
      <w:lvlText w:val="(%2)"/>
      <w:numFmt w:val="lowerLetter"/>
      <w:start w:val="1"/>
    </w:lvl>
  </w:abstractNum>
  <w:abstractNum w:abstractNumId="25">
    <w:nsid w:val="8138641"/>
    <w:multiLevelType w:val="hybridMultilevel"/>
    <w:lvl w:ilvl="0">
      <w:lvlJc w:val="left"/>
      <w:lvlText w:val="%1."/>
      <w:numFmt w:val="decimal"/>
      <w:start w:val="11"/>
    </w:lvl>
  </w:abstractNum>
  <w:abstractNum w:abstractNumId="26">
    <w:nsid w:val="1E7FF521"/>
    <w:multiLevelType w:val="hybridMultilevel"/>
    <w:lvl w:ilvl="0">
      <w:lvlJc w:val="left"/>
      <w:lvlText w:val="%1."/>
      <w:numFmt w:val="decimal"/>
      <w:start w:val="18"/>
    </w:lvl>
    <w:lvl w:ilvl="1">
      <w:lvlJc w:val="left"/>
      <w:lvlText w:val="(%2)"/>
      <w:numFmt w:val="lowerLetter"/>
      <w:start w:val="1"/>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1"/>
      <w:numFmt w:val="decimal"/>
      <w:start w:val="1"/>
    </w:lvl>
    <w:lvl w:ilvl="1">
      <w:lvlJc w:val="left"/>
      <w:lvlText w:val="(%2)"/>
      <w:numFmt w:val="lowerLetter"/>
      <w:start w:val="8"/>
    </w:lvl>
  </w:abstractNum>
  <w:abstractNum w:abstractNumId="29">
    <w:nsid w:val="6CEAF087"/>
    <w:multiLevelType w:val="hybridMultilevel"/>
    <w:lvl w:ilvl="0">
      <w:lvlJc w:val="left"/>
      <w:lvlText w:val="%1."/>
      <w:numFmt w:val="decimal"/>
      <w:start w:val="22"/>
    </w:lvl>
    <w:lvl w:ilvl="1">
      <w:lvlJc w:val="left"/>
      <w:lvlText w:val="%2"/>
      <w:numFmt w:val="lowerLetter"/>
      <w:start w:val="1"/>
    </w:lvl>
  </w:abstractNum>
  <w:abstractNum w:abstractNumId="30">
    <w:nsid w:val="22221A70"/>
    <w:multiLevelType w:val="hybridMultilevel"/>
    <w:lvl w:ilvl="0">
      <w:lvlJc w:val="left"/>
      <w:lvlText w:val="%1."/>
      <w:numFmt w:val="decimal"/>
      <w:start w:val="2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2019-12-09T16:01:54Z</dcterms:created>
  <dcterms:modified xsi:type="dcterms:W3CDTF">2019-12-09T16:01:54Z</dcterms:modified>
</cp:coreProperties>
</file>