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53340</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81915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51"/>
        </w:trPr>
        <w:tc>
          <w:tcPr>
            <w:tcW w:w="2800" w:type="dxa"/>
            <w:vAlign w:val="bottom"/>
          </w:tcPr>
          <w:p>
            <w:pPr>
              <w:jc w:val="center"/>
              <w:ind w:right="19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60" w:type="dxa"/>
            <w:vAlign w:val="bottom"/>
          </w:tcPr>
          <w:p>
            <w:pPr>
              <w:ind w:left="176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00" w:type="dxa"/>
            <w:vAlign w:val="bottom"/>
          </w:tcPr>
          <w:p>
            <w:pPr>
              <w:jc w:val="center"/>
              <w:ind w:left="7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3"/>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5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43"/>
        </w:trPr>
        <w:tc>
          <w:tcPr>
            <w:tcW w:w="2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560" w:type="dxa"/>
            <w:vAlign w:val="bottom"/>
          </w:tcPr>
          <w:p>
            <w:pPr>
              <w:spacing w:after="0"/>
              <w:rPr>
                <w:sz w:val="21"/>
                <w:szCs w:val="21"/>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93"/>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60" w:type="dxa"/>
            <w:vAlign w:val="bottom"/>
          </w:tcPr>
          <w:p>
            <w:pPr>
              <w:spacing w:after="0"/>
              <w:rPr>
                <w:sz w:val="16"/>
                <w:szCs w:val="16"/>
                <w:color w:val="auto"/>
              </w:rPr>
            </w:pP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87"/>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0" w:type="dxa"/>
            <w:vAlign w:val="bottom"/>
          </w:tcPr>
          <w:p>
            <w:pPr>
              <w:spacing w:after="0"/>
              <w:rPr>
                <w:sz w:val="16"/>
                <w:szCs w:val="16"/>
                <w:color w:val="auto"/>
              </w:rPr>
            </w:pPr>
          </w:p>
        </w:tc>
      </w:tr>
      <w:tr>
        <w:trPr>
          <w:trHeight w:val="417"/>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Pr>
          <w:p>
            <w:pPr>
              <w:spacing w:after="0"/>
              <w:rPr>
                <w:sz w:val="18"/>
                <w:szCs w:val="18"/>
                <w:color w:val="auto"/>
              </w:rPr>
            </w:pPr>
          </w:p>
        </w:tc>
        <w:tc>
          <w:tcPr>
            <w:tcW w:w="2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4"/>
        </w:trPr>
        <w:tc>
          <w:tcPr>
            <w:tcW w:w="3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600" w:type="dxa"/>
            <w:vAlign w:val="bottom"/>
          </w:tcPr>
          <w:p>
            <w:pPr>
              <w:spacing w:after="0"/>
              <w:rPr>
                <w:sz w:val="22"/>
                <w:szCs w:val="22"/>
                <w:color w:val="auto"/>
              </w:rPr>
            </w:pPr>
          </w:p>
        </w:tc>
        <w:tc>
          <w:tcPr>
            <w:tcW w:w="23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WYNN</w:t>
            </w:r>
          </w:p>
        </w:tc>
        <w:tc>
          <w:tcPr>
            <w:tcW w:w="860" w:type="dxa"/>
            <w:vAlign w:val="bottom"/>
          </w:tcPr>
          <w:p>
            <w:pPr>
              <w:spacing w:after="0"/>
              <w:rPr>
                <w:sz w:val="22"/>
                <w:szCs w:val="22"/>
                <w:color w:val="auto"/>
              </w:rPr>
            </w:pPr>
          </w:p>
        </w:tc>
        <w:tc>
          <w:tcPr>
            <w:tcW w:w="4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09"/>
        </w:trPr>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bl>
    <w:p>
      <w:pPr>
        <w:spacing w:after="0" w:line="33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November 5, 2026, Wynn Resorts, Limited (the "Company") issued a press release announcing its results of operations for the quarter ended September 30, 2026.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16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1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November 5, 2026, the Company announced that its Board of Directors declared a cash dividend of $0.25 per share, payable on November 30, 2026 to stockholders of record as of November 16, 2026.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10"/>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November 5, 2026, of Wynn Resorts, Limited.</w:t>
            </w:r>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gridSpan w:val="2"/>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64"/>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2"/>
                <w:szCs w:val="22"/>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08"/>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94" w:lineRule="exact"/>
        <w:rPr>
          <w:sz w:val="20"/>
          <w:szCs w:val="20"/>
          <w:color w:val="auto"/>
        </w:rPr>
      </w:pPr>
    </w:p>
    <w:p>
      <w:pPr>
        <w:ind w:left="480"/>
        <w:spacing w:after="0"/>
        <w:tabs>
          <w:tab w:leader="none" w:pos="1140" w:val="left"/>
          <w:tab w:leader="none" w:pos="6360" w:val="left"/>
          <w:tab w:leader="none" w:pos="7120" w:val="left"/>
        </w:tabs>
        <w:rPr>
          <w:sz w:val="20"/>
          <w:szCs w:val="20"/>
          <w:color w:val="auto"/>
        </w:rPr>
      </w:pPr>
      <w:r>
        <w:rPr>
          <w:rFonts w:ascii="Times New Roman" w:cs="Times New Roman" w:eastAsia="Times New Roman" w:hAnsi="Times New Roman"/>
          <w:sz w:val="18"/>
          <w:szCs w:val="18"/>
          <w:color w:val="auto"/>
        </w:rPr>
        <w:t>Dated:</w:t>
        <w:tab/>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J. Fullalove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2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Craig J. Fullalove</w:t>
      </w:r>
    </w:p>
    <w:p>
      <w:pPr>
        <w:spacing w:after="0" w:line="3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Third Quarter 2026 Results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 VEGAS, November 5, 2026 — Wynn Resorts, Limited (NASDAQ: WYNN) ("Wynn Resorts" or the "Company") today reported financial results for the third quarter ended September 30, 2026.</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Operating revenues were $1.69 billion for the third quarter of 2026, a decrease of $144.7 million from $1.83 billion for the third quarter of 2025. Net income attributable to Wynn Resorts, Limited was $17.3 million for the third quarter of 2026, compared to net income attributable to Wynn Resorts, Limited of $88.3 million for the third quarter of 2025. Diluted net income per share was $0.17 for the third quarter of 2026, compared to diluted net income per share of $0.85 for the third quarter of 2025. Adjusted Property EBITDAR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$464.2 million for the third quarter of 2026, compared to Adjusted Property EBITDAR of $570.1 million for the third quarter of 2025.</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third quarter results demonstrated strong operational discipline from the teams in each of our regions,” said Craig Billings, CEO of Wynn Resorts, Limited. “Wynn Las Vegas and our Macau properties both saw healthy demand amid slower market conditions. Wynn Las Vegas was also negatively impacted by a hold rate outside of our expected range. In Boston, the team did an excellent job managing through the strike that began in early September, ensuring that we could continue delighting guests at our resort. The team at Wynn Al Marjan Island has also made substantial progress with ongoing finishing works occurring throughout the property, including the interior fit-out of all guest rooms, as we move closer to a planned September 2027 opening.”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revenues were $1.69 billion for the third quarter of 2026, a decrease of $144.7 million from $1.83 billion for the third quarter of 2025. For the third quarter of 2026, operating revenues decreased $51.7 million, $45.8 million, $30.1 million and $17.1 million at Wynn Palace, our Las Vegas Operations, Wynn Macau, and Encore Boston Harbor, respectively, from the third quarter of 2025.</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Net income attributable to Wynn Resorts, Limited was $17.3 million for the third quarter of 2026, compared to net income attributable to Wynn Resorts, Limited of $88.3 million for the third quarter of 2025. Diluted net income per share was $0.17 for the third quarter of 2026, compared to diluted net income per share of $0.85 for the third quarter of 2025. Adjusted net income attributable to Wynn Resorts, Limited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$33.9 million, or $0.33 per diluted share, for the third quarter of 2026, compared to adjusted net income attributable to Wynn Resorts, Limited of $88.7 million, or $0.86 per diluted share, for the third quarter of 2025.</w:t>
      </w:r>
    </w:p>
    <w:p>
      <w:pPr>
        <w:spacing w:after="0" w:line="22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Adjusted Property EBITDAR was $464.2 million for the third quarter of 2026, a decrease of $105.9 million compared to Adjusted Property EBITDAR of $570.1 million for the third quarter of 2025. For the third quarter of 2026, Adjusted Property EBITDAR decreased $44.6 million, $34.5 million, $18.5 million, and $8.3 million at our Las Vegas Operations, Wynn Palace, Wynn Macau, and Encore Boston Harbor, respectively, from the third quarter of 2025.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Wynn Resorts, Limited also announced on November 5, 2026 that its Board of Directors declared a cash dividend of $0.25 per share, payable on November 30, 2026 to stockholders of record as of November 16,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Macau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revenues from Wynn Palace were $583.8 million for the third quarter of 2026, a decrease of $51.7 million from $635.5 million for the third quarter of 2025. Adjusted Property EBITDAR from Wynn Palace was $165.8 million for the third quarter of 2026, compared to $200.3 million for the third quarter of 2025. Table games win percentage in mass market operations was 25.8%, above the 22.6% experienced in the third quarter of 2025. VIP table games win as a percentage of turnover was 3.82%, above the property's expected range of 3.1% to 3.4% and below the 4.68% experienced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revenues from Wynn Macau were $335.4 million for the third quarter of 2026, a decrease of $30.1 million from $365.5 million for the third quarter of 2025. Adjusted Property EBITDAR from Wynn Macau was $89.5 million for the third quarter of 2026, compared to $108.0 million for the third quarter of 2025. Table games win percentage in mass market operations was 17.1%, below the 18.7% experienced in the third quarter of 2025. VIP table games win as a percentage of turnover was 4.88%, above the property's expected range of 3.1% to 3.4% and above the 2.93% experienced in the third quarter of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 Vegas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revenues from our Las Vegas Operations were $575.2 million for the third quarter of 2026, a decrease of $45.8 million from $621.0 million for the third quarter of 2025. Adjusted Property EBITDAR from our Las Vegas Operations for the third quarter of 2026 was $158.8 million, compared to $203.4 million for the third quarter of 2025. Table games win percentage for the third quarter of 2026 was 18.9%, below the property's expected range of 22% to 26% and below the 23.0% experienced in the third quarter of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Encore Boston Harbor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revenues from Encore Boston Harbor were $194.7 million for the third quarter of 2026, a decrease of $17.1 million from $211.8 million for the third quarter of 2025. Adjusted Property EBITDAR from Encore Boston Harbor for the third quarter of 2026 was $50.1 million, compared to $58.4 million for the third quarter of 2025. Table games win percentage for the third quarter of 2026 was 18.9%, within the property's expected range of 18% to 22% and below the 20.5% experienced in the third quarter of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Al Marjan Island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the Company contributed $62.2 million of cash to the 40%-owned joint venture that is constructing the Wynn Al Marjan Island development in the UAE, bringing our life-to-date cash contributions to the project to $1.12 billion. Wynn Al Marjan Island is currently expected to open in September 2027.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as of September 30, 2026 totaled $1.64 billion, excluding $150.2 million of short-term investments held by Wynn Macau, Limited ("WML"). Cash and cash equivalents is comprised of $1.15 billion held by WML and subsidiaries, $371.5 million held by Wynn Resorts Finance, LLC ("WRF") and subsidiaries excluding WML, and $120.3 million held at Corporate and other. As of September 30, 2026, the available borrowing capacity under the WRF Revolver and the WM Cayman II Revolver was $1.03 billion and $1.35 billion,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current and long-term debt outstanding at September 30, 2026 was $10.73 billion, comprised of $5.77 billion of Macau-related debt, $4.37 billion of WRF debt, and $599.1 million of debt held by the retail joint venture which we consolidate.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Debt Financing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2026, WRF and its subsidiary Wynn Resorts Capital Corp. issued $900.0 million aggregate principal amount of 6.875% Senior Notes due 2035 and used the net proceeds from the offering, along with cash on hand, to redeem in full an aggregate principal amount of $900.0 million of Wynn Las Vegas 5.250% Senior Notes due 2027.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the Company repurchased 627,475 shares of its common stock under its publicly announced equity repurchase program at an average price of $92.61 per share, for an aggregate cost of $58.1 million. As of September 30, 2026, the Company had $268.0 million in repurchase authority remaining under the equity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Other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including the results of Wynn Resorts Finance, LLC, on November 5, 2026 at 1:30 p.m. PT (4:30 p.m. ET). Interested parties are invited to join the call by accessing a live audio webcast at http://www.wynnresorts.com. On or before November 16, 2026, the Company will make Wynn Resorts Finance, LLC financial information for the quarter ended September 30, 2026 available to noteholders, prospective investors, broker-dealers and securities analysts. Please contact our investor relations office at 702-770-7555 or at investorrelations@wynnresorts.com to obtain access to such financial information.</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8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geopolitical conflicts,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2025,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8"/>
        <w:spacing w:after="0" w:line="252"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18" w:lineRule="exact"/>
        <w:rPr>
          <w:rFonts w:ascii="Times New Roman" w:cs="Times New Roman" w:eastAsia="Times New Roman" w:hAnsi="Times New Roman"/>
          <w:sz w:val="18"/>
          <w:szCs w:val="18"/>
          <w:color w:val="auto"/>
        </w:rPr>
      </w:pPr>
    </w:p>
    <w:p>
      <w:pPr>
        <w:jc w:val="both"/>
        <w:ind w:firstLine="8"/>
        <w:spacing w:after="0" w:line="254" w:lineRule="auto"/>
        <w:tabs>
          <w:tab w:leader="none" w:pos="2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Wynn Resorts, Limited" is net income attributable to Wynn Resorts, Limited before pre-opening expenses, property charges and other expenses, change in derivatives fair value, loss on debt financing transactions, foreign currency remeasurement and other,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income attributable to Wynn Resorts, Limited to adjusted net income attributable to Wynn Resorts, Limited, (ii) operating income (loss) to Adjusted Property EBITDAR, and (iii) net income attributable to Wynn Resorts, Limited to Adjusted Property EBITDAR.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4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1"/>
        </w:trPr>
        <w:tc>
          <w:tcPr>
            <w:tcW w:w="4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1,050,471</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1,174,717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3,402,992</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3,266,981</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836,058</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772,926</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376,553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395,976</w:t>
            </w:r>
          </w:p>
        </w:tc>
      </w:tr>
      <w:tr>
        <w:trPr>
          <w:trHeight w:val="236"/>
        </w:trPr>
        <w:tc>
          <w:tcPr>
            <w:tcW w:w="49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1,689,053</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1,833,747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5,402,748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5,271,941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674,247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1,983,362</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256,524</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656,167</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174,768</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831,539</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461,156</w:t>
            </w:r>
          </w:p>
        </w:tc>
      </w:tr>
      <w:tr>
        <w:trPr>
          <w:trHeight w:val="243"/>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31,631</w:t>
            </w:r>
          </w:p>
        </w:tc>
      </w:tr>
      <w:tr>
        <w:trPr>
          <w:trHeight w:val="237"/>
        </w:trPr>
        <w:tc>
          <w:tcPr>
            <w:tcW w:w="4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1,510,831</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1,523,258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4,644,334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4,428,263</w:t>
            </w:r>
          </w:p>
        </w:tc>
      </w:tr>
      <w:tr>
        <w:trPr>
          <w:trHeight w:val="23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178,222</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310,489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758,414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843,678</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51,799</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(469,740)</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(43,827)</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43"/>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w:t>
            </w:r>
          </w:p>
        </w:tc>
      </w:tr>
      <w:tr>
        <w:trPr>
          <w:trHeight w:val="237"/>
        </w:trPr>
        <w:tc>
          <w:tcPr>
            <w:tcW w:w="4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(135,882)</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(120,926)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(356,678)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(474,139)</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42,340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189,563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401,736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369,539</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(82,746)</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36,763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369,873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286,793</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(59,487)</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17,321</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88,341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277,837</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227,306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4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4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103,955</w:t>
            </w:r>
          </w:p>
        </w:tc>
      </w:tr>
      <w:tr>
        <w:trPr>
          <w:trHeight w:val="243"/>
        </w:trPr>
        <w:tc>
          <w:tcPr>
            <w:tcW w:w="4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104,373</w:t>
            </w:r>
          </w:p>
        </w:tc>
      </w:tr>
      <w:tr>
        <w:trPr>
          <w:trHeight w:val="864"/>
        </w:trPr>
        <w:tc>
          <w:tcPr>
            <w:tcW w:w="498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227,306</w:t>
            </w:r>
          </w:p>
        </w:tc>
        <w:tc>
          <w:tcPr>
            <w:tcW w:w="0" w:type="dxa"/>
            <w:vAlign w:val="bottom"/>
          </w:tcPr>
          <w:p>
            <w:pPr>
              <w:spacing w:after="0"/>
              <w:rPr>
                <w:sz w:val="1"/>
                <w:szCs w:val="1"/>
                <w:color w:val="auto"/>
              </w:rPr>
            </w:pPr>
          </w:p>
        </w:tc>
      </w:tr>
      <w:tr>
        <w:trPr>
          <w:trHeight w:val="24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0" w:type="dxa"/>
            <w:vAlign w:val="bottom"/>
          </w:tcPr>
          <w:p>
            <w:pPr>
              <w:spacing w:after="0"/>
              <w:rPr>
                <w:sz w:val="1"/>
                <w:szCs w:val="1"/>
                <w:color w:val="auto"/>
              </w:rPr>
            </w:pPr>
          </w:p>
        </w:tc>
      </w:tr>
      <w:tr>
        <w:trPr>
          <w:trHeight w:val="24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4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remeasurement and other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impact on adjustments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impact on adjustments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(21,810)</w:t>
            </w:r>
          </w:p>
        </w:tc>
        <w:tc>
          <w:tcPr>
            <w:tcW w:w="0" w:type="dxa"/>
            <w:vAlign w:val="bottom"/>
          </w:tcPr>
          <w:p>
            <w:pPr>
              <w:spacing w:after="0"/>
              <w:rPr>
                <w:sz w:val="1"/>
                <w:szCs w:val="1"/>
                <w:color w:val="auto"/>
              </w:rPr>
            </w:pPr>
          </w:p>
        </w:tc>
      </w:tr>
      <w:tr>
        <w:trPr>
          <w:trHeight w:val="26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Wynn Resorts, Limited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291,078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315,179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Wynn Resorts, Limited per diluted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11"/>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20" w:type="dxa"/>
            <w:vAlign w:val="bottom"/>
          </w:tcPr>
          <w:p>
            <w:pPr>
              <w:spacing w:after="0"/>
              <w:rPr>
                <w:sz w:val="12"/>
                <w:szCs w:val="12"/>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20" w:type="dxa"/>
            <w:vAlign w:val="bottom"/>
          </w:tcPr>
          <w:p>
            <w:pPr>
              <w:spacing w:after="0"/>
              <w:rPr>
                <w:sz w:val="12"/>
                <w:szCs w:val="12"/>
                <w:color w:val="auto"/>
              </w:rPr>
            </w:pPr>
          </w:p>
        </w:tc>
        <w:tc>
          <w:tcPr>
            <w:tcW w:w="10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Total Macau</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10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6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67,905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178,222</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2,644</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21,109</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78,925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166,782</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22,031</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28,740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13,397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39,024</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9,757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20,205</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35,322</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165,762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89,514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255,276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158,818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50,136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464,230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11"/>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Total Macau</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112,418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75,195</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177,960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310,489</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7,289</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78,568</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152,828</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6,154</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11,318</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31,524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(71,239)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35,721</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22,664</w:t>
            </w:r>
          </w:p>
        </w:tc>
        <w:tc>
          <w:tcPr>
            <w:tcW w:w="0" w:type="dxa"/>
            <w:vAlign w:val="bottom"/>
          </w:tcPr>
          <w:p>
            <w:pPr>
              <w:spacing w:after="0"/>
              <w:rPr>
                <w:sz w:val="1"/>
                <w:szCs w:val="1"/>
                <w:color w:val="auto"/>
              </w:rPr>
            </w:pPr>
          </w:p>
        </w:tc>
      </w:tr>
      <w:tr>
        <w:trPr>
          <w:trHeight w:val="193"/>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34,942</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200,282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107,998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308,280</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58,394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570,087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7" w:right="339" w:bottom="1440" w:gutter="0" w:footer="0" w:header="0"/>
          <w:type w:val="continuous"/>
        </w:sectPr>
      </w:pPr>
    </w:p>
    <w:bookmarkStart w:id="9" w:name="page10"/>
    <w:bookmarkEnd w:id="9"/>
    <w:p>
      <w:pPr>
        <w:ind w:left="346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Macau</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Las Vegas</w:t>
            </w:r>
          </w:p>
        </w:tc>
        <w:tc>
          <w:tcPr>
            <w:tcW w:w="200" w:type="dxa"/>
            <w:vAlign w:val="bottom"/>
          </w:tcPr>
          <w:p>
            <w:pPr>
              <w:spacing w:after="0"/>
              <w:rPr>
                <w:sz w:val="12"/>
                <w:szCs w:val="12"/>
                <w:color w:val="auto"/>
              </w:rPr>
            </w:pPr>
          </w:p>
        </w:tc>
        <w:tc>
          <w:tcPr>
            <w:tcW w:w="8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Encore</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Boston</w:t>
            </w: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416,386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260,690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758,414</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23,621</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181,156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244,707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192,481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492,730</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24,315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43,322</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91,416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88,379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37,194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108,043</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16,512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62,845</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105,981</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571,072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260,641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831,713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606,504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156,739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1,594,956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Macau</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Las Vegas</w:t>
            </w:r>
          </w:p>
        </w:tc>
        <w:tc>
          <w:tcPr>
            <w:tcW w:w="20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Encore</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Boston</w:t>
            </w: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433,392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323,349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843,678</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23,862</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232,649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178,898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461,156</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11,903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31,631</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87,650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88,838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33,651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118,748</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10,630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34,837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70,901</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105,397</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519,373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814,080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661,586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1,655,373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320" w:top="887"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00"/>
          </w:cols>
          <w:pgMar w:left="320" w:top="887" w:right="579" w:bottom="1440" w:gutter="0" w:footer="0" w:header="0"/>
          <w:type w:val="continuous"/>
        </w:sectPr>
      </w:pPr>
    </w:p>
    <w:bookmarkStart w:id="10" w:name="page11"/>
    <w:bookmarkEnd w:id="10"/>
    <w:p>
      <w:pPr>
        <w:ind w:left="346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WYNN RESORTS, LIMITED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PROPERTY EBITDAR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227,306</w:t>
            </w: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59,487</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Pre-opening expenses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461,156</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105,397</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39,024</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118,748</w:t>
            </w: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70,901</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469,740</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r>
      <w:tr>
        <w:trPr>
          <w:trHeight w:val="243"/>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82,746</w:t>
            </w:r>
          </w:p>
        </w:tc>
      </w:tr>
      <w:tr>
        <w:trPr>
          <w:trHeight w:val="262"/>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464,230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570,087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1,594,956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1,655,373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0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20" w:type="dxa"/>
            <w:vAlign w:val="bottom"/>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Palace Supplemental Information</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495,808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542,439</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1,625,081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1,435,245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36,048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37,396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109,870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112,492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31,375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33,293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96,195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95,477</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20,540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22,344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65,362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67,828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583,771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635,472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1,896,508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1,711,042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23"/>
                <w:szCs w:val="23"/>
                <w:b w:val="1"/>
                <w:bCs w:val="1"/>
                <w:color w:val="auto"/>
                <w:vertAlign w:val="superscript"/>
              </w:rPr>
              <w:t>(6)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165,762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200,282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571,072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519,373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VIP:</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6"/>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turnover</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2,794,816</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3,261,314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9,878,634</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11,337,407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line="232" w:lineRule="exact"/>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106,876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152,478</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323,431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373,481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24,323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32,401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25,888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Mass market: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30"/>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3"/>
                <w:szCs w:val="23"/>
                <w:color w:val="auto"/>
                <w:vertAlign w:val="superscript"/>
              </w:rPr>
              <w:t>(2)</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1,791,654</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2,057,789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5,662,690</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5,606,241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462,711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465,683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1,549,856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1,299,679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20,714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20,094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19,282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6"/>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711,487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710,156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2,532,354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2,202,840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30"/>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29,897</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30,482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106,049</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92,320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27"/>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98.2 %</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98.4 %</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560"/>
              <w:spacing w:after="0" w:line="243" w:lineRule="exact"/>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23"/>
                <w:szCs w:val="23"/>
                <w:color w:val="auto"/>
                <w:vertAlign w:val="superscript"/>
              </w:rPr>
              <w:t>(4)</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Our casino operations in Macau were closed for a 1-day period in September 2025 due to Typhoon Ragasa.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0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20" w:type="dxa"/>
            <w:vAlign w:val="bottom"/>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Macau Supplemental Information</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286,086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314,489</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863,544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883,419</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20,628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21,149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62,855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66,188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17,343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52,779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53,155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11,966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12,532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37,188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36,524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335,428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365,513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1,016,366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1,039,286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23"/>
                <w:szCs w:val="23"/>
                <w:b w:val="1"/>
                <w:bCs w:val="1"/>
                <w:color w:val="auto"/>
                <w:vertAlign w:val="superscript"/>
              </w:rPr>
              <w:t>(6)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89,514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107,998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260,641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294,707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VIP:</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turnover</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470,355</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1,019,346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1,484,342</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3,438,127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560"/>
              <w:spacing w:after="0" w:line="232" w:lineRule="exact"/>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22,940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36,261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79,025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23,504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18,871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Mass market: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0"/>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3"/>
                <w:szCs w:val="23"/>
                <w:color w:val="auto"/>
                <w:vertAlign w:val="superscript"/>
              </w:rPr>
              <w:t>(2)</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1,624,967</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1,633,273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5,280,410</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4,793,914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277,960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305,761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866,285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875,146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14,151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14,139</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14,733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13,993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26"/>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876,965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855,707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3,306,751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2,718,205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0"/>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29,085</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25,588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100,222</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75,148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27"/>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98.8 %</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99.1 %</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560"/>
              <w:spacing w:after="0" w:line="243" w:lineRule="exact"/>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23"/>
                <w:szCs w:val="23"/>
                <w:color w:val="auto"/>
                <w:vertAlign w:val="superscript"/>
              </w:rPr>
              <w:t>(4)</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Our casino operations in Macau were closed for a 1-day period in September 2025 due to Typhoon Ragasa.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 Supplemental Information</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123,379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161,576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459,674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471,071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181,827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186,712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602,520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590,561</w:t>
            </w:r>
          </w:p>
        </w:tc>
        <w:tc>
          <w:tcPr>
            <w:tcW w:w="100" w:type="dxa"/>
            <w:vAlign w:val="bottom"/>
          </w:tcPr>
          <w:p>
            <w:pPr>
              <w:spacing w:after="0"/>
              <w:rPr>
                <w:sz w:val="19"/>
                <w:szCs w:val="19"/>
                <w:color w:val="auto"/>
              </w:rPr>
            </w:pPr>
          </w:p>
        </w:tc>
        <w:tc>
          <w:tcPr>
            <w:tcW w:w="72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193,976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192,544</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578,392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566,847</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75,972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80,180</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239,645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256,451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575,154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621,012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1,880,231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1,884,930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rPr>
              <w:t>(0.2)</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Adjusted Property EBITDAR </w:t>
            </w:r>
            <w:r>
              <w:rPr>
                <w:rFonts w:ascii="Times New Roman" w:cs="Times New Roman" w:eastAsia="Times New Roman" w:hAnsi="Times New Roman"/>
                <w:sz w:val="23"/>
                <w:szCs w:val="23"/>
                <w:b w:val="1"/>
                <w:bCs w:val="1"/>
                <w:color w:val="auto"/>
                <w:vertAlign w:val="superscript"/>
              </w:rPr>
              <w:t>(6)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158,818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203,413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606,504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661,586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b w:val="1"/>
                <w:bCs w:val="1"/>
                <w:color w:val="auto"/>
              </w:rPr>
              <w:t>(8.3)</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9"/>
                <w:szCs w:val="19"/>
                <w:color w:val="auto"/>
              </w:rPr>
            </w:pPr>
          </w:p>
        </w:tc>
        <w:tc>
          <w:tcPr>
            <w:tcW w:w="72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line="232"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592,931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652,293</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1,916,475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1,854,052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29"/>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112,132</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150,073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437,197</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427,109</w:t>
            </w:r>
          </w:p>
        </w:tc>
        <w:tc>
          <w:tcPr>
            <w:tcW w:w="100" w:type="dxa"/>
            <w:vAlign w:val="bottom"/>
          </w:tcPr>
          <w:p>
            <w:pPr>
              <w:spacing w:after="0"/>
              <w:rPr>
                <w:sz w:val="19"/>
                <w:szCs w:val="19"/>
                <w:color w:val="auto"/>
              </w:rPr>
            </w:pPr>
          </w:p>
        </w:tc>
        <w:tc>
          <w:tcPr>
            <w:tcW w:w="72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2.4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4,959</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6,994</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6,586</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6,691</w:t>
            </w:r>
          </w:p>
        </w:tc>
        <w:tc>
          <w:tcPr>
            <w:tcW w:w="100" w:type="dxa"/>
            <w:vAlign w:val="bottom"/>
          </w:tcPr>
          <w:p>
            <w:pPr>
              <w:spacing w:after="0"/>
              <w:rPr>
                <w:sz w:val="19"/>
                <w:szCs w:val="19"/>
                <w:color w:val="auto"/>
              </w:rPr>
            </w:pPr>
          </w:p>
        </w:tc>
        <w:tc>
          <w:tcPr>
            <w:tcW w:w="72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1,777,297</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1,818,133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5,405,901</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5,356,473</w:t>
            </w:r>
          </w:p>
        </w:tc>
        <w:tc>
          <w:tcPr>
            <w:tcW w:w="100" w:type="dxa"/>
            <w:vAlign w:val="bottom"/>
          </w:tcPr>
          <w:p>
            <w:pPr>
              <w:spacing w:after="0"/>
              <w:rPr>
                <w:sz w:val="19"/>
                <w:szCs w:val="19"/>
                <w:color w:val="auto"/>
              </w:rPr>
            </w:pPr>
          </w:p>
        </w:tc>
        <w:tc>
          <w:tcPr>
            <w:tcW w:w="72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0.9</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line="232"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119,090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123,500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356,433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370,350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6"/>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854</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9"/>
                <w:szCs w:val="19"/>
                <w:color w:val="auto"/>
              </w:rPr>
            </w:pPr>
          </w:p>
        </w:tc>
        <w:tc>
          <w:tcPr>
            <w:tcW w:w="72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Poker rake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4,720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5,148</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17,583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6"/>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85.5 %</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85.7 %</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87.4 %</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23"/>
                <w:szCs w:val="23"/>
                <w:color w:val="auto"/>
                <w:vertAlign w:val="superscript"/>
              </w:rPr>
              <w:t>(4)</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9"/>
                <w:szCs w:val="19"/>
                <w:color w:val="auto"/>
              </w:rPr>
            </w:pPr>
          </w:p>
        </w:tc>
        <w:tc>
          <w:tcPr>
            <w:tcW w:w="72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560"/>
              <w:spacing w:after="0" w:line="243" w:lineRule="exact"/>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6"/>
                <w:szCs w:val="16"/>
                <w:color w:val="auto"/>
                <w:w w:val="99"/>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2"/>
                <w:szCs w:val="12"/>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20" w:type="dxa"/>
            <w:vAlign w:val="bottom"/>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Encore Boston Harbor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145,198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156,213</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454,693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477,246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27"/>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22,996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25,227</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66,938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66,817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15,558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18,810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53,654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57,447</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10,948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11,500</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34,358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35,173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194,700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211,750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609,643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636,683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Adjusted Property EBITDAR </w:t>
            </w:r>
            <w:r>
              <w:rPr>
                <w:rFonts w:ascii="Times New Roman" w:cs="Times New Roman" w:eastAsia="Times New Roman" w:hAnsi="Times New Roman"/>
                <w:sz w:val="23"/>
                <w:szCs w:val="23"/>
                <w:b w:val="1"/>
                <w:bCs w:val="1"/>
                <w:color w:val="auto"/>
                <w:vertAlign w:val="superscript"/>
              </w:rPr>
              <w:t>(6)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50,136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58,394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156,739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179,707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46"/>
        </w:trPr>
        <w:tc>
          <w:tcPr>
            <w:tcW w:w="4160" w:type="dxa"/>
            <w:vAlign w:val="bottom"/>
            <w:shd w:val="clear" w:color="auto" w:fill="CCEEFF"/>
          </w:tcPr>
          <w:p>
            <w:pPr>
              <w:ind w:left="560"/>
              <w:spacing w:after="0" w:line="246"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317,038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323,981</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989,695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1,002,226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0"/>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59,844</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66,257</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188,180</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208,155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3,931</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4,060</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2,628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2,727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2,721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7"/>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1,296,855</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1,397,554</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4,033,495</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4,120,102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560"/>
              <w:spacing w:after="0" w:line="232"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102,396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110,797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322,420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327,752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6"/>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Poker rake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5,045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5,410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15,950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16,482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6"/>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91.9 %</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95.5 %</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92.2 %</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23"/>
                <w:szCs w:val="23"/>
                <w:color w:val="auto"/>
                <w:vertAlign w:val="superscript"/>
              </w:rPr>
              <w:t>(4)</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line="26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games win is shown before discounts, commissions and the allocation of casino revenues to rooms, food and beverage and other revenues for services provided to casino customers on a complimentary basis.</w:t>
      </w:r>
    </w:p>
    <w:p>
      <w:pPr>
        <w:jc w:val="both"/>
        <w:ind w:left="340" w:hanging="332"/>
        <w:spacing w:after="0" w:line="26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Slot machine win is calculated as gross slot machine win minus progressive accruals and free play.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ADR is average daily rate and is calculated by dividing total room revenues including complimentaries (less service charges, if any) by total rooms occupied.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REVPAR is revenue per available room and is calculated by dividing total room revenues including complimentaries (less service charges, if any) by total rooms available.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accompanying reconciliations of Operating Income (Loss) to Adjusted Property EBITDAR and Net Income Attributable to Wynn Resorts, Limited to Adjusted Property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SOURCE: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Seiler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34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139"/>
      </w:cols>
      <w:pgMar w:left="320" w:top="1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2026-11-05T15:23:40Z</dcterms:created>
  <dcterms:modified xsi:type="dcterms:W3CDTF">2026-11-05T15:23:40Z</dcterms:modified>
</cp:coreProperties>
</file>