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February 3, 2009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100" w:type="dxa"/>
        <w:tblCellMar>
          <w:top w:w="0" w:type="dxa"/>
          <w:left w:w="0" w:type="dxa"/>
          <w:bottom w:w="0" w:type="dxa"/>
          <w:right w:w="0" w:type="dxa"/>
        </w:tblCellMar>
      </w:tblPr>
      <w:tr>
        <w:trPr>
          <w:trHeight w:val="253"/>
        </w:trPr>
        <w:tc>
          <w:tcPr>
            <w:tcW w:w="4420" w:type="dxa"/>
            <w:vAlign w:val="bottom"/>
          </w:tcPr>
          <w:p>
            <w:pPr>
              <w:jc w:val="center"/>
              <w:ind w:right="493"/>
              <w:spacing w:after="0"/>
              <w:rPr>
                <w:sz w:val="20"/>
                <w:szCs w:val="20"/>
                <w:color w:val="auto"/>
              </w:rPr>
            </w:pPr>
            <w:r>
              <w:rPr>
                <w:rFonts w:ascii="Arial" w:cs="Arial" w:eastAsia="Arial" w:hAnsi="Arial"/>
                <w:sz w:val="22"/>
                <w:szCs w:val="22"/>
                <w:b w:val="1"/>
                <w:bCs w:val="1"/>
                <w:color w:val="auto"/>
                <w:w w:val="89"/>
              </w:rPr>
              <w:t>Nevada</w:t>
            </w:r>
          </w:p>
        </w:tc>
        <w:tc>
          <w:tcPr>
            <w:tcW w:w="3280" w:type="dxa"/>
            <w:vAlign w:val="bottom"/>
          </w:tcPr>
          <w:p>
            <w:pPr>
              <w:jc w:val="right"/>
              <w:ind w:right="1514"/>
              <w:spacing w:after="0"/>
              <w:rPr>
                <w:sz w:val="20"/>
                <w:szCs w:val="20"/>
                <w:color w:val="auto"/>
              </w:rPr>
            </w:pPr>
            <w:r>
              <w:rPr>
                <w:rFonts w:ascii="Arial" w:cs="Arial" w:eastAsia="Arial" w:hAnsi="Arial"/>
                <w:sz w:val="22"/>
                <w:szCs w:val="22"/>
                <w:b w:val="1"/>
                <w:bCs w:val="1"/>
                <w:color w:val="auto"/>
              </w:rPr>
              <w:t>000-50028</w:t>
            </w:r>
          </w:p>
        </w:tc>
        <w:tc>
          <w:tcPr>
            <w:tcW w:w="3200" w:type="dxa"/>
            <w:vAlign w:val="bottom"/>
          </w:tcPr>
          <w:p>
            <w:pPr>
              <w:jc w:val="center"/>
              <w:spacing w:after="0"/>
              <w:rPr>
                <w:sz w:val="20"/>
                <w:szCs w:val="20"/>
                <w:color w:val="auto"/>
              </w:rPr>
            </w:pPr>
            <w:r>
              <w:rPr>
                <w:rFonts w:ascii="Arial" w:cs="Arial" w:eastAsia="Arial" w:hAnsi="Arial"/>
                <w:sz w:val="22"/>
                <w:szCs w:val="22"/>
                <w:b w:val="1"/>
                <w:bCs w:val="1"/>
                <w:color w:val="auto"/>
                <w:w w:val="90"/>
              </w:rPr>
              <w:t>46-0484987</w:t>
            </w:r>
          </w:p>
        </w:tc>
      </w:tr>
      <w:tr>
        <w:trPr>
          <w:trHeight w:val="275"/>
        </w:trPr>
        <w:tc>
          <w:tcPr>
            <w:tcW w:w="4420" w:type="dxa"/>
            <w:vAlign w:val="bottom"/>
          </w:tcPr>
          <w:p>
            <w:pPr>
              <w:jc w:val="center"/>
              <w:ind w:right="513"/>
              <w:spacing w:after="0"/>
              <w:rPr>
                <w:sz w:val="20"/>
                <w:szCs w:val="20"/>
                <w:color w:val="auto"/>
              </w:rPr>
            </w:pPr>
            <w:r>
              <w:rPr>
                <w:rFonts w:ascii="Arial" w:cs="Arial" w:eastAsia="Arial" w:hAnsi="Arial"/>
                <w:sz w:val="22"/>
                <w:szCs w:val="22"/>
                <w:color w:val="auto"/>
                <w:w w:val="91"/>
              </w:rPr>
              <w:t>(State or other jurisdiction of incorporation)</w:t>
            </w:r>
          </w:p>
        </w:tc>
        <w:tc>
          <w:tcPr>
            <w:tcW w:w="3280" w:type="dxa"/>
            <w:vAlign w:val="bottom"/>
          </w:tcPr>
          <w:p>
            <w:pPr>
              <w:jc w:val="center"/>
              <w:ind w:right="774"/>
              <w:spacing w:after="0"/>
              <w:rPr>
                <w:sz w:val="20"/>
                <w:szCs w:val="20"/>
                <w:color w:val="auto"/>
              </w:rPr>
            </w:pPr>
            <w:r>
              <w:rPr>
                <w:rFonts w:ascii="Arial" w:cs="Arial" w:eastAsia="Arial" w:hAnsi="Arial"/>
                <w:sz w:val="22"/>
                <w:szCs w:val="22"/>
                <w:color w:val="auto"/>
                <w:w w:val="91"/>
              </w:rPr>
              <w:t>(Commission File Number)</w:t>
            </w:r>
          </w:p>
        </w:tc>
        <w:tc>
          <w:tcPr>
            <w:tcW w:w="3200" w:type="dxa"/>
            <w:vAlign w:val="bottom"/>
          </w:tcPr>
          <w:p>
            <w:pPr>
              <w:jc w:val="center"/>
              <w:spacing w:after="0"/>
              <w:rPr>
                <w:sz w:val="20"/>
                <w:szCs w:val="20"/>
                <w:color w:val="auto"/>
              </w:rPr>
            </w:pPr>
            <w:r>
              <w:rPr>
                <w:rFonts w:ascii="Arial" w:cs="Arial" w:eastAsia="Arial" w:hAnsi="Arial"/>
                <w:sz w:val="22"/>
                <w:szCs w:val="22"/>
                <w:color w:val="auto"/>
                <w:w w:val="92"/>
              </w:rPr>
              <w:t>(I.R.S. Employer Identification No.)</w:t>
            </w:r>
          </w:p>
        </w:tc>
      </w:tr>
      <w:tr>
        <w:trPr>
          <w:trHeight w:val="446"/>
        </w:trPr>
        <w:tc>
          <w:tcPr>
            <w:tcW w:w="4420" w:type="dxa"/>
            <w:vAlign w:val="bottom"/>
          </w:tcPr>
          <w:p>
            <w:pPr>
              <w:spacing w:after="0"/>
              <w:rPr>
                <w:sz w:val="24"/>
                <w:szCs w:val="24"/>
                <w:color w:val="auto"/>
              </w:rPr>
            </w:pPr>
          </w:p>
        </w:tc>
        <w:tc>
          <w:tcPr>
            <w:tcW w:w="3280" w:type="dxa"/>
            <w:vAlign w:val="bottom"/>
          </w:tcPr>
          <w:p>
            <w:pPr>
              <w:jc w:val="center"/>
              <w:ind w:right="794"/>
              <w:spacing w:after="0"/>
              <w:rPr>
                <w:sz w:val="20"/>
                <w:szCs w:val="20"/>
                <w:color w:val="auto"/>
              </w:rPr>
            </w:pPr>
            <w:r>
              <w:rPr>
                <w:rFonts w:ascii="Arial" w:cs="Arial" w:eastAsia="Arial" w:hAnsi="Arial"/>
                <w:sz w:val="20"/>
                <w:szCs w:val="20"/>
                <w:b w:val="1"/>
                <w:bCs w:val="1"/>
                <w:color w:val="auto"/>
                <w:w w:val="99"/>
              </w:rPr>
              <w:t>WYNN LAS VEGAS, LLC</w:t>
            </w:r>
          </w:p>
        </w:tc>
        <w:tc>
          <w:tcPr>
            <w:tcW w:w="3200" w:type="dxa"/>
            <w:vAlign w:val="bottom"/>
          </w:tcPr>
          <w:p>
            <w:pPr>
              <w:spacing w:after="0"/>
              <w:rPr>
                <w:sz w:val="24"/>
                <w:szCs w:val="24"/>
                <w:color w:val="auto"/>
              </w:rPr>
            </w:pPr>
          </w:p>
        </w:tc>
      </w:tr>
      <w:tr>
        <w:trPr>
          <w:trHeight w:val="250"/>
        </w:trPr>
        <w:tc>
          <w:tcPr>
            <w:tcW w:w="7700" w:type="dxa"/>
            <w:vAlign w:val="bottom"/>
            <w:gridSpan w:val="2"/>
          </w:tcPr>
          <w:p>
            <w:pPr>
              <w:jc w:val="center"/>
              <w:ind w:left="3413"/>
              <w:spacing w:after="0"/>
              <w:rPr>
                <w:sz w:val="20"/>
                <w:szCs w:val="20"/>
                <w:color w:val="auto"/>
              </w:rPr>
            </w:pPr>
            <w:r>
              <w:rPr>
                <w:rFonts w:ascii="Arial" w:cs="Arial" w:eastAsia="Arial" w:hAnsi="Arial"/>
                <w:sz w:val="20"/>
                <w:szCs w:val="20"/>
                <w:color w:val="auto"/>
                <w:w w:val="89"/>
              </w:rPr>
              <w:t>(Exact name of registrant as specified in its charter)</w:t>
            </w:r>
          </w:p>
        </w:tc>
        <w:tc>
          <w:tcPr>
            <w:tcW w:w="3200" w:type="dxa"/>
            <w:vAlign w:val="bottom"/>
          </w:tcPr>
          <w:p>
            <w:pPr>
              <w:spacing w:after="0"/>
              <w:rPr>
                <w:sz w:val="21"/>
                <w:szCs w:val="21"/>
                <w:color w:val="auto"/>
              </w:rPr>
            </w:pPr>
          </w:p>
        </w:tc>
      </w:tr>
      <w:tr>
        <w:trPr>
          <w:trHeight w:val="461"/>
        </w:trPr>
        <w:tc>
          <w:tcPr>
            <w:tcW w:w="4420" w:type="dxa"/>
            <w:vAlign w:val="bottom"/>
          </w:tcPr>
          <w:p>
            <w:pPr>
              <w:jc w:val="center"/>
              <w:ind w:right="493"/>
              <w:spacing w:after="0"/>
              <w:rPr>
                <w:sz w:val="20"/>
                <w:szCs w:val="20"/>
                <w:color w:val="auto"/>
              </w:rPr>
            </w:pPr>
            <w:r>
              <w:rPr>
                <w:rFonts w:ascii="Arial" w:cs="Arial" w:eastAsia="Arial" w:hAnsi="Arial"/>
                <w:sz w:val="22"/>
                <w:szCs w:val="22"/>
                <w:b w:val="1"/>
                <w:bCs w:val="1"/>
                <w:color w:val="auto"/>
                <w:w w:val="89"/>
              </w:rPr>
              <w:t>Nevada</w:t>
            </w:r>
          </w:p>
        </w:tc>
        <w:tc>
          <w:tcPr>
            <w:tcW w:w="3280" w:type="dxa"/>
            <w:vAlign w:val="bottom"/>
          </w:tcPr>
          <w:p>
            <w:pPr>
              <w:jc w:val="right"/>
              <w:ind w:right="1454"/>
              <w:spacing w:after="0"/>
              <w:rPr>
                <w:sz w:val="20"/>
                <w:szCs w:val="20"/>
                <w:color w:val="auto"/>
              </w:rPr>
            </w:pPr>
            <w:r>
              <w:rPr>
                <w:rFonts w:ascii="Arial" w:cs="Arial" w:eastAsia="Arial" w:hAnsi="Arial"/>
                <w:sz w:val="22"/>
                <w:szCs w:val="22"/>
                <w:b w:val="1"/>
                <w:bCs w:val="1"/>
                <w:color w:val="auto"/>
              </w:rPr>
              <w:t>333-100768</w:t>
            </w:r>
          </w:p>
        </w:tc>
        <w:tc>
          <w:tcPr>
            <w:tcW w:w="3200" w:type="dxa"/>
            <w:vAlign w:val="bottom"/>
          </w:tcPr>
          <w:p>
            <w:pPr>
              <w:jc w:val="center"/>
              <w:spacing w:after="0"/>
              <w:rPr>
                <w:sz w:val="20"/>
                <w:szCs w:val="20"/>
                <w:color w:val="auto"/>
              </w:rPr>
            </w:pPr>
            <w:r>
              <w:rPr>
                <w:rFonts w:ascii="Arial" w:cs="Arial" w:eastAsia="Arial" w:hAnsi="Arial"/>
                <w:sz w:val="22"/>
                <w:szCs w:val="22"/>
                <w:b w:val="1"/>
                <w:bCs w:val="1"/>
                <w:color w:val="auto"/>
                <w:w w:val="90"/>
              </w:rPr>
              <w:t>88-0494875</w:t>
            </w:r>
          </w:p>
        </w:tc>
      </w:tr>
      <w:tr>
        <w:trPr>
          <w:trHeight w:val="275"/>
        </w:trPr>
        <w:tc>
          <w:tcPr>
            <w:tcW w:w="4420" w:type="dxa"/>
            <w:vAlign w:val="bottom"/>
          </w:tcPr>
          <w:p>
            <w:pPr>
              <w:jc w:val="center"/>
              <w:ind w:right="513"/>
              <w:spacing w:after="0"/>
              <w:rPr>
                <w:sz w:val="20"/>
                <w:szCs w:val="20"/>
                <w:color w:val="auto"/>
              </w:rPr>
            </w:pPr>
            <w:r>
              <w:rPr>
                <w:rFonts w:ascii="Arial" w:cs="Arial" w:eastAsia="Arial" w:hAnsi="Arial"/>
                <w:sz w:val="22"/>
                <w:szCs w:val="22"/>
                <w:color w:val="auto"/>
                <w:w w:val="91"/>
              </w:rPr>
              <w:t>(State or other jurisdiction of incorporation)</w:t>
            </w:r>
          </w:p>
        </w:tc>
        <w:tc>
          <w:tcPr>
            <w:tcW w:w="3280" w:type="dxa"/>
            <w:vAlign w:val="bottom"/>
          </w:tcPr>
          <w:p>
            <w:pPr>
              <w:jc w:val="center"/>
              <w:ind w:right="774"/>
              <w:spacing w:after="0"/>
              <w:rPr>
                <w:sz w:val="20"/>
                <w:szCs w:val="20"/>
                <w:color w:val="auto"/>
              </w:rPr>
            </w:pPr>
            <w:r>
              <w:rPr>
                <w:rFonts w:ascii="Arial" w:cs="Arial" w:eastAsia="Arial" w:hAnsi="Arial"/>
                <w:sz w:val="22"/>
                <w:szCs w:val="22"/>
                <w:color w:val="auto"/>
                <w:w w:val="91"/>
              </w:rPr>
              <w:t>(Commission File Number)</w:t>
            </w:r>
          </w:p>
        </w:tc>
        <w:tc>
          <w:tcPr>
            <w:tcW w:w="3200" w:type="dxa"/>
            <w:vAlign w:val="bottom"/>
          </w:tcPr>
          <w:p>
            <w:pPr>
              <w:jc w:val="center"/>
              <w:spacing w:after="0"/>
              <w:rPr>
                <w:sz w:val="20"/>
                <w:szCs w:val="20"/>
                <w:color w:val="auto"/>
              </w:rPr>
            </w:pPr>
            <w:r>
              <w:rPr>
                <w:rFonts w:ascii="Arial" w:cs="Arial" w:eastAsia="Arial" w:hAnsi="Arial"/>
                <w:sz w:val="22"/>
                <w:szCs w:val="22"/>
                <w:color w:val="auto"/>
                <w:w w:val="92"/>
              </w:rPr>
              <w:t>(I.R.S. Employer Identification No.)</w:t>
            </w:r>
          </w:p>
        </w:tc>
      </w:tr>
      <w:tr>
        <w:trPr>
          <w:trHeight w:val="449"/>
        </w:trPr>
        <w:tc>
          <w:tcPr>
            <w:tcW w:w="7700" w:type="dxa"/>
            <w:vAlign w:val="bottom"/>
            <w:gridSpan w:val="2"/>
          </w:tcPr>
          <w:p>
            <w:pPr>
              <w:jc w:val="center"/>
              <w:ind w:right="454"/>
              <w:spacing w:after="0"/>
              <w:rPr>
                <w:sz w:val="20"/>
                <w:szCs w:val="20"/>
                <w:color w:val="auto"/>
              </w:rPr>
            </w:pPr>
            <w:r>
              <w:rPr>
                <w:rFonts w:ascii="Arial" w:cs="Arial" w:eastAsia="Arial" w:hAnsi="Arial"/>
                <w:sz w:val="22"/>
                <w:szCs w:val="22"/>
                <w:b w:val="1"/>
                <w:bCs w:val="1"/>
                <w:color w:val="auto"/>
                <w:w w:val="87"/>
              </w:rPr>
              <w:t>3131 Las Vegas Boulevard South</w:t>
            </w:r>
          </w:p>
        </w:tc>
        <w:tc>
          <w:tcPr>
            <w:tcW w:w="3200" w:type="dxa"/>
            <w:vAlign w:val="bottom"/>
          </w:tcPr>
          <w:p>
            <w:pPr>
              <w:spacing w:after="0"/>
              <w:rPr>
                <w:sz w:val="24"/>
                <w:szCs w:val="24"/>
                <w:color w:val="auto"/>
              </w:rPr>
            </w:pPr>
          </w:p>
        </w:tc>
      </w:tr>
      <w:tr>
        <w:trPr>
          <w:trHeight w:val="249"/>
        </w:trPr>
        <w:tc>
          <w:tcPr>
            <w:tcW w:w="4420" w:type="dxa"/>
            <w:vAlign w:val="bottom"/>
          </w:tcPr>
          <w:p>
            <w:pPr>
              <w:jc w:val="center"/>
              <w:ind w:left="2593"/>
              <w:spacing w:after="0" w:line="249" w:lineRule="exact"/>
              <w:rPr>
                <w:sz w:val="20"/>
                <w:szCs w:val="20"/>
                <w:color w:val="auto"/>
              </w:rPr>
            </w:pPr>
            <w:r>
              <w:rPr>
                <w:rFonts w:ascii="Arial" w:cs="Arial" w:eastAsia="Arial" w:hAnsi="Arial"/>
                <w:sz w:val="22"/>
                <w:szCs w:val="22"/>
                <w:b w:val="1"/>
                <w:bCs w:val="1"/>
                <w:color w:val="auto"/>
                <w:w w:val="86"/>
              </w:rPr>
              <w:t>Las Vegas, Nevada</w:t>
            </w:r>
          </w:p>
        </w:tc>
        <w:tc>
          <w:tcPr>
            <w:tcW w:w="3280" w:type="dxa"/>
            <w:vAlign w:val="bottom"/>
          </w:tcPr>
          <w:p>
            <w:pPr>
              <w:spacing w:after="0"/>
              <w:rPr>
                <w:sz w:val="21"/>
                <w:szCs w:val="21"/>
                <w:color w:val="auto"/>
              </w:rPr>
            </w:pPr>
          </w:p>
        </w:tc>
        <w:tc>
          <w:tcPr>
            <w:tcW w:w="3200" w:type="dxa"/>
            <w:vAlign w:val="bottom"/>
          </w:tcPr>
          <w:p>
            <w:pPr>
              <w:jc w:val="right"/>
              <w:ind w:right="1252"/>
              <w:spacing w:after="0" w:line="249" w:lineRule="exact"/>
              <w:rPr>
                <w:sz w:val="20"/>
                <w:szCs w:val="20"/>
                <w:color w:val="auto"/>
              </w:rPr>
            </w:pPr>
            <w:r>
              <w:rPr>
                <w:rFonts w:ascii="Arial" w:cs="Arial" w:eastAsia="Arial" w:hAnsi="Arial"/>
                <w:sz w:val="22"/>
                <w:szCs w:val="22"/>
                <w:b w:val="1"/>
                <w:bCs w:val="1"/>
                <w:color w:val="auto"/>
              </w:rPr>
              <w:t>89109</w:t>
            </w:r>
          </w:p>
        </w:tc>
      </w:tr>
      <w:tr>
        <w:trPr>
          <w:trHeight w:val="275"/>
        </w:trPr>
        <w:tc>
          <w:tcPr>
            <w:tcW w:w="7700" w:type="dxa"/>
            <w:vAlign w:val="bottom"/>
            <w:gridSpan w:val="2"/>
          </w:tcPr>
          <w:p>
            <w:pPr>
              <w:jc w:val="center"/>
              <w:ind w:right="454"/>
              <w:spacing w:after="0"/>
              <w:rPr>
                <w:sz w:val="20"/>
                <w:szCs w:val="20"/>
                <w:color w:val="auto"/>
              </w:rPr>
            </w:pPr>
            <w:r>
              <w:rPr>
                <w:rFonts w:ascii="Arial" w:cs="Arial" w:eastAsia="Arial" w:hAnsi="Arial"/>
                <w:sz w:val="22"/>
                <w:szCs w:val="22"/>
                <w:color w:val="auto"/>
                <w:w w:val="90"/>
              </w:rPr>
              <w:t>(Address of principal executive offices of each registrant)</w:t>
            </w:r>
          </w:p>
        </w:tc>
        <w:tc>
          <w:tcPr>
            <w:tcW w:w="3200" w:type="dxa"/>
            <w:vAlign w:val="bottom"/>
          </w:tcPr>
          <w:p>
            <w:pPr>
              <w:jc w:val="center"/>
              <w:spacing w:after="0"/>
              <w:rPr>
                <w:sz w:val="20"/>
                <w:szCs w:val="20"/>
                <w:color w:val="auto"/>
              </w:rPr>
            </w:pPr>
            <w:r>
              <w:rPr>
                <w:rFonts w:ascii="Arial" w:cs="Arial" w:eastAsia="Arial" w:hAnsi="Arial"/>
                <w:sz w:val="22"/>
                <w:szCs w:val="22"/>
                <w:color w:val="auto"/>
                <w:w w:val="90"/>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1120" w:hanging="1112"/>
        <w:spacing w:after="0"/>
        <w:tabs>
          <w:tab w:leader="none" w:pos="11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206" w:lineRule="exact"/>
        <w:rPr>
          <w:rFonts w:ascii="Arial" w:cs="Arial" w:eastAsia="Arial" w:hAnsi="Arial"/>
          <w:sz w:val="22"/>
          <w:szCs w:val="22"/>
          <w:color w:val="auto"/>
        </w:rPr>
      </w:pPr>
    </w:p>
    <w:p>
      <w:pPr>
        <w:ind w:left="1120" w:hanging="1112"/>
        <w:spacing w:after="0"/>
        <w:tabs>
          <w:tab w:leader="none" w:pos="11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1120" w:right="920" w:hanging="1112"/>
        <w:spacing w:after="0" w:line="251" w:lineRule="auto"/>
        <w:tabs>
          <w:tab w:leader="none" w:pos="11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173" w:lineRule="exact"/>
        <w:rPr>
          <w:rFonts w:ascii="Arial" w:cs="Arial" w:eastAsia="Arial" w:hAnsi="Arial"/>
          <w:sz w:val="22"/>
          <w:szCs w:val="22"/>
          <w:color w:val="auto"/>
        </w:rPr>
      </w:pPr>
    </w:p>
    <w:p>
      <w:pPr>
        <w:ind w:left="1120" w:right="980" w:hanging="1112"/>
        <w:spacing w:after="0" w:line="251" w:lineRule="auto"/>
        <w:tabs>
          <w:tab w:leader="none" w:pos="11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50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On February 3, 2009, Wynn Resorts, Limited issued a press release announcing that a number of efficiency initiatives would be implemented at Wynn Las Vegas and Wynn Resorts, Limited focused on keeping full time staff employed in these uncertain times. A copy of the press release is attached hereto as Exhibit 99.1 and is hereby incorporated by reference.</w:t>
      </w:r>
    </w:p>
    <w:p>
      <w:pPr>
        <w:spacing w:after="0" w:line="155"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00" w:lineRule="exact"/>
        <w:rPr>
          <w:sz w:val="20"/>
          <w:szCs w:val="20"/>
          <w:color w:val="auto"/>
        </w:rPr>
      </w:pPr>
    </w:p>
    <w:p>
      <w:pPr>
        <w:spacing w:after="0" w:line="282" w:lineRule="exact"/>
        <w:rPr>
          <w:sz w:val="20"/>
          <w:szCs w:val="20"/>
          <w:color w:val="auto"/>
        </w:rPr>
      </w:pPr>
    </w:p>
    <w:p>
      <w:pPr>
        <w:ind w:left="1820" w:hanging="1033"/>
        <w:spacing w:after="0"/>
        <w:tabs>
          <w:tab w:leader="none" w:pos="182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620"/>
        <w:spacing w:after="0"/>
        <w:tabs>
          <w:tab w:leader="none" w:pos="190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780"/>
        <w:spacing w:after="0"/>
        <w:tabs>
          <w:tab w:leader="none" w:pos="19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February 3, 2009,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355" w:right="6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February 5, 2009</w:t>
      </w:r>
    </w:p>
    <w:p>
      <w:pPr>
        <w:spacing w:after="0" w:line="23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7620</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22"/>
          <w:szCs w:val="22"/>
          <w:color w:val="auto"/>
        </w:rPr>
        <w:t>Matt Maddox</w:t>
      </w:r>
    </w:p>
    <w:p>
      <w:pPr>
        <w:ind w:left="728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680085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February 5, 2009</w:t>
      </w:r>
    </w:p>
    <w:p>
      <w:pPr>
        <w:spacing w:after="0" w:line="23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WYNN LAS VEGAS, LLC</w:t>
      </w:r>
    </w:p>
    <w:p>
      <w:pPr>
        <w:spacing w:after="0" w:line="206" w:lineRule="exact"/>
        <w:rPr>
          <w:sz w:val="20"/>
          <w:szCs w:val="20"/>
          <w:color w:val="auto"/>
        </w:rPr>
      </w:pPr>
    </w:p>
    <w:p>
      <w:pPr>
        <w:ind w:left="6660"/>
        <w:spacing w:after="0"/>
        <w:tabs>
          <w:tab w:leader="none" w:pos="7240" w:val="left"/>
        </w:tabs>
        <w:rPr>
          <w:sz w:val="20"/>
          <w:szCs w:val="20"/>
          <w:color w:val="auto"/>
        </w:rPr>
      </w:pPr>
      <w:r>
        <w:rPr>
          <w:rFonts w:ascii="Arial" w:cs="Arial" w:eastAsia="Arial" w:hAnsi="Arial"/>
          <w:sz w:val="19"/>
          <w:szCs w:val="19"/>
          <w:color w:val="auto"/>
        </w:rPr>
        <w:t>By:</w:t>
        <w:tab/>
        <w:t>Wynn Resorts Holdings, LLC, its sole member</w:t>
      </w:r>
    </w:p>
    <w:p>
      <w:pPr>
        <w:spacing w:after="0" w:line="200" w:lineRule="exact"/>
        <w:rPr>
          <w:sz w:val="20"/>
          <w:szCs w:val="20"/>
          <w:color w:val="auto"/>
        </w:rPr>
      </w:pPr>
    </w:p>
    <w:p>
      <w:pPr>
        <w:spacing w:after="0" w:line="257" w:lineRule="exact"/>
        <w:rPr>
          <w:sz w:val="20"/>
          <w:szCs w:val="20"/>
          <w:color w:val="auto"/>
        </w:rPr>
      </w:pPr>
    </w:p>
    <w:p>
      <w:pPr>
        <w:ind w:left="6660"/>
        <w:spacing w:after="0"/>
        <w:tabs>
          <w:tab w:leader="none" w:pos="7240" w:val="left"/>
        </w:tabs>
        <w:rPr>
          <w:sz w:val="20"/>
          <w:szCs w:val="20"/>
          <w:color w:val="auto"/>
        </w:rPr>
      </w:pPr>
      <w:r>
        <w:rPr>
          <w:rFonts w:ascii="Arial" w:cs="Arial" w:eastAsia="Arial" w:hAnsi="Arial"/>
          <w:sz w:val="22"/>
          <w:szCs w:val="22"/>
          <w:color w:val="auto"/>
        </w:rPr>
        <w:t>By:</w:t>
        <w:tab/>
        <w:t>Wynn Resorts, Limited, its sole member</w:t>
      </w:r>
    </w:p>
    <w:p>
      <w:pPr>
        <w:spacing w:after="0" w:line="200" w:lineRule="exact"/>
        <w:rPr>
          <w:sz w:val="20"/>
          <w:szCs w:val="20"/>
          <w:color w:val="auto"/>
        </w:rPr>
      </w:pPr>
    </w:p>
    <w:p>
      <w:pPr>
        <w:spacing w:after="0" w:line="222"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7620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22"/>
          <w:szCs w:val="22"/>
          <w:color w:val="auto"/>
        </w:rPr>
        <w:t>Matt Maddox</w:t>
      </w:r>
    </w:p>
    <w:p>
      <w:pPr>
        <w:ind w:left="728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1400"/>
          </w:cols>
          <w:pgMar w:left="240" w:top="355" w:right="25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68"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WYNN RESORTS ANNOUNCES EFFICIENCY INITIATIVES TO BE IMPLEMENTED IMMEDIATELY IN LAS VEGAS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LAS VEGAS, February 3, 2009 (BUSINESS WIRE) -- Wynn Resorts, Limited (Nasdaq: WYNN) announced today that a number of efficiency initiatives would be implemented at Wynn Las Vegas focused on keeping full time staff employed in these uncertain times. These initiatives include reductions in pay for all salaried employees in Las Vegas, reduced work weeks for full-time hourly employees, the elimination of 2009 bonus accruals and a suspension of the employer match to the 401K contributions. The Company believes these initiatives plus other operational efficiencies will save approximately $75-100 million annually.</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Steven A Wynn, Chairman and CEO of Wynn Resorts commented, “The management team at Wynn Resorts recognizes their responsibility to the employees, customers and shareholders to maintain the strength and health of the business and the integrity of the guest’s experience. We will make decisions that protect and preserve the stability of the employees and allow the company to optimize its performance.”</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addition, Wynn Resorts has a strong balance sheet with over $1 billion of cash on hand and only $375 million of debt maturities over the next two years.</w:t>
      </w:r>
    </w:p>
    <w:p>
      <w:pPr>
        <w:spacing w:after="0" w:line="210" w:lineRule="exact"/>
        <w:rPr>
          <w:sz w:val="20"/>
          <w:szCs w:val="20"/>
          <w:color w:val="auto"/>
        </w:rPr>
      </w:pPr>
    </w:p>
    <w:p>
      <w:pPr>
        <w:ind w:right="140"/>
        <w:spacing w:after="0" w:line="214" w:lineRule="auto"/>
        <w:rPr>
          <w:sz w:val="20"/>
          <w:szCs w:val="20"/>
          <w:color w:val="auto"/>
        </w:rPr>
      </w:pPr>
      <w:r>
        <w:rPr>
          <w:rFonts w:ascii="Arial" w:cs="Arial" w:eastAsia="Arial" w:hAnsi="Arial"/>
          <w:sz w:val="22"/>
          <w:szCs w:val="22"/>
          <w:color w:val="auto"/>
        </w:rPr>
        <w:t>The Company will host a call today, February 3</w:t>
      </w:r>
      <w:r>
        <w:rPr>
          <w:rFonts w:ascii="Arial" w:cs="Arial" w:eastAsia="Arial" w:hAnsi="Arial"/>
          <w:sz w:val="30"/>
          <w:szCs w:val="30"/>
          <w:color w:val="auto"/>
          <w:vertAlign w:val="superscript"/>
        </w:rPr>
        <w:t>rd</w:t>
      </w:r>
      <w:r>
        <w:rPr>
          <w:rFonts w:ascii="Arial" w:cs="Arial" w:eastAsia="Arial" w:hAnsi="Arial"/>
          <w:sz w:val="22"/>
          <w:szCs w:val="22"/>
          <w:color w:val="auto"/>
        </w:rPr>
        <w:t xml:space="preserve"> at 2:45 pm pacific time to discuss these initiatives. The call will be accessible by calling (800) 794-8478. The conference call ID is 84407937.</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Wynn Resorts</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Wynn Resorts, Limited is traded on the Nasdaq Global Select Market under the ticker symbol WYNN and is part of the S&amp;P 500 and NASDAQ-100 Indexes. Wynn Resorts owns and operates Wynn Las Vegas (www.wynnlasvegas.com), Encore (www.encorelasvegas.com) and Wynn Macau (www.wynnmacau.com). Wynn Las Vegas, a luxury hotel and destination casino resort located on the Las Vegas Strip features 2,716 luxurious guest rooms and suites, an approximately 111,000 square foot casino, 22 food and beverage outlets, an on-site 18-hole golf course, approximately 223,000 square feet of meeting space, an on-site Ferrari and Maserati dealership, and approximately 74,000 square feet of retail space.</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Encore, the new signature resort in the Wynn collection, opened December 22, 2008. Encore is located immediately adjacent to Wynn Las Vegas and features 2,034 suites, approximately 72,000 square foot casino, 12 food and beverage outlets, a nightclub, a spa and salon, approximately 60,000 square feet of meeting space and approximately 27,000 square feet of upscale retail outlets.</w:t>
      </w:r>
    </w:p>
    <w:p>
      <w:pPr>
        <w:spacing w:after="0" w:line="16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facilities.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MEDIA CONTACT:</w:t>
      </w:r>
    </w:p>
    <w:p>
      <w:pPr>
        <w:spacing w:after="0" w:line="238" w:lineRule="auto"/>
        <w:rPr>
          <w:sz w:val="20"/>
          <w:szCs w:val="20"/>
          <w:color w:val="auto"/>
        </w:rPr>
      </w:pPr>
      <w:r>
        <w:rPr>
          <w:rFonts w:ascii="Arial" w:cs="Arial" w:eastAsia="Arial" w:hAnsi="Arial"/>
          <w:sz w:val="22"/>
          <w:szCs w:val="22"/>
          <w:color w:val="auto"/>
        </w:rPr>
        <w:t>Jennifer Dunne</w:t>
      </w:r>
    </w:p>
    <w:p>
      <w:pPr>
        <w:spacing w:after="0" w:line="230" w:lineRule="auto"/>
        <w:rPr>
          <w:sz w:val="20"/>
          <w:szCs w:val="20"/>
          <w:color w:val="auto"/>
        </w:rPr>
      </w:pPr>
      <w:r>
        <w:rPr>
          <w:rFonts w:ascii="Arial" w:cs="Arial" w:eastAsia="Arial" w:hAnsi="Arial"/>
          <w:sz w:val="22"/>
          <w:szCs w:val="22"/>
          <w:color w:val="auto"/>
        </w:rPr>
        <w:t>Vice President of Public Relations &amp; Advertising</w:t>
      </w:r>
    </w:p>
    <w:p>
      <w:pPr>
        <w:spacing w:after="0" w:line="231" w:lineRule="auto"/>
        <w:rPr>
          <w:sz w:val="20"/>
          <w:szCs w:val="20"/>
          <w:color w:val="auto"/>
        </w:rPr>
      </w:pPr>
      <w:r>
        <w:rPr>
          <w:rFonts w:ascii="Arial" w:cs="Arial" w:eastAsia="Arial" w:hAnsi="Arial"/>
          <w:sz w:val="22"/>
          <w:szCs w:val="22"/>
          <w:color w:val="auto"/>
        </w:rPr>
        <w:t>702.770.2120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Jennifer.dunne@wynnlasvegas.com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2019-12-10T22:10:19Z</dcterms:created>
  <dcterms:modified xsi:type="dcterms:W3CDTF">2019-12-10T22:10:19Z</dcterms:modified>
</cp:coreProperties>
</file>