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September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33"/>
        </w:trPr>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582295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8" w:lineRule="exact"/>
        <w:rPr>
          <w:sz w:val="20"/>
          <w:szCs w:val="20"/>
          <w:color w:val="auto"/>
        </w:rPr>
      </w:pPr>
    </w:p>
    <w:p>
      <w:pPr>
        <w:jc w:val="both"/>
        <w:ind w:firstLine="347"/>
        <w:spacing w:after="0" w:line="267" w:lineRule="auto"/>
        <w:rPr>
          <w:sz w:val="20"/>
          <w:szCs w:val="20"/>
          <w:color w:val="auto"/>
        </w:rPr>
      </w:pPr>
      <w:r>
        <w:rPr>
          <w:rFonts w:ascii="Times New Roman" w:cs="Times New Roman" w:eastAsia="Times New Roman" w:hAnsi="Times New Roman"/>
          <w:sz w:val="15"/>
          <w:szCs w:val="15"/>
          <w:color w:val="auto"/>
        </w:rPr>
        <w:t>On September 2, 2025 (September 3, 2025 Hong Kong time), Wynn Macau, Limited ("WML"), an indirect subsidiary of Wynn Resorts, Limited (the "Registrant") with its ordinary shares of common stock listed on The Stock Exchange of Hong Kong Limited (the "HKSE"), filed with the HKSE an announcement that WML has redeemed in full all of the outstanding $1.0 billion aggregate principal amount of 5.50% Senior Notes due 2026, issued by WML (the "2026 Notes"), in accordance with the terms and conditions of the Indenture to the 2026 Notes (the "Redemption Announcement"). The Registrant owns approximately 72% of WML’s ordinary shares of common stock. The Redemption Announcement is furnished herewith as Exhibit 99.1.</w:t>
      </w:r>
    </w:p>
    <w:p>
      <w:pPr>
        <w:spacing w:after="0" w:line="175"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Redemption Announcement of Wynn Macau, Limited, dated September 3, 2025</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40" w:type="dxa"/>
            <w:vAlign w:val="bottom"/>
            <w:gridSpan w:val="2"/>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45"/>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80"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Dated: September 2, 2025</w:t>
            </w:r>
          </w:p>
        </w:tc>
        <w:tc>
          <w:tcPr>
            <w:tcW w:w="304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By:</w:t>
            </w:r>
          </w:p>
        </w:tc>
        <w:tc>
          <w:tcPr>
            <w:tcW w:w="3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86"/>
        </w:trPr>
        <w:tc>
          <w:tcPr>
            <w:tcW w:w="4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40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340"/>
          </w:cols>
          <w:pgMar w:left="320" w:top="781"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2025-09-03T05:13:56Z</dcterms:created>
  <dcterms:modified xsi:type="dcterms:W3CDTF">2025-09-03T05:13:56Z</dcterms:modified>
</cp:coreProperties>
</file>