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60" w:right="1820" w:hanging="452"/>
        <w:spacing w:after="0" w:line="438"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2008</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65"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7"/>
              </w:rPr>
              <w:t>NEVADA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66"/>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52"/>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284"/>
        </w:trPr>
        <w:tc>
          <w:tcPr>
            <w:tcW w:w="2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9"/>
        </w:trPr>
        <w:tc>
          <w:tcPr>
            <w:tcW w:w="2600" w:type="dxa"/>
            <w:vAlign w:val="bottom"/>
          </w:tcPr>
          <w:p>
            <w:pPr>
              <w:spacing w:after="0"/>
              <w:rPr>
                <w:sz w:val="24"/>
                <w:szCs w:val="24"/>
                <w:color w:val="auto"/>
              </w:rPr>
            </w:pPr>
          </w:p>
        </w:tc>
        <w:tc>
          <w:tcPr>
            <w:tcW w:w="36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880"/>
        <w:spacing w:after="0" w:line="207" w:lineRule="exact"/>
        <w:tabs>
          <w:tab w:leader="none" w:pos="3840" w:val="left"/>
          <w:tab w:leader="none" w:pos="5440" w:val="left"/>
          <w:tab w:leader="none" w:pos="7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8"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November 7,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0040" w:type="dxa"/>
            <w:vAlign w:val="bottom"/>
            <w:gridSpan w:val="14"/>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tcPr>
          <w:p>
            <w:pPr>
              <w:spacing w:after="0"/>
              <w:rPr>
                <w:sz w:val="19"/>
                <w:szCs w:val="19"/>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Item 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4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24"/>
                <w:szCs w:val="24"/>
                <w:color w:val="auto"/>
              </w:rPr>
            </w:pPr>
          </w:p>
        </w:tc>
      </w:tr>
      <w:tr>
        <w:trPr>
          <w:trHeight w:val="286"/>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2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 September 30, 2008 (unaudited) and December 31, 2007</w:t>
              </w:r>
            </w:hyperlink>
          </w:p>
        </w:tc>
        <w:tc>
          <w:tcPr>
            <w:tcW w:w="238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(unaudited) – Three and nine months ended September 30, 2008 and 2007</w:t>
              </w:r>
            </w:hyperlink>
          </w:p>
        </w:tc>
        <w:tc>
          <w:tcPr>
            <w:tcW w:w="5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6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 (unaudited) – Nine months ended September 30, 2008 and 2007</w:t>
              </w:r>
            </w:hyperlink>
          </w:p>
        </w:tc>
        <w:tc>
          <w:tcPr>
            <w:tcW w:w="124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40" w:type="dxa"/>
            <w:vAlign w:val="bottom"/>
            <w:gridSpan w:val="1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2020" w:type="dxa"/>
            <w:vAlign w:val="bottom"/>
            <w:tcBorders>
              <w:top w:val="single" w:sz="8" w:color="0000EE"/>
            </w:tcBorders>
            <w:gridSpan w:val="2"/>
          </w:tcPr>
          <w:p>
            <w:pPr>
              <w:spacing w:after="0"/>
              <w:rPr>
                <w:sz w:val="24"/>
                <w:szCs w:val="24"/>
                <w:color w:val="auto"/>
              </w:rPr>
            </w:pPr>
          </w:p>
        </w:tc>
        <w:tc>
          <w:tcPr>
            <w:tcW w:w="356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4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3"/>
        </w:trPr>
        <w:tc>
          <w:tcPr>
            <w:tcW w:w="6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0" w:type="dxa"/>
            <w:vAlign w:val="bottom"/>
          </w:tcPr>
          <w:p>
            <w:pPr>
              <w:spacing w:after="0"/>
              <w:rPr>
                <w:sz w:val="24"/>
                <w:szCs w:val="24"/>
                <w:color w:val="auto"/>
              </w:rPr>
            </w:pPr>
          </w:p>
        </w:tc>
        <w:tc>
          <w:tcPr>
            <w:tcW w:w="9980" w:type="dxa"/>
            <w:vAlign w:val="bottom"/>
            <w:gridSpan w:val="13"/>
          </w:tcPr>
          <w:p>
            <w:pPr>
              <w:ind w:left="60"/>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tcPr>
          <w:p>
            <w:pPr>
              <w:spacing w:after="0"/>
              <w:rPr>
                <w:sz w:val="24"/>
                <w:szCs w:val="24"/>
                <w:color w:val="auto"/>
              </w:rPr>
            </w:pPr>
          </w:p>
        </w:tc>
      </w:tr>
      <w:tr>
        <w:trPr>
          <w:trHeight w:val="286"/>
        </w:trPr>
        <w:tc>
          <w:tcPr>
            <w:tcW w:w="620" w:type="dxa"/>
            <w:vAlign w:val="bottom"/>
          </w:tcPr>
          <w:p>
            <w:pPr>
              <w:spacing w:after="0"/>
              <w:rPr>
                <w:sz w:val="20"/>
                <w:szCs w:val="20"/>
                <w:color w:val="auto"/>
              </w:rPr>
            </w:pPr>
            <w:r>
              <w:rPr>
                <w:rFonts w:ascii="Arial" w:cs="Arial" w:eastAsia="Arial" w:hAnsi="Arial"/>
                <w:sz w:val="18"/>
                <w:szCs w:val="18"/>
                <w:color w:val="auto"/>
              </w:rPr>
              <w:t>Item IA</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4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4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Borders>
              <w:top w:val="single" w:sz="8" w:color="0000EE"/>
            </w:tcBorders>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560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8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w:t>
              </w:r>
            </w:hyperlink>
          </w:p>
        </w:tc>
        <w:tc>
          <w:tcPr>
            <w:tcW w:w="580" w:type="dxa"/>
            <w:vAlign w:val="bottom"/>
            <w:tcBorders>
              <w:top w:val="single" w:sz="8" w:color="0000EE"/>
            </w:tcBorders>
            <w:gridSpan w:val="2"/>
          </w:tcPr>
          <w:p>
            <w:pPr>
              <w:spacing w:after="0"/>
              <w:rPr>
                <w:sz w:val="24"/>
                <w:szCs w:val="24"/>
                <w:color w:val="auto"/>
              </w:rPr>
            </w:pPr>
          </w:p>
        </w:tc>
        <w:tc>
          <w:tcPr>
            <w:tcW w:w="9260" w:type="dxa"/>
            <w:vAlign w:val="bottom"/>
            <w:gridSpan w:val="10"/>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83"/>
        </w:trPr>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320" w:type="dxa"/>
            <w:vAlign w:val="bottom"/>
            <w:gridSpan w:val="8"/>
          </w:tcPr>
          <w:p>
            <w:pPr>
              <w:jc w:val="right"/>
              <w:ind w:right="24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(unaudited)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415,423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104,222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617,415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Restricted cash</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31,626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3,755,134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3,031,403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4,559,337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3,647,256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2700"/>
              <w:spacing w:after="0"/>
              <w:rPr>
                <w:sz w:val="20"/>
                <w:szCs w:val="20"/>
                <w:color w:val="auto"/>
              </w:rPr>
            </w:pPr>
            <w:r>
              <w:rPr>
                <w:rFonts w:ascii="Arial" w:cs="Arial" w:eastAsia="Arial" w:hAnsi="Arial"/>
                <w:sz w:val="18"/>
                <w:szCs w:val="18"/>
                <w:b w:val="1"/>
                <w:bCs w:val="1"/>
                <w:color w:val="auto"/>
              </w:rPr>
              <w:t>LIABILITIES AND MEMBER'S EQUITY</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52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1,400</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20,885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116,368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323,070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Long-term debt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2,833,451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1,954,084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3,217,091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2,272,236</w:t>
            </w:r>
          </w:p>
        </w:tc>
        <w:tc>
          <w:tcPr>
            <w:tcW w:w="0" w:type="dxa"/>
            <w:vAlign w:val="bottom"/>
          </w:tcPr>
          <w:p>
            <w:pPr>
              <w:spacing w:after="0"/>
              <w:rPr>
                <w:sz w:val="1"/>
                <w:szCs w:val="1"/>
                <w:color w:val="auto"/>
              </w:rPr>
            </w:pPr>
          </w:p>
        </w:tc>
      </w:tr>
      <w:tr>
        <w:trPr>
          <w:trHeight w:val="221"/>
        </w:trPr>
        <w:tc>
          <w:tcPr>
            <w:tcW w:w="754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1,468,962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1,461,949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(126,716)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1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1,342,246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1,375,020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4,559,337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3,647,256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1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Casino</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2"/>
              </w:rPr>
              <w:t>$ 143,181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149,856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388,979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482,337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208,026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74,605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72,789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236,085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160,325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334,117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342,932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993,415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1,081,840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(37,134)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(115,546)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(109,927)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294,800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305,798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877,869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971,913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Casino</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66,916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64,989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196,747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18,387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47,788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46,545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145,223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105,204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51,496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49,284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154,551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4,425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4,588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13,170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42,269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39,881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122,543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295,132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270,155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866,731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814,400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unconsolidated affiliates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gridSpan w:val="2"/>
            <w:vMerge w:val="continue"/>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35,803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11,435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158,237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2,604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4,533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(19,302)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(2,197)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vMerge w:val="continue"/>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(15,826)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(18,895)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(51,222)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(58,403)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 (16,098)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83"/>
              </w:rPr>
              <w:t>September 30,</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(loss) income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(39,787)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122,543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7,013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7,632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24,732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21,711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14,557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(19,622)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(3,841)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132,656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290,486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(801,311)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(444,769)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150,708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Collection of note receivable from Wynn Resorts, Limited</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(30,056)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(738,559)</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(326,909)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879,484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Payments of deferred financing costs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874,805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268,902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Balance, beginning of year</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146,521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415,423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develop 240 acres on or near the Las Vegas Strip, including Wynn Las Vegas and Encore at Wynn Las Vegas and related amenities. Wynn Las Vegas opened on April 28, 2005.</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September 30, 2008, the Company owned the one share that was issued and outstanding. Wynn Capital has no significant net assets or operating activity. Its sole function is to serve as the co-issuer of the first mortgage notes described below. Wynn Las Vegas, LLC and Wynn Capital together are hereinafter referred to as the “Issuers”.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currently constructing Encore at Wynn Las Vegas (“Encore”). Encore is expected to open to the public in December 2008.</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2008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2007.</w:t>
      </w:r>
    </w:p>
    <w:p>
      <w:pPr>
        <w:spacing w:after="0" w:line="193" w:lineRule="exact"/>
        <w:rPr>
          <w:sz w:val="20"/>
          <w:szCs w:val="20"/>
          <w:color w:val="auto"/>
        </w:rPr>
      </w:pPr>
    </w:p>
    <w:p>
      <w:pPr>
        <w:ind w:left="240" w:right="7900" w:hanging="232"/>
        <w:spacing w:after="0" w:line="417" w:lineRule="auto"/>
        <w:tabs>
          <w:tab w:leader="none" w:pos="18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2008 and December 31, 2007, approximately 59% and 53%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7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7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7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2008</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2007</w:t>
            </w:r>
          </w:p>
        </w:tc>
        <w:tc>
          <w:tcPr>
            <w:tcW w:w="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$ 19,886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$ 18,028</w:t>
            </w:r>
          </w:p>
        </w:tc>
        <w:tc>
          <w:tcPr>
            <w:tcW w:w="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Food and beverage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12,748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12,929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39,350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38,726</w:t>
            </w:r>
          </w:p>
        </w:tc>
        <w:tc>
          <w:tcPr>
            <w:tcW w:w="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20" w:type="dxa"/>
            <w:vAlign w:val="bottom"/>
          </w:tcPr>
          <w:p>
            <w:pPr>
              <w:spacing w:after="0"/>
              <w:rPr>
                <w:sz w:val="18"/>
                <w:szCs w:val="18"/>
                <w:color w:val="auto"/>
              </w:rPr>
            </w:pPr>
          </w:p>
        </w:tc>
      </w:tr>
      <w:tr>
        <w:trPr>
          <w:trHeight w:val="222"/>
        </w:trPr>
        <w:tc>
          <w:tcPr>
            <w:tcW w:w="672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22,806</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21,611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$ 66,667</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$ 63,336</w:t>
            </w:r>
          </w:p>
        </w:tc>
      </w:tr>
      <w:tr>
        <w:trPr>
          <w:trHeight w:val="20"/>
        </w:trPr>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 expenses advertising costs the first time the advertising takes place. Advertising cost incurred during development periods are included in pre-opening costs. Once a project is complete, advertising costs are included in general and administrative expenses. For the three months ended September 30, 2008 and 2007, advertising costs totaled approximately $3.7 million and $3 million, respectively. For the nine months ended September 30, 2008 and 2007, advertising costs totaled approximately $15.5 million and $14.4 million,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September 2006, the Financial Accounting Standards Board (the “FASB”) issued Statement of Financial Accounting Standards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The Company partially adopted the provisions of SFAS 157 effective January 1, 2008 and expects to adopt the remaining provisions of SFAS 157 on January 1, 2009. The adoption of this statement did not have a material impact the Company’s consolidated financial statements.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this statement did not have a material impact on the Company’s consolidated financial statements.</w:t>
      </w:r>
    </w:p>
    <w:p>
      <w:pPr>
        <w:spacing w:after="0" w:line="11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interests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the Company’s financial position, results of operations or cash flows.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October 2008, the FASB issued FASB Staff Position No. FAS 157-3, Determining the Fair Value of a Financial Asset When the Market for That Asset is Not Active (FSP 157-3 or the FSP). FSP 157-3 clarifies the application of SFAS No. 157, Fair Value Measurements (Statement 157), in a market that is not active. The FSP amends Statement 157 to include an example that illustrates key considerations when applying the principles in Statement 157 to financial assets when the market for these instruments is not active.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Interest paid for the nine months ended September 30, 2008 and 2007, respectively, totaled approximately $76 million and $59 million. Interest capitalized for the nine months ended September 30, 2008 and 2007 totaled approximately $56.9 million and $20.1 million, respectively.</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nine months ended September 30, 2008 and 2007, capital expenditures include an increase of approximately $34.4 million and $68.5 million, respectively, in construction payables and retention recorded through amounts due to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Casino</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152,880</w:t>
            </w: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Hotel</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15,851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175,060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(70,838)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104,222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4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87"/>
              </w:rPr>
              <w:t>September 30,</w:t>
            </w:r>
          </w:p>
        </w:tc>
        <w:tc>
          <w:tcPr>
            <w:tcW w:w="960" w:type="dxa"/>
            <w:vAlign w:val="bottom"/>
            <w:gridSpan w:val="4"/>
          </w:tcPr>
          <w:p>
            <w:pPr>
              <w:ind w:left="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603,838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603,838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1,211,200</w:t>
            </w:r>
          </w:p>
        </w:tc>
        <w:tc>
          <w:tcPr>
            <w:tcW w:w="5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1,209,562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Airplane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700,155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655,754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1,651,837</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865,130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4,211,284</w:t>
            </w:r>
          </w:p>
        </w:tc>
        <w:tc>
          <w:tcPr>
            <w:tcW w:w="5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3,378,538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(456,150)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(347,135)</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3,755,134</w:t>
            </w:r>
          </w:p>
        </w:tc>
        <w:tc>
          <w:tcPr>
            <w:tcW w:w="58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$ 3,031,403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5680" w:right="1760" w:hanging="5205"/>
        <w:spacing w:after="0" w:line="440" w:lineRule="auto"/>
        <w:rPr>
          <w:sz w:val="20"/>
          <w:szCs w:val="20"/>
          <w:color w:val="auto"/>
        </w:rPr>
      </w:pPr>
      <w:r>
        <w:rPr>
          <w:rFonts w:ascii="Arial" w:cs="Arial" w:eastAsia="Arial" w:hAnsi="Arial"/>
          <w:sz w:val="18"/>
          <w:szCs w:val="18"/>
          <w:color w:val="auto"/>
        </w:rPr>
        <w:t>As of September 30, 2008 and December 31, 2007, construction in progress includes costs capitalized in conjunction with Encore. 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September 30,</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61"/>
        </w:trPr>
        <w:tc>
          <w:tcPr>
            <w:tcW w:w="7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 xml:space="preserve">6 </w:t>
            </w:r>
            <w:r>
              <w:rPr>
                <w:rFonts w:ascii="Arial" w:cs="Arial" w:eastAsia="Arial" w:hAnsi="Arial"/>
                <w:sz w:val="22"/>
                <w:szCs w:val="22"/>
                <w:color w:val="auto"/>
                <w:w w:val="97"/>
                <w:vertAlign w:val="superscript"/>
              </w:rPr>
              <w:t>5</w:t>
            </w:r>
            <w:r>
              <w:rPr>
                <w:rFonts w:ascii="Arial" w:cs="Arial" w:eastAsia="Arial" w:hAnsi="Arial"/>
                <w:sz w:val="18"/>
                <w:szCs w:val="18"/>
                <w:color w:val="auto"/>
                <w:w w:val="97"/>
              </w:rPr>
              <w:t>/</w:t>
            </w:r>
            <w:r>
              <w:rPr>
                <w:rFonts w:ascii="Arial" w:cs="Arial" w:eastAsia="Arial" w:hAnsi="Arial"/>
                <w:sz w:val="13"/>
                <w:szCs w:val="13"/>
                <w:color w:val="auto"/>
                <w:w w:val="97"/>
              </w:rPr>
              <w:t>8</w:t>
            </w:r>
            <w:r>
              <w:rPr>
                <w:rFonts w:ascii="Arial" w:cs="Arial" w:eastAsia="Arial" w:hAnsi="Arial"/>
                <w:sz w:val="18"/>
                <w:szCs w:val="18"/>
                <w:color w:val="auto"/>
                <w:w w:val="97"/>
              </w:rPr>
              <w:t>% First Mortgage Notes, due December 1, 2014, net of original issue discount of $9,883 and</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4"/>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$10,816, respectively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1,690,117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1,689,184</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$900 million Revolving Credit Facility; due August 15, 2011; interest at LIBOR plus 1.625%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879,484</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w w:val="96"/>
              </w:rPr>
              <w:t>$225 million Term Loan Facility; $112.5 million due September 30, 2012 with the remaining $112.5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million due August 15, 2013; interest at LIBOR plus 1.875%</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225,000</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40,250</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40,950</w:t>
            </w:r>
          </w:p>
        </w:tc>
      </w:tr>
      <w:tr>
        <w:trPr>
          <w:trHeight w:val="27"/>
        </w:trPr>
        <w:tc>
          <w:tcPr>
            <w:tcW w:w="7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2,834,851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1,955,134</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(1,050)</w:t>
            </w:r>
          </w:p>
        </w:tc>
      </w:tr>
      <w:tr>
        <w:trPr>
          <w:trHeight w:val="27"/>
        </w:trPr>
        <w:tc>
          <w:tcPr>
            <w:tcW w:w="7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2,833,451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1,954,084</w:t>
            </w:r>
          </w:p>
        </w:tc>
      </w:tr>
      <w:tr>
        <w:trPr>
          <w:trHeight w:val="20"/>
        </w:trPr>
        <w:tc>
          <w:tcPr>
            <w:tcW w:w="7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Agreement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September 17, 2008, Wynn Las Vegas entered into a third amendment to its Amended and Restated Credit Agreement dated as of August 15, 2006, as amended April 9, 2007 and as further amended October 31, 2007. This amendment, among other things, provides the Company with additional flexibility with respect to its financial covenants and related financial calculations and permits the Company to incur incremental secured debt of up to $150 million in connection with the development of Encore at Wynn Las Vegas.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2008, management believes the Company was in compliance with all debt covenants.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 net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 Limited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15, 2005, the Company loaned $80 million to Wynn Resorts who then loaned those funds through its subsidiaries to Wynn Macau, S.A. as part of the financing of Wynn Macau, Wynn Resorts’ casino resort facility in the Macau Special Administrative Region of the People’s Republic of China (“Macau”). Interest accrues at 7.5% per annum and the note matures on August 15, 2012. In July 2008, Wynn Resorts paid all amounts due to Wynn Las Vegas. Included in the balance as of December 31, 2007, was approximately $8.4 million of accrued interest receivable. In November 2006, Wynn Macau paid all amounts due to Wynn Resorts.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September 30, 2008, the Company’s net due to affiliates was primarily comprised of construction payables of approximately $71.6 million, construction retention of approximately $70.1 million, a management fee of approximately $60.6 million (equal to 1.5% of net revenues and payable upon meeting certain leverage ratios specified in the documents governing the Company’s Credit Facilities), and other net amounts receivable from affiliates totaling $25.3 million (including corporate allocations discussed below).</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December 31, 2007, the Company’s net due to affiliates was primarily comprised of construction payables of approximately $65.7 million, construction retention of approximately $41.6 million, a management fee of approximately $47.4 million (equal to 1.5% of net revenues and payable upon meeting certain leverage ratios specified in the documents governing the Company’s Credit Facilities), and other net amounts receivable from affiliates totaling $34.8 million (including corporate allocations discussed below).</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The Company settles corporate allocation charges with Wynn Resorts on a periodic basis as discussed in “Amounts Due to Affiliates, Net” above. During the three months ended September 30, 2008 and 2007, approximately $4.6 million and $5.6 million, respectively, was charged to Wynn Las Vegas for such corporate allocations. During the nine months ended September 30, 2008 and 2007, approximately $13.6 million and $16.4 million, respectively, was charged to Wynn Las Vegas for such corporate allocations. Wynn Resorts maintains corporate offices at Wynn Las Vegas without charge from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including household services, construction work and other personal services. The cost of these services is charged to Wynn Resorts on a periodic basis. Mr. Wynn and these other officers have amounts on deposit with Wynn Resorts to prepay any such items, which deposits are replenished on an ongoing basis as needed. As of September 30, 2008 and December 31, 2007, Wynn Resorts owed Mr. Wynn and the other officers $382,389 and $357,145,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ended June 30, 2008 to be $580,000. Certain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From the opening of Wynn Las Vegas through February 2006, the resort included an art gallery that displayed rare paintings from a private collection of fine art owned by Mr. and Mrs. Wynn. The Company leased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Charges and Other</w:t>
      </w:r>
    </w:p>
    <w:p>
      <w:pPr>
        <w:spacing w:after="0" w:line="96"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Property charges and other for the three months ended September 30, 2008 and 2007 were $0.6 million and $2.4 million, respectively. Property charges and other for the nine months ended September 30, 2008 and 2007 were $21.7 million and $4.1 million, respectively. Property charges generally include costs related to the retirement of assets for remodels and asset abandonments. Property charges and other for the nine months ended September 30,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In March 2008, the Company, together with the producers, elected to end the show’s run at Wynn Las Vegas pursuant to the contract. The remaining property charges were related to miscellaneous renovations and abandonments. Property charges for the nine months ended September 30, 2007 were primarily related to renovations to portions of the Le Rêve Theater.</w:t>
      </w:r>
    </w:p>
    <w:p>
      <w:pPr>
        <w:spacing w:after="0" w:line="180" w:lineRule="exact"/>
        <w:rPr>
          <w:sz w:val="20"/>
          <w:szCs w:val="20"/>
          <w:color w:val="auto"/>
        </w:rPr>
      </w:pPr>
    </w:p>
    <w:p>
      <w:pPr>
        <w:ind w:right="874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Encore</w:t>
      </w:r>
    </w:p>
    <w:p>
      <w:pPr>
        <w:spacing w:after="0" w:line="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Encore will include a 2,034 all-suite hotel tower, an approximately 72,000 square foot casino, additional convention and meeting space, as well as five restaurants, a nightclub, swimming pools, a spa and salon and retail outlets. The Company commenced construction of Encore on April 28, 2006, and expects to open it to the public in December 2008.</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project budget is approximately $2.3 billion for Encore and related capital improvements. The project is being funded with proceeds from the Company’s existing Credit Facilities and operating cash flow from Wynn Las Vegas. To the extent additional funds are required, the Company will provide these amounts with additional debt and equity contributions by Wynn Resorts or additional indebtedness to be incurred by Wynn Las Vegas.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On February 27, 2007, the Company entered into a Design Build Architectural, Engineering and Construction Services Agreement (the “Contract”) with Tutor-Saliba Corporation (“Tutor”) for the design and construction of Encore. The Contract sets forth all of the terms and conditions pursuant to which Tutor is designing and constructing Encore. In June 2007, the Company executed the first amendment to the Contract which set the guaranteed maximum price for work under the Contract at $1.3 billion. Subsequent change orders bring the current guaranteed maximum price to $1.4 billion. In connection with the execution and delivery of the Contract, Tutor and the Ronald N. Tutor Separate Trust (the “Trust”) have entered into and consented to a Net Worth Agreement pursuant to which</w:t>
      </w:r>
    </w:p>
    <w:p>
      <w:pPr>
        <w:spacing w:after="0" w:line="2" w:lineRule="exact"/>
        <w:rPr>
          <w:sz w:val="20"/>
          <w:szCs w:val="20"/>
          <w:color w:val="auto"/>
        </w:rPr>
      </w:pPr>
    </w:p>
    <w:p>
      <w:pPr>
        <w:ind w:right="380" w:firstLine="8"/>
        <w:spacing w:after="0" w:line="261"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3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Through September 30, 2008, the Company incurred approximately $1.8 billion of project costs related to the development and construction of Encore and related capital improvements.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September 30,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 on Complimentary Meals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paid use tax on these items and has filed for refunds for the periods from April 2005 to April 2008. The amount subject to these refunds is approximately $5.4 million. As of September 30, 2008,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Consolidating Financial Information of Guarantors and Issuers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September 30, 2008 and December 31, 2007, and for the three and nine months ended September 30, 2008 and 2007.</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following consolidating information is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2260"/>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415,423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104,222</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75,525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21,998</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617,168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Restricted cash</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31,626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3,552,228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202,906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3,755,134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11,219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39,700</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88,840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(5,378)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4,303,777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218,556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31,626</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4,559,337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LIABILITIES AND MEMBER’S EQUITY</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37,605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39,350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42,407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20,847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62,930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(96,779)</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189,364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116,368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106,360</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192,927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Long-term debt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2,794,601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2,833,451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60,570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2,961,531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231,777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3,217,091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1,468,962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1,468,962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earnings (deficit)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(126,716)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(25,751)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(126,716)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1,342,246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(13,221)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7,843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1,342,246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4,303,777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218,556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31,626</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4,559,337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500" w:type="dxa"/>
            <w:vAlign w:val="bottom"/>
            <w:gridSpan w:val="3"/>
          </w:tcPr>
          <w:p>
            <w:pPr>
              <w:ind w:left="68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2260"/>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146,556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135,094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58,612</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19,956</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360,218</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88,379</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2,825,608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205,795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3,031,403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19,381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41,536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59,174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4,721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vMerge w:val="continue"/>
          </w:tcPr>
          <w:p>
            <w:pPr>
              <w:spacing w:after="0"/>
              <w:rPr>
                <w:sz w:val="19"/>
                <w:szCs w:val="19"/>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3,392,123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221,908</w:t>
            </w:r>
          </w:p>
        </w:tc>
        <w:tc>
          <w:tcPr>
            <w:tcW w:w="2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31,052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3,647,256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LIABILITIES AND MEMBER’S EQUITY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28,811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10,816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44,516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22,348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88,299</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(148,607)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189,121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46,183</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191,450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1,914,184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1,954,084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Due to affiliates,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55,618</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2,017,103</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231,350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2,272,236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1,461,949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(12,530)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1,461,949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Accumulated earnings (deficit)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(86,929)</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(21,972)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14,703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(86,929)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1,375,020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1,375,020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vMerge w:val="continue"/>
          </w:tcPr>
          <w:p>
            <w:pPr>
              <w:spacing w:after="0"/>
              <w:rPr>
                <w:sz w:val="19"/>
                <w:szCs w:val="19"/>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3,392,123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221,908</w:t>
            </w:r>
          </w:p>
        </w:tc>
        <w:tc>
          <w:tcPr>
            <w:tcW w:w="2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31,052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3,647,256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500" w:type="dxa"/>
            <w:vAlign w:val="bottom"/>
            <w:gridSpan w:val="3"/>
          </w:tcPr>
          <w:p>
            <w:pPr>
              <w:ind w:left="68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$ 143,181</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$ 143,181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65,323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74,605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51,068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334,177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(60)</w:t>
            </w:r>
          </w:p>
        </w:tc>
        <w:tc>
          <w:tcPr>
            <w:tcW w:w="680" w:type="dxa"/>
            <w:vAlign w:val="bottom"/>
          </w:tcPr>
          <w:p>
            <w:pPr>
              <w:jc w:val="right"/>
              <w:spacing w:after="0"/>
              <w:rPr>
                <w:sz w:val="20"/>
                <w:szCs w:val="20"/>
                <w:color w:val="auto"/>
              </w:rPr>
            </w:pPr>
            <w:r>
              <w:rPr>
                <w:rFonts w:ascii="Arial" w:cs="Arial" w:eastAsia="Arial" w:hAnsi="Arial"/>
                <w:sz w:val="18"/>
                <w:szCs w:val="18"/>
                <w:color w:val="auto"/>
              </w:rPr>
              <w:t>334,117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vMerge w:val="continue"/>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294,860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(60)</w:t>
            </w:r>
          </w:p>
        </w:tc>
        <w:tc>
          <w:tcPr>
            <w:tcW w:w="680" w:type="dxa"/>
            <w:vAlign w:val="bottom"/>
          </w:tcPr>
          <w:p>
            <w:pPr>
              <w:jc w:val="right"/>
              <w:spacing w:after="0"/>
              <w:rPr>
                <w:sz w:val="20"/>
                <w:szCs w:val="20"/>
                <w:color w:val="auto"/>
              </w:rPr>
            </w:pPr>
            <w:r>
              <w:rPr>
                <w:rFonts w:ascii="Arial" w:cs="Arial" w:eastAsia="Arial" w:hAnsi="Arial"/>
                <w:sz w:val="18"/>
                <w:szCs w:val="18"/>
                <w:color w:val="auto"/>
              </w:rPr>
              <w:t>294,800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66,916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47,788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51,837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(60)</w:t>
            </w:r>
          </w:p>
        </w:tc>
        <w:tc>
          <w:tcPr>
            <w:tcW w:w="680" w:type="dxa"/>
            <w:vAlign w:val="bottom"/>
          </w:tcPr>
          <w:p>
            <w:pPr>
              <w:jc w:val="right"/>
              <w:spacing w:after="0"/>
              <w:rPr>
                <w:sz w:val="20"/>
                <w:szCs w:val="20"/>
                <w:color w:val="auto"/>
              </w:rPr>
            </w:pPr>
            <w:r>
              <w:rPr>
                <w:rFonts w:ascii="Arial" w:cs="Arial" w:eastAsia="Arial" w:hAnsi="Arial"/>
                <w:sz w:val="18"/>
                <w:szCs w:val="18"/>
                <w:color w:val="auto"/>
              </w:rPr>
              <w:t>51,496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4,425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41,142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294,346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846</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(60)</w:t>
            </w:r>
          </w:p>
        </w:tc>
        <w:tc>
          <w:tcPr>
            <w:tcW w:w="680" w:type="dxa"/>
            <w:vAlign w:val="bottom"/>
          </w:tcPr>
          <w:p>
            <w:pPr>
              <w:jc w:val="right"/>
              <w:spacing w:after="0"/>
              <w:rPr>
                <w:sz w:val="20"/>
                <w:szCs w:val="20"/>
                <w:color w:val="auto"/>
              </w:rPr>
            </w:pPr>
            <w:r>
              <w:rPr>
                <w:rFonts w:ascii="Arial" w:cs="Arial" w:eastAsia="Arial" w:hAnsi="Arial"/>
                <w:sz w:val="18"/>
                <w:szCs w:val="18"/>
                <w:color w:val="auto"/>
              </w:rPr>
              <w:t>295,132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vMerge w:val="continue"/>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(786)</w:t>
            </w:r>
          </w:p>
        </w:tc>
        <w:tc>
          <w:tcPr>
            <w:tcW w:w="80" w:type="dxa"/>
            <w:vAlign w:val="bottom"/>
          </w:tcPr>
          <w:p>
            <w:pPr>
              <w:spacing w:after="0"/>
              <w:rPr>
                <w:sz w:val="20"/>
                <w:szCs w:val="20"/>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1,085</w:t>
            </w:r>
          </w:p>
        </w:tc>
        <w:tc>
          <w:tcPr>
            <w:tcW w:w="5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(15,826)</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 (16,098)</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(1,216)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131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1,085</w:t>
            </w:r>
          </w:p>
        </w:tc>
        <w:tc>
          <w:tcPr>
            <w:tcW w:w="5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(16,098)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60" w:type="dxa"/>
            <w:vAlign w:val="bottom"/>
          </w:tcPr>
          <w:p>
            <w:pPr>
              <w:jc w:val="right"/>
              <w:ind w:right="393"/>
              <w:spacing w:after="0"/>
              <w:rPr>
                <w:sz w:val="20"/>
                <w:szCs w:val="20"/>
                <w:color w:val="auto"/>
              </w:rPr>
            </w:pPr>
            <w:r>
              <w:rPr>
                <w:rFonts w:ascii="Arial" w:cs="Arial" w:eastAsia="Arial" w:hAnsi="Arial"/>
                <w:sz w:val="18"/>
                <w:szCs w:val="18"/>
                <w:color w:val="auto"/>
                <w:w w:val="79"/>
              </w:rPr>
              <w:t>16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Issuers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149,856</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72,789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52,447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343,092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342,932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(37,134)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(37,134)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305,958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305,798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64,989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46,545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37,781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49,726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4,588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38,656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269,372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943</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270,155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160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35,486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(18,601)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(19,302)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(2,197)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(18,578)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(18,895)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16,908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(1,484)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384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Issuers</w:t>
            </w:r>
          </w:p>
        </w:tc>
        <w:tc>
          <w:tcPr>
            <w:tcW w:w="2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388,979</w:t>
            </w:r>
          </w:p>
        </w:tc>
        <w:tc>
          <w:tcPr>
            <w:tcW w:w="30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388,979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208,026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236,085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236,085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160,622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993,712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993,415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(115,546)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(115,546)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878,166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877,869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196,747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196,747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145,223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105,204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155,606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(758)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13,170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119,189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3,354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864,427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866,731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297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10,534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(2,304)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(50,321)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(1,475)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(51,222)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(39,787)</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(3,779)</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740" w:type="dxa"/>
            <w:vAlign w:val="bottom"/>
            <w:gridSpan w:val="2"/>
          </w:tcPr>
          <w:p>
            <w:pPr>
              <w:jc w:val="right"/>
              <w:ind w:right="393"/>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5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Issuers</w:t>
            </w:r>
          </w:p>
        </w:tc>
        <w:tc>
          <w:tcPr>
            <w:tcW w:w="2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Entries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482,337</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482,337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215,387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232,279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1,082,564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1,081,840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(109,927)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(109,927)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972,637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971,913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202,320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145,513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106,887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152,187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14,610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108,220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4,248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811,956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3,168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814,400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724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157,463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0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8,706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(63,550)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(2,785)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(57,629)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(58,403)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1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guarantor</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Issuers</w:t>
            </w:r>
          </w:p>
        </w:tc>
        <w:tc>
          <w:tcPr>
            <w:tcW w:w="1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(39,787)</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(3,779)</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574</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3,205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(39,787)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89"/>
              </w:rPr>
              <w:t>Adjustments to reconcile net income (loss) to net cash provided by operating</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119,189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3,354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Equity in income from unconsolidated affiliates, net of distributions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(4,725)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136,709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(4,627)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574</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132,656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(800,889)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(801,311)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purchase of other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5,784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(743,347)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(738,559)</w:t>
            </w: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879,484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879,484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875,505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874,805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268,867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268,902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146,556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Balance, end of year</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415,423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415,423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80" w:type="dxa"/>
            <w:vAlign w:val="bottom"/>
            <w:vMerge w:val="restart"/>
          </w:tcPr>
          <w:p>
            <w:pPr>
              <w:jc w:val="right"/>
              <w:ind w:right="1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99,834</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(4,758)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3,218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99,834</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(loss) to net cash provided by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108,220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112,468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3,218</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(4,964)</w:t>
            </w: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(4,953)</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6,161</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(5,430)</w:t>
            </w:r>
          </w:p>
        </w:tc>
        <w:tc>
          <w:tcPr>
            <w:tcW w:w="12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731</w:t>
            </w:r>
          </w:p>
        </w:tc>
        <w:tc>
          <w:tcPr>
            <w:tcW w:w="6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294,223</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(5,277)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290,486</w:t>
            </w:r>
          </w:p>
        </w:tc>
        <w:tc>
          <w:tcPr>
            <w:tcW w:w="60" w:type="dxa"/>
            <w:vAlign w:val="bottom"/>
            <w:shd w:val="clear" w:color="auto" w:fill="CCEEFF"/>
          </w:tcPr>
          <w:p>
            <w:pPr>
              <w:spacing w:after="0"/>
              <w:rPr>
                <w:sz w:val="19"/>
                <w:szCs w:val="19"/>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retention</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(435,589)</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(9,180)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(444,769)</w:t>
            </w: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127,473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23,235</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150,708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(19,696)</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(4,607)</w:t>
            </w: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(24,303)</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(24,775)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(8,545)</w:t>
            </w:r>
          </w:p>
        </w:tc>
      </w:tr>
      <w:tr>
        <w:trPr>
          <w:trHeight w:val="215"/>
        </w:trPr>
        <w:tc>
          <w:tcPr>
            <w:tcW w:w="20" w:type="dxa"/>
            <w:vAlign w:val="bottom"/>
          </w:tcPr>
          <w:p>
            <w:pPr>
              <w:spacing w:after="0"/>
              <w:rPr>
                <w:sz w:val="18"/>
                <w:szCs w:val="18"/>
                <w:color w:val="auto"/>
              </w:rPr>
            </w:pPr>
          </w:p>
        </w:tc>
        <w:tc>
          <w:tcPr>
            <w:tcW w:w="5260" w:type="dxa"/>
            <w:vAlign w:val="bottom"/>
          </w:tcPr>
          <w:p>
            <w:pPr>
              <w:ind w:left="1280"/>
              <w:spacing w:after="0"/>
              <w:rPr>
                <w:sz w:val="20"/>
                <w:szCs w:val="20"/>
                <w:color w:val="auto"/>
              </w:rPr>
            </w:pPr>
            <w:r>
              <w:rPr>
                <w:rFonts w:ascii="Arial" w:cs="Arial" w:eastAsia="Arial" w:hAnsi="Arial"/>
                <w:sz w:val="18"/>
                <w:szCs w:val="18"/>
                <w:color w:val="auto"/>
              </w:rPr>
              <w:t>Net cash provided by (used in) investing</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260" w:type="dxa"/>
            <w:vAlign w:val="bottom"/>
          </w:tcPr>
          <w:p>
            <w:pPr>
              <w:ind w:left="150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(327,862)</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2,493</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0"/>
                <w:szCs w:val="20"/>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(326,909)</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(88,892)</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(39,209)</w:t>
            </w: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(128,101)</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91,476</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133,476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2,584</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5,375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(31,055)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(31,048)</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62,770</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62,772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right="46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tourism trends given the current general domestic and international economic conditions that are causing uncertainty among some consumers, uncertain effects of volatility in financial markets globally and from governmental intervention in the financial markets;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macroeconomic conditions;</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one property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applications for licenses and approvals under applicable jurisdictional laws and regulations (including gaming laws and regulations);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impact that an outbreak of an infectious disease, such as avian flu, or the impact of a natural disaster may have on the travel and leisure industry;</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legal proceedings.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In addition, on April 28, 2006, we commenced construction of Encore adjacent to Wynn Las Vegas. We expect to open Encore to the public in December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currently features:</w:t>
      </w:r>
    </w:p>
    <w:p>
      <w:pPr>
        <w:spacing w:after="0" w:line="90" w:lineRule="exact"/>
        <w:rPr>
          <w:sz w:val="20"/>
          <w:szCs w:val="20"/>
          <w:color w:val="auto"/>
        </w:rPr>
      </w:pPr>
    </w:p>
    <w:p>
      <w:pPr>
        <w:ind w:left="780" w:right="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22 food and beverage outlets featuring signature chefs, including the AAA Five Diamond, Mobil Five Star and Michelin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and Vertu;</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Tower Suites at Wynn Las Vegas is the only casino resort in the world that has been awarded both the Mobil five star and AAA five diamond distinctions. In addition, Wynn Las Vegas was recognized in October 2008 by Michelin, the esteemed European restaurant rating system. Two Michelin stars were awarded to </w:t>
      </w:r>
      <w:r>
        <w:rPr>
          <w:rFonts w:ascii="Arial" w:cs="Arial" w:eastAsia="Arial" w:hAnsi="Arial"/>
          <w:sz w:val="18"/>
          <w:szCs w:val="18"/>
          <w:i w:val="1"/>
          <w:iCs w:val="1"/>
          <w:color w:val="auto"/>
        </w:rPr>
        <w:t>Alex</w:t>
      </w:r>
      <w:r>
        <w:rPr>
          <w:rFonts w:ascii="Arial" w:cs="Arial" w:eastAsia="Arial" w:hAnsi="Arial"/>
          <w:sz w:val="18"/>
          <w:szCs w:val="18"/>
          <w:color w:val="auto"/>
        </w:rPr>
        <w:t xml:space="preserve"> and one Michelin star was awarded to each of Wing Lei and Daniel Boulud Brasserie. Additionally, Wynn Las Vegas received five red pavilions, the highest honor for Michelin rated accommodations.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response to our evaluation of Wynn Las Vegas and the reactions of our guests, we have made enhancements and refinements to the property which continued through September 2008.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are constructing Encore on approximately 20 acres on the Las Vegas Strip, adjacent to Wynn Las Vegas. Encore includes a 2,034 all-suite hotel tower, an approximately 72,000 square foot casino, additional convention and meeting space, five destination restaurants, a nightclub, swimming pools, a spa and salon and retail outlets. Encore is expected to open in December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owns approximately 147 acres immediately adjacent to both Wynn Las Vegas and Encore, which is currently improved with a golf course.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may develop this property in the future, however due to the current economic environment, no construction timeline or budget have been prepared.</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Due to a number of factors affecting customers/consumers, including a slowdown in global economies, contracting credit markets, reduced consumer spending, and new U.S. political leadership, the outlook for the gaming, travel, and entertainment industries both domestically and abroad remains highly uncertain. Auto traffic into Las Vegas and air travel to McCarran International airport has declined, resulting in lower casino volumes and a reduced demand for hotel rooms. Based on these adverse circumstances, we believe that Wynn Las Vegas will continue to experience lower than expected hotel occupancy rates and casino volumes. We also believe that Encore at Wynn Las Vegas, once opened will experience the same lower than expected hotel occupancy rates and reduced casino volumes.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We currently rely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credit risk. High-end gaming also increases the potential for variability in our results.</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recorded a net loss for the three months ended September 30, 2008 of $16.1 million compared to net income of $16.9 million during the three months ended September 30, 2007. This decrease is primarily due to an $8.6 million decrease in departmental income from the casino department, a $13.7 million increase to the provision for doubtful accounts and an increase in pre-opening costs of $12.5 million associated with Encore, all compared to the prior year quarter. In September 2008, we increased our provision for doubtful accounts due to the current economic uncertainty caused by the global credit crisis. For the nine months ended September 30, 2008, we recorded a net loss of $39.8 million compared to net income of $99.8 million in the prior year. This decrease is primarily due to an $87.8 million decrease in departmental income from the casino department as explained below, an $17.8 million write-off of production costs and rights associated with Spamalot which closed in July 2008, and an increase in pre-opening costs of $22.3 million associated with Encore, all compared to the prior year. We also believe that our operating results at Wynn Las Vegas for the three and nine months ended September 30, 2008 have been impacted by the weakened global economy. Disruptions in the global financial and stock markets, along with high gas and travel costs have and will continue to adversely impact our financial results.</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three months ended September 30, 2008 compared to the three months ended September 30, 2007.</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Net revenues for the three months ended September 30, 2008 are comprised of $143.2 million in casino revenues (48.6% of total net revenues) and $151.6 million of net non-casino revenues (51.4% of total net revenues). Net revenues for the three months ended September 30, 2007 were comprised of $149.9 million in casino revenues (49% of total net revenues) and $155.9 million of net non-casino revenues (51% of total net revenues).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 September 30, 2008 of approximately $143.2 million represents a $6.7 million (or 4.5%) decrease from casino revenues of $149.9 million for the three months ended September 30, 2007. During the three months ended September 30, 2008, we experienced an 11.6% increase in drop and a decrease in the table games win percentage compared to the prior year quarter. Our table games win percentage (before discounts) of 24.3% was slightly above the expected range of 21% to 24% for the three months ended September 30, 2008, but below the 26.4% for the three months ended September 30, 2007. Slot handle at Wynn Las Vegas decreased 11.9% during the three months ended September 30, 2008 as compared to the three months ended September 30, 2007, and the slot win percentage was within the expected range of 4.5% to 5.5%.</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months ended September 30, 2008, room revenues were approximately $65.3 million, which represents a $2.7 million (or 3.9%) decrease over the $68 million generated in the three months ended September 30, 2007. This decrease is due to a decrease in both occupancy and rate as compared to the prior year. The table below sets forth key operating measures related to room revenue.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2008</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272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1320" w:type="dxa"/>
            <w:vAlign w:val="bottom"/>
            <w:gridSpan w:val="2"/>
          </w:tcPr>
          <w:p>
            <w:pPr>
              <w:jc w:val="right"/>
              <w:ind w:right="672"/>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96.6%</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261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Other non-casino revenues for the three months ended September 30, 2008 include: food and beverage revenues of approximately $74.6 million, retail revenues of approximately $23 million, entertainment revenues of approximately $16 million, and other revenues from outlets such as the spa and salon, of approximately $12 million. Other non-gaming revenues for the three months ended September 30, 2007 included food and beverage revenues of approximately $72.8 million, retail revenues of approximately $23.8 million, entertainment revenues of approximately $17 million, and other revenues from outlets, including the spa and salon, of approximately $11.5 million. In July 2008, the Las Vegas run of Spamalot ended. We have begun the renovation of the theater and in February 2009 it will reopen as the Encore Theater featuring Danny Gans. The decrease in entertainment revenues from the closure of Spamalot were partially offset by increased revenues from Le Rêve during the three months ended September 30, 2008.</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three months ended September 30, 2008, departmental expenses included casino expenses of $66.9 million, rooms expenses of $18.4 million, food and beverage expenses of $47.8 million, and entertainment, retail and other expenses of $31.7 million. Also included are general and administrative expenses of approximately $51.5 million and approximately $17.6 million charged as a provision for doubtful accounts receivable. During the three months ended September 30, 2007, departmental expenses included casino expenses of $65 million, room expenses of $19.3 million, food and beverage expenses of $46.5 million, and entertainment, retail and other expenses of $37.8 million. Also included are general and administrative expenses of approximately $49.3 million and approximately $3.9 million charged as a provision for doubtful accounts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receivable. Entertainment, retail and other expenses decreased approximately $6.1 million primarily due to entertainment department related savings associated with Spamalot which closed in mid-July 2008. In September 2008, we increased our provision for doubtful accounts receivable by $11.1 million in light of the current global economic uncertainty.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$4.4 million for the quarter ended September 30, 2008, compared to $4.6 million for the quarter ended September 30, 2007.</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for the three months ended September 30, 2008 were $13.9 million, compared to $1.4 million for the three months ended September 30,</w:t>
      </w:r>
    </w:p>
    <w:p>
      <w:pPr>
        <w:spacing w:after="0" w:line="5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2007. Pre-opening costs for the three months ended September 30, 2008 were incurred with the development of Encore. We expect that pre-opening costs will increase as the opening of Encore in December 2008 approaches. Pre-opening costs will cease once Encore opens.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Depreciation and amortization for the three months ended September 30, 2008 was $42.3 million compared to $39.9 million for the three months ended September 30, 2007. This increase is primarily due to a decrease in the estimated lives of certain hotel room furniture, fixtures and equipment due to an anticipated ordinary course room renovation.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Property charges and other for the three months ended September 30, 2008 and 2007 were $0.6 million and $2.4 million, respectively. In response to our evaluation of Wynn Las Vegas and the reactions of our guests, we continue to make enhancements to the property. The costs relating to assets retired as a result of these enhancement and remodel efforts are expensed as property charges.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income decreased by $2.1 million to $0.5 million for the three months ended September 30, 2008 compared to the three months ended September 30, 2007. This decrease is primarily due to the collection of the note receivable from Wynn Resorts in July 2008, and reduced average invested cash balances during the three months ended September 30, 2008 compared to the prior year’s quarter as a result of spending related to the development and construction of Encore and a decrease in the average interest earned on our invested cash balances. Our cash balance at September 30, 2008, is higher than normal due to a draw under the Credit Facility in late September 2008. The proceeds from that draw will be used to fund construction costs of Encore.</w:t>
      </w:r>
    </w:p>
    <w:p>
      <w:pPr>
        <w:spacing w:after="0" w:line="116"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Interest expense was $17.4 million, net of capitalized interest of $21.9 million, for the three months ended September 30, 2008, compared to $19.3 million, net of capitalized interest of $9.5 million, during the three months ended September 30, 2007. Interest expense increased approximately $7.1 million related to the additional $400 million first mortgage notes issued in November 2007 and $3.9 million related to additional borrowings under the Wynn Las Vegas Revolver.</w:t>
      </w:r>
    </w:p>
    <w:p>
      <w:pPr>
        <w:spacing w:after="0" w:line="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This increase was offset by an approximate $12.4 million increase in capitalized interest due to the construction costs of Encore. Capitalized interest continues to increase with the ongoing borrowings and construction costs related to Encore, but will cease with the opening of Encore in December 2008.</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interest rate swap is accounted for in accordance with SFAS No. 133, “Accounting for Derivative Instruments and Hedging Activities”, as amended. The fair value of our interest rate swap is recorded as either an asset or liability in our Condensed Consolidated Balance Sheets. Changes in the fair value of our interest rate swap is recorded as an increase (or decrease) in swap fair value in each period. We recorded a gain of approximately $1 million for the three months ended September 30, 2008 due to the increase in the fair value of our interest rate swap from June 30, 2008 to September 30, 2008. During the three months ended September 30, 2007, we recorded an expense of $2.2 million due to the decrease in the fair value of our interest rate swap from June 30, 2007 to September 30, 2007. For further information on our interest rate swaps, see Item 3 – “Quantitative and Qualitative Disclosures about Market Risk.”</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nine months ended September 30, 2008 compared to the nine months ended September 30, 2007.</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Net revenues for the nine months ended September 30, 2008 are comprised of $389 million in casino revenues (44.3% of total net revenues) and $488.9 million of net non-casino revenues (55.7% of total net revenues). Net revenues for the nine months ended September 30, 2007 were comprised of $482.3 million in casino revenues (49.6% of total net revenues) and $489.6 million of net non-casino revenues (50.4% of total net revenues).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nine months ended September 30, 2008 of approximately $389 million represents a $93.4 million (or 19.4%) decrease from casino revenues of $482.3 million for the nine months ended September 30, 2007. During the nine months ended September 30, 2008, we experienced a 1.9% decrease in drop and a decrease in the table games win percentage compared to the prior year. Our table games win percentage (before discounts) of 21.6% was within the expected range of 21% to 24% for the nine months ended September 30, 2008. For the nine months ended September 30, 2007, our table games win percentage (before discounts) was 26%. Slot handle at Wynn Las Vegas decreased 9.2% during the nine months ended September 30, 2008 as compared to the nine months ended September 30, 2007, and the slot win percentage was within the expected range of 4.5% to 5.5%.</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nine months ended September 30, 2008, room revenues were approximately $208 million, which represents a $7.4 million (or 3.4%) decrease over the $215.4 million generated in the nine months ended September 30, 2007. This decrease is due to a decrease in both occupancy and rate as compared to the prior year. The table below sets forth key operating measures related to room revenue.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2008</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291</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1320" w:type="dxa"/>
            <w:vAlign w:val="bottom"/>
            <w:gridSpan w:val="2"/>
          </w:tcPr>
          <w:p>
            <w:pPr>
              <w:jc w:val="right"/>
              <w:ind w:right="672"/>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96.6%</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280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Other non-casino revenues for the nine months ended September 30, 2008 include: food and beverage revenues of approximately $236.1 million, retail revenues of approximately $67.6 million, entertainment revenues of approximately $54.1 million, and other revenues from outlets such as the spa and salon, of approximately $38.6 million. Other non-gaming revenues for the nine months ended September 30, 2007 included food and beverage revenues of approximately $232.3 million, retail revenues of approximately $68 million, entertainment revenues of approximately $46.7 million, and other revenues from outlets, including the spa and salon, of approximately $37.1 million. Entertainment revenues increased as a result of an approximate $10.7 million increase from Le Rêve, offset by a decrease of $3.3 million due to Spamalot which closed mid-July 2008. In March 2008, together with the producers, we elected to end Spamalot’s run at Wynn Las Vegas in July 2008, pursuant to the terms of our contract. We have begun a renovation of the theater and in February 2009 it will reopen as the Encore Theater featuring Danny Gans.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During the nine months ended September 30, 2008, departmental expenses included casino expenses of $196.7 million, rooms expenses of $56.8 million, food and beverage expenses of $145.2 million, and entertainment, retail and other expenses of $105.2 million. Also included are general and administrative expenses of approximately $154.6 million and approximately $24.7 million charged as a provision for doubtful accounts receivable. During the nine months ended September 30, 2007, departmental expenses included casino expenses of $202.3 million, room expenses of $57.8 million, food and beverage expenses of $145.5 million, and entertainment, retail and other expenses of $106.9 million. Also included are general and administrative expenses of approximately $150.4 million and approximately $16.6 million charged as a provision for doubtful accounts receivable. In September 2008, we increased our provision for doubtful accounts receivable by $11.1 million in light of the current global economic uncertainty.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$13.2 million for the nine months ended September 30, 2008, compared to $14.6 million for the nine months ended September 30, 2007.</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Pre-opening costs for the nine months ended September 30, 2008 were $26.1 million compared to $3.8 million for the nine months ended September 30, 2007. Pre-opening costs for the nine months ended September 30, 2008 were incurred with the development of Encore. We expect that pre-opening costs will increase as the opening of Encore in December 2008 approaches. Pre-opening costs will cease once Encore opens.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Depreciation and amortization for the nine months ended September 30, 2008 was $122.5 million compared to $112.5 million for the nine months ended September 30, 2007. This increase is primarily due to a decrease in the estimated lives of certain hotel room furniture, fixtures and equipment due to an anticipated ordinary course room renovation.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Property charges and other for the nine months ended September 30, 2008 were $21.7 million compared to approximately $4.1 million for the nine months ended September 30, 2007. Property charges and other for the nine months ended September 30, 2008 include $17.8 million of costs associated with Spamalot at Wynn Las Vegas which closed in July 2008. The charge includes the production rights that were included in intangible assets, show production costs that were included in other assets and certain other property and equipment. In March 2008, the Company, together with the producers, elected to end the show’s run at Wynn Las Vegas in July 2008, pursuant to our contract.</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response to our evaluation of Wynn Las Vegas and the reactions of our guests, we continue to make enhancements to the property. The costs relating to assets retired as a result of these enhancement and remodel efforts are expensed as property charges. During the nine months ended September 30, 2008, $3.9 million of such costs were incurred at Wynn Las Vegas. During the nine months ended September 30, 2007, $4.1 million was incurred primarily related to enhancements we made to the Le Rêve theater in March 2007.</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income decreased by $5.7 million to $4.5 million for the nine months ended September 30, 2008 compared to the nine months ended September 30, 2007. This decrease is primarily due to reduced invested cash balances during the nine months ended September 30, 2008 compared to the prior year as a result of spending related to the development and construction of Encore and a decrease in the average interest earned on our invested cash balances, and the collection of the note receivable from Wynn Resorts in July 2008.</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Interest expense was $55.2 million, net of capitalized interest of $56.9 million, for the nine months ended September 30, 2008, compared to $65.7 million, net of capitalized interest of $20.1 million during the nine months ended September 30, 2007. Interest expense increased approximately $21.3 million related to the additional $400 million first mortgage notes issued in November 2007 and $6.2 million related to additional borrowing costs under the Credit Facility. This increase was offset by an approximate $36.8 million increase in capitalized interest due to the construction costs of Encore. Capitalized interest continues to increase with the ongoing borrowings and construction costs related to Encore, but will cease with the opening of Encore in December 2008.</w:t>
      </w:r>
    </w:p>
    <w:p>
      <w:pPr>
        <w:spacing w:after="0" w:line="1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interest rate swap is accounted for in accordance with SFAS No. 133, “Accounting for Derivative Instruments and Hedging Activities”, as amended. The fair value of our interest rate swap is recorded as either an asset or liability in our Condensed Consolidated Balance Sheets. Changes in the fair value of our interest rate swap is recorded as an increase (or decrease) in swap fair value in each period. We recorded an expense of approximately $0.5 million for the nine months ended September 30, 2008 resulting from the decrease in the fair value of our interest rate swap from December 31, 2007 to September 30, 2008. During the nine months ended September 30, 2007 we recorded an expense of $2.8 million resulting from the decrease in the fair value of our interest rate swap between December 31, 2006 and September 30, 2007. For further information on our interest rate swaps, see Item 3 – “Quantitative and Qualitative Disclosures about Market Risk.”</w:t>
      </w:r>
    </w:p>
    <w:p>
      <w:pPr>
        <w:spacing w:after="0" w:line="193"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operating cash flows are primarily affected by our operating income(loss) generated by Wynn Las Vegas, interest paid, and non-cash charges included in operating income (loss). Net cash provided by operations for the nine months ended September 30, 2008 was $132.7 million compared to $290.5 million provided by operations for the nine months ended September 30, 2007. This decrease is primary due to the decrease in operating income as a result of reduced operating results especially in the casino department as discussed above.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require a certain amount of cash on hand for operations. As of September 30, 2008, we had approximately $415.4 million of cash and cash equivalents available for current operations, new development activities, general corporate purposes, enhancements to Wynn Las Vegas, and to support the development and construction of Encore. This includes $364 million borrowed under the Wynn Las Vegas Revolver in late September 2008 that will be used to fund construction costs of Encore. We made these borrowings to maintain our financial flexibility in light of volatility and uncertainty in the credit markets. As of September 30, 2008, our completion guarantee deposit account had a balance of approximately $31.6 million which is recorded as restricted cash in the accompanying Condensed Consolidated Balance Sheets. Cash and cash equivalents include investments in U.S. Treasury Bills and bank time deposits, all of which have maturities of less than 90 days. Restricted cash is currently kept in a U.S. Treasury Fund.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On April 28, 2006, we commenced construction of Encore adjacent to Wynn Las Vegas. We expect to open Encore to the public in December 2008. Design and construction is progressing as expected. Current construction activities in the various project sections since groundbreaking include the following:</w:t>
      </w:r>
    </w:p>
    <w:p>
      <w:pPr>
        <w:spacing w:after="0" w:line="4"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is essentially complete in the tower;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Furniture, Fixtures and Equipment installation in the typical guestrooms is 100% complete and in the suites is 80% complete;</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Temporary Certificates of Occupancy (TCO) have been received for the highrise, convention, meeting and ballroom areas, warehouse, central plant and parking garage;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Casino load-in has commenced;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Final grading is 90% complete with curbs and driveways 70% complete and landscaping underway;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Pool construction is 100% complete.</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project budget is approximately $2.3 billion for Encore and related capital improvements. The project is being funded with proceeds from our existing Credit Facilities and operating cash flow from Wynn Las Vegas. To the extent additional funds are required, we will obtain these amounts with additional debt and equity contributions from Wynn Resorts or additional indebtedness to be incurred by Wynn Las Vegas.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is designing and constructing Encore. In June 2007, we executed the first amendment to the Contract which set the guaranteed maximum price for work under the Contract at $1.3 billion. Subsequent change orders bring the current guaranteed maximum price to $1.4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As of September 30, 2008, we incurred approximately $1.8 billion of project costs related to the development and construction of Encore and related capital improvements.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Second, by using the proceeds of borrowings under the Wynn Las Vegas Credit Facilities;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 additional equity contributions from Wynn Resorts;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Fourth,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15, 2005, the Company loaned $80 million to Wynn Resorts. In July 2008, Wynn Resorts repaid the $80 million plus accrued interest.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response to our evaluation of Wynn Las Vegas and the reaction of our guests, we continue to make certain enhancements and refinements to the property. As a result, we have incurred and will continue to incur capital expenditures relating to these enhancements and refinements. Under the terms of the Wynn Las Vegas Credit Facilities, we are permitted to make up to $272.1 million of capital expenditures in 2008, of which we have expended approximately $38 million through September 30, 2008. The spending limit may be increased to the extent funds are contributed to Wynn Las Vegas by Wynn Resorts, Limited.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September 30, 2008, our Credit Facilities consisted of a $900 million revolving credit facility (the “Revolver”) and a $225 million term loan facility (the “Term Loan”). For borrowings under the Term Loan we have historically elected Eurodollar loans which bear interest at 1-month LIBOR and include a margin of 1.875% on that outstanding balance. We have a $200 million notional amount interest rate swap to essentially fix the interest on $200 million of this Term Loan. (For further information, see Item 3. “Quantitative and Qualitative Discussions about Market Risk”.)</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nine months ended September 30, 2008, we borrowed $879.5 million under the Revolver. We also have $20.5 million of outstanding letters of credit that reduce our availability under the Revolver. Consequently, no amounts remain available under the Revolver for future borrowings. Cash and cash equivalents as of September 30, 2008, include $364 million from draws under the Revolver which will be used to fund Encore. We borrowed these funds to ensure on hand liquidity in light of current events in the credit markets. For borrowings under the Revolver, we have historically elected Eurodollar loans which bear interest at 1-month LIBOR and currently include a margin of 1.625% on the outstanding balance. After opening Encore, the margin will fluctuate between a range of 1.0% to 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$900 million Revolver will terminate and be payable in full on August 15, 2011. The Term Loan will mature in two installments: $112.5 million will be payable on September 30, 2012 and the remaining $112.5 million will be payable on August 15, 2013.</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September 17, 2008, Wynn Las Vegas entered into a third amendment to its Amended and Restated Credit Agreement dated as of August 15, 2006, as amended April 9, 2007 and as further amended October 31, 2007 (the “Wynn Las Vegas Credit Facility”). This amendment, among other things, provides us with additional flexibility with respect to our financial covenants and related financial calculations and permits us to incur incremental secured debt of up to $150 million in connection with the development of Encore at Wynn Las Vegas.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There have been no material changes during the quarter to our contractual obligations or off-balance sheet arrangements as disclosed in our Annual Report on Form 10-K for the year ended December 31, 2007, other than an increase in the amount of debt outstanding and a decrease in construction related commitments both related to the continued construction of Encore.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restricted under the indenture governing the First Mortgage Notes from making certain “restricted payments” as defined in the indenture. These restricted payments include the payments of dividends or distributions to any direct or indirect holders of equity interests of Wynn Las Vegas, LLC. These restricted payments may not be made until Encore has been completed and certain other financial and non-financial criteria have been satisfied. In addition, the Credit Facilities contain similar restrictions.</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completion of Encore is delayed, then our debt service obligations accruing prior to the actual opening will increase correspondingly. We intend to fund our operations and capital requirements from operating cash flow and to the extent additional funds are required, with additional debt and equity contributions from Wynn Resorts or additional indebtedness to be incurred by Wynn Las Vegas. We cannot assure you, however, that Wynn Las Vegas will generate sufficient cash flow from operations or that future contributions from Wynn Resorts or the availability of additional indebtedness will be sufficient to enable us to service and repay Wynn Las Vegas, LLC’s indebtedness and to fund other liquidity needs. We may refinance all or a portion of our indebtedness on or before maturity. We cannot assure you that we will be able to refinance any of the indebtedness on acceptable terms. Continued volatility in the capital markets may affect our ability to access those markets and increase costs associated with borrowing funds.</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2007. There have been no material changes to these policies for the nine months ended September 30,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September 2006, the Financial Accounting Standards Board (the “FASB”) issued Statement of Financial Accounting Standards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The Company partially adopted the provisions of SFAS 157 effective January 1, 2008 and expects to adopt the remaining provisions of SFAS 157 on January 1, 2009. The adoption of this statement did not have a material impact the Company’s consolidated financial statements.</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Including an Amendment of FASB Statement No. 115.” SFAS No. 159 permits entities to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this statement did not have a material impact on our consolidated financial statements.</w:t>
      </w:r>
    </w:p>
    <w:p>
      <w:pPr>
        <w:spacing w:after="0" w:line="14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our financial position, results of operations or cash flows.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interests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our financial position, results of operations or cash flows.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our financial position, results of operations or cash flows.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October 2008, the FASB issued FASB Staff Position No. FAS 157-3, Determining the Fair Value of a Financial Asset When the Market for That Asset is Not Active (FSP 157-3 or the FSP). FSP 157-3 clarifies the application of SFAS No. 157, Fair Value Measurements (Statement 157), in a market that is not active. The FSP amends Statement 157 to include an example that illustrates key considerations when applying the principles in Statement 157 to financial assets when the market for these instruments is not active.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As of September 30, 2008, we have one interest rate swap arrangement to hedge the underlying interest rate risk on a total of $200 million of borrowings under the Term Loan, which bears interest at LIBOR plus 1.875%. Under this interest rate swap arrangement, we receive payments at a variable rate of LIBOR and pay a fixed rate of 3.793% on the $200 million notional amount which expires on December 31, 2008. Although this interest rate swap is highly effective economically in fixing the interest rate on this borrowing under the Term Loan at approximately 5.7%, changes in fair value of our interest rate swap for each reporting period are, and will continue to be, recorded as an increase/(decrease) in swap fair value in our Condensed Consolidated Statements of Operations, as the swap does not qualify for hedge accounting.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September 30, 2008 and December 31, 2007, our interest rate swap had an approximate current liability fair value of $0.1 million and a current asset fair value of approximately $0.4 million, respectively. The fair value approximates the amount the Company would pay/receive if this contract were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of September 30, 2008, approximately 67% of our long-term debt was based on fixed rates, including the notional amount related to our interest rate swap. Based on our borrowings as of September 30, 2008, an assumed 1% change in variable rates would cause our annual interest cost to change by approximately $9.4 million.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00" w:firstLine="464"/>
        <w:spacing w:after="0" w:line="286"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IA. Risk Factors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2007. There were no material changes to those risk factors during the nine months ended September 30, 2008, except as follows: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Continued disruption in the world financial markets may adversely impact the spending patterns of our customers and the availability and cost of borrowing.</w:t>
      </w:r>
    </w:p>
    <w:p>
      <w:pPr>
        <w:spacing w:after="0" w:line="1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Changes in discretionary consumer spending resulting from the slowdown in economies globally, continued disruptions in the world financial and credit markets may result in fewer customers visiting, or customers spending less at our property, which will adversely impact our revenues and the availability and cost of credit. The current situation in the world credit markets and the disruption in the normal flow of credit among financial institutions may adversely impact the availability and cost of credit, which could adversely affect our future growth and operations. There can be no assurances that government responses to the disruptions in the financial and credit markets will restore consumer confidence, stabilize the markets or increase liquidity and the availability of credit. As a result, customer demand for the luxury amenities and leisure activities that we offer may be depressed or decline for an extended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80" w:type="dxa"/>
            <w:vAlign w:val="bottom"/>
            <w:gridSpan w:val="3"/>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4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60" w:type="dxa"/>
            <w:vAlign w:val="bottom"/>
          </w:tcPr>
          <w:p>
            <w:pPr>
              <w:spacing w:after="0"/>
              <w:rPr>
                <w:sz w:val="24"/>
                <w:szCs w:val="24"/>
                <w:color w:val="auto"/>
              </w:rPr>
            </w:pPr>
          </w:p>
        </w:tc>
      </w:tr>
      <w:tr>
        <w:trPr>
          <w:trHeight w:val="316"/>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1018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1018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18"/>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10180" w:type="dxa"/>
            <w:vAlign w:val="bottom"/>
            <w:gridSpan w:val="3"/>
          </w:tcPr>
          <w:p>
            <w:pPr>
              <w:ind w:left="440"/>
              <w:spacing w:after="0"/>
              <w:rPr>
                <w:sz w:val="20"/>
                <w:szCs w:val="20"/>
                <w:color w:val="auto"/>
              </w:rPr>
            </w:pPr>
            <w:r>
              <w:rPr>
                <w:rFonts w:ascii="Arial" w:cs="Arial" w:eastAsia="Arial" w:hAnsi="Arial"/>
                <w:sz w:val="18"/>
                <w:szCs w:val="18"/>
                <w:color w:val="auto"/>
                <w:w w:val="88"/>
              </w:rPr>
              <w:t>Third Amendment to Amended and Restated Credit Agreement dated as of September 17, 2008 among Wynn Las Vegas, LLC, Wynn Las</w:t>
            </w:r>
          </w:p>
        </w:tc>
      </w:tr>
      <w:tr>
        <w:trPr>
          <w:trHeight w:val="216"/>
        </w:trPr>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80" w:type="dxa"/>
            <w:vAlign w:val="bottom"/>
            <w:gridSpan w:val="3"/>
          </w:tcPr>
          <w:p>
            <w:pPr>
              <w:ind w:left="440"/>
              <w:spacing w:after="0"/>
              <w:rPr>
                <w:sz w:val="20"/>
                <w:szCs w:val="20"/>
                <w:color w:val="auto"/>
              </w:rPr>
            </w:pPr>
            <w:r>
              <w:rPr>
                <w:rFonts w:ascii="Arial" w:cs="Arial" w:eastAsia="Arial" w:hAnsi="Arial"/>
                <w:sz w:val="18"/>
                <w:szCs w:val="18"/>
                <w:color w:val="auto"/>
                <w:w w:val="91"/>
              </w:rPr>
              <w:t>Vegas Capital Corp., Wynn Show Performers, LLC, Wynn Golf, LLC, Wynn Sunrise, LLC, World Travel, LLC, Kevyn, LLC, Las Vegas</w:t>
            </w:r>
          </w:p>
        </w:tc>
      </w:tr>
      <w:tr>
        <w:trPr>
          <w:trHeight w:val="216"/>
        </w:trPr>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80" w:type="dxa"/>
            <w:vAlign w:val="bottom"/>
            <w:gridSpan w:val="3"/>
          </w:tcPr>
          <w:p>
            <w:pPr>
              <w:ind w:left="440"/>
              <w:spacing w:after="0"/>
              <w:rPr>
                <w:sz w:val="20"/>
                <w:szCs w:val="20"/>
                <w:color w:val="auto"/>
              </w:rPr>
            </w:pPr>
            <w:r>
              <w:rPr>
                <w:rFonts w:ascii="Arial" w:cs="Arial" w:eastAsia="Arial" w:hAnsi="Arial"/>
                <w:sz w:val="18"/>
                <w:szCs w:val="18"/>
                <w:color w:val="auto"/>
                <w:w w:val="98"/>
              </w:rPr>
              <w:t>Jet, LLC, Wynn Resorts Holdings, LLC, Wynn Completion Guarantor, LLC and Deutsche Bank Trust Company Americas, as</w:t>
            </w:r>
          </w:p>
        </w:tc>
      </w:tr>
      <w:tr>
        <w:trPr>
          <w:trHeight w:val="216"/>
        </w:trPr>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80" w:type="dxa"/>
            <w:vAlign w:val="bottom"/>
            <w:gridSpan w:val="3"/>
          </w:tcPr>
          <w:p>
            <w:pPr>
              <w:ind w:left="440"/>
              <w:spacing w:after="0"/>
              <w:rPr>
                <w:sz w:val="20"/>
                <w:szCs w:val="20"/>
                <w:color w:val="auto"/>
              </w:rPr>
            </w:pPr>
            <w:r>
              <w:rPr>
                <w:rFonts w:ascii="Arial" w:cs="Arial" w:eastAsia="Arial" w:hAnsi="Arial"/>
                <w:sz w:val="18"/>
                <w:szCs w:val="18"/>
                <w:color w:val="auto"/>
                <w:w w:val="89"/>
              </w:rPr>
              <w:t>Administrative Agent on behalf of the several banks and other financial institutions or entities from time to time party to Wynn Las Vegas,</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80" w:type="dxa"/>
            <w:vAlign w:val="bottom"/>
            <w:gridSpan w:val="3"/>
          </w:tcPr>
          <w:p>
            <w:pPr>
              <w:ind w:left="440"/>
              <w:spacing w:after="0"/>
              <w:rPr>
                <w:sz w:val="20"/>
                <w:szCs w:val="20"/>
                <w:color w:val="auto"/>
              </w:rPr>
            </w:pPr>
            <w:r>
              <w:rPr>
                <w:rFonts w:ascii="Arial" w:cs="Arial" w:eastAsia="Arial" w:hAnsi="Arial"/>
                <w:sz w:val="18"/>
                <w:szCs w:val="18"/>
                <w:color w:val="auto"/>
              </w:rPr>
              <w:t>LLC’s Amended and Restated Credit Agreement, dated as of August 15, 2006. (2)</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1018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1018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*32.1</w:t>
            </w:r>
          </w:p>
        </w:tc>
        <w:tc>
          <w:tcPr>
            <w:tcW w:w="10180" w:type="dxa"/>
            <w:vAlign w:val="bottom"/>
            <w:gridSpan w:val="3"/>
          </w:tcPr>
          <w:p>
            <w:pPr>
              <w:ind w:left="4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40" w:hanging="304"/>
        <w:spacing w:after="0"/>
        <w:tabs>
          <w:tab w:leader="none" w:pos="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September 19, 2008 and incorporated herein by reference.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w:t>
      </w:r>
    </w:p>
    <w:p>
      <w:pPr>
        <w:spacing w:after="0" w:line="312" w:lineRule="exact"/>
        <w:rPr>
          <w:sz w:val="20"/>
          <w:szCs w:val="20"/>
          <w:color w:val="auto"/>
        </w:rPr>
      </w:pPr>
    </w:p>
    <w:p>
      <w:pPr>
        <w:spacing w:after="0"/>
        <w:tabs>
          <w:tab w:leader="none" w:pos="5560" w:val="left"/>
          <w:tab w:leader="none" w:pos="7920" w:val="left"/>
          <w:tab w:leader="none" w:pos="8260" w:val="left"/>
        </w:tabs>
        <w:rPr>
          <w:sz w:val="20"/>
          <w:szCs w:val="20"/>
          <w:color w:val="auto"/>
        </w:rPr>
      </w:pPr>
      <w:r>
        <w:rPr>
          <w:rFonts w:ascii="Arial" w:cs="Arial" w:eastAsia="Arial" w:hAnsi="Arial"/>
          <w:sz w:val="18"/>
          <w:szCs w:val="18"/>
          <w:color w:val="auto"/>
        </w:rPr>
        <w:t>Dated: November 10,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S</w:t>
      </w:r>
      <w:r>
        <w:rPr>
          <w:rFonts w:ascii="Arial" w:cs="Arial" w:eastAsia="Arial" w:hAnsi="Arial"/>
          <w:sz w:val="14"/>
          <w:szCs w:val="14"/>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David Sisk</w:t>
      </w:r>
    </w:p>
    <w:p>
      <w:pPr>
        <w:jc w:val="center"/>
        <w:ind w:left="594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40"/>
          </w:cols>
          <w:pgMar w:left="240" w:top="459" w:right="11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Pascal,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R. Sisk,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 Sisk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 Sisk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September 30, 2008 as filed with the Securities and Exchange Commission on the date hereof (the “Report”), Andrew Pascal, as Chief Operating Officer of the Company and David R. Sisk,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Andrew Pascal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Andrew Pascal</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40"/>
              <w:spacing w:after="0"/>
              <w:rPr>
                <w:sz w:val="20"/>
                <w:szCs w:val="20"/>
                <w:color w:val="auto"/>
              </w:rPr>
            </w:pPr>
            <w:r>
              <w:rPr>
                <w:rFonts w:ascii="Arial" w:cs="Arial" w:eastAsia="Arial" w:hAnsi="Arial"/>
                <w:sz w:val="18"/>
                <w:szCs w:val="18"/>
                <w:color w:val="auto"/>
              </w:rPr>
              <w:t>President</w:t>
            </w:r>
          </w:p>
        </w:tc>
      </w:tr>
      <w:tr>
        <w:trPr>
          <w:trHeight w:val="216"/>
        </w:trPr>
        <w:tc>
          <w:tcPr>
            <w:tcW w:w="56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360" w:type="dxa"/>
            <w:vAlign w:val="bottom"/>
          </w:tcPr>
          <w:p>
            <w:pPr>
              <w:ind w:left="140"/>
              <w:spacing w:after="0"/>
              <w:rPr>
                <w:sz w:val="20"/>
                <w:szCs w:val="20"/>
                <w:color w:val="auto"/>
              </w:rPr>
            </w:pPr>
            <w:r>
              <w:rPr>
                <w:rFonts w:ascii="Arial" w:cs="Arial" w:eastAsia="Arial" w:hAnsi="Arial"/>
                <w:sz w:val="18"/>
                <w:szCs w:val="18"/>
                <w:color w:val="auto"/>
              </w:rPr>
              <w:t>November 10, 2008</w:t>
            </w:r>
          </w:p>
        </w:tc>
      </w:tr>
      <w:tr>
        <w:trPr>
          <w:trHeight w:val="420"/>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Sisk</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360" w:type="dxa"/>
            <w:vAlign w:val="bottom"/>
          </w:tcPr>
          <w:p>
            <w:pPr>
              <w:ind w:left="100"/>
              <w:spacing w:after="0"/>
              <w:rPr>
                <w:sz w:val="20"/>
                <w:szCs w:val="20"/>
                <w:color w:val="auto"/>
              </w:rPr>
            </w:pPr>
            <w:r>
              <w:rPr>
                <w:rFonts w:ascii="Arial" w:cs="Arial" w:eastAsia="Arial" w:hAnsi="Arial"/>
                <w:sz w:val="18"/>
                <w:szCs w:val="18"/>
                <w:color w:val="auto"/>
              </w:rPr>
              <w:t>David R. Sisk</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56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360" w:type="dxa"/>
            <w:vAlign w:val="bottom"/>
          </w:tcPr>
          <w:p>
            <w:pPr>
              <w:ind w:left="100"/>
              <w:spacing w:after="0"/>
              <w:rPr>
                <w:sz w:val="20"/>
                <w:szCs w:val="20"/>
                <w:color w:val="auto"/>
              </w:rPr>
            </w:pPr>
            <w:r>
              <w:rPr>
                <w:rFonts w:ascii="Arial" w:cs="Arial" w:eastAsia="Arial" w:hAnsi="Arial"/>
                <w:sz w:val="18"/>
                <w:szCs w:val="18"/>
                <w:color w:val="auto"/>
              </w:rPr>
              <w:t>November 10, 2008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9"/>
    </w:lvl>
  </w:abstractNum>
  <w:abstractNum w:abstractNumId="4">
    <w:nsid w:val="4DB127F8"/>
    <w:multiLevelType w:val="hybridMultilevel"/>
    <w:lvl w:ilvl="0">
      <w:lvlJc w:val="left"/>
      <w:lvlText w:val="(%1)"/>
      <w:numFmt w:val="lowerRoman"/>
      <w:start w:val="10"/>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lvl>
    <w:lvl w:ilvl="1">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2019-12-15T08:08:14Z</dcterms:created>
  <dcterms:modified xsi:type="dcterms:W3CDTF">2019-12-15T08:08:14Z</dcterms:modified>
</cp:coreProperties>
</file>