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20"/>
          <w:szCs w:val="20"/>
          <w:b w:val="1"/>
          <w:bCs w:val="1"/>
          <w:color w:val="auto"/>
        </w:rPr>
        <w:t>SECURITIES AND EXCHANGE COMMISSION</w:t>
      </w:r>
    </w:p>
    <w:p>
      <w:pPr>
        <w:jc w:val="center"/>
        <w:ind w:right="-99"/>
        <w:spacing w:after="0"/>
        <w:rPr>
          <w:sz w:val="20"/>
          <w:szCs w:val="20"/>
          <w:color w:val="auto"/>
        </w:rPr>
      </w:pPr>
      <w:r>
        <w:rPr>
          <w:rFonts w:ascii="Arial" w:cs="Arial" w:eastAsia="Arial" w:hAnsi="Arial"/>
          <w:sz w:val="20"/>
          <w:szCs w:val="20"/>
          <w:b w:val="1"/>
          <w:bCs w:val="1"/>
          <w:color w:val="auto"/>
        </w:rPr>
        <w:t>Washington, D.C. 20549</w:t>
      </w:r>
    </w:p>
    <w:p>
      <w:pPr>
        <w:spacing w:after="0" w:line="200" w:lineRule="exact"/>
        <w:rPr>
          <w:sz w:val="24"/>
          <w:szCs w:val="24"/>
          <w:color w:val="auto"/>
        </w:rPr>
      </w:pPr>
    </w:p>
    <w:p>
      <w:pPr>
        <w:spacing w:after="0" w:line="259"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FORM 8-K</w:t>
      </w:r>
    </w:p>
    <w:p>
      <w:pPr>
        <w:spacing w:after="0" w:line="238" w:lineRule="exact"/>
        <w:rPr>
          <w:sz w:val="24"/>
          <w:szCs w:val="24"/>
          <w:color w:val="auto"/>
        </w:rPr>
      </w:pPr>
    </w:p>
    <w:p>
      <w:pPr>
        <w:jc w:val="center"/>
        <w:ind w:right="-99"/>
        <w:spacing w:after="0"/>
        <w:rPr>
          <w:sz w:val="20"/>
          <w:szCs w:val="20"/>
          <w:color w:val="auto"/>
        </w:rPr>
      </w:pPr>
      <w:r>
        <w:rPr>
          <w:rFonts w:ascii="Arial" w:cs="Arial" w:eastAsia="Arial" w:hAnsi="Arial"/>
          <w:sz w:val="20"/>
          <w:szCs w:val="20"/>
          <w:b w:val="1"/>
          <w:bCs w:val="1"/>
          <w:color w:val="auto"/>
        </w:rPr>
        <w:t>CURRENT REPORT</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20"/>
          <w:szCs w:val="20"/>
          <w:b w:val="1"/>
          <w:bCs w:val="1"/>
          <w:color w:val="auto"/>
        </w:rPr>
        <w:t>Pursuant to Section 13 or 15(d) of</w:t>
      </w:r>
    </w:p>
    <w:p>
      <w:pPr>
        <w:jc w:val="center"/>
        <w:ind w:right="-99"/>
        <w:spacing w:after="0"/>
        <w:rPr>
          <w:sz w:val="20"/>
          <w:szCs w:val="20"/>
          <w:color w:val="auto"/>
        </w:rPr>
      </w:pPr>
      <w:r>
        <w:rPr>
          <w:rFonts w:ascii="Arial" w:cs="Arial" w:eastAsia="Arial" w:hAnsi="Arial"/>
          <w:sz w:val="20"/>
          <w:szCs w:val="20"/>
          <w:b w:val="1"/>
          <w:bCs w:val="1"/>
          <w:color w:val="auto"/>
        </w:rPr>
        <w:t>The Securities Exchange Act of 1934</w:t>
      </w:r>
    </w:p>
    <w:p>
      <w:pPr>
        <w:spacing w:after="0" w:line="227" w:lineRule="exact"/>
        <w:rPr>
          <w:sz w:val="24"/>
          <w:szCs w:val="24"/>
          <w:color w:val="auto"/>
        </w:rPr>
      </w:pPr>
    </w:p>
    <w:p>
      <w:pPr>
        <w:jc w:val="center"/>
        <w:ind w:right="-99"/>
        <w:spacing w:after="0"/>
        <w:rPr>
          <w:sz w:val="20"/>
          <w:szCs w:val="20"/>
          <w:color w:val="auto"/>
        </w:rPr>
      </w:pPr>
      <w:r>
        <w:rPr>
          <w:rFonts w:ascii="Arial" w:cs="Arial" w:eastAsia="Arial" w:hAnsi="Arial"/>
          <w:sz w:val="19"/>
          <w:szCs w:val="19"/>
          <w:color w:val="auto"/>
        </w:rPr>
        <w:t>Date of Report (Date of Earliest Event Reported):</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20"/>
          <w:szCs w:val="20"/>
          <w:b w:val="1"/>
          <w:bCs w:val="1"/>
          <w:color w:val="auto"/>
        </w:rPr>
        <w:t>March 23, 2009</w:t>
      </w:r>
    </w:p>
    <w:p>
      <w:pPr>
        <w:spacing w:after="0" w:line="221" w:lineRule="exact"/>
        <w:rPr>
          <w:sz w:val="24"/>
          <w:szCs w:val="24"/>
          <w:color w:val="auto"/>
        </w:rPr>
      </w:pPr>
    </w:p>
    <w:p>
      <w:pPr>
        <w:jc w:val="center"/>
        <w:ind w:right="-99"/>
        <w:spacing w:after="0"/>
        <w:rPr>
          <w:sz w:val="20"/>
          <w:szCs w:val="20"/>
          <w:color w:val="auto"/>
        </w:rPr>
      </w:pPr>
      <w:r>
        <w:rPr>
          <w:rFonts w:ascii="Arial" w:cs="Arial" w:eastAsia="Arial" w:hAnsi="Arial"/>
          <w:sz w:val="20"/>
          <w:szCs w:val="20"/>
          <w:b w:val="1"/>
          <w:bCs w:val="1"/>
          <w:color w:val="auto"/>
        </w:rPr>
        <w:t>Wynn Resorts, Limited</w:t>
      </w:r>
    </w:p>
    <w:p>
      <w:pPr>
        <w:spacing w:after="0" w:line="22" w:lineRule="exact"/>
        <w:rPr>
          <w:sz w:val="24"/>
          <w:szCs w:val="24"/>
          <w:color w:val="auto"/>
        </w:rPr>
      </w:pPr>
    </w:p>
    <w:p>
      <w:pPr>
        <w:jc w:val="center"/>
        <w:ind w:right="-99"/>
        <w:spacing w:after="0"/>
        <w:rPr>
          <w:sz w:val="20"/>
          <w:szCs w:val="20"/>
          <w:color w:val="auto"/>
        </w:rPr>
      </w:pPr>
      <w:r>
        <w:rPr>
          <w:rFonts w:ascii="Arial" w:cs="Arial" w:eastAsia="Arial" w:hAnsi="Arial"/>
          <w:sz w:val="19"/>
          <w:szCs w:val="19"/>
          <w:color w:val="auto"/>
        </w:rPr>
        <w:t>(Exact Name of Registrant as specified in Charter)</w:t>
      </w:r>
    </w:p>
    <w:p>
      <w:pPr>
        <w:sectPr>
          <w:pgSz w:w="11900" w:h="16838" w:orient="portrait"/>
          <w:cols w:equalWidth="0" w:num="1">
            <w:col w:w="11320"/>
          </w:cols>
          <w:pgMar w:left="240" w:top="549" w:right="339" w:bottom="1440" w:gutter="0" w:footer="0" w:header="0"/>
        </w:sectPr>
      </w:pPr>
    </w:p>
    <w:p>
      <w:pPr>
        <w:spacing w:after="0" w:line="232" w:lineRule="exact"/>
        <w:rPr>
          <w:sz w:val="24"/>
          <w:szCs w:val="24"/>
          <w:color w:val="auto"/>
        </w:rPr>
      </w:pPr>
    </w:p>
    <w:p>
      <w:pPr>
        <w:ind w:left="1600"/>
        <w:spacing w:after="0"/>
        <w:rPr>
          <w:sz w:val="20"/>
          <w:szCs w:val="20"/>
          <w:color w:val="auto"/>
        </w:rPr>
      </w:pPr>
      <w:r>
        <w:rPr>
          <w:rFonts w:ascii="Arial" w:cs="Arial" w:eastAsia="Arial" w:hAnsi="Arial"/>
          <w:sz w:val="20"/>
          <w:szCs w:val="20"/>
          <w:b w:val="1"/>
          <w:bCs w:val="1"/>
          <w:color w:val="auto"/>
        </w:rPr>
        <w:t>Nevada</w:t>
      </w:r>
    </w:p>
    <w:p>
      <w:pPr>
        <w:spacing w:after="0" w:line="22" w:lineRule="exact"/>
        <w:rPr>
          <w:sz w:val="24"/>
          <w:szCs w:val="24"/>
          <w:color w:val="auto"/>
        </w:rPr>
      </w:pPr>
    </w:p>
    <w:p>
      <w:pPr>
        <w:ind w:left="840"/>
        <w:spacing w:after="0"/>
        <w:rPr>
          <w:sz w:val="20"/>
          <w:szCs w:val="20"/>
          <w:color w:val="auto"/>
        </w:rPr>
      </w:pPr>
      <w:r>
        <w:rPr>
          <w:rFonts w:ascii="Arial" w:cs="Arial" w:eastAsia="Arial" w:hAnsi="Arial"/>
          <w:sz w:val="16"/>
          <w:szCs w:val="16"/>
          <w:color w:val="auto"/>
        </w:rPr>
        <w:t>(State or Other Jurisdiction</w:t>
      </w:r>
    </w:p>
    <w:p>
      <w:pPr>
        <w:spacing w:after="0" w:line="46" w:lineRule="exact"/>
        <w:rPr>
          <w:sz w:val="24"/>
          <w:szCs w:val="24"/>
          <w:color w:val="auto"/>
        </w:rPr>
      </w:pPr>
    </w:p>
    <w:p>
      <w:pPr>
        <w:ind w:left="1240"/>
        <w:spacing w:after="0"/>
        <w:rPr>
          <w:sz w:val="20"/>
          <w:szCs w:val="20"/>
          <w:color w:val="auto"/>
        </w:rPr>
      </w:pPr>
      <w:r>
        <w:rPr>
          <w:rFonts w:ascii="Arial" w:cs="Arial" w:eastAsia="Arial" w:hAnsi="Arial"/>
          <w:sz w:val="20"/>
          <w:szCs w:val="20"/>
          <w:color w:val="auto"/>
        </w:rPr>
        <w:t>of Incorporation)</w:t>
      </w:r>
    </w:p>
    <w:p>
      <w:pPr>
        <w:spacing w:after="0" w:line="20" w:lineRule="exact"/>
        <w:rPr>
          <w:sz w:val="24"/>
          <w:szCs w:val="24"/>
          <w:color w:val="auto"/>
        </w:rPr>
      </w:pPr>
      <w:r>
        <w:rPr>
          <w:sz w:val="24"/>
          <w:szCs w:val="24"/>
          <w:color w:val="auto"/>
        </w:rPr>
        <w:br w:type="column"/>
      </w:r>
    </w:p>
    <w:p>
      <w:pPr>
        <w:spacing w:after="0" w:line="212" w:lineRule="exact"/>
        <w:rPr>
          <w:sz w:val="24"/>
          <w:szCs w:val="24"/>
          <w:color w:val="auto"/>
        </w:rPr>
      </w:pPr>
    </w:p>
    <w:p>
      <w:pPr>
        <w:jc w:val="center"/>
        <w:ind w:right="1460"/>
        <w:spacing w:after="0"/>
        <w:rPr>
          <w:sz w:val="20"/>
          <w:szCs w:val="20"/>
          <w:color w:val="auto"/>
        </w:rPr>
      </w:pPr>
      <w:r>
        <w:rPr>
          <w:rFonts w:ascii="Arial" w:cs="Arial" w:eastAsia="Arial" w:hAnsi="Arial"/>
          <w:sz w:val="20"/>
          <w:szCs w:val="20"/>
          <w:b w:val="1"/>
          <w:bCs w:val="1"/>
          <w:color w:val="auto"/>
        </w:rPr>
        <w:t>000-50028</w:t>
      </w:r>
    </w:p>
    <w:p>
      <w:pPr>
        <w:spacing w:after="0" w:line="22" w:lineRule="exact"/>
        <w:rPr>
          <w:sz w:val="24"/>
          <w:szCs w:val="24"/>
          <w:color w:val="auto"/>
        </w:rPr>
      </w:pPr>
    </w:p>
    <w:p>
      <w:pPr>
        <w:jc w:val="center"/>
        <w:ind w:right="1460"/>
        <w:spacing w:after="0"/>
        <w:rPr>
          <w:sz w:val="20"/>
          <w:szCs w:val="20"/>
          <w:color w:val="auto"/>
        </w:rPr>
      </w:pPr>
      <w:r>
        <w:rPr>
          <w:rFonts w:ascii="Arial" w:cs="Arial" w:eastAsia="Arial" w:hAnsi="Arial"/>
          <w:sz w:val="18"/>
          <w:szCs w:val="18"/>
          <w:color w:val="auto"/>
        </w:rPr>
        <w:t>(Commission File</w:t>
      </w:r>
    </w:p>
    <w:p>
      <w:pPr>
        <w:spacing w:after="0" w:line="23" w:lineRule="exact"/>
        <w:rPr>
          <w:sz w:val="24"/>
          <w:szCs w:val="24"/>
          <w:color w:val="auto"/>
        </w:rPr>
      </w:pPr>
    </w:p>
    <w:p>
      <w:pPr>
        <w:jc w:val="center"/>
        <w:ind w:right="1460"/>
        <w:spacing w:after="0"/>
        <w:rPr>
          <w:sz w:val="20"/>
          <w:szCs w:val="20"/>
          <w:color w:val="auto"/>
        </w:rPr>
      </w:pPr>
      <w:r>
        <w:rPr>
          <w:rFonts w:ascii="Arial" w:cs="Arial" w:eastAsia="Arial" w:hAnsi="Arial"/>
          <w:sz w:val="20"/>
          <w:szCs w:val="20"/>
          <w:color w:val="auto"/>
        </w:rPr>
        <w:t>Number)</w:t>
      </w:r>
    </w:p>
    <w:p>
      <w:pPr>
        <w:spacing w:after="0" w:line="20" w:lineRule="exact"/>
        <w:rPr>
          <w:sz w:val="24"/>
          <w:szCs w:val="24"/>
          <w:color w:val="auto"/>
        </w:rPr>
      </w:pPr>
      <w:r>
        <w:rPr>
          <w:sz w:val="24"/>
          <w:szCs w:val="24"/>
          <w:color w:val="auto"/>
        </w:rPr>
        <w:br w:type="column"/>
      </w:r>
    </w:p>
    <w:p>
      <w:pPr>
        <w:spacing w:after="0" w:line="212" w:lineRule="exact"/>
        <w:rPr>
          <w:sz w:val="24"/>
          <w:szCs w:val="24"/>
          <w:color w:val="auto"/>
        </w:rPr>
      </w:pPr>
    </w:p>
    <w:p>
      <w:pPr>
        <w:jc w:val="center"/>
        <w:ind w:right="600"/>
        <w:spacing w:after="0"/>
        <w:rPr>
          <w:sz w:val="20"/>
          <w:szCs w:val="20"/>
          <w:color w:val="auto"/>
        </w:rPr>
      </w:pPr>
      <w:r>
        <w:rPr>
          <w:rFonts w:ascii="Arial" w:cs="Arial" w:eastAsia="Arial" w:hAnsi="Arial"/>
          <w:sz w:val="20"/>
          <w:szCs w:val="20"/>
          <w:b w:val="1"/>
          <w:bCs w:val="1"/>
          <w:color w:val="auto"/>
        </w:rPr>
        <w:t>46-0484987</w:t>
      </w:r>
    </w:p>
    <w:p>
      <w:pPr>
        <w:spacing w:after="0" w:line="21" w:lineRule="exact"/>
        <w:rPr>
          <w:sz w:val="24"/>
          <w:szCs w:val="24"/>
          <w:color w:val="auto"/>
        </w:rPr>
      </w:pPr>
    </w:p>
    <w:p>
      <w:pPr>
        <w:jc w:val="center"/>
        <w:ind w:right="600"/>
        <w:spacing w:after="0"/>
        <w:rPr>
          <w:sz w:val="20"/>
          <w:szCs w:val="20"/>
          <w:color w:val="auto"/>
        </w:rPr>
      </w:pPr>
      <w:r>
        <w:rPr>
          <w:rFonts w:ascii="Arial" w:cs="Arial" w:eastAsia="Arial" w:hAnsi="Arial"/>
          <w:sz w:val="20"/>
          <w:szCs w:val="20"/>
          <w:color w:val="auto"/>
        </w:rPr>
        <w:t>(I.R.S. Employer</w:t>
      </w:r>
    </w:p>
    <w:p>
      <w:pPr>
        <w:jc w:val="center"/>
        <w:ind w:right="600"/>
        <w:spacing w:after="0"/>
        <w:rPr>
          <w:sz w:val="20"/>
          <w:szCs w:val="20"/>
          <w:color w:val="auto"/>
        </w:rPr>
      </w:pPr>
      <w:r>
        <w:rPr>
          <w:rFonts w:ascii="Arial" w:cs="Arial" w:eastAsia="Arial" w:hAnsi="Arial"/>
          <w:sz w:val="18"/>
          <w:szCs w:val="18"/>
          <w:color w:val="auto"/>
        </w:rPr>
        <w:t>Identification Number)</w:t>
      </w:r>
    </w:p>
    <w:p>
      <w:pPr>
        <w:spacing w:after="0" w:line="222" w:lineRule="exact"/>
        <w:rPr>
          <w:sz w:val="24"/>
          <w:szCs w:val="24"/>
          <w:color w:val="auto"/>
        </w:rPr>
      </w:pPr>
    </w:p>
    <w:p>
      <w:pPr>
        <w:sectPr>
          <w:pgSz w:w="11900" w:h="16838" w:orient="portrait"/>
          <w:cols w:equalWidth="0" w:num="3">
            <w:col w:w="4560" w:space="720"/>
            <w:col w:w="2880" w:space="720"/>
            <w:col w:w="2440"/>
          </w:cols>
          <w:pgMar w:left="240" w:top="549" w:right="339" w:bottom="1440" w:gutter="0" w:footer="0" w:header="0"/>
          <w:type w:val="continuous"/>
        </w:sectPr>
      </w:pP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20"/>
          <w:szCs w:val="20"/>
          <w:b w:val="1"/>
          <w:bCs w:val="1"/>
          <w:color w:val="auto"/>
        </w:rPr>
        <w:t>3131 Las Vegas Boulevard South</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20"/>
          <w:szCs w:val="20"/>
          <w:b w:val="1"/>
          <w:bCs w:val="1"/>
          <w:color w:val="auto"/>
        </w:rPr>
        <w:t>Las Vegas, Nevada 89109</w:t>
      </w:r>
    </w:p>
    <w:p>
      <w:pPr>
        <w:jc w:val="center"/>
        <w:ind w:right="-119"/>
        <w:spacing w:after="0"/>
        <w:rPr>
          <w:sz w:val="20"/>
          <w:szCs w:val="20"/>
          <w:color w:val="auto"/>
        </w:rPr>
      </w:pPr>
      <w:r>
        <w:rPr>
          <w:rFonts w:ascii="Arial" w:cs="Arial" w:eastAsia="Arial" w:hAnsi="Arial"/>
          <w:sz w:val="18"/>
          <w:szCs w:val="18"/>
          <w:color w:val="auto"/>
        </w:rPr>
        <w:t>(Address of principal executive offices) (Zip Code)</w:t>
      </w:r>
    </w:p>
    <w:p>
      <w:pPr>
        <w:spacing w:after="0" w:line="244" w:lineRule="exact"/>
        <w:rPr>
          <w:sz w:val="24"/>
          <w:szCs w:val="24"/>
          <w:color w:val="auto"/>
        </w:rPr>
      </w:pPr>
    </w:p>
    <w:p>
      <w:pPr>
        <w:jc w:val="center"/>
        <w:ind w:right="-119"/>
        <w:spacing w:after="0"/>
        <w:rPr>
          <w:sz w:val="20"/>
          <w:szCs w:val="20"/>
          <w:color w:val="auto"/>
        </w:rPr>
      </w:pPr>
      <w:r>
        <w:rPr>
          <w:rFonts w:ascii="Arial" w:cs="Arial" w:eastAsia="Arial" w:hAnsi="Arial"/>
          <w:sz w:val="20"/>
          <w:szCs w:val="20"/>
          <w:b w:val="1"/>
          <w:bCs w:val="1"/>
          <w:color w:val="auto"/>
        </w:rPr>
        <w:t>(702) 770-7555</w:t>
      </w:r>
    </w:p>
    <w:p>
      <w:pPr>
        <w:spacing w:after="0" w:line="22" w:lineRule="exact"/>
        <w:rPr>
          <w:sz w:val="24"/>
          <w:szCs w:val="24"/>
          <w:color w:val="auto"/>
        </w:rPr>
      </w:pPr>
    </w:p>
    <w:p>
      <w:pPr>
        <w:jc w:val="center"/>
        <w:ind w:right="-119"/>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320"/>
          </w:cols>
          <w:pgMar w:left="240" w:top="549" w:right="339" w:bottom="1440" w:gutter="0" w:footer="0" w:header="0"/>
          <w:type w:val="continuous"/>
        </w:sectPr>
      </w:pPr>
    </w:p>
    <w:p>
      <w:pPr>
        <w:spacing w:after="0" w:line="267" w:lineRule="exact"/>
        <w:rPr>
          <w:sz w:val="24"/>
          <w:szCs w:val="24"/>
          <w:color w:val="auto"/>
        </w:rPr>
      </w:pPr>
    </w:p>
    <w:p>
      <w:pPr>
        <w:jc w:val="center"/>
        <w:ind w:right="-99"/>
        <w:spacing w:after="0"/>
        <w:rPr>
          <w:sz w:val="20"/>
          <w:szCs w:val="20"/>
          <w:color w:val="auto"/>
        </w:rPr>
      </w:pPr>
      <w:r>
        <w:rPr>
          <w:rFonts w:ascii="Arial" w:cs="Arial" w:eastAsia="Arial" w:hAnsi="Arial"/>
          <w:sz w:val="20"/>
          <w:szCs w:val="20"/>
          <w:b w:val="1"/>
          <w:bCs w:val="1"/>
          <w:color w:val="auto"/>
        </w:rPr>
        <w:t>Not applicable.</w:t>
      </w:r>
    </w:p>
    <w:p>
      <w:pPr>
        <w:spacing w:after="0" w:line="22" w:lineRule="exact"/>
        <w:rPr>
          <w:sz w:val="24"/>
          <w:szCs w:val="24"/>
          <w:color w:val="auto"/>
        </w:rPr>
      </w:pPr>
    </w:p>
    <w:p>
      <w:pPr>
        <w:jc w:val="center"/>
        <w:ind w:right="-99"/>
        <w:spacing w:after="0"/>
        <w:rPr>
          <w:sz w:val="20"/>
          <w:szCs w:val="20"/>
          <w:color w:val="auto"/>
        </w:rPr>
      </w:pPr>
      <w:r>
        <w:rPr>
          <w:rFonts w:ascii="Arial" w:cs="Arial" w:eastAsia="Arial" w:hAnsi="Arial"/>
          <w:sz w:val="16"/>
          <w:szCs w:val="16"/>
          <w:color w:val="auto"/>
        </w:rPr>
        <w:t>(Former name or former address, if changed since last report)</w:t>
      </w:r>
    </w:p>
    <w:p>
      <w:pPr>
        <w:sectPr>
          <w:pgSz w:w="11900" w:h="16838" w:orient="portrait"/>
          <w:cols w:equalWidth="0" w:num="1">
            <w:col w:w="11320"/>
          </w:cols>
          <w:pgMar w:left="240" w:top="549" w:right="339" w:bottom="1440" w:gutter="0" w:footer="0" w:header="0"/>
          <w:type w:val="continuous"/>
        </w:sectPr>
      </w:pPr>
    </w:p>
    <w:p>
      <w:pPr>
        <w:spacing w:after="0" w:line="273" w:lineRule="exact"/>
        <w:rPr>
          <w:sz w:val="24"/>
          <w:szCs w:val="24"/>
          <w:color w:val="auto"/>
        </w:rPr>
      </w:pPr>
    </w:p>
    <w:p>
      <w:pPr>
        <w:spacing w:after="0" w:line="260" w:lineRule="auto"/>
        <w:rPr>
          <w:sz w:val="20"/>
          <w:szCs w:val="20"/>
          <w:color w:val="auto"/>
        </w:rPr>
      </w:pPr>
      <w:r>
        <w:rPr>
          <w:rFonts w:ascii="Arial" w:cs="Arial" w:eastAsia="Arial" w:hAnsi="Arial"/>
          <w:sz w:val="20"/>
          <w:szCs w:val="20"/>
          <w:color w:val="auto"/>
        </w:rPr>
        <w:t>Check the appropriate box below if the Form 8-K filing is intended to simultaneously satisfy the filing obligation of the registrant under any of the following provisions:</w:t>
      </w:r>
    </w:p>
    <w:p>
      <w:pPr>
        <w:spacing w:after="0" w:line="204" w:lineRule="exact"/>
        <w:rPr>
          <w:sz w:val="24"/>
          <w:szCs w:val="24"/>
          <w:color w:val="auto"/>
        </w:rPr>
      </w:pPr>
    </w:p>
    <w:p>
      <w:pPr>
        <w:ind w:left="380" w:hanging="372"/>
        <w:spacing w:after="0"/>
        <w:tabs>
          <w:tab w:leader="none" w:pos="380" w:val="left"/>
        </w:tabs>
        <w:numPr>
          <w:ilvl w:val="0"/>
          <w:numId w:val="1"/>
        </w:numPr>
        <w:rPr>
          <w:rFonts w:ascii="Arial" w:cs="Arial" w:eastAsia="Arial" w:hAnsi="Arial"/>
          <w:sz w:val="18"/>
          <w:szCs w:val="18"/>
          <w:color w:val="auto"/>
        </w:rPr>
      </w:pPr>
      <w:r>
        <w:rPr>
          <w:rFonts w:ascii="Arial" w:cs="Arial" w:eastAsia="Arial" w:hAnsi="Arial"/>
          <w:sz w:val="20"/>
          <w:szCs w:val="20"/>
          <w:color w:val="auto"/>
        </w:rPr>
        <w:t>Written communications pursuant to Rule 425 under the Securities Act (17 CFR 230.425)</w:t>
      </w:r>
    </w:p>
    <w:p>
      <w:pPr>
        <w:spacing w:after="0" w:line="242" w:lineRule="exact"/>
        <w:rPr>
          <w:rFonts w:ascii="Arial" w:cs="Arial" w:eastAsia="Arial" w:hAnsi="Arial"/>
          <w:sz w:val="18"/>
          <w:szCs w:val="18"/>
          <w:color w:val="auto"/>
        </w:rPr>
      </w:pPr>
    </w:p>
    <w:p>
      <w:pPr>
        <w:ind w:left="380" w:hanging="372"/>
        <w:spacing w:after="0"/>
        <w:tabs>
          <w:tab w:leader="none" w:pos="380" w:val="left"/>
        </w:tabs>
        <w:numPr>
          <w:ilvl w:val="0"/>
          <w:numId w:val="1"/>
        </w:numPr>
        <w:rPr>
          <w:rFonts w:ascii="Arial" w:cs="Arial" w:eastAsia="Arial" w:hAnsi="Arial"/>
          <w:sz w:val="18"/>
          <w:szCs w:val="18"/>
          <w:color w:val="auto"/>
        </w:rPr>
      </w:pPr>
      <w:r>
        <w:rPr>
          <w:rFonts w:ascii="Arial" w:cs="Arial" w:eastAsia="Arial" w:hAnsi="Arial"/>
          <w:sz w:val="20"/>
          <w:szCs w:val="20"/>
          <w:color w:val="auto"/>
        </w:rPr>
        <w:t>Soliciting material pursuant to Rule 14a-12 under the Exchange Act (17 CFR 240.14a-12)</w:t>
      </w:r>
    </w:p>
    <w:p>
      <w:pPr>
        <w:spacing w:after="0" w:line="242" w:lineRule="exact"/>
        <w:rPr>
          <w:rFonts w:ascii="Arial" w:cs="Arial" w:eastAsia="Arial" w:hAnsi="Arial"/>
          <w:sz w:val="18"/>
          <w:szCs w:val="18"/>
          <w:color w:val="auto"/>
        </w:rPr>
      </w:pPr>
    </w:p>
    <w:p>
      <w:pPr>
        <w:ind w:left="380" w:hanging="372"/>
        <w:spacing w:after="0"/>
        <w:tabs>
          <w:tab w:leader="none" w:pos="380" w:val="left"/>
        </w:tabs>
        <w:numPr>
          <w:ilvl w:val="0"/>
          <w:numId w:val="1"/>
        </w:numPr>
        <w:rPr>
          <w:rFonts w:ascii="Arial" w:cs="Arial" w:eastAsia="Arial" w:hAnsi="Arial"/>
          <w:sz w:val="18"/>
          <w:szCs w:val="18"/>
          <w:color w:val="auto"/>
        </w:rPr>
      </w:pPr>
      <w:r>
        <w:rPr>
          <w:rFonts w:ascii="Arial" w:cs="Arial" w:eastAsia="Arial" w:hAnsi="Arial"/>
          <w:sz w:val="20"/>
          <w:szCs w:val="20"/>
          <w:color w:val="auto"/>
        </w:rPr>
        <w:t>Pre-commencement communications pursuant to Rule 14d-2(b) under the Exchange Act (17 CFR 240.14d-2(b))</w:t>
      </w:r>
    </w:p>
    <w:p>
      <w:pPr>
        <w:spacing w:after="0" w:line="242" w:lineRule="exact"/>
        <w:rPr>
          <w:rFonts w:ascii="Arial" w:cs="Arial" w:eastAsia="Arial" w:hAnsi="Arial"/>
          <w:sz w:val="18"/>
          <w:szCs w:val="18"/>
          <w:color w:val="auto"/>
        </w:rPr>
      </w:pPr>
    </w:p>
    <w:p>
      <w:pPr>
        <w:ind w:left="380" w:hanging="372"/>
        <w:spacing w:after="0"/>
        <w:tabs>
          <w:tab w:leader="none" w:pos="380" w:val="left"/>
        </w:tabs>
        <w:numPr>
          <w:ilvl w:val="0"/>
          <w:numId w:val="1"/>
        </w:numPr>
        <w:rPr>
          <w:rFonts w:ascii="Arial" w:cs="Arial" w:eastAsia="Arial" w:hAnsi="Arial"/>
          <w:sz w:val="18"/>
          <w:szCs w:val="18"/>
          <w:color w:val="auto"/>
        </w:rPr>
      </w:pPr>
      <w:r>
        <w:rPr>
          <w:rFonts w:ascii="Arial" w:cs="Arial" w:eastAsia="Arial" w:hAnsi="Arial"/>
          <w:sz w:val="20"/>
          <w:szCs w:val="20"/>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240030</wp:posOffset>
            </wp:positionV>
            <wp:extent cx="7250430" cy="450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874395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549"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22"/>
          <w:szCs w:val="22"/>
          <w:b w:val="1"/>
          <w:bCs w:val="1"/>
          <w:color w:val="auto"/>
        </w:rPr>
        <w:t>Item 1.01. Entry Into a Material Definitive Agreement.</w:t>
      </w:r>
    </w:p>
    <w:p>
      <w:pPr>
        <w:spacing w:after="0" w:line="239" w:lineRule="exact"/>
        <w:rPr>
          <w:sz w:val="20"/>
          <w:szCs w:val="20"/>
          <w:color w:val="auto"/>
        </w:rPr>
      </w:pPr>
    </w:p>
    <w:p>
      <w:pPr>
        <w:spacing w:after="0" w:line="249" w:lineRule="auto"/>
        <w:rPr>
          <w:sz w:val="20"/>
          <w:szCs w:val="20"/>
          <w:color w:val="auto"/>
        </w:rPr>
      </w:pPr>
      <w:r>
        <w:rPr>
          <w:rFonts w:ascii="Arial" w:cs="Arial" w:eastAsia="Arial" w:hAnsi="Arial"/>
          <w:sz w:val="21"/>
          <w:szCs w:val="21"/>
          <w:color w:val="auto"/>
        </w:rPr>
        <w:t>On March 23, 2009, Wynn Resorts, Limited (the “Company”) entered into a fourth amendment to the Employment Agreement, dated as of August 31, 2005, by and between the Company and John Strzemp, the Company’s Executive Vice President and Chief Administrative Officer. The amendment extends the term of Mr. Strzemp’s employment agreement to March 31, 2013 and provides for a base salary payable to Mr. Strzemp of $650,000 per annum effective March 6, 2009. A copy of the amendment is attached hereto as Exhibit 10.1 and is hereby incorporated by reference.</w:t>
      </w:r>
    </w:p>
    <w:p>
      <w:pPr>
        <w:spacing w:after="0" w:line="200" w:lineRule="exact"/>
        <w:rPr>
          <w:sz w:val="20"/>
          <w:szCs w:val="20"/>
          <w:color w:val="auto"/>
        </w:rPr>
      </w:pPr>
    </w:p>
    <w:p>
      <w:pPr>
        <w:ind w:right="1220"/>
        <w:spacing w:after="0" w:line="256" w:lineRule="auto"/>
        <w:rPr>
          <w:sz w:val="20"/>
          <w:szCs w:val="20"/>
          <w:color w:val="auto"/>
        </w:rPr>
      </w:pPr>
      <w:r>
        <w:rPr>
          <w:rFonts w:ascii="Arial" w:cs="Arial" w:eastAsia="Arial" w:hAnsi="Arial"/>
          <w:sz w:val="22"/>
          <w:szCs w:val="22"/>
          <w:b w:val="1"/>
          <w:bCs w:val="1"/>
          <w:color w:val="auto"/>
        </w:rPr>
        <w:t>Item 5.02. Departure of Directors or Certain Officers; Election of Directors; Appointment of Certain Officers; Compensatory Arrangements of Certain Officers.</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color w:val="auto"/>
        </w:rPr>
        <w:t>The information contained in Item 1.01 of this report is incorporated herein by reference.</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(d)  Exhibits</w:t>
      </w:r>
    </w:p>
    <w:p>
      <w:pPr>
        <w:spacing w:after="0" w:line="233" w:lineRule="exact"/>
        <w:rPr>
          <w:sz w:val="20"/>
          <w:szCs w:val="20"/>
          <w:color w:val="auto"/>
        </w:rPr>
      </w:pPr>
    </w:p>
    <w:p>
      <w:pPr>
        <w:ind w:left="1160" w:right="160" w:hanging="762"/>
        <w:spacing w:after="0" w:line="251" w:lineRule="auto"/>
        <w:tabs>
          <w:tab w:leader="none" w:pos="1140" w:val="left"/>
        </w:tabs>
        <w:rPr>
          <w:sz w:val="20"/>
          <w:szCs w:val="20"/>
          <w:color w:val="auto"/>
        </w:rPr>
      </w:pPr>
      <w:r>
        <w:rPr>
          <w:rFonts w:ascii="Arial" w:cs="Arial" w:eastAsia="Arial" w:hAnsi="Arial"/>
          <w:sz w:val="22"/>
          <w:szCs w:val="22"/>
          <w:color w:val="auto"/>
        </w:rPr>
        <w:t>10.1</w:t>
      </w:r>
      <w:r>
        <w:rPr>
          <w:sz w:val="20"/>
          <w:szCs w:val="20"/>
          <w:color w:val="auto"/>
        </w:rPr>
        <w:tab/>
      </w:r>
      <w:r>
        <w:rPr>
          <w:rFonts w:ascii="Arial" w:cs="Arial" w:eastAsia="Arial" w:hAnsi="Arial"/>
          <w:sz w:val="22"/>
          <w:szCs w:val="22"/>
          <w:color w:val="auto"/>
        </w:rPr>
        <w:t>Fourth Amendment to Employment Agreement, dated as of March 23, 2009, by and between Wynn Resorts, Limited and John Strzemp.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979170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84"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239" w:lineRule="exact"/>
        <w:rPr>
          <w:sz w:val="20"/>
          <w:szCs w:val="20"/>
          <w:color w:val="auto"/>
        </w:rPr>
      </w:pPr>
    </w:p>
    <w:p>
      <w:pPr>
        <w:ind w:firstLine="720"/>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Date: March 23, 2009</w:t>
      </w:r>
    </w:p>
    <w:p>
      <w:pPr>
        <w:spacing w:after="0" w:line="233"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WYNN RESORTS, LIMITED</w:t>
      </w:r>
    </w:p>
    <w:p>
      <w:pPr>
        <w:spacing w:after="0" w:line="206"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By: /s/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7620</wp:posOffset>
            </wp:positionV>
            <wp:extent cx="340487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2" w:lineRule="exact"/>
        <w:rPr>
          <w:sz w:val="20"/>
          <w:szCs w:val="20"/>
          <w:color w:val="auto"/>
        </w:rPr>
      </w:pPr>
    </w:p>
    <w:p>
      <w:pPr>
        <w:ind w:left="6060"/>
        <w:spacing w:after="0"/>
        <w:rPr>
          <w:sz w:val="20"/>
          <w:szCs w:val="20"/>
          <w:color w:val="auto"/>
        </w:rPr>
      </w:pPr>
      <w:r>
        <w:rPr>
          <w:rFonts w:ascii="Arial" w:cs="Arial" w:eastAsia="Arial" w:hAnsi="Arial"/>
          <w:sz w:val="22"/>
          <w:szCs w:val="22"/>
          <w:color w:val="auto"/>
        </w:rPr>
        <w:t>Matt Maddox</w:t>
      </w:r>
    </w:p>
    <w:p>
      <w:pPr>
        <w:ind w:left="6060"/>
        <w:spacing w:after="0" w:line="234" w:lineRule="auto"/>
        <w:rPr>
          <w:sz w:val="20"/>
          <w:szCs w:val="20"/>
          <w:color w:val="auto"/>
        </w:rPr>
      </w:pPr>
      <w:r>
        <w:rPr>
          <w:rFonts w:ascii="Arial" w:cs="Arial" w:eastAsia="Arial" w:hAnsi="Arial"/>
          <w:sz w:val="22"/>
          <w:szCs w:val="22"/>
          <w:color w:val="auto"/>
        </w:rPr>
        <w:t>Chief Financial Officer and</w:t>
      </w:r>
    </w:p>
    <w:p>
      <w:pPr>
        <w:ind w:left="6060"/>
        <w:spacing w:after="0"/>
        <w:rPr>
          <w:sz w:val="20"/>
          <w:szCs w:val="20"/>
          <w:color w:val="auto"/>
        </w:rPr>
      </w:pPr>
      <w:r>
        <w:rPr>
          <w:rFonts w:ascii="Arial" w:cs="Arial" w:eastAsia="Arial" w:hAnsi="Arial"/>
          <w:sz w:val="22"/>
          <w:szCs w:val="22"/>
          <w:color w:val="auto"/>
        </w:rPr>
        <w:t>Treasurer</w:t>
      </w:r>
    </w:p>
    <w:p>
      <w:pPr>
        <w:sectPr>
          <w:pgSz w:w="11900" w:h="16838" w:orient="portrait"/>
          <w:cols w:equalWidth="0" w:num="1">
            <w:col w:w="11420"/>
          </w:cols>
          <w:pgMar w:left="240" w:top="355"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10.1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FOURTH AMENDMENT TO</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EMPLOYMENT AGREEMENT</w:t>
      </w:r>
    </w:p>
    <w:p>
      <w:pPr>
        <w:spacing w:after="0" w:line="207" w:lineRule="exact"/>
        <w:rPr>
          <w:sz w:val="20"/>
          <w:szCs w:val="20"/>
          <w:color w:val="auto"/>
        </w:rPr>
      </w:pPr>
    </w:p>
    <w:p>
      <w:pPr>
        <w:jc w:val="both"/>
        <w:ind w:right="20" w:firstLine="720"/>
        <w:spacing w:after="0" w:line="263" w:lineRule="auto"/>
        <w:rPr>
          <w:sz w:val="20"/>
          <w:szCs w:val="20"/>
          <w:color w:val="auto"/>
        </w:rPr>
      </w:pPr>
      <w:r>
        <w:rPr>
          <w:rFonts w:ascii="Arial" w:cs="Arial" w:eastAsia="Arial" w:hAnsi="Arial"/>
          <w:sz w:val="21"/>
          <w:szCs w:val="21"/>
          <w:color w:val="auto"/>
        </w:rPr>
        <w:t>This FOURTH AMENDMENT TO EMPLOYMENT AGREEMENT (this "</w:t>
      </w:r>
      <w:r>
        <w:rPr>
          <w:rFonts w:ascii="Arial" w:cs="Arial" w:eastAsia="Arial" w:hAnsi="Arial"/>
          <w:sz w:val="21"/>
          <w:szCs w:val="21"/>
          <w:b w:val="1"/>
          <w:bCs w:val="1"/>
          <w:color w:val="auto"/>
        </w:rPr>
        <w:t>Fourth Amendment</w:t>
      </w:r>
      <w:r>
        <w:rPr>
          <w:rFonts w:ascii="Arial" w:cs="Arial" w:eastAsia="Arial" w:hAnsi="Arial"/>
          <w:sz w:val="21"/>
          <w:szCs w:val="21"/>
          <w:color w:val="auto"/>
        </w:rPr>
        <w:t>") is entered into on March 23, 2009, by and between Wynn Resorts, Limited (“</w:t>
      </w:r>
      <w:r>
        <w:rPr>
          <w:rFonts w:ascii="Arial" w:cs="Arial" w:eastAsia="Arial" w:hAnsi="Arial"/>
          <w:sz w:val="21"/>
          <w:szCs w:val="21"/>
          <w:b w:val="1"/>
          <w:bCs w:val="1"/>
          <w:color w:val="auto"/>
        </w:rPr>
        <w:t>Employer</w:t>
      </w:r>
      <w:r>
        <w:rPr>
          <w:rFonts w:ascii="Arial" w:cs="Arial" w:eastAsia="Arial" w:hAnsi="Arial"/>
          <w:sz w:val="21"/>
          <w:szCs w:val="21"/>
          <w:color w:val="auto"/>
        </w:rPr>
        <w:t>”) and John Strzemp ("</w:t>
      </w:r>
      <w:r>
        <w:rPr>
          <w:rFonts w:ascii="Arial" w:cs="Arial" w:eastAsia="Arial" w:hAnsi="Arial"/>
          <w:sz w:val="21"/>
          <w:szCs w:val="21"/>
          <w:b w:val="1"/>
          <w:bCs w:val="1"/>
          <w:color w:val="auto"/>
        </w:rPr>
        <w:t>Employee</w:t>
      </w:r>
      <w:r>
        <w:rPr>
          <w:rFonts w:ascii="Arial" w:cs="Arial" w:eastAsia="Arial" w:hAnsi="Arial"/>
          <w:sz w:val="21"/>
          <w:szCs w:val="21"/>
          <w:color w:val="auto"/>
        </w:rPr>
        <w:t>"). Capitalized terms that are not defined herein shall have the meanings ascribed to them in the Agreement (as defined below).</w:t>
      </w:r>
    </w:p>
    <w:p>
      <w:pPr>
        <w:spacing w:after="0" w:line="179" w:lineRule="exact"/>
        <w:rPr>
          <w:sz w:val="20"/>
          <w:szCs w:val="20"/>
          <w:color w:val="auto"/>
        </w:rPr>
      </w:pPr>
    </w:p>
    <w:p>
      <w:pPr>
        <w:jc w:val="center"/>
        <w:ind w:right="260"/>
        <w:spacing w:after="0"/>
        <w:rPr>
          <w:sz w:val="20"/>
          <w:szCs w:val="20"/>
          <w:color w:val="auto"/>
        </w:rPr>
      </w:pPr>
      <w:r>
        <w:rPr>
          <w:rFonts w:ascii="Arial" w:cs="Arial" w:eastAsia="Arial" w:hAnsi="Arial"/>
          <w:sz w:val="22"/>
          <w:szCs w:val="22"/>
          <w:b w:val="1"/>
          <w:bCs w:val="1"/>
          <w:color w:val="auto"/>
        </w:rPr>
        <w:t>RECITALS</w:t>
      </w:r>
    </w:p>
    <w:p>
      <w:pPr>
        <w:spacing w:after="0" w:line="259" w:lineRule="exact"/>
        <w:rPr>
          <w:sz w:val="20"/>
          <w:szCs w:val="20"/>
          <w:color w:val="auto"/>
        </w:rPr>
      </w:pPr>
    </w:p>
    <w:p>
      <w:pPr>
        <w:jc w:val="both"/>
        <w:ind w:right="20" w:firstLine="720"/>
        <w:spacing w:after="0" w:line="233" w:lineRule="auto"/>
        <w:rPr>
          <w:sz w:val="20"/>
          <w:szCs w:val="20"/>
          <w:color w:val="auto"/>
        </w:rPr>
      </w:pPr>
      <w:r>
        <w:rPr>
          <w:rFonts w:ascii="Arial" w:cs="Arial" w:eastAsia="Arial" w:hAnsi="Arial"/>
          <w:sz w:val="22"/>
          <w:szCs w:val="22"/>
          <w:color w:val="auto"/>
        </w:rPr>
        <w:t>WHEREAS, Employer and Employee have entered into that certain Employment Agreement, dated as of August 31, 2005, as amended by that certain First Amendment to Employment Agreement, dated as of March 26, 2008, as further amended by that certain Second Amendment to Employment Agreement, dated as of December 31, 2008, and as further amended by that certain Amendment to Employment Agreement, dated February 12, 2009 (collectively, the "</w:t>
      </w:r>
      <w:r>
        <w:rPr>
          <w:rFonts w:ascii="Arial" w:cs="Arial" w:eastAsia="Arial" w:hAnsi="Arial"/>
          <w:sz w:val="22"/>
          <w:szCs w:val="22"/>
          <w:b w:val="1"/>
          <w:bCs w:val="1"/>
          <w:color w:val="auto"/>
        </w:rPr>
        <w:t>Agreement</w:t>
      </w:r>
      <w:r>
        <w:rPr>
          <w:rFonts w:ascii="Arial" w:cs="Arial" w:eastAsia="Arial" w:hAnsi="Arial"/>
          <w:sz w:val="22"/>
          <w:szCs w:val="22"/>
          <w:color w:val="auto"/>
        </w:rPr>
        <w:t>"); and</w:t>
      </w:r>
    </w:p>
    <w:p>
      <w:pPr>
        <w:spacing w:after="0" w:line="231" w:lineRule="exact"/>
        <w:rPr>
          <w:sz w:val="20"/>
          <w:szCs w:val="20"/>
          <w:color w:val="auto"/>
        </w:rPr>
      </w:pPr>
    </w:p>
    <w:p>
      <w:pPr>
        <w:jc w:val="both"/>
        <w:ind w:right="20" w:firstLine="720"/>
        <w:spacing w:after="0" w:line="238" w:lineRule="auto"/>
        <w:rPr>
          <w:sz w:val="20"/>
          <w:szCs w:val="20"/>
          <w:color w:val="auto"/>
        </w:rPr>
      </w:pPr>
      <w:r>
        <w:rPr>
          <w:rFonts w:ascii="Arial" w:cs="Arial" w:eastAsia="Arial" w:hAnsi="Arial"/>
          <w:sz w:val="22"/>
          <w:szCs w:val="22"/>
          <w:color w:val="auto"/>
        </w:rPr>
        <w:t>WHEREAS, Employer is willing and Employee desires to modify certain terms and conditions to the Agreement as more fully set forth herein;</w:t>
      </w:r>
    </w:p>
    <w:p>
      <w:pPr>
        <w:spacing w:after="0" w:line="228" w:lineRule="exact"/>
        <w:rPr>
          <w:sz w:val="20"/>
          <w:szCs w:val="20"/>
          <w:color w:val="auto"/>
        </w:rPr>
      </w:pPr>
    </w:p>
    <w:p>
      <w:pPr>
        <w:jc w:val="both"/>
        <w:ind w:right="20" w:firstLine="720"/>
        <w:spacing w:after="0" w:line="238" w:lineRule="auto"/>
        <w:rPr>
          <w:sz w:val="20"/>
          <w:szCs w:val="20"/>
          <w:color w:val="auto"/>
        </w:rPr>
      </w:pPr>
      <w:r>
        <w:rPr>
          <w:rFonts w:ascii="Arial" w:cs="Arial" w:eastAsia="Arial" w:hAnsi="Arial"/>
          <w:sz w:val="22"/>
          <w:szCs w:val="22"/>
          <w:color w:val="auto"/>
        </w:rPr>
        <w:t>NOW, THEREFORE, in consideration of the foregoing and the respective representations, warranties, covenants and agreements set forth in this Amendment, the parties hereto agree as follows:</w:t>
      </w:r>
    </w:p>
    <w:p>
      <w:pPr>
        <w:spacing w:after="0" w:line="218" w:lineRule="exact"/>
        <w:rPr>
          <w:sz w:val="20"/>
          <w:szCs w:val="20"/>
          <w:color w:val="auto"/>
        </w:rPr>
      </w:pPr>
    </w:p>
    <w:p>
      <w:pPr>
        <w:ind w:left="1780" w:hanging="1052"/>
        <w:spacing w:after="0"/>
        <w:tabs>
          <w:tab w:leader="none" w:pos="1780" w:val="left"/>
        </w:tabs>
        <w:numPr>
          <w:ilvl w:val="0"/>
          <w:numId w:val="2"/>
        </w:numPr>
        <w:rPr>
          <w:rFonts w:ascii="Arial" w:cs="Arial" w:eastAsia="Arial" w:hAnsi="Arial"/>
          <w:sz w:val="22"/>
          <w:szCs w:val="22"/>
          <w:color w:val="auto"/>
        </w:rPr>
      </w:pPr>
      <w:r>
        <w:rPr>
          <w:rFonts w:ascii="Arial" w:cs="Arial" w:eastAsia="Arial" w:hAnsi="Arial"/>
          <w:sz w:val="22"/>
          <w:szCs w:val="22"/>
          <w:u w:val="single" w:color="auto"/>
          <w:color w:val="auto"/>
        </w:rPr>
        <w:t>Term.</w:t>
      </w:r>
      <w:r>
        <w:rPr>
          <w:rFonts w:ascii="Arial" w:cs="Arial" w:eastAsia="Arial" w:hAnsi="Arial"/>
          <w:sz w:val="22"/>
          <w:szCs w:val="22"/>
          <w:color w:val="auto"/>
        </w:rPr>
        <w:t xml:space="preserve">  Section 6 of the Agreement is amended to provide that the Term shall expire on March 31,</w:t>
      </w:r>
    </w:p>
    <w:p>
      <w:pPr>
        <w:spacing w:after="0"/>
        <w:rPr>
          <w:sz w:val="20"/>
          <w:szCs w:val="20"/>
          <w:color w:val="auto"/>
        </w:rPr>
      </w:pPr>
      <w:r>
        <w:rPr>
          <w:rFonts w:ascii="Arial" w:cs="Arial" w:eastAsia="Arial" w:hAnsi="Arial"/>
          <w:sz w:val="22"/>
          <w:szCs w:val="22"/>
          <w:color w:val="auto"/>
        </w:rPr>
        <w:t>2013.</w:t>
      </w:r>
    </w:p>
    <w:p>
      <w:pPr>
        <w:spacing w:after="0" w:line="233" w:lineRule="exact"/>
        <w:rPr>
          <w:sz w:val="20"/>
          <w:szCs w:val="20"/>
          <w:color w:val="auto"/>
        </w:rPr>
      </w:pPr>
    </w:p>
    <w:p>
      <w:pPr>
        <w:ind w:right="20" w:firstLine="728"/>
        <w:spacing w:after="0" w:line="238" w:lineRule="auto"/>
        <w:tabs>
          <w:tab w:leader="none" w:pos="1601" w:val="left"/>
        </w:tabs>
        <w:numPr>
          <w:ilvl w:val="0"/>
          <w:numId w:val="3"/>
        </w:numPr>
        <w:rPr>
          <w:rFonts w:ascii="Arial" w:cs="Arial" w:eastAsia="Arial" w:hAnsi="Arial"/>
          <w:sz w:val="22"/>
          <w:szCs w:val="22"/>
          <w:color w:val="auto"/>
        </w:rPr>
      </w:pPr>
      <w:r>
        <w:rPr>
          <w:rFonts w:ascii="Arial" w:cs="Arial" w:eastAsia="Arial" w:hAnsi="Arial"/>
          <w:sz w:val="22"/>
          <w:szCs w:val="22"/>
          <w:u w:val="single" w:color="auto"/>
          <w:color w:val="auto"/>
        </w:rPr>
        <w:t>Base Salary.</w:t>
      </w:r>
      <w:r>
        <w:rPr>
          <w:rFonts w:ascii="Arial" w:cs="Arial" w:eastAsia="Arial" w:hAnsi="Arial"/>
          <w:sz w:val="22"/>
          <w:szCs w:val="22"/>
          <w:color w:val="auto"/>
        </w:rPr>
        <w:t xml:space="preserve"> Section 8(a) of the Agreement is amended to provide that effective March 6, 2009, Base Salary paid to Employee shall be Six Hundred Fifty Thousand Dollars ($650,000) per annum.</w:t>
      </w:r>
    </w:p>
    <w:p>
      <w:pPr>
        <w:spacing w:after="0" w:line="227" w:lineRule="exact"/>
        <w:rPr>
          <w:rFonts w:ascii="Arial" w:cs="Arial" w:eastAsia="Arial" w:hAnsi="Arial"/>
          <w:sz w:val="22"/>
          <w:szCs w:val="22"/>
          <w:color w:val="auto"/>
        </w:rPr>
      </w:pPr>
    </w:p>
    <w:p>
      <w:pPr>
        <w:ind w:firstLine="728"/>
        <w:spacing w:after="0" w:line="238" w:lineRule="auto"/>
        <w:tabs>
          <w:tab w:leader="none" w:pos="1561" w:val="left"/>
        </w:tabs>
        <w:numPr>
          <w:ilvl w:val="0"/>
          <w:numId w:val="3"/>
        </w:numPr>
        <w:rPr>
          <w:rFonts w:ascii="Arial" w:cs="Arial" w:eastAsia="Arial" w:hAnsi="Arial"/>
          <w:sz w:val="22"/>
          <w:szCs w:val="22"/>
          <w:color w:val="auto"/>
        </w:rPr>
      </w:pPr>
      <w:r>
        <w:rPr>
          <w:rFonts w:ascii="Arial" w:cs="Arial" w:eastAsia="Arial" w:hAnsi="Arial"/>
          <w:sz w:val="22"/>
          <w:szCs w:val="22"/>
          <w:u w:val="single" w:color="auto"/>
          <w:color w:val="auto"/>
        </w:rPr>
        <w:t>Other Provisions of Agreement</w:t>
      </w:r>
      <w:r>
        <w:rPr>
          <w:rFonts w:ascii="Arial" w:cs="Arial" w:eastAsia="Arial" w:hAnsi="Arial"/>
          <w:sz w:val="22"/>
          <w:szCs w:val="22"/>
          <w:color w:val="auto"/>
        </w:rPr>
        <w:t>. The parties acknowledge that the Agreement is being modified only as stated herein, and agree that nothing else in the Agreement shall be affected by this Fourth Amendment.</w:t>
      </w:r>
    </w:p>
    <w:p>
      <w:pPr>
        <w:spacing w:after="0" w:line="228" w:lineRule="exact"/>
        <w:rPr>
          <w:sz w:val="20"/>
          <w:szCs w:val="20"/>
          <w:color w:val="auto"/>
        </w:rPr>
      </w:pPr>
    </w:p>
    <w:p>
      <w:pPr>
        <w:ind w:right="260" w:firstLine="720"/>
        <w:spacing w:after="0" w:line="238" w:lineRule="auto"/>
        <w:rPr>
          <w:sz w:val="20"/>
          <w:szCs w:val="20"/>
          <w:color w:val="auto"/>
        </w:rPr>
      </w:pPr>
      <w:r>
        <w:rPr>
          <w:rFonts w:ascii="Arial" w:cs="Arial" w:eastAsia="Arial" w:hAnsi="Arial"/>
          <w:sz w:val="22"/>
          <w:szCs w:val="22"/>
          <w:color w:val="auto"/>
        </w:rPr>
        <w:t>IN WITNESS WHEREOF, the parties hereto have caused this Fourth Amendment to be executed as of the date first written above.</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4520" w:type="dxa"/>
            <w:vAlign w:val="bottom"/>
            <w:gridSpan w:val="3"/>
          </w:tcPr>
          <w:p>
            <w:pPr>
              <w:spacing w:after="0"/>
              <w:rPr>
                <w:sz w:val="20"/>
                <w:szCs w:val="20"/>
                <w:color w:val="auto"/>
              </w:rPr>
            </w:pPr>
            <w:r>
              <w:rPr>
                <w:rFonts w:ascii="Arial" w:cs="Arial" w:eastAsia="Arial" w:hAnsi="Arial"/>
                <w:sz w:val="22"/>
                <w:szCs w:val="22"/>
                <w:b w:val="1"/>
                <w:bCs w:val="1"/>
                <w:color w:val="auto"/>
              </w:rPr>
              <w:t>WYNN RESORTS, LIMITED</w:t>
            </w:r>
          </w:p>
        </w:tc>
        <w:tc>
          <w:tcPr>
            <w:tcW w:w="4860" w:type="dxa"/>
            <w:vAlign w:val="bottom"/>
            <w:gridSpan w:val="3"/>
          </w:tcPr>
          <w:p>
            <w:pPr>
              <w:ind w:left="1180"/>
              <w:spacing w:after="0"/>
              <w:rPr>
                <w:sz w:val="20"/>
                <w:szCs w:val="20"/>
                <w:color w:val="auto"/>
              </w:rPr>
            </w:pPr>
            <w:r>
              <w:rPr>
                <w:rFonts w:ascii="Arial" w:cs="Arial" w:eastAsia="Arial" w:hAnsi="Arial"/>
                <w:sz w:val="22"/>
                <w:szCs w:val="22"/>
                <w:b w:val="1"/>
                <w:bCs w:val="1"/>
                <w:color w:val="auto"/>
              </w:rPr>
              <w:t>EMPLOYEE</w:t>
            </w:r>
          </w:p>
        </w:tc>
      </w:tr>
      <w:tr>
        <w:trPr>
          <w:trHeight w:val="409"/>
        </w:trPr>
        <w:tc>
          <w:tcPr>
            <w:tcW w:w="4520" w:type="dxa"/>
            <w:vAlign w:val="bottom"/>
            <w:gridSpan w:val="3"/>
          </w:tcPr>
          <w:p>
            <w:pPr>
              <w:spacing w:after="0"/>
              <w:rPr>
                <w:sz w:val="20"/>
                <w:szCs w:val="20"/>
                <w:color w:val="auto"/>
              </w:rPr>
            </w:pPr>
            <w:r>
              <w:rPr>
                <w:rFonts w:ascii="Arial" w:cs="Arial" w:eastAsia="Arial" w:hAnsi="Arial"/>
                <w:sz w:val="22"/>
                <w:szCs w:val="22"/>
                <w:color w:val="auto"/>
              </w:rPr>
              <w:t>By: /s/ Marc D. Schorr__________</w:t>
            </w:r>
          </w:p>
        </w:tc>
        <w:tc>
          <w:tcPr>
            <w:tcW w:w="4860" w:type="dxa"/>
            <w:vAlign w:val="bottom"/>
            <w:gridSpan w:val="3"/>
          </w:tcPr>
          <w:p>
            <w:pPr>
              <w:ind w:left="1180"/>
              <w:spacing w:after="0"/>
              <w:rPr>
                <w:sz w:val="20"/>
                <w:szCs w:val="20"/>
                <w:color w:val="auto"/>
              </w:rPr>
            </w:pPr>
            <w:r>
              <w:rPr>
                <w:rFonts w:ascii="Arial" w:cs="Arial" w:eastAsia="Arial" w:hAnsi="Arial"/>
                <w:sz w:val="22"/>
                <w:szCs w:val="22"/>
                <w:color w:val="auto"/>
                <w:w w:val="98"/>
              </w:rPr>
              <w:t>/s/ John Strzemp_________________</w:t>
            </w:r>
          </w:p>
        </w:tc>
      </w:tr>
      <w:tr>
        <w:trPr>
          <w:trHeight w:val="257"/>
        </w:trPr>
        <w:tc>
          <w:tcPr>
            <w:tcW w:w="380" w:type="dxa"/>
            <w:vAlign w:val="bottom"/>
          </w:tcPr>
          <w:p>
            <w:pPr>
              <w:spacing w:after="0"/>
              <w:rPr>
                <w:sz w:val="22"/>
                <w:szCs w:val="22"/>
                <w:color w:val="auto"/>
              </w:rPr>
            </w:pPr>
          </w:p>
        </w:tc>
        <w:tc>
          <w:tcPr>
            <w:tcW w:w="1740" w:type="dxa"/>
            <w:vAlign w:val="bottom"/>
            <w:tcBorders>
              <w:top w:val="single" w:sz="8" w:color="auto"/>
            </w:tcBorders>
          </w:tcPr>
          <w:p>
            <w:pPr>
              <w:ind w:left="40"/>
              <w:spacing w:after="0"/>
              <w:rPr>
                <w:sz w:val="20"/>
                <w:szCs w:val="20"/>
                <w:color w:val="auto"/>
              </w:rPr>
            </w:pPr>
            <w:r>
              <w:rPr>
                <w:rFonts w:ascii="Arial" w:cs="Arial" w:eastAsia="Arial" w:hAnsi="Arial"/>
                <w:sz w:val="22"/>
                <w:szCs w:val="22"/>
                <w:color w:val="auto"/>
              </w:rPr>
              <w:t>Marc D. Schorr</w:t>
            </w:r>
          </w:p>
        </w:tc>
        <w:tc>
          <w:tcPr>
            <w:tcW w:w="24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620" w:type="dxa"/>
            <w:vAlign w:val="bottom"/>
            <w:tcBorders>
              <w:top w:val="single" w:sz="8" w:color="auto"/>
            </w:tcBorders>
          </w:tcPr>
          <w:p>
            <w:pPr>
              <w:spacing w:after="0"/>
              <w:rPr>
                <w:sz w:val="20"/>
                <w:szCs w:val="20"/>
                <w:color w:val="auto"/>
              </w:rPr>
            </w:pPr>
            <w:r>
              <w:rPr>
                <w:rFonts w:ascii="Arial" w:cs="Arial" w:eastAsia="Arial" w:hAnsi="Arial"/>
                <w:sz w:val="22"/>
                <w:szCs w:val="22"/>
                <w:color w:val="auto"/>
              </w:rPr>
              <w:t>John Strzemp</w:t>
            </w:r>
          </w:p>
        </w:tc>
        <w:tc>
          <w:tcPr>
            <w:tcW w:w="2060" w:type="dxa"/>
            <w:vAlign w:val="bottom"/>
          </w:tcPr>
          <w:p>
            <w:pPr>
              <w:spacing w:after="0"/>
              <w:rPr>
                <w:sz w:val="22"/>
                <w:szCs w:val="22"/>
                <w:color w:val="auto"/>
              </w:rPr>
            </w:pPr>
          </w:p>
        </w:tc>
      </w:tr>
      <w:tr>
        <w:trPr>
          <w:trHeight w:val="260"/>
        </w:trPr>
        <w:tc>
          <w:tcPr>
            <w:tcW w:w="380" w:type="dxa"/>
            <w:vAlign w:val="bottom"/>
          </w:tcPr>
          <w:p>
            <w:pPr>
              <w:spacing w:after="0"/>
              <w:rPr>
                <w:sz w:val="22"/>
                <w:szCs w:val="22"/>
                <w:color w:val="auto"/>
              </w:rPr>
            </w:pPr>
          </w:p>
        </w:tc>
        <w:tc>
          <w:tcPr>
            <w:tcW w:w="4140" w:type="dxa"/>
            <w:vAlign w:val="bottom"/>
            <w:gridSpan w:val="2"/>
          </w:tcPr>
          <w:p>
            <w:pPr>
              <w:ind w:left="40"/>
              <w:spacing w:after="0"/>
              <w:rPr>
                <w:sz w:val="20"/>
                <w:szCs w:val="20"/>
                <w:color w:val="auto"/>
              </w:rPr>
            </w:pPr>
            <w:r>
              <w:rPr>
                <w:rFonts w:ascii="Arial" w:cs="Arial" w:eastAsia="Arial" w:hAnsi="Arial"/>
                <w:sz w:val="22"/>
                <w:szCs w:val="22"/>
                <w:color w:val="auto"/>
              </w:rPr>
              <w:t>Chief Operating Officer</w:t>
            </w:r>
          </w:p>
        </w:tc>
        <w:tc>
          <w:tcPr>
            <w:tcW w:w="118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2060" w:type="dxa"/>
            <w:vAlign w:val="bottom"/>
          </w:tcPr>
          <w:p>
            <w:pPr>
              <w:spacing w:after="0"/>
              <w:rPr>
                <w:sz w:val="22"/>
                <w:szCs w:val="22"/>
                <w:color w:val="auto"/>
              </w:rPr>
            </w:pPr>
          </w:p>
        </w:tc>
      </w:tr>
    </w:tbl>
    <w:p>
      <w:pPr>
        <w:spacing w:after="0" w:line="1" w:lineRule="exact"/>
        <w:rPr>
          <w:sz w:val="20"/>
          <w:szCs w:val="20"/>
          <w:color w:val="auto"/>
        </w:rPr>
      </w:pPr>
    </w:p>
    <w:sectPr>
      <w:pgSz w:w="11900" w:h="16838" w:orient="portrait"/>
      <w:cols w:equalWidth="0" w:num="1">
        <w:col w:w="11420"/>
      </w:cols>
      <w:pgMar w:left="240" w:top="11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o"/>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2019-12-10T22:06:31Z</dcterms:created>
  <dcterms:modified xsi:type="dcterms:W3CDTF">2019-12-10T22:06:31Z</dcterms:modified>
</cp:coreProperties>
</file>