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1"/>
          <w:szCs w:val="21"/>
          <w:color w:val="auto"/>
        </w:rPr>
        <w:t>UNITED STATES</w:t>
      </w:r>
    </w:p>
    <w:p>
      <w:pPr>
        <w:spacing w:after="0" w:line="20" w:lineRule="exact"/>
        <w:rPr>
          <w:sz w:val="24"/>
          <w:szCs w:val="24"/>
          <w:color w:val="auto"/>
        </w:rPr>
      </w:pPr>
    </w:p>
    <w:p>
      <w:pPr>
        <w:jc w:val="center"/>
        <w:ind w:right="-1220"/>
        <w:spacing w:after="0"/>
        <w:rPr>
          <w:sz w:val="20"/>
          <w:szCs w:val="20"/>
          <w:color w:val="auto"/>
        </w:rPr>
      </w:pPr>
      <w:r>
        <w:rPr>
          <w:rFonts w:ascii="Arial" w:cs="Arial" w:eastAsia="Arial" w:hAnsi="Arial"/>
          <w:sz w:val="20"/>
          <w:szCs w:val="20"/>
          <w:color w:val="auto"/>
        </w:rPr>
        <w:t>SECURITIES AND EXCHANGE COMMISSION</w:t>
      </w:r>
    </w:p>
    <w:p>
      <w:pPr>
        <w:spacing w:after="0" w:line="13"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Washington, D.C. 20549</w:t>
      </w:r>
    </w:p>
    <w:p>
      <w:pPr>
        <w:spacing w:after="0" w:line="227"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SCHEDULE 13G</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Under the Securities Exchange Act of 1934</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(Amendment No. 3)</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WYNN RESORTS LTD</w:t>
      </w:r>
    </w:p>
    <w:p>
      <w:pPr>
        <w:spacing w:after="0" w:line="20"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(Name of Issuer)</w:t>
      </w:r>
    </w:p>
    <w:p>
      <w:pPr>
        <w:spacing w:after="0" w:line="227" w:lineRule="exact"/>
        <w:rPr>
          <w:sz w:val="24"/>
          <w:szCs w:val="24"/>
          <w:color w:val="auto"/>
        </w:rPr>
      </w:pPr>
    </w:p>
    <w:p>
      <w:pPr>
        <w:ind w:left="4880"/>
        <w:spacing w:after="0"/>
        <w:rPr>
          <w:sz w:val="20"/>
          <w:szCs w:val="20"/>
          <w:color w:val="auto"/>
        </w:rPr>
      </w:pPr>
      <w:r>
        <w:rPr>
          <w:rFonts w:ascii="Arial" w:cs="Arial" w:eastAsia="Arial" w:hAnsi="Arial"/>
          <w:sz w:val="21"/>
          <w:szCs w:val="21"/>
          <w:color w:val="auto"/>
        </w:rPr>
        <w:t>COMMON STOCK</w:t>
      </w:r>
    </w:p>
    <w:p>
      <w:pPr>
        <w:spacing w:after="0" w:line="245" w:lineRule="exact"/>
        <w:rPr>
          <w:sz w:val="24"/>
          <w:szCs w:val="24"/>
          <w:color w:val="auto"/>
        </w:rPr>
      </w:pPr>
    </w:p>
    <w:p>
      <w:pPr>
        <w:ind w:left="4860"/>
        <w:spacing w:after="0"/>
        <w:rPr>
          <w:sz w:val="20"/>
          <w:szCs w:val="20"/>
          <w:color w:val="auto"/>
        </w:rPr>
      </w:pPr>
      <w:r>
        <w:rPr>
          <w:rFonts w:ascii="Arial" w:cs="Arial" w:eastAsia="Arial" w:hAnsi="Arial"/>
          <w:sz w:val="21"/>
          <w:szCs w:val="21"/>
          <w:color w:val="auto"/>
        </w:rPr>
        <w:t>(Title of Class of Securities)</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983134107</w:t>
      </w:r>
    </w:p>
    <w:p>
      <w:pPr>
        <w:spacing w:after="0" w:line="20"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(CUSIP Number)</w:t>
      </w:r>
    </w:p>
    <w:p>
      <w:pPr>
        <w:spacing w:after="0" w:line="227"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April 30, 2015</w:t>
      </w:r>
    </w:p>
    <w:p>
      <w:pPr>
        <w:spacing w:after="0" w:line="245" w:lineRule="exact"/>
        <w:rPr>
          <w:sz w:val="24"/>
          <w:szCs w:val="24"/>
          <w:color w:val="auto"/>
        </w:rPr>
      </w:pPr>
    </w:p>
    <w:p>
      <w:pPr>
        <w:ind w:left="3580"/>
        <w:spacing w:after="0"/>
        <w:rPr>
          <w:sz w:val="20"/>
          <w:szCs w:val="20"/>
          <w:color w:val="auto"/>
        </w:rPr>
      </w:pPr>
      <w:r>
        <w:rPr>
          <w:rFonts w:ascii="Arial" w:cs="Arial" w:eastAsia="Arial" w:hAnsi="Arial"/>
          <w:sz w:val="19"/>
          <w:szCs w:val="19"/>
          <w:color w:val="auto"/>
        </w:rPr>
        <w:t>(Date of Event which Requires Filing of Statement)</w:t>
      </w:r>
    </w:p>
    <w:p>
      <w:pPr>
        <w:spacing w:after="0" w:line="268"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56" w:lineRule="exact"/>
        <w:rPr>
          <w:sz w:val="24"/>
          <w:szCs w:val="24"/>
          <w:color w:val="auto"/>
        </w:rPr>
      </w:pPr>
    </w:p>
    <w:p>
      <w:pPr>
        <w:jc w:val="both"/>
        <w:ind w:left="660" w:right="8299" w:hanging="652"/>
        <w:spacing w:after="0" w:line="597" w:lineRule="auto"/>
        <w:tabs>
          <w:tab w:leader="none" w:pos="305"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 - 1(b) Rule 13d - 1(c) Rule 13d - 1(d)</w:t>
      </w:r>
    </w:p>
    <w:p>
      <w:pPr>
        <w:sectPr>
          <w:pgSz w:w="11900" w:h="16838" w:orient="portrait"/>
          <w:cols w:equalWidth="0" w:num="1">
            <w:col w:w="10219"/>
          </w:cols>
          <w:pgMar w:left="240" w:top="234" w:right="1440" w:bottom="1440" w:gutter="0" w:footer="0" w:header="0"/>
        </w:sectPr>
      </w:pPr>
    </w:p>
    <w:bookmarkStart w:id="1" w:name="page2"/>
    <w:bookmarkEnd w:id="1"/>
    <w:p>
      <w:pPr>
        <w:spacing w:after="0"/>
        <w:rPr>
          <w:sz w:val="20"/>
          <w:szCs w:val="20"/>
          <w:color w:val="auto"/>
        </w:rPr>
      </w:pPr>
      <w:r>
        <w:rPr>
          <w:rFonts w:ascii="Arial" w:cs="Arial" w:eastAsia="Arial" w:hAnsi="Arial"/>
          <w:sz w:val="21"/>
          <w:szCs w:val="21"/>
          <w:color w:val="auto"/>
        </w:rPr>
        <w:t>1 Name of Reporting Person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T. ROWE PRICE ASSOCIATES, INC.</w:t>
      </w:r>
    </w:p>
    <w:p>
      <w:pPr>
        <w:spacing w:after="0" w:line="20" w:lineRule="exact"/>
        <w:rPr>
          <w:sz w:val="20"/>
          <w:szCs w:val="20"/>
          <w:color w:val="auto"/>
        </w:rPr>
      </w:pPr>
    </w:p>
    <w:p>
      <w:pPr>
        <w:ind w:left="500"/>
        <w:spacing w:after="0"/>
        <w:rPr>
          <w:sz w:val="20"/>
          <w:szCs w:val="20"/>
          <w:color w:val="auto"/>
        </w:rPr>
      </w:pPr>
      <w:r>
        <w:rPr>
          <w:rFonts w:ascii="Arial" w:cs="Arial" w:eastAsia="Arial" w:hAnsi="Arial"/>
          <w:sz w:val="21"/>
          <w:szCs w:val="21"/>
          <w:color w:val="auto"/>
        </w:rPr>
        <w:t>52-0556948</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2 Check the Appropriate Box if a Member of a Group</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NOT APPLICABLE</w:t>
      </w:r>
    </w:p>
    <w:p>
      <w:pPr>
        <w:spacing w:after="0" w:line="245" w:lineRule="exact"/>
        <w:rPr>
          <w:sz w:val="20"/>
          <w:szCs w:val="20"/>
          <w:color w:val="auto"/>
        </w:rPr>
      </w:pPr>
    </w:p>
    <w:p>
      <w:pPr>
        <w:ind w:left="480" w:hanging="472"/>
        <w:spacing w:after="0"/>
        <w:tabs>
          <w:tab w:leader="none" w:pos="480" w:val="left"/>
        </w:tabs>
        <w:numPr>
          <w:ilvl w:val="0"/>
          <w:numId w:val="2"/>
        </w:numPr>
        <w:rPr>
          <w:rFonts w:ascii="Arial" w:cs="Arial" w:eastAsia="Arial" w:hAnsi="Arial"/>
          <w:sz w:val="21"/>
          <w:szCs w:val="21"/>
          <w:color w:val="auto"/>
        </w:rPr>
      </w:pPr>
      <w:r>
        <w:rPr>
          <w:rFonts w:ascii="Arial" w:cs="Arial" w:eastAsia="Arial" w:hAnsi="Arial"/>
          <w:sz w:val="21"/>
          <w:szCs w:val="21"/>
          <w:color w:val="auto"/>
        </w:rPr>
        <w:t>SEC Use Only</w:t>
      </w:r>
    </w:p>
    <w:p>
      <w:pPr>
        <w:spacing w:after="0" w:line="19" w:lineRule="exact"/>
        <w:rPr>
          <w:rFonts w:ascii="Arial" w:cs="Arial" w:eastAsia="Arial" w:hAnsi="Arial"/>
          <w:sz w:val="21"/>
          <w:szCs w:val="21"/>
          <w:color w:val="auto"/>
        </w:rPr>
      </w:pPr>
    </w:p>
    <w:p>
      <w:pPr>
        <w:ind w:left="480"/>
        <w:spacing w:after="0"/>
        <w:rPr>
          <w:rFonts w:ascii="Arial" w:cs="Arial" w:eastAsia="Arial" w:hAnsi="Arial"/>
          <w:sz w:val="21"/>
          <w:szCs w:val="21"/>
          <w:color w:val="auto"/>
        </w:rPr>
      </w:pPr>
      <w:r>
        <w:rPr>
          <w:rFonts w:ascii="Arial" w:cs="Arial" w:eastAsia="Arial" w:hAnsi="Arial"/>
          <w:sz w:val="21"/>
          <w:szCs w:val="21"/>
          <w:color w:val="auto"/>
        </w:rPr>
        <w:t>______________________________</w:t>
      </w:r>
    </w:p>
    <w:p>
      <w:pPr>
        <w:spacing w:after="0" w:line="227" w:lineRule="exact"/>
        <w:rPr>
          <w:sz w:val="20"/>
          <w:szCs w:val="20"/>
          <w:color w:val="auto"/>
        </w:rPr>
      </w:pPr>
    </w:p>
    <w:p>
      <w:pPr>
        <w:ind w:left="480" w:hanging="472"/>
        <w:spacing w:after="0"/>
        <w:tabs>
          <w:tab w:leader="none" w:pos="480" w:val="left"/>
        </w:tabs>
        <w:numPr>
          <w:ilvl w:val="0"/>
          <w:numId w:val="3"/>
        </w:numPr>
        <w:rPr>
          <w:rFonts w:ascii="Arial" w:cs="Arial" w:eastAsia="Arial" w:hAnsi="Arial"/>
          <w:sz w:val="21"/>
          <w:szCs w:val="21"/>
          <w:color w:val="auto"/>
        </w:rPr>
      </w:pPr>
      <w:r>
        <w:rPr>
          <w:rFonts w:ascii="Arial" w:cs="Arial" w:eastAsia="Arial" w:hAnsi="Arial"/>
          <w:sz w:val="21"/>
          <w:szCs w:val="21"/>
          <w:color w:val="auto"/>
        </w:rPr>
        <w:t>Citizenship or Place of Organization</w:t>
      </w:r>
    </w:p>
    <w:p>
      <w:pPr>
        <w:spacing w:after="0" w:line="244" w:lineRule="exact"/>
        <w:rPr>
          <w:rFonts w:ascii="Arial" w:cs="Arial" w:eastAsia="Arial" w:hAnsi="Arial"/>
          <w:sz w:val="21"/>
          <w:szCs w:val="21"/>
          <w:color w:val="auto"/>
        </w:rPr>
      </w:pPr>
    </w:p>
    <w:p>
      <w:pPr>
        <w:ind w:left="480"/>
        <w:spacing w:after="0"/>
        <w:rPr>
          <w:rFonts w:ascii="Arial" w:cs="Arial" w:eastAsia="Arial" w:hAnsi="Arial"/>
          <w:sz w:val="21"/>
          <w:szCs w:val="21"/>
          <w:color w:val="auto"/>
        </w:rPr>
      </w:pPr>
      <w:r>
        <w:rPr>
          <w:rFonts w:ascii="Arial" w:cs="Arial" w:eastAsia="Arial" w:hAnsi="Arial"/>
          <w:sz w:val="21"/>
          <w:szCs w:val="21"/>
          <w:color w:val="auto"/>
        </w:rPr>
        <w:t>MARYLAND</w:t>
      </w:r>
    </w:p>
    <w:p>
      <w:pPr>
        <w:spacing w:after="0" w:line="245" w:lineRule="exact"/>
        <w:rPr>
          <w:sz w:val="20"/>
          <w:szCs w:val="20"/>
          <w:color w:val="auto"/>
        </w:rPr>
      </w:pPr>
    </w:p>
    <w:p>
      <w:pPr>
        <w:ind w:right="4319"/>
        <w:spacing w:after="0" w:line="506" w:lineRule="auto"/>
        <w:rPr>
          <w:sz w:val="20"/>
          <w:szCs w:val="20"/>
          <w:color w:val="auto"/>
        </w:rPr>
      </w:pPr>
      <w:r>
        <w:rPr>
          <w:rFonts w:ascii="Arial" w:cs="Arial" w:eastAsia="Arial" w:hAnsi="Arial"/>
          <w:sz w:val="21"/>
          <w:szCs w:val="21"/>
          <w:color w:val="auto"/>
        </w:rPr>
        <w:t>Number of Shares Beneficially Owned by Each Reporting Person With 5 Sole Voting Power* 3,661,753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80" w:hanging="472"/>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w:t>
      </w:r>
    </w:p>
    <w:p>
      <w:pPr>
        <w:spacing w:after="0" w:line="256" w:lineRule="exact"/>
        <w:rPr>
          <w:sz w:val="20"/>
          <w:szCs w:val="20"/>
          <w:color w:val="auto"/>
        </w:rPr>
      </w:pPr>
    </w:p>
    <w:p>
      <w:pPr>
        <w:ind w:left="480"/>
        <w:spacing w:after="0"/>
        <w:rPr>
          <w:sz w:val="20"/>
          <w:szCs w:val="20"/>
          <w:color w:val="auto"/>
        </w:rPr>
      </w:pPr>
      <w:r>
        <w:rPr>
          <w:rFonts w:ascii="Arial" w:cs="Arial" w:eastAsia="Arial" w:hAnsi="Arial"/>
          <w:sz w:val="21"/>
          <w:szCs w:val="21"/>
          <w:color w:val="auto"/>
        </w:rPr>
        <w:t>10,350,516</w:t>
      </w:r>
    </w:p>
    <w:p>
      <w:pPr>
        <w:spacing w:after="0" w:line="245" w:lineRule="exact"/>
        <w:rPr>
          <w:sz w:val="20"/>
          <w:szCs w:val="20"/>
          <w:color w:val="auto"/>
        </w:rPr>
      </w:pPr>
    </w:p>
    <w:p>
      <w:pPr>
        <w:ind w:left="480" w:hanging="472"/>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w:t>
      </w:r>
    </w:p>
    <w:p>
      <w:pPr>
        <w:spacing w:after="0" w:line="279"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21"/>
          <w:szCs w:val="21"/>
          <w:color w:val="auto"/>
        </w:rPr>
        <w:t>NOT APPLICABLE</w:t>
      </w:r>
    </w:p>
    <w:p>
      <w:pPr>
        <w:spacing w:after="0" w:line="244"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21"/>
          <w:szCs w:val="21"/>
          <w:color w:val="auto"/>
        </w:rPr>
      </w:pPr>
      <w:r>
        <w:rPr>
          <w:rFonts w:ascii="Arial" w:cs="Arial" w:eastAsia="Arial" w:hAnsi="Arial"/>
          <w:sz w:val="21"/>
          <w:szCs w:val="21"/>
          <w:color w:val="auto"/>
        </w:rPr>
        <w:t>Percent of Class Represented by Amount in Row 9</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10.1%</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12 Type of Reporting Person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IA</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*Any shares reported in Items 5 and 6 are also reported in Item 7.</w:t>
      </w:r>
    </w:p>
    <w:p>
      <w:pPr>
        <w:sectPr>
          <w:pgSz w:w="11900" w:h="16838" w:orient="portrait"/>
          <w:cols w:equalWidth="0" w:num="1">
            <w:col w:w="10219"/>
          </w:cols>
          <w:pgMar w:left="240" w:top="477" w:right="1440" w:bottom="1440" w:gutter="0" w:footer="0" w:header="0"/>
        </w:sectPr>
      </w:pPr>
    </w:p>
    <w:bookmarkStart w:id="2" w:name="page3"/>
    <w:bookmarkEnd w:id="2"/>
    <w:p>
      <w:pPr>
        <w:spacing w:after="0"/>
        <w:rPr>
          <w:sz w:val="20"/>
          <w:szCs w:val="20"/>
          <w:color w:val="auto"/>
        </w:rPr>
      </w:pPr>
      <w:r>
        <w:rPr>
          <w:rFonts w:ascii="Arial" w:cs="Arial" w:eastAsia="Arial" w:hAnsi="Arial"/>
          <w:sz w:val="21"/>
          <w:szCs w:val="21"/>
          <w:color w:val="auto"/>
        </w:rPr>
        <w:t>Item 1(a) Name of Issuer:</w:t>
      </w:r>
    </w:p>
    <w:p>
      <w:pPr>
        <w:spacing w:after="0" w:line="20" w:lineRule="exact"/>
        <w:rPr>
          <w:sz w:val="20"/>
          <w:szCs w:val="20"/>
          <w:color w:val="auto"/>
        </w:rPr>
      </w:pPr>
    </w:p>
    <w:p>
      <w:pPr>
        <w:ind w:left="1380"/>
        <w:spacing w:after="0"/>
        <w:rPr>
          <w:sz w:val="20"/>
          <w:szCs w:val="20"/>
          <w:color w:val="auto"/>
        </w:rPr>
      </w:pPr>
      <w:r>
        <w:rPr>
          <w:rFonts w:ascii="Arial" w:cs="Arial" w:eastAsia="Arial" w:hAnsi="Arial"/>
          <w:sz w:val="21"/>
          <w:szCs w:val="21"/>
          <w:color w:val="auto"/>
        </w:rPr>
        <w:t>Reference is made to page 1 of this Schedule 13G</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Item 1(b) Address of Issuer's Principal Executive Offices:</w:t>
      </w:r>
    </w:p>
    <w:p>
      <w:pPr>
        <w:spacing w:after="0" w:line="245" w:lineRule="exact"/>
        <w:rPr>
          <w:sz w:val="20"/>
          <w:szCs w:val="20"/>
          <w:color w:val="auto"/>
        </w:rPr>
      </w:pPr>
    </w:p>
    <w:p>
      <w:pPr>
        <w:ind w:left="1400"/>
        <w:spacing w:after="0"/>
        <w:rPr>
          <w:sz w:val="20"/>
          <w:szCs w:val="20"/>
          <w:color w:val="auto"/>
        </w:rPr>
      </w:pPr>
      <w:r>
        <w:rPr>
          <w:rFonts w:ascii="Arial" w:cs="Arial" w:eastAsia="Arial" w:hAnsi="Arial"/>
          <w:sz w:val="21"/>
          <w:szCs w:val="21"/>
          <w:color w:val="auto"/>
        </w:rPr>
        <w:t>3131 LAS VEGAS BLVD SOUTH, LAS VEGAS, NV 89109</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2(a) Name of Person(s) Filing:</w:t>
      </w:r>
    </w:p>
    <w:p>
      <w:pPr>
        <w:spacing w:after="0" w:line="245" w:lineRule="exact"/>
        <w:rPr>
          <w:sz w:val="20"/>
          <w:szCs w:val="20"/>
          <w:color w:val="auto"/>
        </w:rPr>
      </w:pPr>
    </w:p>
    <w:p>
      <w:pPr>
        <w:ind w:left="1680" w:hanging="294"/>
        <w:spacing w:after="0"/>
        <w:tabs>
          <w:tab w:leader="none" w:pos="1680" w:val="left"/>
        </w:tabs>
        <w:numPr>
          <w:ilvl w:val="0"/>
          <w:numId w:val="6"/>
        </w:numPr>
        <w:rPr>
          <w:rFonts w:ascii="Arial" w:cs="Arial" w:eastAsia="Arial" w:hAnsi="Arial"/>
          <w:sz w:val="21"/>
          <w:szCs w:val="21"/>
          <w:color w:val="auto"/>
        </w:rPr>
      </w:pPr>
      <w:r>
        <w:rPr>
          <w:rFonts w:ascii="Arial" w:cs="Arial" w:eastAsia="Arial" w:hAnsi="Arial"/>
          <w:sz w:val="21"/>
          <w:szCs w:val="21"/>
          <w:color w:val="auto"/>
        </w:rPr>
        <w:t>T. Rowe Price Associates, Inc. ("Price Associates")</w:t>
      </w:r>
    </w:p>
    <w:p>
      <w:pPr>
        <w:spacing w:after="0" w:line="244" w:lineRule="exact"/>
        <w:rPr>
          <w:rFonts w:ascii="Arial" w:cs="Arial" w:eastAsia="Arial" w:hAnsi="Arial"/>
          <w:sz w:val="21"/>
          <w:szCs w:val="21"/>
          <w:color w:val="auto"/>
        </w:rPr>
      </w:pPr>
    </w:p>
    <w:p>
      <w:pPr>
        <w:spacing w:after="0"/>
        <w:tabs>
          <w:tab w:leader="none" w:pos="0" w:val="left"/>
        </w:tabs>
        <w:numPr>
          <w:ilvl w:val="0"/>
          <w:numId w:val="6"/>
        </w:numPr>
        <w:rPr>
          <w:rFonts w:ascii="Arial" w:cs="Arial" w:eastAsia="Arial" w:hAnsi="Arial"/>
          <w:sz w:val="21"/>
          <w:szCs w:val="21"/>
          <w:color w:val="auto"/>
        </w:rPr>
      </w:pPr>
    </w:p>
    <w:p>
      <w:pPr>
        <w:spacing w:after="0" w:line="245" w:lineRule="exact"/>
        <w:rPr>
          <w:sz w:val="20"/>
          <w:szCs w:val="20"/>
          <w:color w:val="auto"/>
        </w:rPr>
      </w:pPr>
    </w:p>
    <w:p>
      <w:pPr>
        <w:ind w:left="1300" w:hanging="1296"/>
        <w:spacing w:after="0" w:line="264" w:lineRule="auto"/>
        <w:rPr>
          <w:sz w:val="20"/>
          <w:szCs w:val="20"/>
          <w:color w:val="auto"/>
        </w:rPr>
      </w:pPr>
      <w:r>
        <w:rPr>
          <w:rFonts w:ascii="Arial" w:cs="Arial" w:eastAsia="Arial" w:hAnsi="Arial"/>
          <w:sz w:val="21"/>
          <w:szCs w:val="21"/>
          <w:color w:val="auto"/>
        </w:rPr>
        <w:t>Attached as Exhibit A is a copy of an agreement between the Persons Filing (as specified hereinabove) that this Schedule 13G is being filed on behalf of each of them.</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color w:val="auto"/>
        </w:rPr>
        <w:t>Item 2(b) Address of Principal Business Office:</w:t>
      </w:r>
    </w:p>
    <w:p>
      <w:pPr>
        <w:spacing w:after="0" w:line="245" w:lineRule="exact"/>
        <w:rPr>
          <w:sz w:val="20"/>
          <w:szCs w:val="20"/>
          <w:color w:val="auto"/>
        </w:rPr>
      </w:pPr>
    </w:p>
    <w:p>
      <w:pPr>
        <w:ind w:left="1400"/>
        <w:spacing w:after="0"/>
        <w:rPr>
          <w:sz w:val="20"/>
          <w:szCs w:val="20"/>
          <w:color w:val="auto"/>
        </w:rPr>
      </w:pPr>
      <w:r>
        <w:rPr>
          <w:rFonts w:ascii="Arial" w:cs="Arial" w:eastAsia="Arial" w:hAnsi="Arial"/>
          <w:sz w:val="21"/>
          <w:szCs w:val="21"/>
          <w:color w:val="auto"/>
        </w:rPr>
        <w:t>100 E. Pratt Street, Baltimore, Maryland 21202</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2(c) Citizenship or Place of Organization:</w:t>
      </w:r>
    </w:p>
    <w:p>
      <w:pPr>
        <w:spacing w:after="0" w:line="245" w:lineRule="exact"/>
        <w:rPr>
          <w:sz w:val="20"/>
          <w:szCs w:val="20"/>
          <w:color w:val="auto"/>
        </w:rPr>
      </w:pPr>
    </w:p>
    <w:p>
      <w:pPr>
        <w:ind w:left="1680" w:hanging="290"/>
        <w:spacing w:after="0"/>
        <w:tabs>
          <w:tab w:leader="none" w:pos="1680" w:val="left"/>
        </w:tabs>
        <w:numPr>
          <w:ilvl w:val="0"/>
          <w:numId w:val="7"/>
        </w:numPr>
        <w:rPr>
          <w:rFonts w:ascii="Arial" w:cs="Arial" w:eastAsia="Arial" w:hAnsi="Arial"/>
          <w:sz w:val="21"/>
          <w:szCs w:val="21"/>
          <w:color w:val="auto"/>
        </w:rPr>
      </w:pPr>
      <w:r>
        <w:rPr>
          <w:rFonts w:ascii="Arial" w:cs="Arial" w:eastAsia="Arial" w:hAnsi="Arial"/>
          <w:sz w:val="21"/>
          <w:szCs w:val="21"/>
          <w:color w:val="auto"/>
        </w:rPr>
        <w:t>Maryland</w:t>
      </w:r>
    </w:p>
    <w:p>
      <w:pPr>
        <w:spacing w:after="0" w:line="244" w:lineRule="exact"/>
        <w:rPr>
          <w:rFonts w:ascii="Arial" w:cs="Arial" w:eastAsia="Arial" w:hAnsi="Arial"/>
          <w:sz w:val="21"/>
          <w:szCs w:val="21"/>
          <w:color w:val="auto"/>
        </w:rPr>
      </w:pPr>
    </w:p>
    <w:p>
      <w:pPr>
        <w:spacing w:after="0"/>
        <w:tabs>
          <w:tab w:leader="none" w:pos="0" w:val="left"/>
        </w:tabs>
        <w:numPr>
          <w:ilvl w:val="0"/>
          <w:numId w:val="7"/>
        </w:numPr>
        <w:rPr>
          <w:rFonts w:ascii="Arial" w:cs="Arial" w:eastAsia="Arial" w:hAnsi="Arial"/>
          <w:sz w:val="21"/>
          <w:szCs w:val="21"/>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380" w:hanging="1372"/>
        <w:spacing w:after="0"/>
        <w:tabs>
          <w:tab w:leader="none" w:pos="1380" w:val="left"/>
        </w:tabs>
        <w:numPr>
          <w:ilvl w:val="0"/>
          <w:numId w:val="8"/>
        </w:numPr>
        <w:rPr>
          <w:rFonts w:ascii="Arial" w:cs="Arial" w:eastAsia="Arial" w:hAnsi="Arial"/>
          <w:sz w:val="21"/>
          <w:szCs w:val="21"/>
          <w:color w:val="auto"/>
        </w:rPr>
      </w:pPr>
      <w:r>
        <w:rPr>
          <w:rFonts w:ascii="Arial" w:cs="Arial" w:eastAsia="Arial" w:hAnsi="Arial"/>
          <w:sz w:val="21"/>
          <w:szCs w:val="21"/>
          <w:color w:val="auto"/>
        </w:rPr>
        <w:t>Investment Adviser registered under Section 203 of the Investment Advisers Act of 1940</w:t>
      </w:r>
    </w:p>
    <w:p>
      <w:pPr>
        <w:spacing w:after="0" w:line="245" w:lineRule="exact"/>
        <w:rPr>
          <w:sz w:val="20"/>
          <w:szCs w:val="20"/>
          <w:color w:val="auto"/>
        </w:rPr>
      </w:pPr>
    </w:p>
    <w:p>
      <w:pPr>
        <w:ind w:right="2380" w:firstLine="1378"/>
        <w:spacing w:after="0" w:line="543" w:lineRule="auto"/>
        <w:rPr>
          <w:sz w:val="20"/>
          <w:szCs w:val="20"/>
          <w:color w:val="auto"/>
        </w:rPr>
      </w:pPr>
      <w:r>
        <w:rPr>
          <w:rFonts w:ascii="Arial" w:cs="Arial" w:eastAsia="Arial" w:hAnsi="Arial"/>
          <w:sz w:val="20"/>
          <w:szCs w:val="20"/>
          <w:color w:val="auto"/>
        </w:rPr>
        <w:t>Investment Company registered under Section 8 of the Investment Company Act of 1940 Item 4 Reference is made to Items 5-11 on the preceding pages of this Schedule 13G.</w:t>
      </w:r>
    </w:p>
    <w:p>
      <w:pPr>
        <w:sectPr>
          <w:pgSz w:w="11900" w:h="16838" w:orient="portrait"/>
          <w:cols w:equalWidth="0" w:num="1">
            <w:col w:w="11160"/>
          </w:cols>
          <w:pgMar w:left="240" w:top="720" w:right="499" w:bottom="1440" w:gutter="0" w:footer="0" w:header="0"/>
        </w:sectPr>
      </w:pPr>
    </w:p>
    <w:bookmarkStart w:id="3" w:name="page4"/>
    <w:bookmarkEnd w:id="3"/>
    <w:p>
      <w:pPr>
        <w:spacing w:after="0"/>
        <w:rPr>
          <w:sz w:val="20"/>
          <w:szCs w:val="20"/>
          <w:color w:val="auto"/>
        </w:rPr>
      </w:pPr>
      <w:r>
        <w:rPr>
          <w:rFonts w:ascii="Arial" w:cs="Arial" w:eastAsia="Arial" w:hAnsi="Arial"/>
          <w:sz w:val="21"/>
          <w:szCs w:val="21"/>
          <w:color w:val="auto"/>
        </w:rPr>
        <w:t>Item 5 Ownership of Five Percent or Less of a Class.</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X Not Applicable.</w:t>
      </w:r>
    </w:p>
    <w:p>
      <w:pPr>
        <w:spacing w:after="0" w:line="245" w:lineRule="exact"/>
        <w:rPr>
          <w:sz w:val="20"/>
          <w:szCs w:val="20"/>
          <w:color w:val="auto"/>
        </w:rPr>
      </w:pPr>
    </w:p>
    <w:p>
      <w:pPr>
        <w:ind w:left="1040" w:right="180"/>
        <w:spacing w:after="0" w:line="264" w:lineRule="auto"/>
        <w:rPr>
          <w:sz w:val="20"/>
          <w:szCs w:val="20"/>
          <w:color w:val="auto"/>
        </w:rPr>
      </w:pPr>
      <w:r>
        <w:rPr>
          <w:rFonts w:ascii="Arial" w:cs="Arial" w:eastAsia="Arial" w:hAnsi="Arial"/>
          <w:sz w:val="21"/>
          <w:szCs w:val="21"/>
          <w:color w:val="auto"/>
        </w:rPr>
        <w:t>This statement is being filed to report the fact that, as of the date of this report, the reporting person(s) has (have) ceased to be the beneficial owner of more than five percent of the class of securities.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color w:val="auto"/>
        </w:rPr>
        <w:t>Item 6 Ownership of More than Five Percent on Behalf of Another Person</w:t>
      </w:r>
    </w:p>
    <w:p>
      <w:pPr>
        <w:spacing w:after="0" w:line="245" w:lineRule="exact"/>
        <w:rPr>
          <w:sz w:val="20"/>
          <w:szCs w:val="20"/>
          <w:color w:val="auto"/>
        </w:rPr>
      </w:pPr>
    </w:p>
    <w:p>
      <w:pPr>
        <w:ind w:left="1300" w:hanging="887"/>
        <w:spacing w:after="0" w:line="253" w:lineRule="auto"/>
        <w:tabs>
          <w:tab w:leader="none" w:pos="1300" w:val="left"/>
        </w:tabs>
        <w:numPr>
          <w:ilvl w:val="0"/>
          <w:numId w:val="9"/>
        </w:numPr>
        <w:rPr>
          <w:rFonts w:ascii="Arial" w:cs="Arial" w:eastAsia="Arial" w:hAnsi="Arial"/>
          <w:sz w:val="21"/>
          <w:szCs w:val="21"/>
          <w:color w:val="auto"/>
        </w:rPr>
      </w:pPr>
      <w:r>
        <w:rPr>
          <w:rFonts w:ascii="Arial" w:cs="Arial" w:eastAsia="Arial" w:hAnsi="Arial"/>
          <w:sz w:val="21"/>
          <w:szCs w:val="21"/>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8" w:lineRule="exact"/>
        <w:rPr>
          <w:rFonts w:ascii="Arial" w:cs="Arial" w:eastAsia="Arial" w:hAnsi="Arial"/>
          <w:sz w:val="21"/>
          <w:szCs w:val="21"/>
          <w:color w:val="auto"/>
        </w:rPr>
      </w:pPr>
    </w:p>
    <w:p>
      <w:pPr>
        <w:ind w:left="1300" w:right="280"/>
        <w:spacing w:after="0" w:line="249" w:lineRule="auto"/>
        <w:rPr>
          <w:rFonts w:ascii="Arial" w:cs="Arial" w:eastAsia="Arial" w:hAnsi="Arial"/>
          <w:sz w:val="21"/>
          <w:szCs w:val="21"/>
          <w:color w:val="auto"/>
        </w:rPr>
      </w:pPr>
      <w:r>
        <w:rPr>
          <w:rFonts w:ascii="Arial" w:cs="Arial" w:eastAsia="Arial" w:hAnsi="Arial"/>
          <w:sz w:val="21"/>
          <w:szCs w:val="21"/>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13" w:lineRule="exact"/>
        <w:rPr>
          <w:rFonts w:ascii="Arial" w:cs="Arial" w:eastAsia="Arial" w:hAnsi="Arial"/>
          <w:sz w:val="21"/>
          <w:szCs w:val="21"/>
          <w:color w:val="auto"/>
        </w:rPr>
      </w:pPr>
    </w:p>
    <w:p>
      <w:pPr>
        <w:jc w:val="both"/>
        <w:ind w:left="1300" w:right="340"/>
        <w:spacing w:after="0" w:line="271" w:lineRule="auto"/>
        <w:rPr>
          <w:rFonts w:ascii="Arial" w:cs="Arial" w:eastAsia="Arial" w:hAnsi="Arial"/>
          <w:sz w:val="21"/>
          <w:szCs w:val="21"/>
          <w:color w:val="auto"/>
        </w:rPr>
      </w:pPr>
      <w:r>
        <w:rPr>
          <w:rFonts w:ascii="Arial" w:cs="Arial" w:eastAsia="Arial" w:hAnsi="Arial"/>
          <w:sz w:val="20"/>
          <w:szCs w:val="20"/>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193" w:lineRule="exact"/>
        <w:rPr>
          <w:rFonts w:ascii="Arial" w:cs="Arial" w:eastAsia="Arial" w:hAnsi="Arial"/>
          <w:sz w:val="21"/>
          <w:szCs w:val="21"/>
          <w:color w:val="auto"/>
        </w:rPr>
      </w:pPr>
    </w:p>
    <w:p>
      <w:pPr>
        <w:ind w:left="1300" w:hanging="887"/>
        <w:spacing w:after="0" w:line="249" w:lineRule="auto"/>
        <w:tabs>
          <w:tab w:leader="none" w:pos="1300" w:val="left"/>
        </w:tabs>
        <w:numPr>
          <w:ilvl w:val="0"/>
          <w:numId w:val="9"/>
        </w:numPr>
        <w:rPr>
          <w:rFonts w:ascii="Arial" w:cs="Arial" w:eastAsia="Arial" w:hAnsi="Arial"/>
          <w:sz w:val="21"/>
          <w:szCs w:val="21"/>
          <w:color w:val="auto"/>
        </w:rPr>
      </w:pPr>
      <w:r>
        <w:rPr>
          <w:rFonts w:ascii="Arial" w:cs="Arial" w:eastAsia="Arial" w:hAnsi="Arial"/>
          <w:sz w:val="21"/>
          <w:szCs w:val="21"/>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3" w:lineRule="exact"/>
        <w:rPr>
          <w:sz w:val="20"/>
          <w:szCs w:val="20"/>
          <w:color w:val="auto"/>
        </w:rPr>
      </w:pPr>
    </w:p>
    <w:p>
      <w:pPr>
        <w:ind w:left="1040" w:right="680" w:hanging="1040"/>
        <w:spacing w:after="0" w:line="264" w:lineRule="auto"/>
        <w:rPr>
          <w:sz w:val="20"/>
          <w:szCs w:val="20"/>
          <w:color w:val="auto"/>
        </w:rPr>
      </w:pPr>
      <w:r>
        <w:rPr>
          <w:rFonts w:ascii="Arial" w:cs="Arial" w:eastAsia="Arial" w:hAnsi="Arial"/>
          <w:sz w:val="21"/>
          <w:szCs w:val="21"/>
          <w:color w:val="auto"/>
        </w:rPr>
        <w:t>Item 7 Identification and Classification of the Subsidiary Which Acquired the Security Being Reported on By the Parent Holding Company.</w:t>
      </w:r>
    </w:p>
    <w:p>
      <w:pPr>
        <w:spacing w:after="0" w:line="198" w:lineRule="exact"/>
        <w:rPr>
          <w:sz w:val="20"/>
          <w:szCs w:val="20"/>
          <w:color w:val="auto"/>
        </w:rPr>
      </w:pPr>
    </w:p>
    <w:p>
      <w:pPr>
        <w:ind w:left="1040"/>
        <w:spacing w:after="0"/>
        <w:rPr>
          <w:sz w:val="20"/>
          <w:szCs w:val="20"/>
          <w:color w:val="auto"/>
        </w:rPr>
      </w:pPr>
      <w:r>
        <w:rPr>
          <w:rFonts w:ascii="Arial" w:cs="Arial" w:eastAsia="Arial" w:hAnsi="Arial"/>
          <w:sz w:val="21"/>
          <w:szCs w:val="21"/>
          <w:color w:val="auto"/>
        </w:rPr>
        <w:t>Not Applicable.</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8 Identification and Classification of Members of the Group.</w:t>
      </w:r>
    </w:p>
    <w:p>
      <w:pPr>
        <w:spacing w:after="0" w:line="245" w:lineRule="exact"/>
        <w:rPr>
          <w:sz w:val="20"/>
          <w:szCs w:val="20"/>
          <w:color w:val="auto"/>
        </w:rPr>
      </w:pPr>
    </w:p>
    <w:p>
      <w:pPr>
        <w:ind w:left="1040"/>
        <w:spacing w:after="0"/>
        <w:rPr>
          <w:sz w:val="20"/>
          <w:szCs w:val="20"/>
          <w:color w:val="auto"/>
        </w:rPr>
      </w:pPr>
      <w:r>
        <w:rPr>
          <w:rFonts w:ascii="Arial" w:cs="Arial" w:eastAsia="Arial" w:hAnsi="Arial"/>
          <w:sz w:val="21"/>
          <w:szCs w:val="21"/>
          <w:color w:val="auto"/>
        </w:rPr>
        <w:t>Not Applicable.</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9 Notice of Dissolution of Group.</w:t>
      </w:r>
    </w:p>
    <w:p>
      <w:pPr>
        <w:spacing w:after="0" w:line="245" w:lineRule="exact"/>
        <w:rPr>
          <w:sz w:val="20"/>
          <w:szCs w:val="20"/>
          <w:color w:val="auto"/>
        </w:rPr>
      </w:pPr>
    </w:p>
    <w:p>
      <w:pPr>
        <w:ind w:left="1060"/>
        <w:spacing w:after="0"/>
        <w:rPr>
          <w:sz w:val="20"/>
          <w:szCs w:val="20"/>
          <w:color w:val="auto"/>
        </w:rPr>
      </w:pPr>
      <w:r>
        <w:rPr>
          <w:rFonts w:ascii="Arial" w:cs="Arial" w:eastAsia="Arial" w:hAnsi="Arial"/>
          <w:sz w:val="21"/>
          <w:szCs w:val="21"/>
          <w:color w:val="auto"/>
        </w:rPr>
        <w:t>Not Applicable.</w:t>
      </w:r>
    </w:p>
    <w:p>
      <w:pPr>
        <w:sectPr>
          <w:pgSz w:w="11900" w:h="16838" w:orient="portrait"/>
          <w:cols w:equalWidth="0" w:num="1">
            <w:col w:w="11400"/>
          </w:cols>
          <w:pgMar w:left="240" w:top="477" w:right="259" w:bottom="1440" w:gutter="0" w:footer="0" w:header="0"/>
        </w:sectPr>
      </w:pPr>
    </w:p>
    <w:bookmarkStart w:id="4" w:name="page5"/>
    <w:bookmarkEnd w:id="4"/>
    <w:p>
      <w:pPr>
        <w:spacing w:after="0"/>
        <w:rPr>
          <w:sz w:val="20"/>
          <w:szCs w:val="20"/>
          <w:color w:val="auto"/>
        </w:rPr>
      </w:pPr>
      <w:r>
        <w:rPr>
          <w:rFonts w:ascii="Arial" w:cs="Arial" w:eastAsia="Arial" w:hAnsi="Arial"/>
          <w:sz w:val="21"/>
          <w:szCs w:val="21"/>
          <w:color w:val="auto"/>
        </w:rPr>
        <w:t>Item 10 Certification.</w:t>
      </w:r>
    </w:p>
    <w:p>
      <w:pPr>
        <w:spacing w:after="0" w:line="245" w:lineRule="exact"/>
        <w:rPr>
          <w:sz w:val="20"/>
          <w:szCs w:val="20"/>
          <w:color w:val="auto"/>
        </w:rPr>
      </w:pPr>
    </w:p>
    <w:p>
      <w:pPr>
        <w:ind w:left="1260"/>
        <w:spacing w:after="0" w:line="260" w:lineRule="auto"/>
        <w:rPr>
          <w:sz w:val="20"/>
          <w:szCs w:val="20"/>
          <w:color w:val="auto"/>
        </w:rPr>
      </w:pPr>
      <w:r>
        <w:rPr>
          <w:rFonts w:ascii="Arial" w:cs="Arial" w:eastAsia="Arial" w:hAnsi="Arial"/>
          <w:sz w:val="20"/>
          <w:szCs w:val="20"/>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Signature.</w:t>
      </w:r>
    </w:p>
    <w:p>
      <w:pPr>
        <w:spacing w:after="0" w:line="245" w:lineRule="exact"/>
        <w:rPr>
          <w:sz w:val="20"/>
          <w:szCs w:val="20"/>
          <w:color w:val="auto"/>
        </w:rPr>
      </w:pPr>
    </w:p>
    <w:p>
      <w:pPr>
        <w:ind w:left="1260" w:right="680"/>
        <w:spacing w:after="0" w:line="264" w:lineRule="auto"/>
        <w:rPr>
          <w:sz w:val="20"/>
          <w:szCs w:val="20"/>
          <w:color w:val="auto"/>
        </w:rPr>
      </w:pPr>
      <w:r>
        <w:rPr>
          <w:rFonts w:ascii="Arial" w:cs="Arial" w:eastAsia="Arial" w:hAnsi="Arial"/>
          <w:sz w:val="21"/>
          <w:szCs w:val="21"/>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T. ROWE PRICE ASSOCIATES, INC.</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Date: May 11, 2015</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Signature: /s/ David Oestreicher</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Name &amp; Title: David Oestreicher,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1"/>
          <w:szCs w:val="21"/>
          <w:color w:val="auto"/>
        </w:rPr>
        <w:t>04/30/2015</w:t>
      </w:r>
    </w:p>
    <w:sectPr>
      <w:pgSz w:w="11900" w:h="16838" w:orient="portrait"/>
      <w:cols w:equalWidth="0" w:num="1">
        <w:col w:w="11360"/>
      </w:cols>
      <w:pgMar w:left="240" w:top="47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4"/>
      <w:numFmt w:val="bullet"/>
      <w:start w:val="1"/>
    </w:lvl>
  </w:abstractNum>
  <w:abstractNum w:abstractNumId="3">
    <w:nsid w:val="2EB141F2"/>
    <w:multiLevelType w:val="hybridMultilevel"/>
    <w:lvl w:ilvl="0">
      <w:lvlJc w:val="left"/>
      <w:lvlText w:val="9"/>
      <w:numFmt w:val="bullet"/>
      <w:start w:val="1"/>
    </w:lvl>
  </w:abstractNum>
  <w:abstractNum w:abstractNumId="4">
    <w:nsid w:val="41B71EFB"/>
    <w:multiLevelType w:val="hybridMultilevel"/>
    <w:lvl w:ilvl="0">
      <w:lvlJc w:val="left"/>
      <w:lvlText w:val="%1"/>
      <w:numFmt w:val="decimal"/>
      <w:start w:val="10"/>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X"/>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2019-12-08T01:40:33Z</dcterms:created>
  <dcterms:modified xsi:type="dcterms:W3CDTF">2019-12-08T01:40:33Z</dcterms:modified>
</cp:coreProperties>
</file>