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37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July 7, 2003</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spacing w:after="0" w:line="3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ind w:left="1280"/>
              <w:spacing w:after="0"/>
              <w:rPr>
                <w:sz w:val="20"/>
                <w:szCs w:val="20"/>
                <w:color w:val="auto"/>
              </w:rPr>
            </w:pPr>
            <w:r>
              <w:rPr>
                <w:rFonts w:ascii="Courier New" w:cs="Courier New" w:eastAsia="Courier New" w:hAnsi="Courier New"/>
                <w:sz w:val="18"/>
                <w:szCs w:val="18"/>
                <w:color w:val="auto"/>
              </w:rPr>
              <w:t>Nevada</w:t>
            </w:r>
          </w:p>
        </w:tc>
        <w:tc>
          <w:tcPr>
            <w:tcW w:w="2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000-50028</w:t>
            </w:r>
          </w:p>
        </w:tc>
        <w:tc>
          <w:tcPr>
            <w:tcW w:w="2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46-0484987</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(State or Other Jurisdiction of</w:t>
            </w:r>
          </w:p>
        </w:tc>
        <w:tc>
          <w:tcPr>
            <w:tcW w:w="24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(Commission</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96"/>
        </w:trPr>
        <w:tc>
          <w:tcPr>
            <w:tcW w:w="3320" w:type="dxa"/>
            <w:vAlign w:val="bottom"/>
          </w:tcPr>
          <w:p>
            <w:pPr>
              <w:ind w:left="640"/>
              <w:spacing w:after="0"/>
              <w:rPr>
                <w:sz w:val="20"/>
                <w:szCs w:val="20"/>
                <w:color w:val="auto"/>
              </w:rPr>
            </w:pPr>
            <w:r>
              <w:rPr>
                <w:rFonts w:ascii="Courier New" w:cs="Courier New" w:eastAsia="Courier New" w:hAnsi="Courier New"/>
                <w:sz w:val="18"/>
                <w:szCs w:val="18"/>
                <w:color w:val="auto"/>
              </w:rPr>
              <w:t>Incorporation)</w:t>
            </w:r>
          </w:p>
        </w:tc>
        <w:tc>
          <w:tcPr>
            <w:tcW w:w="2480" w:type="dxa"/>
            <w:vAlign w:val="bottom"/>
          </w:tcPr>
          <w:p>
            <w:pPr>
              <w:ind w:left="800"/>
              <w:spacing w:after="0"/>
              <w:rPr>
                <w:sz w:val="20"/>
                <w:szCs w:val="20"/>
                <w:color w:val="auto"/>
              </w:rPr>
            </w:pPr>
            <w:r>
              <w:rPr>
                <w:rFonts w:ascii="Courier New" w:cs="Courier New" w:eastAsia="Courier New" w:hAnsi="Courier New"/>
                <w:sz w:val="18"/>
                <w:szCs w:val="18"/>
                <w:color w:val="auto"/>
              </w:rPr>
              <w:t>File Number)</w:t>
            </w:r>
          </w:p>
        </w:tc>
        <w:tc>
          <w:tcPr>
            <w:tcW w:w="2420" w:type="dxa"/>
            <w:vAlign w:val="bottom"/>
          </w:tcPr>
          <w:p>
            <w:pPr>
              <w:ind w:left="420"/>
              <w:spacing w:after="0"/>
              <w:rPr>
                <w:sz w:val="20"/>
                <w:szCs w:val="20"/>
                <w:color w:val="auto"/>
              </w:rPr>
            </w:pPr>
            <w:r>
              <w:rPr>
                <w:rFonts w:ascii="Courier New" w:cs="Courier New" w:eastAsia="Courier New" w:hAnsi="Courier New"/>
                <w:sz w:val="18"/>
                <w:szCs w:val="18"/>
                <w:color w:val="auto"/>
                <w:w w:val="96"/>
              </w:rPr>
              <w:t>Identification No.)</w:t>
            </w:r>
          </w:p>
        </w:tc>
        <w:tc>
          <w:tcPr>
            <w:tcW w:w="0" w:type="dxa"/>
            <w:vAlign w:val="bottom"/>
          </w:tcPr>
          <w:p>
            <w:pPr>
              <w:spacing w:after="0"/>
              <w:rPr>
                <w:sz w:val="1"/>
                <w:szCs w:val="1"/>
                <w:color w:val="auto"/>
              </w:rPr>
            </w:pPr>
          </w:p>
        </w:tc>
      </w:tr>
      <w:tr>
        <w:trPr>
          <w:trHeight w:val="514"/>
        </w:trPr>
        <w:tc>
          <w:tcPr>
            <w:tcW w:w="5800" w:type="dxa"/>
            <w:vAlign w:val="bottom"/>
            <w:gridSpan w:val="2"/>
          </w:tcPr>
          <w:p>
            <w:pPr>
              <w:jc w:val="right"/>
              <w:ind w:right="1392"/>
              <w:spacing w:after="0"/>
              <w:rPr>
                <w:sz w:val="20"/>
                <w:szCs w:val="20"/>
                <w:color w:val="auto"/>
              </w:rPr>
            </w:pPr>
            <w:r>
              <w:rPr>
                <w:rFonts w:ascii="Courier New" w:cs="Courier New" w:eastAsia="Courier New" w:hAnsi="Courier New"/>
                <w:sz w:val="18"/>
                <w:szCs w:val="18"/>
                <w:color w:val="auto"/>
              </w:rPr>
              <w:t>3145 Las Vegas Boulevard South</w:t>
            </w:r>
          </w:p>
        </w:tc>
        <w:tc>
          <w:tcPr>
            <w:tcW w:w="242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89109</w:t>
            </w:r>
          </w:p>
        </w:tc>
        <w:tc>
          <w:tcPr>
            <w:tcW w:w="0" w:type="dxa"/>
            <w:vAlign w:val="bottom"/>
          </w:tcPr>
          <w:p>
            <w:pPr>
              <w:spacing w:after="0"/>
              <w:rPr>
                <w:sz w:val="1"/>
                <w:szCs w:val="1"/>
                <w:color w:val="auto"/>
              </w:rPr>
            </w:pPr>
          </w:p>
        </w:tc>
      </w:tr>
      <w:tr>
        <w:trPr>
          <w:trHeight w:val="203"/>
        </w:trPr>
        <w:tc>
          <w:tcPr>
            <w:tcW w:w="5800" w:type="dxa"/>
            <w:vAlign w:val="bottom"/>
            <w:gridSpan w:val="2"/>
          </w:tcPr>
          <w:p>
            <w:pPr>
              <w:jc w:val="right"/>
              <w:ind w:right="2012"/>
              <w:spacing w:after="0" w:line="203" w:lineRule="exact"/>
              <w:rPr>
                <w:sz w:val="20"/>
                <w:szCs w:val="20"/>
                <w:color w:val="auto"/>
              </w:rPr>
            </w:pPr>
            <w:r>
              <w:rPr>
                <w:rFonts w:ascii="Courier New" w:cs="Courier New" w:eastAsia="Courier New" w:hAnsi="Courier New"/>
                <w:sz w:val="18"/>
                <w:szCs w:val="18"/>
                <w:color w:val="auto"/>
              </w:rPr>
              <w:t>Las Vegas, Nevada</w:t>
            </w: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800" w:type="dxa"/>
            <w:vAlign w:val="bottom"/>
            <w:gridSpan w:val="2"/>
          </w:tcPr>
          <w:p>
            <w:pPr>
              <w:jc w:val="right"/>
              <w:ind w:right="852"/>
              <w:spacing w:after="0"/>
              <w:rPr>
                <w:sz w:val="20"/>
                <w:szCs w:val="20"/>
                <w:color w:val="auto"/>
              </w:rPr>
            </w:pPr>
            <w:r>
              <w:rPr>
                <w:rFonts w:ascii="Courier New" w:cs="Courier New" w:eastAsia="Courier New" w:hAnsi="Courier New"/>
                <w:sz w:val="18"/>
                <w:szCs w:val="18"/>
                <w:color w:val="auto"/>
              </w:rPr>
              <w:t>(Address of Principal Executive Offices)</w:t>
            </w:r>
          </w:p>
        </w:tc>
        <w:tc>
          <w:tcPr>
            <w:tcW w:w="2420" w:type="dxa"/>
            <w:vAlign w:val="bottom"/>
          </w:tcPr>
          <w:p>
            <w:pPr>
              <w:ind w:left="940"/>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r>
        <w:trPr>
          <w:trHeight w:val="546"/>
        </w:trPr>
        <w:tc>
          <w:tcPr>
            <w:tcW w:w="3320" w:type="dxa"/>
            <w:vAlign w:val="bottom"/>
          </w:tcPr>
          <w:p>
            <w:pPr>
              <w:spacing w:after="0"/>
              <w:rPr>
                <w:sz w:val="24"/>
                <w:szCs w:val="24"/>
                <w:color w:val="auto"/>
              </w:rPr>
            </w:pPr>
          </w:p>
        </w:tc>
        <w:tc>
          <w:tcPr>
            <w:tcW w:w="24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(702) 733-4444</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3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On July 7, 2003, the Registrant issued a press release, filed herewith as Exhibit 99.1 and by this reference incorporated herein, announcing that it had consummated a private offering of convertible subordinated debentures due 2015.</w:t>
      </w:r>
    </w:p>
    <w:p>
      <w:pPr>
        <w:spacing w:after="0" w:line="82" w:lineRule="exact"/>
        <w:rPr>
          <w:sz w:val="24"/>
          <w:szCs w:val="24"/>
          <w:color w:val="auto"/>
        </w:rPr>
      </w:pPr>
    </w:p>
    <w:p>
      <w:pPr>
        <w:ind w:right="1999" w:firstLine="948"/>
        <w:spacing w:after="0" w:line="250" w:lineRule="auto"/>
        <w:rPr>
          <w:sz w:val="20"/>
          <w:szCs w:val="20"/>
          <w:color w:val="auto"/>
        </w:rPr>
      </w:pPr>
      <w:r>
        <w:rPr>
          <w:rFonts w:ascii="Courier New" w:cs="Courier New" w:eastAsia="Courier New" w:hAnsi="Courier New"/>
          <w:sz w:val="18"/>
          <w:szCs w:val="18"/>
          <w:color w:val="auto"/>
        </w:rPr>
        <w:t>The offering was made only to qualified institutional buyers in accordance with Rule 144A under the Securities Act of 1933, as amended. The Registrant contributed approximately $35 million of the net proceeds from the offering to a subsidiary, which purchased U.S. government securities to secure the payment of three years of scheduled interest payments as required by the indenture governing the debentures. In addition, such subsidiary guaranteed the debentures and the Registrant guaranteed the subsidiary's obligations under the subsidiary's guarantee. The Registrant intends to use the remaining net proceeds from the offering to help finance its Macau project and for general corporate purposes.</w:t>
      </w:r>
    </w:p>
    <w:p>
      <w:pPr>
        <w:spacing w:after="0" w:line="104" w:lineRule="exact"/>
        <w:rPr>
          <w:sz w:val="24"/>
          <w:szCs w:val="24"/>
          <w:color w:val="auto"/>
        </w:rPr>
      </w:pPr>
    </w:p>
    <w:p>
      <w:pPr>
        <w:ind w:right="2099" w:firstLine="948"/>
        <w:spacing w:after="0" w:line="298" w:lineRule="auto"/>
        <w:rPr>
          <w:sz w:val="20"/>
          <w:szCs w:val="20"/>
          <w:color w:val="auto"/>
        </w:rPr>
      </w:pPr>
      <w:r>
        <w:rPr>
          <w:rFonts w:ascii="Courier New" w:cs="Courier New" w:eastAsia="Courier New" w:hAnsi="Courier New"/>
          <w:sz w:val="16"/>
          <w:szCs w:val="16"/>
          <w:color w:val="auto"/>
        </w:rPr>
        <w:t>The debentures are the Registrant's subordinated unsecured (other than with respect to three years of scheduled interest payments) obligations and rank junior in right of payment to all existing and future senior indebtedness of the Registrant, and equally with any existing and future subordinated indebtedness. The Registrant will pay interest on the debentures on January 15 and July 15 of each year, beginning January 15, 2004.</w:t>
      </w:r>
    </w:p>
    <w:p>
      <w:pPr>
        <w:spacing w:after="0" w:line="68" w:lineRule="exact"/>
        <w:rPr>
          <w:sz w:val="24"/>
          <w:szCs w:val="24"/>
          <w:color w:val="auto"/>
        </w:rPr>
      </w:pPr>
    </w:p>
    <w:p>
      <w:pPr>
        <w:ind w:right="1999" w:firstLine="948"/>
        <w:spacing w:after="0" w:line="265" w:lineRule="auto"/>
        <w:rPr>
          <w:sz w:val="20"/>
          <w:szCs w:val="20"/>
          <w:color w:val="auto"/>
        </w:rPr>
      </w:pPr>
      <w:r>
        <w:rPr>
          <w:rFonts w:ascii="Courier New" w:cs="Courier New" w:eastAsia="Courier New" w:hAnsi="Courier New"/>
          <w:sz w:val="18"/>
          <w:szCs w:val="18"/>
          <w:color w:val="auto"/>
        </w:rPr>
        <w:t>Each $1,000 principal amount of the debentures is convertible at each holder's option into 43.4782 shares of the Registrant's common stock (subject to adjustment as provided in the indenture governing the debentures). The conversion rate of the debentures is equivalent to a conversion price of $23.00 per share of the Registrant's common stock.</w:t>
      </w:r>
    </w:p>
    <w:p>
      <w:pPr>
        <w:spacing w:after="0" w:line="90" w:lineRule="exact"/>
        <w:rPr>
          <w:sz w:val="24"/>
          <w:szCs w:val="24"/>
          <w:color w:val="auto"/>
        </w:rPr>
      </w:pPr>
    </w:p>
    <w:p>
      <w:pPr>
        <w:ind w:right="2199" w:firstLine="948"/>
        <w:spacing w:after="0" w:line="289" w:lineRule="auto"/>
        <w:rPr>
          <w:sz w:val="20"/>
          <w:szCs w:val="20"/>
          <w:color w:val="auto"/>
        </w:rPr>
      </w:pPr>
      <w:r>
        <w:rPr>
          <w:rFonts w:ascii="Courier New" w:cs="Courier New" w:eastAsia="Courier New" w:hAnsi="Courier New"/>
          <w:sz w:val="16"/>
          <w:szCs w:val="16"/>
          <w:color w:val="auto"/>
        </w:rPr>
        <w:t>The Registrant may redeem some or all of the debentures for cash on or after July 20, 2007 at prices specified in the Indenture. The holders</w:t>
      </w:r>
    </w:p>
    <w:p>
      <w:pPr>
        <w:spacing w:after="0" w:line="1" w:lineRule="exact"/>
        <w:rPr>
          <w:sz w:val="24"/>
          <w:szCs w:val="24"/>
          <w:color w:val="auto"/>
        </w:rPr>
      </w:pPr>
    </w:p>
    <w:p>
      <w:pPr>
        <w:ind w:right="1999"/>
        <w:spacing w:after="0" w:line="295" w:lineRule="auto"/>
        <w:rPr>
          <w:sz w:val="20"/>
          <w:szCs w:val="20"/>
          <w:color w:val="auto"/>
        </w:rPr>
      </w:pPr>
      <w:r>
        <w:rPr>
          <w:rFonts w:ascii="Courier New" w:cs="Courier New" w:eastAsia="Courier New" w:hAnsi="Courier New"/>
          <w:sz w:val="16"/>
          <w:szCs w:val="16"/>
          <w:color w:val="auto"/>
        </w:rPr>
        <w:t>may require the Registrant to repurchase all or a portion of their debentures, subject to certain exceptions, upon the occurrence of a change of control of the Registrant. If any holder requires the Registrant to repurchase its debentures, the Registrant may elect to pay the repurchase price in cash or shares of its common stock or a combination of cash and shares of its common</w:t>
      </w:r>
    </w:p>
    <w:p>
      <w:pPr>
        <w:sectPr>
          <w:pgSz w:w="11900" w:h="16960"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stock.</w:t>
      </w:r>
    </w:p>
    <w:p>
      <w:pPr>
        <w:spacing w:after="0" w:line="201" w:lineRule="exact"/>
        <w:rPr>
          <w:sz w:val="20"/>
          <w:szCs w:val="20"/>
          <w:color w:val="auto"/>
        </w:rPr>
      </w:pPr>
    </w:p>
    <w:p>
      <w:pPr>
        <w:ind w:right="1999" w:firstLine="948"/>
        <w:spacing w:after="0" w:line="260" w:lineRule="auto"/>
        <w:rPr>
          <w:sz w:val="20"/>
          <w:szCs w:val="20"/>
          <w:color w:val="auto"/>
        </w:rPr>
      </w:pPr>
      <w:r>
        <w:rPr>
          <w:rFonts w:ascii="Courier New" w:cs="Courier New" w:eastAsia="Courier New" w:hAnsi="Courier New"/>
          <w:sz w:val="18"/>
          <w:szCs w:val="18"/>
          <w:color w:val="auto"/>
        </w:rPr>
        <w:t>The Registrant has agreed to file a shelf registration statement with respect to the resale of the debentures, the guarantees of the debentures and the common stock issuable upon conversion of the debentures and to use commercially reasonable efforts to cause the shelf registration statement to become effective within 250 days after the original issuance of the debentures.</w:t>
      </w:r>
    </w:p>
    <w:p>
      <w:pPr>
        <w:spacing w:after="0" w:line="29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(c) Exhibits:</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54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5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4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5460" w:type="dxa"/>
            <w:vAlign w:val="bottom"/>
          </w:tcPr>
          <w:p>
            <w:pPr>
              <w:ind w:left="100"/>
              <w:spacing w:after="0"/>
              <w:rPr>
                <w:sz w:val="20"/>
                <w:szCs w:val="20"/>
                <w:color w:val="auto"/>
              </w:rPr>
            </w:pPr>
            <w:r>
              <w:rPr>
                <w:rFonts w:ascii="Courier New" w:cs="Courier New" w:eastAsia="Courier New" w:hAnsi="Courier New"/>
                <w:sz w:val="18"/>
                <w:szCs w:val="18"/>
                <w:color w:val="auto"/>
                <w:w w:val="96"/>
              </w:rPr>
              <w:t>Press Release, dated July 7, 2003, by Wynn Resorts,</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8"/>
                <w:szCs w:val="18"/>
                <w:color w:val="auto"/>
              </w:rPr>
              <w:t>Limited.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099" w:firstLine="948"/>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6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7, 2003</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John Strzemp</w:t>
      </w:r>
    </w:p>
    <w:p>
      <w:pPr>
        <w:spacing w:after="0" w:line="2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John Strzemp</w:t>
      </w:r>
    </w:p>
    <w:p>
      <w:pPr>
        <w:ind w:left="4740"/>
        <w:spacing w:after="0"/>
        <w:rPr>
          <w:sz w:val="20"/>
          <w:szCs w:val="20"/>
          <w:color w:val="auto"/>
        </w:rPr>
      </w:pPr>
      <w:r>
        <w:rPr>
          <w:rFonts w:ascii="Courier New" w:cs="Courier New" w:eastAsia="Courier New" w:hAnsi="Courier New"/>
          <w:sz w:val="18"/>
          <w:szCs w:val="18"/>
          <w:color w:val="auto"/>
        </w:rPr>
        <w:t>Executive Vice President and</w:t>
      </w:r>
    </w:p>
    <w:p>
      <w:pPr>
        <w:ind w:left="474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120" w:type="dxa"/>
        <w:tblCellMar>
          <w:top w:w="0" w:type="dxa"/>
          <w:left w:w="0" w:type="dxa"/>
          <w:bottom w:w="0" w:type="dxa"/>
          <w:right w:w="0" w:type="dxa"/>
        </w:tblCellMar>
      </w:tblPr>
      <w:tr>
        <w:trPr>
          <w:trHeight w:val="296"/>
        </w:trPr>
        <w:tc>
          <w:tcPr>
            <w:tcW w:w="1260" w:type="dxa"/>
            <w:vAlign w:val="bottom"/>
          </w:tcPr>
          <w:p>
            <w:pPr>
              <w:spacing w:after="0"/>
              <w:rPr>
                <w:sz w:val="24"/>
                <w:szCs w:val="24"/>
                <w:color w:val="auto"/>
              </w:rPr>
            </w:pPr>
          </w:p>
        </w:tc>
        <w:tc>
          <w:tcPr>
            <w:tcW w:w="6840" w:type="dxa"/>
            <w:vAlign w:val="bottom"/>
          </w:tcPr>
          <w:p>
            <w:pPr>
              <w:ind w:left="2100"/>
              <w:spacing w:after="0"/>
              <w:rPr>
                <w:sz w:val="20"/>
                <w:szCs w:val="20"/>
                <w:color w:val="auto"/>
              </w:rPr>
            </w:pPr>
            <w:r>
              <w:rPr>
                <w:rFonts w:ascii="Courier New" w:cs="Courier New" w:eastAsia="Courier New" w:hAnsi="Courier New"/>
                <w:sz w:val="18"/>
                <w:szCs w:val="18"/>
                <w:color w:val="auto"/>
              </w:rPr>
              <w:t>EXHIBIT INDEX</w:t>
            </w:r>
          </w:p>
        </w:tc>
        <w:tc>
          <w:tcPr>
            <w:tcW w:w="0" w:type="dxa"/>
            <w:vAlign w:val="bottom"/>
          </w:tcPr>
          <w:p>
            <w:pPr>
              <w:spacing w:after="0"/>
              <w:rPr>
                <w:sz w:val="1"/>
                <w:szCs w:val="1"/>
                <w:color w:val="auto"/>
              </w:rPr>
            </w:pPr>
          </w:p>
        </w:tc>
      </w:tr>
      <w:tr>
        <w:trPr>
          <w:trHeight w:val="311"/>
        </w:trPr>
        <w:tc>
          <w:tcPr>
            <w:tcW w:w="12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684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6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6840" w:type="dxa"/>
            <w:vAlign w:val="bottom"/>
          </w:tcPr>
          <w:p>
            <w:pPr>
              <w:ind w:left="5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12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99.1</w:t>
            </w:r>
          </w:p>
        </w:tc>
        <w:tc>
          <w:tcPr>
            <w:tcW w:w="6840" w:type="dxa"/>
            <w:vAlign w:val="bottom"/>
          </w:tcPr>
          <w:p>
            <w:pPr>
              <w:ind w:left="520"/>
              <w:spacing w:after="0"/>
              <w:rPr>
                <w:sz w:val="20"/>
                <w:szCs w:val="20"/>
                <w:color w:val="auto"/>
              </w:rPr>
            </w:pPr>
            <w:r>
              <w:rPr>
                <w:rFonts w:ascii="Courier New" w:cs="Courier New" w:eastAsia="Courier New" w:hAnsi="Courier New"/>
                <w:sz w:val="18"/>
                <w:szCs w:val="18"/>
                <w:color w:val="auto"/>
                <w:w w:val="97"/>
              </w:rPr>
              <w:t>Press Release, dated July 7, 2003, by Wynn Resorts, Limited.</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1440" w:gutter="0" w:footer="0" w:header="0"/>
        </w:sectPr>
      </w:pPr>
    </w:p>
    <w:bookmarkStart w:id="2" w:name="page3"/>
    <w:bookmarkEnd w:id="2"/>
    <w:p>
      <w:pPr>
        <w:jc w:val="right"/>
        <w:ind w:right="199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WYNN RESORTS, LIMITED ANNOUNCES CLOSING OF PRIVATE</w:t>
      </w:r>
    </w:p>
    <w:p>
      <w:pPr>
        <w:spacing w:after="0" w:line="3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OFFERING OF CONVERTIBLE DEBENTURES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LAS VEGAS, NV, July 7, 2003...................................................</w:t>
      </w:r>
    </w:p>
    <w:p>
      <w:pPr>
        <w:spacing w:after="0" w:line="53" w:lineRule="exact"/>
        <w:rPr>
          <w:sz w:val="20"/>
          <w:szCs w:val="20"/>
          <w:color w:val="auto"/>
        </w:rPr>
      </w:pPr>
    </w:p>
    <w:p>
      <w:pPr>
        <w:ind w:right="2419"/>
        <w:spacing w:after="0" w:line="273" w:lineRule="auto"/>
        <w:rPr>
          <w:sz w:val="20"/>
          <w:szCs w:val="20"/>
          <w:color w:val="auto"/>
        </w:rPr>
      </w:pPr>
      <w:r>
        <w:rPr>
          <w:rFonts w:ascii="Courier New" w:cs="Courier New" w:eastAsia="Courier New" w:hAnsi="Courier New"/>
          <w:sz w:val="18"/>
          <w:szCs w:val="18"/>
          <w:color w:val="auto"/>
        </w:rPr>
        <w:t>Wynn Resorts, Limited (NASDAQ: WYNN) today announced that it has sold $200 million aggregate principal amount of its 6% Convertible Subordinated Debentures due 2015 in a private placement transaction.</w:t>
      </w:r>
    </w:p>
    <w:p>
      <w:pPr>
        <w:spacing w:after="0" w:line="82" w:lineRule="exact"/>
        <w:rPr>
          <w:sz w:val="20"/>
          <w:szCs w:val="20"/>
          <w:color w:val="auto"/>
        </w:rPr>
      </w:pPr>
    </w:p>
    <w:p>
      <w:pPr>
        <w:ind w:right="2099"/>
        <w:spacing w:after="0" w:line="281" w:lineRule="auto"/>
        <w:rPr>
          <w:sz w:val="20"/>
          <w:szCs w:val="20"/>
          <w:color w:val="auto"/>
        </w:rPr>
      </w:pPr>
      <w:r>
        <w:rPr>
          <w:rFonts w:ascii="Courier New" w:cs="Courier New" w:eastAsia="Courier New" w:hAnsi="Courier New"/>
          <w:sz w:val="16"/>
          <w:szCs w:val="16"/>
          <w:color w:val="auto"/>
        </w:rPr>
        <w:t>The offering was made only to qualified institutional buyers in accordance with Rule 144A under the Securities Act of 1933. Wynn Resorts contributed approximately $35 million of the net proceeds from the offering to a subsidiary, which purchased U.S. government securities to secure the payment of three years of scheduled interest payments as required by the indenture governing the debentures. Wynn Resorts intends to use the remaining net proceeds from the offering to help finance its Macau project and for general corporate purposes. The debentures are convertible into shares of Wynn Resorts' common stock at a conversion price of $23.00 per share, and holders of the debentures are entitled to certain registration rights with respect to the debentures and the common stock issuable upon conversion of the debentures. Holders of the debentures can also require Wynn Resorts to repurchase the debentures upon the occurrence of a change of control.</w:t>
      </w:r>
    </w:p>
    <w:p>
      <w:pPr>
        <w:spacing w:after="0" w:line="290" w:lineRule="exact"/>
        <w:rPr>
          <w:sz w:val="20"/>
          <w:szCs w:val="20"/>
          <w:color w:val="auto"/>
        </w:rPr>
      </w:pPr>
    </w:p>
    <w:p>
      <w:pPr>
        <w:ind w:right="1999"/>
        <w:spacing w:after="0" w:line="289" w:lineRule="auto"/>
        <w:rPr>
          <w:sz w:val="20"/>
          <w:szCs w:val="20"/>
          <w:color w:val="auto"/>
        </w:rPr>
      </w:pPr>
      <w:r>
        <w:rPr>
          <w:rFonts w:ascii="Courier New" w:cs="Courier New" w:eastAsia="Courier New" w:hAnsi="Courier New"/>
          <w:sz w:val="16"/>
          <w:szCs w:val="16"/>
          <w:color w:val="auto"/>
        </w:rPr>
        <w:t>The securities have not been registered under the Securities Act of 1933 or any state securities laws and unless so registered may not be offered or sold in the United States except pursuant to an exemption from, or in a transaction not subject to, the registration requirements of the Securities Act of 1933 and applicable state securities laws. This announcement does not constitute an offer to sell or the solicitation of offers to buy any security and shall not constitute an offer, solicitation or sale of any security in any jurisdiction in which such offer, solicitation or sale would be unlawful.</w:t>
      </w:r>
    </w:p>
    <w:p>
      <w:pPr>
        <w:spacing w:after="0" w:line="77" w:lineRule="exact"/>
        <w:rPr>
          <w:sz w:val="20"/>
          <w:szCs w:val="20"/>
          <w:color w:val="auto"/>
        </w:rPr>
      </w:pPr>
    </w:p>
    <w:p>
      <w:pPr>
        <w:ind w:right="1999"/>
        <w:spacing w:after="0" w:line="293"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federal securities laws. The forward-looking statements in this press release involve risks and uncertainties which could cause actual results to differ from those expressed in or implied by the statements herein. Additional information concerning potential factors that could affect the company's future results is included under the caption "Risk Factors" in Item 1 of Wynn Resorts' annual report on Form 10-K for the year ended December 31, 2002.</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Samanta Hegedus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VP Investor Relations</w:t>
      </w:r>
    </w:p>
    <w:p>
      <w:pPr>
        <w:spacing w:after="0" w:line="238" w:lineRule="auto"/>
        <w:rPr>
          <w:sz w:val="20"/>
          <w:szCs w:val="20"/>
          <w:color w:val="auto"/>
        </w:rPr>
      </w:pPr>
      <w:r>
        <w:rPr>
          <w:rFonts w:ascii="Courier New" w:cs="Courier New" w:eastAsia="Courier New" w:hAnsi="Courier New"/>
          <w:sz w:val="18"/>
          <w:szCs w:val="18"/>
          <w:color w:val="auto"/>
        </w:rPr>
        <w:t>Phone #: 702/733-4520</w:t>
      </w:r>
    </w:p>
    <w:p>
      <w:pPr>
        <w:spacing w:after="0"/>
        <w:rPr>
          <w:sz w:val="20"/>
          <w:szCs w:val="20"/>
          <w:color w:val="auto"/>
        </w:rPr>
      </w:pPr>
      <w:r>
        <w:rPr>
          <w:rFonts w:ascii="Courier New" w:cs="Courier New" w:eastAsia="Courier New" w:hAnsi="Courier New"/>
          <w:sz w:val="18"/>
          <w:szCs w:val="18"/>
          <w:color w:val="auto"/>
        </w:rPr>
        <w:t>investorrelations@wynnresorts.com</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2019-12-15T07:17:16Z</dcterms:created>
  <dcterms:modified xsi:type="dcterms:W3CDTF">2019-12-15T07:17:16Z</dcterms:modified>
</cp:coreProperties>
</file>