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RONALD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85,376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45.8611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323,655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7,615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May 6, 2005 and is intended to comply with Rule 10b5-1 of the Securities and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Marc H. Rubinstein, 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behalf of Ronald J. Kramer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97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2019-12-24T01:04:48Z</dcterms:created>
  <dcterms:modified xsi:type="dcterms:W3CDTF">2019-12-24T01:04:48Z</dcterms:modified>
</cp:coreProperties>
</file>