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October 7, 2009</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860" w:type="dxa"/>
        <w:tblCellMar>
          <w:top w:w="0" w:type="dxa"/>
          <w:left w:w="0" w:type="dxa"/>
          <w:bottom w:w="0" w:type="dxa"/>
          <w:right w:w="0" w:type="dxa"/>
        </w:tblCellMar>
      </w:tblPr>
      <w:tr>
        <w:trPr>
          <w:trHeight w:val="236"/>
        </w:trPr>
        <w:tc>
          <w:tcPr>
            <w:tcW w:w="2520" w:type="dxa"/>
            <w:vAlign w:val="bottom"/>
          </w:tcPr>
          <w:p>
            <w:pPr>
              <w:jc w:val="center"/>
              <w:ind w:right="141"/>
              <w:spacing w:after="0"/>
              <w:rPr>
                <w:sz w:val="20"/>
                <w:szCs w:val="20"/>
                <w:color w:val="auto"/>
              </w:rPr>
            </w:pPr>
            <w:r>
              <w:rPr>
                <w:rFonts w:ascii="Arial" w:cs="Arial" w:eastAsia="Arial" w:hAnsi="Arial"/>
                <w:sz w:val="20"/>
                <w:szCs w:val="20"/>
                <w:b w:val="1"/>
                <w:bCs w:val="1"/>
                <w:color w:val="auto"/>
                <w:w w:val="89"/>
              </w:rPr>
              <w:t>Nevada</w:t>
            </w:r>
          </w:p>
        </w:tc>
        <w:tc>
          <w:tcPr>
            <w:tcW w:w="4520" w:type="dxa"/>
            <w:vAlign w:val="bottom"/>
          </w:tcPr>
          <w:p>
            <w:pPr>
              <w:jc w:val="right"/>
              <w:ind w:right="1661"/>
              <w:spacing w:after="0"/>
              <w:rPr>
                <w:sz w:val="20"/>
                <w:szCs w:val="20"/>
                <w:color w:val="auto"/>
              </w:rPr>
            </w:pPr>
            <w:r>
              <w:rPr>
                <w:rFonts w:ascii="Arial" w:cs="Arial" w:eastAsia="Arial" w:hAnsi="Arial"/>
                <w:sz w:val="20"/>
                <w:szCs w:val="20"/>
                <w:b w:val="1"/>
                <w:bCs w:val="1"/>
                <w:color w:val="auto"/>
              </w:rPr>
              <w:t>000-50028</w:t>
            </w:r>
          </w:p>
        </w:tc>
        <w:tc>
          <w:tcPr>
            <w:tcW w:w="2960" w:type="dxa"/>
            <w:vAlign w:val="bottom"/>
          </w:tcPr>
          <w:p>
            <w:pPr>
              <w:jc w:val="center"/>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2520" w:type="dxa"/>
            <w:vAlign w:val="bottom"/>
          </w:tcPr>
          <w:p>
            <w:pPr>
              <w:jc w:val="center"/>
              <w:ind w:right="121"/>
              <w:spacing w:after="0"/>
              <w:rPr>
                <w:sz w:val="20"/>
                <w:szCs w:val="20"/>
                <w:color w:val="auto"/>
              </w:rPr>
            </w:pPr>
            <w:r>
              <w:rPr>
                <w:rFonts w:ascii="Arial" w:cs="Arial" w:eastAsia="Arial" w:hAnsi="Arial"/>
                <w:sz w:val="20"/>
                <w:szCs w:val="20"/>
                <w:color w:val="auto"/>
                <w:w w:val="91"/>
              </w:rPr>
              <w:t>(State or other jurisdiction of</w:t>
            </w:r>
          </w:p>
        </w:tc>
        <w:tc>
          <w:tcPr>
            <w:tcW w:w="4520" w:type="dxa"/>
            <w:vAlign w:val="bottom"/>
          </w:tcPr>
          <w:p>
            <w:pPr>
              <w:jc w:val="center"/>
              <w:ind w:left="61"/>
              <w:spacing w:after="0"/>
              <w:rPr>
                <w:sz w:val="20"/>
                <w:szCs w:val="20"/>
                <w:color w:val="auto"/>
              </w:rPr>
            </w:pPr>
            <w:r>
              <w:rPr>
                <w:rFonts w:ascii="Arial" w:cs="Arial" w:eastAsia="Arial" w:hAnsi="Arial"/>
                <w:sz w:val="20"/>
                <w:szCs w:val="20"/>
                <w:color w:val="auto"/>
                <w:w w:val="92"/>
              </w:rPr>
              <w:t>(Commission File Number)</w:t>
            </w:r>
          </w:p>
        </w:tc>
        <w:tc>
          <w:tcPr>
            <w:tcW w:w="2960" w:type="dxa"/>
            <w:vAlign w:val="bottom"/>
          </w:tcPr>
          <w:p>
            <w:pPr>
              <w:jc w:val="center"/>
              <w:ind w:left="1"/>
              <w:spacing w:after="0"/>
              <w:rPr>
                <w:sz w:val="20"/>
                <w:szCs w:val="20"/>
                <w:color w:val="auto"/>
              </w:rPr>
            </w:pPr>
            <w:r>
              <w:rPr>
                <w:rFonts w:ascii="Arial" w:cs="Arial" w:eastAsia="Arial" w:hAnsi="Arial"/>
                <w:sz w:val="20"/>
                <w:szCs w:val="20"/>
                <w:color w:val="auto"/>
                <w:w w:val="92"/>
              </w:rPr>
              <w:t>(I.R.S. Employer Identification No.)</w:t>
            </w:r>
          </w:p>
        </w:tc>
      </w:tr>
      <w:tr>
        <w:trPr>
          <w:trHeight w:val="250"/>
        </w:trPr>
        <w:tc>
          <w:tcPr>
            <w:tcW w:w="2520" w:type="dxa"/>
            <w:vAlign w:val="bottom"/>
          </w:tcPr>
          <w:p>
            <w:pPr>
              <w:jc w:val="center"/>
              <w:ind w:right="121"/>
              <w:spacing w:after="0"/>
              <w:rPr>
                <w:sz w:val="20"/>
                <w:szCs w:val="20"/>
                <w:color w:val="auto"/>
              </w:rPr>
            </w:pPr>
            <w:r>
              <w:rPr>
                <w:rFonts w:ascii="Arial" w:cs="Arial" w:eastAsia="Arial" w:hAnsi="Arial"/>
                <w:sz w:val="20"/>
                <w:szCs w:val="20"/>
                <w:color w:val="auto"/>
                <w:w w:val="93"/>
              </w:rPr>
              <w:t>incorporation)</w:t>
            </w:r>
          </w:p>
        </w:tc>
        <w:tc>
          <w:tcPr>
            <w:tcW w:w="452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452"/>
        </w:trPr>
        <w:tc>
          <w:tcPr>
            <w:tcW w:w="2520" w:type="dxa"/>
            <w:vAlign w:val="bottom"/>
          </w:tcPr>
          <w:p>
            <w:pPr>
              <w:spacing w:after="0"/>
              <w:rPr>
                <w:sz w:val="24"/>
                <w:szCs w:val="24"/>
                <w:color w:val="auto"/>
              </w:rPr>
            </w:pPr>
          </w:p>
        </w:tc>
        <w:tc>
          <w:tcPr>
            <w:tcW w:w="4520" w:type="dxa"/>
            <w:vAlign w:val="bottom"/>
          </w:tcPr>
          <w:p>
            <w:pPr>
              <w:jc w:val="center"/>
              <w:ind w:left="41"/>
              <w:spacing w:after="0"/>
              <w:rPr>
                <w:sz w:val="20"/>
                <w:szCs w:val="20"/>
                <w:color w:val="auto"/>
              </w:rPr>
            </w:pPr>
            <w:r>
              <w:rPr>
                <w:rFonts w:ascii="Arial" w:cs="Arial" w:eastAsia="Arial" w:hAnsi="Arial"/>
                <w:sz w:val="20"/>
                <w:szCs w:val="20"/>
                <w:b w:val="1"/>
                <w:bCs w:val="1"/>
                <w:color w:val="auto"/>
                <w:w w:val="99"/>
              </w:rPr>
              <w:t>WYNN LAS VEGAS, LLC</w:t>
            </w:r>
          </w:p>
        </w:tc>
        <w:tc>
          <w:tcPr>
            <w:tcW w:w="2960" w:type="dxa"/>
            <w:vAlign w:val="bottom"/>
          </w:tcPr>
          <w:p>
            <w:pPr>
              <w:spacing w:after="0"/>
              <w:rPr>
                <w:sz w:val="24"/>
                <w:szCs w:val="24"/>
                <w:color w:val="auto"/>
              </w:rPr>
            </w:pPr>
          </w:p>
        </w:tc>
      </w:tr>
      <w:tr>
        <w:trPr>
          <w:trHeight w:val="250"/>
        </w:trPr>
        <w:tc>
          <w:tcPr>
            <w:tcW w:w="2520" w:type="dxa"/>
            <w:vAlign w:val="bottom"/>
          </w:tcPr>
          <w:p>
            <w:pPr>
              <w:spacing w:after="0"/>
              <w:rPr>
                <w:sz w:val="21"/>
                <w:szCs w:val="21"/>
                <w:color w:val="auto"/>
              </w:rPr>
            </w:pPr>
          </w:p>
        </w:tc>
        <w:tc>
          <w:tcPr>
            <w:tcW w:w="4520" w:type="dxa"/>
            <w:vAlign w:val="bottom"/>
          </w:tcPr>
          <w:p>
            <w:pPr>
              <w:jc w:val="center"/>
              <w:ind w:left="41"/>
              <w:spacing w:after="0"/>
              <w:rPr>
                <w:sz w:val="20"/>
                <w:szCs w:val="20"/>
                <w:color w:val="auto"/>
              </w:rPr>
            </w:pPr>
            <w:r>
              <w:rPr>
                <w:rFonts w:ascii="Arial" w:cs="Arial" w:eastAsia="Arial" w:hAnsi="Arial"/>
                <w:sz w:val="20"/>
                <w:szCs w:val="20"/>
                <w:color w:val="auto"/>
                <w:w w:val="89"/>
              </w:rPr>
              <w:t>(Exact name of registrant as specified in its charter)</w:t>
            </w:r>
          </w:p>
        </w:tc>
        <w:tc>
          <w:tcPr>
            <w:tcW w:w="2960" w:type="dxa"/>
            <w:vAlign w:val="bottom"/>
          </w:tcPr>
          <w:p>
            <w:pPr>
              <w:spacing w:after="0"/>
              <w:rPr>
                <w:sz w:val="21"/>
                <w:szCs w:val="21"/>
                <w:color w:val="auto"/>
              </w:rPr>
            </w:pPr>
          </w:p>
        </w:tc>
      </w:tr>
      <w:tr>
        <w:trPr>
          <w:trHeight w:val="452"/>
        </w:trPr>
        <w:tc>
          <w:tcPr>
            <w:tcW w:w="2520" w:type="dxa"/>
            <w:vAlign w:val="bottom"/>
          </w:tcPr>
          <w:p>
            <w:pPr>
              <w:jc w:val="center"/>
              <w:ind w:right="141"/>
              <w:spacing w:after="0"/>
              <w:rPr>
                <w:sz w:val="20"/>
                <w:szCs w:val="20"/>
                <w:color w:val="auto"/>
              </w:rPr>
            </w:pPr>
            <w:r>
              <w:rPr>
                <w:rFonts w:ascii="Arial" w:cs="Arial" w:eastAsia="Arial" w:hAnsi="Arial"/>
                <w:sz w:val="20"/>
                <w:szCs w:val="20"/>
                <w:b w:val="1"/>
                <w:bCs w:val="1"/>
                <w:color w:val="auto"/>
                <w:w w:val="89"/>
              </w:rPr>
              <w:t>Nevada</w:t>
            </w:r>
          </w:p>
        </w:tc>
        <w:tc>
          <w:tcPr>
            <w:tcW w:w="4520" w:type="dxa"/>
            <w:vAlign w:val="bottom"/>
          </w:tcPr>
          <w:p>
            <w:pPr>
              <w:jc w:val="right"/>
              <w:ind w:right="1601"/>
              <w:spacing w:after="0"/>
              <w:rPr>
                <w:sz w:val="20"/>
                <w:szCs w:val="20"/>
                <w:color w:val="auto"/>
              </w:rPr>
            </w:pPr>
            <w:r>
              <w:rPr>
                <w:rFonts w:ascii="Arial" w:cs="Arial" w:eastAsia="Arial" w:hAnsi="Arial"/>
                <w:sz w:val="20"/>
                <w:szCs w:val="20"/>
                <w:b w:val="1"/>
                <w:bCs w:val="1"/>
                <w:color w:val="auto"/>
              </w:rPr>
              <w:t>333-100768</w:t>
            </w:r>
          </w:p>
        </w:tc>
        <w:tc>
          <w:tcPr>
            <w:tcW w:w="2960" w:type="dxa"/>
            <w:vAlign w:val="bottom"/>
          </w:tcPr>
          <w:p>
            <w:pPr>
              <w:jc w:val="center"/>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2520" w:type="dxa"/>
            <w:vAlign w:val="bottom"/>
          </w:tcPr>
          <w:p>
            <w:pPr>
              <w:jc w:val="center"/>
              <w:ind w:right="121"/>
              <w:spacing w:after="0"/>
              <w:rPr>
                <w:sz w:val="20"/>
                <w:szCs w:val="20"/>
                <w:color w:val="auto"/>
              </w:rPr>
            </w:pPr>
            <w:r>
              <w:rPr>
                <w:rFonts w:ascii="Arial" w:cs="Arial" w:eastAsia="Arial" w:hAnsi="Arial"/>
                <w:sz w:val="20"/>
                <w:szCs w:val="20"/>
                <w:color w:val="auto"/>
                <w:w w:val="91"/>
              </w:rPr>
              <w:t>(State or other jurisdiction of</w:t>
            </w:r>
          </w:p>
        </w:tc>
        <w:tc>
          <w:tcPr>
            <w:tcW w:w="4520" w:type="dxa"/>
            <w:vAlign w:val="bottom"/>
          </w:tcPr>
          <w:p>
            <w:pPr>
              <w:jc w:val="center"/>
              <w:ind w:left="61"/>
              <w:spacing w:after="0"/>
              <w:rPr>
                <w:sz w:val="20"/>
                <w:szCs w:val="20"/>
                <w:color w:val="auto"/>
              </w:rPr>
            </w:pPr>
            <w:r>
              <w:rPr>
                <w:rFonts w:ascii="Arial" w:cs="Arial" w:eastAsia="Arial" w:hAnsi="Arial"/>
                <w:sz w:val="20"/>
                <w:szCs w:val="20"/>
                <w:color w:val="auto"/>
                <w:w w:val="92"/>
              </w:rPr>
              <w:t>(Commission File Number)</w:t>
            </w:r>
          </w:p>
        </w:tc>
        <w:tc>
          <w:tcPr>
            <w:tcW w:w="2960" w:type="dxa"/>
            <w:vAlign w:val="bottom"/>
          </w:tcPr>
          <w:p>
            <w:pPr>
              <w:jc w:val="center"/>
              <w:ind w:left="1"/>
              <w:spacing w:after="0"/>
              <w:rPr>
                <w:sz w:val="20"/>
                <w:szCs w:val="20"/>
                <w:color w:val="auto"/>
              </w:rPr>
            </w:pPr>
            <w:r>
              <w:rPr>
                <w:rFonts w:ascii="Arial" w:cs="Arial" w:eastAsia="Arial" w:hAnsi="Arial"/>
                <w:sz w:val="20"/>
                <w:szCs w:val="20"/>
                <w:color w:val="auto"/>
                <w:w w:val="92"/>
              </w:rPr>
              <w:t>(I.R.S. Employer Identification No.)</w:t>
            </w:r>
          </w:p>
        </w:tc>
      </w:tr>
      <w:tr>
        <w:trPr>
          <w:trHeight w:val="250"/>
        </w:trPr>
        <w:tc>
          <w:tcPr>
            <w:tcW w:w="2520" w:type="dxa"/>
            <w:vAlign w:val="bottom"/>
          </w:tcPr>
          <w:p>
            <w:pPr>
              <w:jc w:val="center"/>
              <w:ind w:right="121"/>
              <w:spacing w:after="0"/>
              <w:rPr>
                <w:sz w:val="20"/>
                <w:szCs w:val="20"/>
                <w:color w:val="auto"/>
              </w:rPr>
            </w:pPr>
            <w:r>
              <w:rPr>
                <w:rFonts w:ascii="Arial" w:cs="Arial" w:eastAsia="Arial" w:hAnsi="Arial"/>
                <w:sz w:val="20"/>
                <w:szCs w:val="20"/>
                <w:color w:val="auto"/>
                <w:w w:val="93"/>
              </w:rPr>
              <w:t>incorporation)</w:t>
            </w:r>
          </w:p>
        </w:tc>
        <w:tc>
          <w:tcPr>
            <w:tcW w:w="452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446"/>
        </w:trPr>
        <w:tc>
          <w:tcPr>
            <w:tcW w:w="7040" w:type="dxa"/>
            <w:vAlign w:val="bottom"/>
            <w:gridSpan w:val="2"/>
          </w:tcPr>
          <w:p>
            <w:pPr>
              <w:jc w:val="center"/>
              <w:ind w:right="1221"/>
              <w:spacing w:after="0"/>
              <w:rPr>
                <w:sz w:val="20"/>
                <w:szCs w:val="20"/>
                <w:color w:val="auto"/>
              </w:rPr>
            </w:pPr>
            <w:r>
              <w:rPr>
                <w:rFonts w:ascii="Arial" w:cs="Arial" w:eastAsia="Arial" w:hAnsi="Arial"/>
                <w:sz w:val="20"/>
                <w:szCs w:val="20"/>
                <w:b w:val="1"/>
                <w:bCs w:val="1"/>
                <w:color w:val="auto"/>
                <w:w w:val="87"/>
              </w:rPr>
              <w:t>3131 Las Vegas Boulevard South</w:t>
            </w:r>
          </w:p>
        </w:tc>
        <w:tc>
          <w:tcPr>
            <w:tcW w:w="2960" w:type="dxa"/>
            <w:vAlign w:val="bottom"/>
          </w:tcPr>
          <w:p>
            <w:pPr>
              <w:spacing w:after="0"/>
              <w:rPr>
                <w:sz w:val="24"/>
                <w:szCs w:val="24"/>
                <w:color w:val="auto"/>
              </w:rPr>
            </w:pPr>
          </w:p>
        </w:tc>
      </w:tr>
      <w:tr>
        <w:trPr>
          <w:trHeight w:val="236"/>
        </w:trPr>
        <w:tc>
          <w:tcPr>
            <w:tcW w:w="7040" w:type="dxa"/>
            <w:vAlign w:val="bottom"/>
            <w:gridSpan w:val="2"/>
          </w:tcPr>
          <w:p>
            <w:pPr>
              <w:jc w:val="center"/>
              <w:ind w:right="1201"/>
              <w:spacing w:after="0"/>
              <w:rPr>
                <w:sz w:val="20"/>
                <w:szCs w:val="20"/>
                <w:color w:val="auto"/>
              </w:rPr>
            </w:pPr>
            <w:r>
              <w:rPr>
                <w:rFonts w:ascii="Arial" w:cs="Arial" w:eastAsia="Arial" w:hAnsi="Arial"/>
                <w:sz w:val="20"/>
                <w:szCs w:val="20"/>
                <w:b w:val="1"/>
                <w:bCs w:val="1"/>
                <w:color w:val="auto"/>
                <w:w w:val="87"/>
              </w:rPr>
              <w:t>Las Vegas, Nevada</w:t>
            </w:r>
          </w:p>
        </w:tc>
        <w:tc>
          <w:tcPr>
            <w:tcW w:w="2960" w:type="dxa"/>
            <w:vAlign w:val="bottom"/>
          </w:tcPr>
          <w:p>
            <w:pPr>
              <w:jc w:val="center"/>
              <w:ind w:left="1"/>
              <w:spacing w:after="0"/>
              <w:rPr>
                <w:sz w:val="20"/>
                <w:szCs w:val="20"/>
                <w:color w:val="auto"/>
              </w:rPr>
            </w:pPr>
            <w:r>
              <w:rPr>
                <w:rFonts w:ascii="Arial" w:cs="Arial" w:eastAsia="Arial" w:hAnsi="Arial"/>
                <w:sz w:val="20"/>
                <w:szCs w:val="20"/>
                <w:b w:val="1"/>
                <w:bCs w:val="1"/>
                <w:color w:val="auto"/>
                <w:w w:val="89"/>
              </w:rPr>
              <w:t>89109</w:t>
            </w:r>
          </w:p>
        </w:tc>
      </w:tr>
      <w:tr>
        <w:trPr>
          <w:trHeight w:val="250"/>
        </w:trPr>
        <w:tc>
          <w:tcPr>
            <w:tcW w:w="7040" w:type="dxa"/>
            <w:vAlign w:val="bottom"/>
            <w:gridSpan w:val="2"/>
          </w:tcPr>
          <w:p>
            <w:pPr>
              <w:jc w:val="center"/>
              <w:ind w:right="122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2960" w:type="dxa"/>
            <w:vAlign w:val="bottom"/>
          </w:tcPr>
          <w:p>
            <w:pPr>
              <w:jc w:val="center"/>
              <w:ind w:left="1"/>
              <w:spacing w:after="0"/>
              <w:rPr>
                <w:sz w:val="20"/>
                <w:szCs w:val="20"/>
                <w:color w:val="auto"/>
              </w:rPr>
            </w:pPr>
            <w:r>
              <w:rPr>
                <w:rFonts w:ascii="Arial" w:cs="Arial" w:eastAsia="Arial" w:hAnsi="Arial"/>
                <w:sz w:val="20"/>
                <w:szCs w:val="20"/>
                <w:color w:val="auto"/>
                <w:w w:val="90"/>
              </w:rPr>
              <w:t>(Zip Code)</w:t>
            </w:r>
          </w:p>
        </w:tc>
      </w:tr>
      <w:tr>
        <w:trPr>
          <w:trHeight w:val="452"/>
        </w:trPr>
        <w:tc>
          <w:tcPr>
            <w:tcW w:w="2520" w:type="dxa"/>
            <w:vAlign w:val="bottom"/>
          </w:tcPr>
          <w:p>
            <w:pPr>
              <w:spacing w:after="0"/>
              <w:rPr>
                <w:sz w:val="24"/>
                <w:szCs w:val="24"/>
                <w:color w:val="auto"/>
              </w:rPr>
            </w:pPr>
          </w:p>
        </w:tc>
        <w:tc>
          <w:tcPr>
            <w:tcW w:w="4520" w:type="dxa"/>
            <w:vAlign w:val="bottom"/>
          </w:tcPr>
          <w:p>
            <w:pPr>
              <w:jc w:val="right"/>
              <w:ind w:right="1461"/>
              <w:spacing w:after="0"/>
              <w:rPr>
                <w:sz w:val="20"/>
                <w:szCs w:val="20"/>
                <w:color w:val="auto"/>
              </w:rPr>
            </w:pPr>
            <w:r>
              <w:rPr>
                <w:rFonts w:ascii="Arial" w:cs="Arial" w:eastAsia="Arial" w:hAnsi="Arial"/>
                <w:sz w:val="20"/>
                <w:szCs w:val="20"/>
                <w:b w:val="1"/>
                <w:bCs w:val="1"/>
                <w:color w:val="auto"/>
              </w:rPr>
              <w:t>(702) 770-7555</w:t>
            </w:r>
          </w:p>
        </w:tc>
        <w:tc>
          <w:tcPr>
            <w:tcW w:w="2960" w:type="dxa"/>
            <w:vAlign w:val="bottom"/>
          </w:tcPr>
          <w:p>
            <w:pPr>
              <w:spacing w:after="0"/>
              <w:rPr>
                <w:sz w:val="24"/>
                <w:szCs w:val="24"/>
                <w:color w:val="auto"/>
              </w:rPr>
            </w:pPr>
          </w:p>
        </w:tc>
      </w:tr>
      <w:tr>
        <w:trPr>
          <w:trHeight w:val="250"/>
        </w:trPr>
        <w:tc>
          <w:tcPr>
            <w:tcW w:w="2520" w:type="dxa"/>
            <w:vAlign w:val="bottom"/>
          </w:tcPr>
          <w:p>
            <w:pPr>
              <w:spacing w:after="0"/>
              <w:rPr>
                <w:sz w:val="21"/>
                <w:szCs w:val="21"/>
                <w:color w:val="auto"/>
              </w:rPr>
            </w:pPr>
          </w:p>
        </w:tc>
        <w:tc>
          <w:tcPr>
            <w:tcW w:w="4520" w:type="dxa"/>
            <w:vAlign w:val="bottom"/>
          </w:tcPr>
          <w:p>
            <w:pPr>
              <w:jc w:val="center"/>
              <w:ind w:left="41"/>
              <w:spacing w:after="0"/>
              <w:rPr>
                <w:sz w:val="20"/>
                <w:szCs w:val="20"/>
                <w:color w:val="auto"/>
              </w:rPr>
            </w:pPr>
            <w:r>
              <w:rPr>
                <w:rFonts w:ascii="Arial" w:cs="Arial" w:eastAsia="Arial" w:hAnsi="Arial"/>
                <w:sz w:val="20"/>
                <w:szCs w:val="20"/>
                <w:color w:val="auto"/>
                <w:w w:val="88"/>
              </w:rPr>
              <w:t>(Registrant’s telephone number, including area code)</w:t>
            </w:r>
          </w:p>
        </w:tc>
        <w:tc>
          <w:tcPr>
            <w:tcW w:w="296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rFonts w:ascii="MS PGothic" w:cs="MS PGothic" w:eastAsia="MS PGothic" w:hAnsi="MS PGothic"/>
          <w:sz w:val="20"/>
          <w:szCs w:val="20"/>
          <w:color w:val="auto"/>
        </w:rPr>
      </w:pPr>
    </w:p>
    <w:p>
      <w:pPr>
        <w:ind w:left="420" w:hanging="412"/>
        <w:spacing w:after="0"/>
        <w:tabs>
          <w:tab w:leader="none" w:pos="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420" w:hanging="412"/>
        <w:spacing w:after="0"/>
        <w:tabs>
          <w:tab w:leader="none" w:pos="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420" w:hanging="412"/>
        <w:spacing w:after="0"/>
        <w:tabs>
          <w:tab w:leader="none" w:pos="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On October 9, 2009, Wynn Resorts, Limited (“Wynn Resorts”) issued a press release announcing the pricing by Wynn Las Vegas, LLC (“Wynn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Las Vegas”) and Wynn Las Vegas Capital Corp. (the “issuers”), each a direct or indirect wholly owned subsidiary of Wynn Resorts,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$500,000,000 aggregate principal amount of new 7.875% First Mortgage Notes due 2017. The press release is attached as Exhibit 99.1 and is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incorporated herein by this reference.</w:t>
      </w:r>
    </w:p>
    <w:p>
      <w:pPr>
        <w:spacing w:after="0" w:line="227"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In addition, Wynn Las Vegas previously had exercised the “accordion” feature under its Amended and Restated Credit Agreement, dated as of August 15, 2006 (as amended, the “Credit Agreement”), among Wynn Las Vegas,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w:t>
      </w:r>
    </w:p>
    <w:p>
      <w:pPr>
        <w:spacing w:after="0" w:line="19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accordion exercise increased by $65 million the lenders’ commitments under the Credit Agreement to make revolving loans maturing July 15, 2013.</w:t>
      </w:r>
    </w:p>
    <w:p>
      <w:pPr>
        <w:spacing w:after="0" w:line="204"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On October 8, 2009, Wynn Las Vegas repurchased $14 million aggregate principal of loans under the Credit Agreement (the “First Repurchase”) and effected a corresponding reduction in the commitments thereunder. The First Repurchase was funded with the proceeds of a capital contribution by Wynn Resorts. In addition, on October 7, 2009, Wynn Las Vegas agreed to repurchase approximately $74 million aggregate principal of loans under the Credit Agreement (the “Pending Repurchase” and, together with the First Repurchase, the “Repurchase Transactions”), and to effect a corresponding reduction in the commitments thereunder, which Pending Repurchase will be funded with the proceeds of a capital contribution by Wynn Resorts. Once the Pending Repurchase is consummated, Wynn Las Vegas will, pursuant to the Repurchase Transactions, have repurchased approximately $88 million aggregate principal amount of loans.</w:t>
      </w:r>
    </w:p>
    <w:p>
      <w:pPr>
        <w:spacing w:after="0" w:line="200" w:lineRule="exact"/>
        <w:rPr>
          <w:sz w:val="20"/>
          <w:szCs w:val="20"/>
          <w:color w:val="auto"/>
        </w:rPr>
      </w:pPr>
    </w:p>
    <w:p>
      <w:pPr>
        <w:spacing w:after="0" w:line="233"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78" w:lineRule="exact"/>
        <w:rPr>
          <w:sz w:val="20"/>
          <w:szCs w:val="20"/>
          <w:color w:val="auto"/>
        </w:rPr>
      </w:pPr>
    </w:p>
    <w:p>
      <w:pPr>
        <w:ind w:left="1440" w:hanging="582"/>
        <w:spacing w:after="0"/>
        <w:tabs>
          <w:tab w:leader="none" w:pos="1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ind w:left="1800"/>
        <w:spacing w:after="0"/>
        <w:tabs>
          <w:tab w:leader="none" w:pos="3120" w:val="left"/>
        </w:tabs>
        <w:rPr>
          <w:sz w:val="20"/>
          <w:szCs w:val="20"/>
          <w:color w:val="auto"/>
        </w:rPr>
      </w:pPr>
      <w:r>
        <w:rPr>
          <w:rFonts w:ascii="Arial" w:cs="Arial" w:eastAsia="Arial" w:hAnsi="Arial"/>
          <w:sz w:val="20"/>
          <w:szCs w:val="20"/>
          <w:u w:val="single" w:color="auto"/>
          <w:color w:val="auto"/>
        </w:rPr>
        <w:t>Number</w:t>
      </w:r>
      <w:r>
        <w:rPr>
          <w:sz w:val="20"/>
          <w:szCs w:val="20"/>
          <w:color w:val="auto"/>
        </w:rPr>
        <w:tab/>
      </w:r>
      <w:r>
        <w:rPr>
          <w:rFonts w:ascii="Arial" w:cs="Arial" w:eastAsia="Arial" w:hAnsi="Arial"/>
          <w:sz w:val="20"/>
          <w:szCs w:val="20"/>
          <w:u w:val="single" w:color="auto"/>
          <w:color w:val="auto"/>
        </w:rPr>
        <w:t>Description</w:t>
      </w:r>
    </w:p>
    <w:p>
      <w:pPr>
        <w:spacing w:after="0" w:line="200" w:lineRule="exact"/>
        <w:rPr>
          <w:sz w:val="20"/>
          <w:szCs w:val="20"/>
          <w:color w:val="auto"/>
        </w:rPr>
      </w:pPr>
    </w:p>
    <w:p>
      <w:pPr>
        <w:ind w:left="1940"/>
        <w:spacing w:after="0"/>
        <w:tabs>
          <w:tab w:leader="none" w:pos="312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October 9,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540385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3"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October 9, 2009</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10160</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Chief Financial Officer and</w:t>
      </w:r>
    </w:p>
    <w:p>
      <w:pPr>
        <w:ind w:left="72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October 9, 2009</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tbl>
      <w:tblPr>
        <w:tblLayout w:type="fixed"/>
        <w:tblInd w:w="6660" w:type="dxa"/>
        <w:tblCellMar>
          <w:top w:w="0" w:type="dxa"/>
          <w:left w:w="0" w:type="dxa"/>
          <w:bottom w:w="0" w:type="dxa"/>
          <w:right w:w="0" w:type="dxa"/>
        </w:tblCellMar>
      </w:tblP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tcPr>
          <w:p>
            <w:pPr>
              <w:spacing w:after="0"/>
              <w:rPr>
                <w:sz w:val="20"/>
                <w:szCs w:val="20"/>
                <w:color w:val="auto"/>
              </w:rPr>
            </w:pPr>
            <w:r>
              <w:rPr>
                <w:rFonts w:ascii="Arial" w:cs="Arial" w:eastAsia="Arial" w:hAnsi="Arial"/>
                <w:sz w:val="20"/>
                <w:szCs w:val="20"/>
                <w:color w:val="auto"/>
              </w:rPr>
              <w:t>Wynn Resorts Holdings, LLC, its sole member</w:t>
            </w:r>
          </w:p>
        </w:tc>
      </w:tr>
      <w:tr>
        <w:trPr>
          <w:trHeight w:val="446"/>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tcPr>
          <w:p>
            <w:pPr>
              <w:spacing w:after="0"/>
              <w:rPr>
                <w:sz w:val="20"/>
                <w:szCs w:val="20"/>
                <w:color w:val="auto"/>
              </w:rPr>
            </w:pPr>
            <w:r>
              <w:rPr>
                <w:rFonts w:ascii="Arial" w:cs="Arial" w:eastAsia="Arial" w:hAnsi="Arial"/>
                <w:sz w:val="20"/>
                <w:szCs w:val="20"/>
                <w:color w:val="auto"/>
              </w:rPr>
              <w:t>Wynn Resorts, Limited, its sole member</w:t>
            </w:r>
          </w:p>
        </w:tc>
      </w:tr>
      <w:tr>
        <w:trPr>
          <w:trHeight w:val="442"/>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206"/>
        </w:trPr>
        <w:tc>
          <w:tcPr>
            <w:tcW w:w="620" w:type="dxa"/>
            <w:vAlign w:val="bottom"/>
          </w:tcPr>
          <w:p>
            <w:pPr>
              <w:spacing w:after="0"/>
              <w:rPr>
                <w:sz w:val="17"/>
                <w:szCs w:val="17"/>
                <w:color w:val="auto"/>
              </w:rPr>
            </w:pPr>
          </w:p>
        </w:tc>
        <w:tc>
          <w:tcPr>
            <w:tcW w:w="4140" w:type="dxa"/>
            <w:vAlign w:val="bottom"/>
          </w:tcPr>
          <w:p>
            <w:pPr>
              <w:spacing w:after="0" w:line="207" w:lineRule="exact"/>
              <w:rPr>
                <w:sz w:val="20"/>
                <w:szCs w:val="20"/>
                <w:color w:val="auto"/>
              </w:rPr>
            </w:pPr>
            <w:r>
              <w:rPr>
                <w:rFonts w:ascii="Arial" w:cs="Arial" w:eastAsia="Arial" w:hAnsi="Arial"/>
                <w:sz w:val="20"/>
                <w:szCs w:val="20"/>
                <w:color w:val="auto"/>
              </w:rPr>
              <w:t>Matt Maddox</w:t>
            </w:r>
          </w:p>
        </w:tc>
      </w:tr>
      <w:tr>
        <w:trPr>
          <w:trHeight w:val="230"/>
        </w:trPr>
        <w:tc>
          <w:tcPr>
            <w:tcW w:w="6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Chief Financial Officer and</w:t>
            </w:r>
          </w:p>
        </w:tc>
      </w:tr>
      <w:tr>
        <w:trPr>
          <w:trHeight w:val="250"/>
        </w:trPr>
        <w:tc>
          <w:tcPr>
            <w:tcW w:w="6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Treasurer</w:t>
            </w:r>
          </w:p>
        </w:tc>
      </w:tr>
    </w:tbl>
    <w:p>
      <w:pPr>
        <w:sectPr>
          <w:pgSz w:w="11900" w:h="16838" w:orient="portrait"/>
          <w:cols w:equalWidth="0" w:num="1">
            <w:col w:w="11420"/>
          </w:cols>
          <w:pgMar w:left="240" w:top="59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center"/>
        <w:ind w:left="260" w:right="60"/>
        <w:spacing w:after="0" w:line="267" w:lineRule="auto"/>
        <w:rPr>
          <w:sz w:val="20"/>
          <w:szCs w:val="20"/>
          <w:color w:val="auto"/>
        </w:rPr>
      </w:pPr>
      <w:r>
        <w:rPr>
          <w:rFonts w:ascii="Arial" w:cs="Arial" w:eastAsia="Arial" w:hAnsi="Arial"/>
          <w:sz w:val="20"/>
          <w:szCs w:val="20"/>
          <w:b w:val="1"/>
          <w:bCs w:val="1"/>
          <w:color w:val="auto"/>
        </w:rPr>
        <w:t>Wynn Resorts, Limited Announces Pricing of Private Offering of $500,000,000 Aggregate Principal Amount of Wynn Las Vegas First Mortgage Notes due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LAS VEGAS, Nevada, October 9, 2009 </w:t>
      </w:r>
      <w:r>
        <w:rPr>
          <w:rFonts w:ascii="Arial" w:cs="Arial" w:eastAsia="Arial" w:hAnsi="Arial"/>
          <w:sz w:val="18"/>
          <w:szCs w:val="18"/>
          <w:color w:val="auto"/>
        </w:rPr>
        <w:t>— Wynn Resorts, Limited (NASDAQ: WYNN) announced today the pricing by Wynn Las Vegas,</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LLC and Wynn Las Vegas Capital Corp. (the “issuers”), each a direct or indirect wholly owned subsidiary of Wynn Resorts, Limited,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$500,000,000 aggregate principal amount of new 7.875% First Mortgage Notes due 2017. The notes will be issued at a discount of 97.823% of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par. The notes will be offered only to qualified institutional buyers and outside the U.S. in accordance with Rule 144A and Regulation 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respectively, under the Securities Act of 1933. Wynn Las Vegas, LLC plans to use the net proceeds of the offering to repay amounts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outstanding under its revolving credit facilities and term loan facility.</w:t>
      </w:r>
    </w:p>
    <w:p>
      <w:pPr>
        <w:spacing w:after="0" w:line="22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The notes will rank pari passu in right of payment with borrowings under Wynn Las Vegas, LLC’s credit facilities and its outstanding 6.625% First Mortgage Notes due 2014 (the “existing notes”). The notes will be senior secured obligations of the issuers, will be guaranteed by certain of Wynn Las Vegas, LLC’s subsidiaries and will be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and the existing notes.</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9"/>
          <w:szCs w:val="19"/>
          <w:color w:val="auto"/>
        </w:rPr>
        <w:t>The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publicly traded notes that have substantially identical terms as the notes.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This release contains forward-looking statements about Wynn Las Vegas and Wynn Las Vegas Capital Corp., including those related to the offering of notes and whether or not Wynn Las Vegas and Wynn Las Vegas Capital Corp. will consummate the offering. Such forward-looking information involves important risks and uncertainties that could significantly affect anticipated results in the future and, accordingly, such results may differ from those expressed in any forward-looking statements made by Wynn Resorts or the issuers. The risks and uncertainties include, but are not limited to, competition in the casino/hotel and resorts industries, the issuers’ brief operating history,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the issuers’ Annual Report on Form 10-K for the year ended December 31, 2008 and the issuers’ other periodic reports filed with the Securities and Exchange Commission. Neither Wynn Resorts nor the issuers are under any obligation to (and expressly disclaim any such obligation to) update their forward-looking statements as a result of new information, future events or otherwise.</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2019-12-10T22:21:17Z</dcterms:created>
  <dcterms:modified xsi:type="dcterms:W3CDTF">2019-12-10T22:21:17Z</dcterms:modified>
</cp:coreProperties>
</file>