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jc w:val="center"/>
        <w:ind w:right="-1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jc w:val="center"/>
        <w:ind w:right="-119"/>
        <w:spacing w:after="0" w:line="233" w:lineRule="auto"/>
        <w:rPr>
          <w:sz w:val="20"/>
          <w:szCs w:val="20"/>
          <w:color w:val="auto"/>
        </w:rPr>
      </w:pPr>
      <w:r>
        <w:rPr>
          <w:rFonts w:ascii="Arial" w:cs="Arial" w:eastAsia="Arial" w:hAnsi="Arial"/>
          <w:sz w:val="20"/>
          <w:szCs w:val="20"/>
          <w:b w:val="1"/>
          <w:bCs w:val="1"/>
          <w:color w:val="auto"/>
        </w:rPr>
        <w:t>Pursuant to Section 13 or 15(d) of</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February 24, 2011</w:t>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172"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Nevada</w:t>
            </w: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0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2340" w:type="dxa"/>
            <w:vAlign w:val="bottom"/>
          </w:tcPr>
          <w:p>
            <w:pPr>
              <w:jc w:val="center"/>
              <w:ind w:right="81"/>
              <w:spacing w:after="0" w:line="216" w:lineRule="exact"/>
              <w:rPr>
                <w:sz w:val="20"/>
                <w:szCs w:val="20"/>
                <w:color w:val="auto"/>
              </w:rPr>
            </w:pPr>
            <w:r>
              <w:rPr>
                <w:rFonts w:ascii="Arial" w:cs="Arial" w:eastAsia="Arial" w:hAnsi="Arial"/>
                <w:sz w:val="20"/>
                <w:szCs w:val="20"/>
                <w:color w:val="auto"/>
                <w:w w:val="90"/>
              </w:rPr>
              <w:t>(State or Other Jurisdiction</w:t>
            </w:r>
          </w:p>
        </w:tc>
        <w:tc>
          <w:tcPr>
            <w:tcW w:w="5320" w:type="dxa"/>
            <w:vAlign w:val="bottom"/>
          </w:tcPr>
          <w:p>
            <w:pPr>
              <w:jc w:val="center"/>
              <w:spacing w:after="0" w:line="216" w:lineRule="exact"/>
              <w:rPr>
                <w:sz w:val="20"/>
                <w:szCs w:val="20"/>
                <w:color w:val="auto"/>
              </w:rPr>
            </w:pPr>
            <w:r>
              <w:rPr>
                <w:rFonts w:ascii="Arial" w:cs="Arial" w:eastAsia="Arial" w:hAnsi="Arial"/>
                <w:sz w:val="20"/>
                <w:szCs w:val="20"/>
                <w:color w:val="auto"/>
                <w:w w:val="91"/>
              </w:rPr>
              <w:t>(Commission File</w:t>
            </w:r>
          </w:p>
        </w:tc>
        <w:tc>
          <w:tcPr>
            <w:tcW w:w="2100" w:type="dxa"/>
            <w:vAlign w:val="bottom"/>
          </w:tcPr>
          <w:p>
            <w:pPr>
              <w:jc w:val="center"/>
              <w:ind w:left="161"/>
              <w:spacing w:after="0" w:line="216" w:lineRule="exact"/>
              <w:rPr>
                <w:sz w:val="20"/>
                <w:szCs w:val="20"/>
                <w:color w:val="auto"/>
              </w:rPr>
            </w:pPr>
            <w:r>
              <w:rPr>
                <w:rFonts w:ascii="Arial" w:cs="Arial" w:eastAsia="Arial" w:hAnsi="Arial"/>
                <w:sz w:val="20"/>
                <w:szCs w:val="20"/>
                <w:color w:val="auto"/>
                <w:w w:val="92"/>
              </w:rPr>
              <w:t>(I.R.S. Employer</w:t>
            </w:r>
          </w:p>
        </w:tc>
      </w:tr>
      <w:tr>
        <w:trPr>
          <w:trHeight w:val="250"/>
        </w:trPr>
        <w:tc>
          <w:tcPr>
            <w:tcW w:w="2340" w:type="dxa"/>
            <w:vAlign w:val="bottom"/>
          </w:tcPr>
          <w:p>
            <w:pPr>
              <w:jc w:val="center"/>
              <w:ind w:right="81"/>
              <w:spacing w:after="0"/>
              <w:rPr>
                <w:sz w:val="20"/>
                <w:szCs w:val="20"/>
                <w:color w:val="auto"/>
              </w:rPr>
            </w:pPr>
            <w:r>
              <w:rPr>
                <w:rFonts w:ascii="Arial" w:cs="Arial" w:eastAsia="Arial" w:hAnsi="Arial"/>
                <w:sz w:val="20"/>
                <w:szCs w:val="20"/>
                <w:color w:val="auto"/>
                <w:w w:val="93"/>
              </w:rPr>
              <w:t>of Incorporation)</w:t>
            </w:r>
          </w:p>
        </w:tc>
        <w:tc>
          <w:tcPr>
            <w:tcW w:w="532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100" w:type="dxa"/>
            <w:vAlign w:val="bottom"/>
          </w:tcPr>
          <w:p>
            <w:pPr>
              <w:jc w:val="center"/>
              <w:ind w:left="161"/>
              <w:spacing w:after="0"/>
              <w:rPr>
                <w:sz w:val="20"/>
                <w:szCs w:val="20"/>
                <w:color w:val="auto"/>
              </w:rPr>
            </w:pPr>
            <w:r>
              <w:rPr>
                <w:rFonts w:ascii="Arial" w:cs="Arial" w:eastAsia="Arial" w:hAnsi="Arial"/>
                <w:sz w:val="20"/>
                <w:szCs w:val="20"/>
                <w:color w:val="auto"/>
                <w:w w:val="94"/>
              </w:rPr>
              <w:t>Identification Number)</w:t>
            </w:r>
          </w:p>
        </w:tc>
      </w:tr>
      <w:tr>
        <w:trPr>
          <w:trHeight w:val="60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7"/>
              </w:rPr>
              <w:t>3131 Las Vegas Boulevard South</w:t>
            </w:r>
          </w:p>
        </w:tc>
        <w:tc>
          <w:tcPr>
            <w:tcW w:w="2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532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7"/>
              </w:rPr>
              <w:t>Las Vegas, Nevada 89109</w:t>
            </w:r>
          </w:p>
        </w:tc>
        <w:tc>
          <w:tcPr>
            <w:tcW w:w="2100" w:type="dxa"/>
            <w:vAlign w:val="bottom"/>
          </w:tcPr>
          <w:p>
            <w:pPr>
              <w:spacing w:after="0"/>
              <w:rPr>
                <w:sz w:val="19"/>
                <w:szCs w:val="19"/>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91"/>
              </w:rPr>
              <w:t>(Address of principal executive offices) (Zip Code)</w:t>
            </w:r>
          </w:p>
        </w:tc>
        <w:tc>
          <w:tcPr>
            <w:tcW w:w="2100" w:type="dxa"/>
            <w:vAlign w:val="bottom"/>
          </w:tcPr>
          <w:p>
            <w:pPr>
              <w:spacing w:after="0"/>
              <w:rPr>
                <w:sz w:val="21"/>
                <w:szCs w:val="21"/>
                <w:color w:val="auto"/>
              </w:rPr>
            </w:pPr>
          </w:p>
        </w:tc>
      </w:tr>
      <w:tr>
        <w:trPr>
          <w:trHeight w:val="39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90"/>
              </w:rPr>
              <w:t>(702) 770-7555</w:t>
            </w:r>
          </w:p>
        </w:tc>
        <w:tc>
          <w:tcPr>
            <w:tcW w:w="210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88"/>
              </w:rPr>
              <w:t>(Registrant’s telephone number, including area code)</w:t>
            </w:r>
          </w:p>
        </w:tc>
        <w:tc>
          <w:tcPr>
            <w:tcW w:w="2100" w:type="dxa"/>
            <w:vAlign w:val="bottom"/>
          </w:tcPr>
          <w:p>
            <w:pPr>
              <w:spacing w:after="0"/>
              <w:rPr>
                <w:sz w:val="21"/>
                <w:szCs w:val="21"/>
                <w:color w:val="auto"/>
              </w:rPr>
            </w:pPr>
          </w:p>
        </w:tc>
      </w:tr>
      <w:tr>
        <w:trPr>
          <w:trHeight w:val="39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9"/>
              </w:rPr>
              <w:t>Not applicable.</w:t>
            </w:r>
          </w:p>
        </w:tc>
        <w:tc>
          <w:tcPr>
            <w:tcW w:w="210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88"/>
              </w:rPr>
              <w:t>(Former name or former address, if changed since last report)</w:t>
            </w:r>
          </w:p>
        </w:tc>
        <w:tc>
          <w:tcPr>
            <w:tcW w:w="2100" w:type="dxa"/>
            <w:vAlign w:val="bottom"/>
          </w:tcPr>
          <w:p>
            <w:pPr>
              <w:spacing w:after="0"/>
              <w:rPr>
                <w:sz w:val="21"/>
                <w:szCs w:val="21"/>
                <w:color w:val="auto"/>
              </w:rPr>
            </w:pPr>
          </w:p>
        </w:tc>
      </w:tr>
    </w:tbl>
    <w:p>
      <w:pPr>
        <w:spacing w:after="0" w:line="398"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19" w:lineRule="exact"/>
        <w:rPr>
          <w:rFonts w:ascii="Arial" w:cs="Arial" w:eastAsia="Arial" w:hAnsi="Arial"/>
          <w:sz w:val="22"/>
          <w:szCs w:val="22"/>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33" w:lineRule="exact"/>
        <w:rPr>
          <w:rFonts w:ascii="Arial" w:cs="Arial" w:eastAsia="Arial" w:hAnsi="Arial"/>
          <w:sz w:val="22"/>
          <w:szCs w:val="22"/>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22"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On February 24, 2011, Wynn Resorts, Limited (the “Company”) entered into a sixth amendment to the Employment Agreement, dated as of October 4, 2002, as amended, by and between the Company and Stephen A. Wynn, the Company’s Chairman and Chief Executive Officer. The amendment provides for a base salary payable to Mr. Wynn of $4,000,000 per annum effective February 24, 2011. A copy of the amendment is attached hereto as Exhibit 10.1 and is hereby incorporated by reference.</w:t>
      </w:r>
    </w:p>
    <w:p>
      <w:pPr>
        <w:spacing w:after="0" w:line="164" w:lineRule="exact"/>
        <w:rPr>
          <w:sz w:val="20"/>
          <w:szCs w:val="20"/>
          <w:color w:val="auto"/>
        </w:rPr>
      </w:pPr>
    </w:p>
    <w:p>
      <w:pPr>
        <w:ind w:right="106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contained in Item 1.01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260" w:right="540" w:hanging="904"/>
        <w:spacing w:after="0" w:line="251" w:lineRule="auto"/>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Sixth Amendment to Employment Agreement, dated as of February 24, 2011, by and between Wynn Resorts, Limited and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2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28, 2011</w:t>
      </w:r>
    </w:p>
    <w:p>
      <w:pPr>
        <w:spacing w:after="0" w:line="233"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WYNN RESORTS, LIMITED</w:t>
      </w:r>
    </w:p>
    <w:p>
      <w:pPr>
        <w:spacing w:after="0" w:line="206" w:lineRule="exact"/>
        <w:rPr>
          <w:sz w:val="20"/>
          <w:szCs w:val="20"/>
          <w:color w:val="auto"/>
        </w:rPr>
      </w:pPr>
    </w:p>
    <w:p>
      <w:pPr>
        <w:ind w:left="5260"/>
        <w:spacing w:after="0"/>
        <w:tabs>
          <w:tab w:leader="none" w:pos="588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7620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2"/>
          <w:szCs w:val="22"/>
          <w:color w:val="auto"/>
        </w:rPr>
        <w:t>Matt Maddox</w:t>
      </w:r>
    </w:p>
    <w:p>
      <w:pPr>
        <w:ind w:left="584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00"/>
          </w:cols>
          <w:pgMar w:left="240" w:top="50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AMENDMENT TO EMPLOYMENT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Sixth Amendment to Employment Agreement is dated as of February 24, 2011 by and between Stephen A. Wynn (“Employee”) and Wynn Resorts, Limited (“Employer”).</w:t>
      </w:r>
    </w:p>
    <w:p>
      <w:pPr>
        <w:spacing w:after="0" w:line="22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WHEREAS, Employee and Employer have entered into that certain Employment Agreement dated as of October 4, 2002, as amended (the “Employment Agreement”);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WHEREAS, Employee and Employer desire to amend one of the terms of the Employment Agreement.</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NOW THEREFORE, for good and valuable consideration the receipt of which is hereby acknowledged, the parties hereto agree as follows:</w:t>
      </w:r>
    </w:p>
    <w:p>
      <w:pPr>
        <w:spacing w:after="0" w:line="202" w:lineRule="exact"/>
        <w:rPr>
          <w:sz w:val="20"/>
          <w:szCs w:val="20"/>
          <w:color w:val="auto"/>
        </w:rPr>
      </w:pPr>
    </w:p>
    <w:p>
      <w:pPr>
        <w:ind w:left="1040" w:hanging="451"/>
        <w:spacing w:after="0" w:line="261"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Amendment to Base Salary. Effective February 24, 2011, the term “</w:t>
      </w:r>
      <w:r>
        <w:rPr>
          <w:rFonts w:ascii="Arial" w:cs="Arial" w:eastAsia="Arial" w:hAnsi="Arial"/>
          <w:sz w:val="22"/>
          <w:szCs w:val="22"/>
          <w:b w:val="1"/>
          <w:bCs w:val="1"/>
          <w:color w:val="auto"/>
        </w:rPr>
        <w:t>Base Salary</w:t>
      </w:r>
      <w:r>
        <w:rPr>
          <w:rFonts w:ascii="Arial" w:cs="Arial" w:eastAsia="Arial" w:hAnsi="Arial"/>
          <w:sz w:val="22"/>
          <w:szCs w:val="22"/>
          <w:color w:val="auto"/>
        </w:rPr>
        <w:t>” shall mean $4,000,000 per annum.</w:t>
      </w:r>
    </w:p>
    <w:p>
      <w:pPr>
        <w:spacing w:after="0" w:line="205" w:lineRule="exact"/>
        <w:rPr>
          <w:rFonts w:ascii="Arial" w:cs="Arial" w:eastAsia="Arial" w:hAnsi="Arial"/>
          <w:sz w:val="22"/>
          <w:szCs w:val="22"/>
          <w:color w:val="auto"/>
        </w:rPr>
      </w:pPr>
    </w:p>
    <w:p>
      <w:pPr>
        <w:jc w:val="both"/>
        <w:ind w:left="1040" w:hanging="451"/>
        <w:spacing w:after="0" w:line="235"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Other Provisions of Agreement. The parties acknowledge that the Employment Agreement is being modified only as stated herein, and agree that nothing else in the Employment Agreement shall be affected by this Amendment.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caused this Amendment to be executed as of the date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Marc Schorr</w:t>
            </w:r>
          </w:p>
        </w:tc>
        <w:tc>
          <w:tcPr>
            <w:tcW w:w="2900" w:type="dxa"/>
            <w:vAlign w:val="bottom"/>
          </w:tcPr>
          <w:p>
            <w:pPr>
              <w:spacing w:after="0"/>
              <w:rPr>
                <w:sz w:val="21"/>
                <w:szCs w:val="21"/>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Stephen A. Wynn</w:t>
            </w:r>
          </w:p>
        </w:tc>
      </w:tr>
      <w:tr>
        <w:trPr>
          <w:trHeight w:val="257"/>
        </w:trPr>
        <w:tc>
          <w:tcPr>
            <w:tcW w:w="2800" w:type="dxa"/>
            <w:vAlign w:val="bottom"/>
          </w:tcPr>
          <w:p>
            <w:pPr>
              <w:spacing w:after="0"/>
              <w:rPr>
                <w:sz w:val="20"/>
                <w:szCs w:val="20"/>
                <w:color w:val="auto"/>
              </w:rPr>
            </w:pPr>
            <w:r>
              <w:rPr>
                <w:rFonts w:ascii="Arial" w:cs="Arial" w:eastAsia="Arial" w:hAnsi="Arial"/>
                <w:sz w:val="22"/>
                <w:szCs w:val="22"/>
                <w:color w:val="auto"/>
              </w:rPr>
              <w:t>Marc Schorr</w:t>
            </w:r>
          </w:p>
        </w:tc>
        <w:tc>
          <w:tcPr>
            <w:tcW w:w="6080" w:type="dxa"/>
            <w:vAlign w:val="bottom"/>
            <w:gridSpan w:val="2"/>
          </w:tcPr>
          <w:p>
            <w:pPr>
              <w:ind w:left="2900"/>
              <w:spacing w:after="0"/>
              <w:rPr>
                <w:sz w:val="20"/>
                <w:szCs w:val="20"/>
                <w:color w:val="auto"/>
              </w:rPr>
            </w:pPr>
            <w:r>
              <w:rPr>
                <w:rFonts w:ascii="Arial" w:cs="Arial" w:eastAsia="Arial" w:hAnsi="Arial"/>
                <w:sz w:val="22"/>
                <w:szCs w:val="22"/>
                <w:color w:val="auto"/>
              </w:rPr>
              <w:t>Stephen A. Wynn</w:t>
            </w:r>
          </w:p>
        </w:tc>
      </w:tr>
      <w:tr>
        <w:trPr>
          <w:trHeight w:val="260"/>
        </w:trPr>
        <w:tc>
          <w:tcPr>
            <w:tcW w:w="2800" w:type="dxa"/>
            <w:vAlign w:val="bottom"/>
          </w:tcPr>
          <w:p>
            <w:pPr>
              <w:spacing w:after="0"/>
              <w:rPr>
                <w:sz w:val="20"/>
                <w:szCs w:val="20"/>
                <w:color w:val="auto"/>
              </w:rPr>
            </w:pPr>
            <w:r>
              <w:rPr>
                <w:rFonts w:ascii="Arial" w:cs="Arial" w:eastAsia="Arial" w:hAnsi="Arial"/>
                <w:sz w:val="22"/>
                <w:szCs w:val="22"/>
                <w:color w:val="auto"/>
              </w:rPr>
              <w:t>Chief Operating Officer</w:t>
            </w:r>
          </w:p>
        </w:tc>
        <w:tc>
          <w:tcPr>
            <w:tcW w:w="2900" w:type="dxa"/>
            <w:vAlign w:val="bottom"/>
          </w:tcPr>
          <w:p>
            <w:pPr>
              <w:spacing w:after="0"/>
              <w:rPr>
                <w:sz w:val="22"/>
                <w:szCs w:val="22"/>
                <w:color w:val="auto"/>
              </w:rPr>
            </w:pPr>
          </w:p>
        </w:tc>
        <w:tc>
          <w:tcPr>
            <w:tcW w:w="318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1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2019-12-10T22:05:16Z</dcterms:created>
  <dcterms:modified xsi:type="dcterms:W3CDTF">2019-12-10T22:05:16Z</dcterms:modified>
</cp:coreProperties>
</file>