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5"/>
          <w:szCs w:val="15"/>
          <w:b w:val="1"/>
          <w:bCs w:val="1"/>
          <w:color w:val="auto"/>
        </w:rPr>
        <w:t>UNITED STATES</w:t>
      </w:r>
    </w:p>
    <w:p>
      <w:pPr>
        <w:spacing w:after="0" w:line="15"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SECURITIES AND EXCHANGE COMMISSION</w:t>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Washington, D.C. 20549</w:t>
      </w:r>
    </w:p>
    <w:p>
      <w:pPr>
        <w:spacing w:after="0" w:line="167"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SCHEDULE 14A</w:t>
      </w:r>
    </w:p>
    <w:p>
      <w:pPr>
        <w:spacing w:after="0" w:line="199" w:lineRule="exact"/>
        <w:rPr>
          <w:sz w:val="24"/>
          <w:szCs w:val="24"/>
          <w:color w:val="auto"/>
        </w:rPr>
      </w:pPr>
    </w:p>
    <w:p>
      <w:pPr>
        <w:jc w:val="center"/>
        <w:ind w:right="-99"/>
        <w:spacing w:after="0"/>
        <w:rPr>
          <w:sz w:val="20"/>
          <w:szCs w:val="20"/>
          <w:color w:val="auto"/>
        </w:rPr>
      </w:pPr>
      <w:r>
        <w:rPr>
          <w:rFonts w:ascii="Arial" w:cs="Arial" w:eastAsia="Arial" w:hAnsi="Arial"/>
          <w:sz w:val="15"/>
          <w:szCs w:val="15"/>
          <w:color w:val="auto"/>
        </w:rPr>
        <w:t>Proxy Statement Pursuant to Section 14(a) of</w:t>
      </w:r>
    </w:p>
    <w:p>
      <w:pPr>
        <w:spacing w:after="0" w:line="11" w:lineRule="exact"/>
        <w:rPr>
          <w:sz w:val="24"/>
          <w:szCs w:val="24"/>
          <w:color w:val="auto"/>
        </w:rPr>
      </w:pPr>
    </w:p>
    <w:p>
      <w:pPr>
        <w:jc w:val="center"/>
        <w:ind w:right="-99"/>
        <w:spacing w:after="0"/>
        <w:tabs>
          <w:tab w:leader="none" w:pos="160" w:val="left"/>
        </w:tabs>
        <w:rPr>
          <w:sz w:val="20"/>
          <w:szCs w:val="20"/>
          <w:color w:val="auto"/>
        </w:rPr>
      </w:pPr>
      <w:r>
        <w:rPr>
          <w:rFonts w:ascii="Arial" w:cs="Arial" w:eastAsia="Arial" w:hAnsi="Arial"/>
          <w:sz w:val="14"/>
          <w:szCs w:val="14"/>
          <w:color w:val="auto"/>
        </w:rPr>
        <w:t>the Securities Exchange Act of 1934 (Amendment No.</w:t>
      </w:r>
      <w:r>
        <w:rPr>
          <w:sz w:val="20"/>
          <w:szCs w:val="20"/>
          <w:color w:val="auto"/>
        </w:rPr>
        <w:tab/>
      </w:r>
      <w:r>
        <w:rPr>
          <w:rFonts w:ascii="Arial" w:cs="Arial" w:eastAsia="Arial" w:hAnsi="Arial"/>
          <w:sz w:val="12"/>
          <w:szCs w:val="12"/>
          <w:color w:val="auto"/>
        </w:rPr>
        <w:t>)</w:t>
      </w:r>
    </w:p>
    <w:p>
      <w:pPr>
        <w:spacing w:after="0" w:line="152"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Filed by the Registrant </w:t>
      </w:r>
      <w:r>
        <w:rPr>
          <w:rFonts w:ascii="MS PGothic" w:cs="MS PGothic" w:eastAsia="MS PGothic" w:hAnsi="MS PGothic"/>
          <w:sz w:val="15"/>
          <w:szCs w:val="15"/>
          <w:color w:val="auto"/>
        </w:rPr>
        <w:t>☐</w:t>
      </w:r>
    </w:p>
    <w:p>
      <w:pPr>
        <w:spacing w:after="0" w:line="177"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05"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w:t>
      </w:r>
    </w:p>
    <w:p>
      <w:pPr>
        <w:spacing w:after="0" w:line="9" w:lineRule="exact"/>
        <w:rPr>
          <w:sz w:val="24"/>
          <w:szCs w:val="24"/>
          <w:color w:val="auto"/>
        </w:rPr>
      </w:pPr>
    </w:p>
    <w:p>
      <w:pPr>
        <w:ind w:left="580" w:hanging="573"/>
        <w:spacing w:after="0"/>
        <w:tabs>
          <w:tab w:leader="none" w:pos="5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Preliminary Proxy Statement</w:t>
      </w:r>
    </w:p>
    <w:p>
      <w:pPr>
        <w:spacing w:after="0" w:line="7" w:lineRule="exact"/>
        <w:rPr>
          <w:rFonts w:ascii="MS PGothic" w:cs="MS PGothic" w:eastAsia="MS PGothic" w:hAnsi="MS PGothic"/>
          <w:sz w:val="15"/>
          <w:szCs w:val="15"/>
          <w:color w:val="auto"/>
        </w:rPr>
      </w:pPr>
    </w:p>
    <w:p>
      <w:pPr>
        <w:ind w:left="580" w:hanging="573"/>
        <w:spacing w:after="0"/>
        <w:tabs>
          <w:tab w:leader="none" w:pos="58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Confidential, for Use of the Commission Only (as permitted by Rule 14a-6(e)(2))</w:t>
      </w:r>
    </w:p>
    <w:p>
      <w:pPr>
        <w:spacing w:after="0" w:line="2" w:lineRule="exact"/>
        <w:rPr>
          <w:rFonts w:ascii="MS PGothic" w:cs="MS PGothic" w:eastAsia="MS PGothic" w:hAnsi="MS PGothic"/>
          <w:sz w:val="15"/>
          <w:szCs w:val="15"/>
          <w:color w:val="auto"/>
        </w:rPr>
      </w:pPr>
    </w:p>
    <w:p>
      <w:pPr>
        <w:ind w:left="580" w:hanging="573"/>
        <w:spacing w:after="0" w:line="235" w:lineRule="auto"/>
        <w:tabs>
          <w:tab w:leader="none" w:pos="5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Definitive Proxy Statement</w:t>
      </w:r>
    </w:p>
    <w:p>
      <w:pPr>
        <w:spacing w:after="0" w:line="1" w:lineRule="exact"/>
        <w:rPr>
          <w:sz w:val="24"/>
          <w:szCs w:val="24"/>
          <w:color w:val="auto"/>
        </w:rPr>
      </w:pPr>
    </w:p>
    <w:p>
      <w:pPr>
        <w:ind w:left="580" w:hanging="573"/>
        <w:spacing w:after="0"/>
        <w:tabs>
          <w:tab w:leader="none" w:pos="5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Definitive Additional Materials</w:t>
      </w:r>
    </w:p>
    <w:p>
      <w:pPr>
        <w:spacing w:after="0" w:line="2" w:lineRule="exact"/>
        <w:rPr>
          <w:sz w:val="24"/>
          <w:szCs w:val="24"/>
          <w:color w:val="auto"/>
        </w:rPr>
      </w:pPr>
    </w:p>
    <w:p>
      <w:pPr>
        <w:ind w:left="580" w:hanging="573"/>
        <w:spacing w:after="0"/>
        <w:tabs>
          <w:tab w:leader="none" w:pos="580" w:val="left"/>
        </w:tabs>
        <w:numPr>
          <w:ilvl w:val="0"/>
          <w:numId w:val="3"/>
        </w:numPr>
        <w:rPr>
          <w:rFonts w:ascii="MS PGothic" w:cs="MS PGothic" w:eastAsia="MS PGothic" w:hAnsi="MS PGothic"/>
          <w:sz w:val="15"/>
          <w:szCs w:val="15"/>
          <w:color w:val="auto"/>
        </w:rPr>
      </w:pPr>
      <w:r>
        <w:rPr>
          <w:rFonts w:ascii="Arial" w:cs="Arial" w:eastAsia="Arial" w:hAnsi="Arial"/>
          <w:sz w:val="15"/>
          <w:szCs w:val="15"/>
          <w:color w:val="auto"/>
        </w:rPr>
        <w:t>Soliciting Material under §240.14a-12</w:t>
      </w:r>
    </w:p>
    <w:p>
      <w:pPr>
        <w:spacing w:after="0" w:line="171" w:lineRule="exact"/>
        <w:rPr>
          <w:sz w:val="24"/>
          <w:szCs w:val="24"/>
          <w:color w:val="auto"/>
        </w:rPr>
      </w:pPr>
    </w:p>
    <w:p>
      <w:pPr>
        <w:jc w:val="center"/>
        <w:ind w:right="-99"/>
        <w:spacing w:after="0"/>
        <w:rPr>
          <w:sz w:val="20"/>
          <w:szCs w:val="20"/>
          <w:color w:val="auto"/>
        </w:rPr>
      </w:pPr>
      <w:r>
        <w:rPr>
          <w:rFonts w:ascii="Arial" w:cs="Arial" w:eastAsia="Arial" w:hAnsi="Arial"/>
          <w:sz w:val="15"/>
          <w:szCs w:val="15"/>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727265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655" cy="698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5"/>
          <w:szCs w:val="15"/>
          <w:color w:val="auto"/>
        </w:rPr>
        <w:t>(Name of Registrant as Specified In Its Charter)</w:t>
      </w:r>
    </w:p>
    <w:p>
      <w:pPr>
        <w:spacing w:after="0" w:line="177" w:lineRule="exact"/>
        <w:rPr>
          <w:sz w:val="24"/>
          <w:szCs w:val="24"/>
          <w:color w:val="auto"/>
        </w:rPr>
      </w:pPr>
    </w:p>
    <w:p>
      <w:pPr>
        <w:jc w:val="center"/>
        <w:ind w:right="-99"/>
        <w:spacing w:after="0"/>
        <w:rPr>
          <w:sz w:val="20"/>
          <w:szCs w:val="20"/>
          <w:color w:val="auto"/>
        </w:rPr>
      </w:pPr>
      <w:r>
        <w:rPr>
          <w:rFonts w:ascii="Arial" w:cs="Arial" w:eastAsia="Arial" w:hAnsi="Arial"/>
          <w:sz w:val="15"/>
          <w:szCs w:val="15"/>
          <w:color w:val="auto"/>
        </w:rPr>
        <w:t>Elaine P. Wynn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727265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655" cy="698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5"/>
          <w:szCs w:val="15"/>
          <w:color w:val="auto"/>
        </w:rPr>
        <w:t>(Name of Person(s) Filing Proxy Statement, if other than the Registrant)</w:t>
      </w:r>
    </w:p>
    <w:p>
      <w:pPr>
        <w:spacing w:after="0" w:line="177" w:lineRule="exact"/>
        <w:rPr>
          <w:sz w:val="24"/>
          <w:szCs w:val="24"/>
          <w:color w:val="auto"/>
        </w:rPr>
      </w:pPr>
    </w:p>
    <w:p>
      <w:pPr>
        <w:spacing w:after="0"/>
        <w:rPr>
          <w:sz w:val="20"/>
          <w:szCs w:val="20"/>
          <w:color w:val="auto"/>
        </w:rPr>
      </w:pPr>
      <w:r>
        <w:rPr>
          <w:rFonts w:ascii="Arial" w:cs="Arial" w:eastAsia="Arial" w:hAnsi="Arial"/>
          <w:sz w:val="15"/>
          <w:szCs w:val="15"/>
          <w:color w:val="auto"/>
        </w:rPr>
        <w:t>Payment of Filing Fee (Check the appropriate box):</w:t>
      </w:r>
    </w:p>
    <w:p>
      <w:pPr>
        <w:spacing w:after="0" w:line="9" w:lineRule="exact"/>
        <w:rPr>
          <w:sz w:val="24"/>
          <w:szCs w:val="24"/>
          <w:color w:val="auto"/>
        </w:rPr>
      </w:pPr>
    </w:p>
    <w:p>
      <w:pPr>
        <w:ind w:left="580" w:hanging="573"/>
        <w:spacing w:after="0"/>
        <w:tabs>
          <w:tab w:leader="none" w:pos="580" w:val="left"/>
        </w:tabs>
        <w:numPr>
          <w:ilvl w:val="0"/>
          <w:numId w:val="4"/>
        </w:numPr>
        <w:rPr>
          <w:rFonts w:ascii="MS PGothic" w:cs="MS PGothic" w:eastAsia="MS PGothic" w:hAnsi="MS PGothic"/>
          <w:sz w:val="15"/>
          <w:szCs w:val="15"/>
          <w:color w:val="auto"/>
        </w:rPr>
      </w:pPr>
      <w:r>
        <w:rPr>
          <w:rFonts w:ascii="Arial" w:cs="Arial" w:eastAsia="Arial" w:hAnsi="Arial"/>
          <w:sz w:val="15"/>
          <w:szCs w:val="15"/>
          <w:color w:val="auto"/>
        </w:rPr>
        <w:t>No fee required.</w:t>
      </w:r>
    </w:p>
    <w:p>
      <w:pPr>
        <w:spacing w:after="0" w:line="2" w:lineRule="exact"/>
        <w:rPr>
          <w:sz w:val="24"/>
          <w:szCs w:val="24"/>
          <w:color w:val="auto"/>
        </w:rPr>
      </w:pPr>
    </w:p>
    <w:p>
      <w:pPr>
        <w:ind w:left="580" w:hanging="573"/>
        <w:spacing w:after="0"/>
        <w:tabs>
          <w:tab w:leader="none" w:pos="580" w:val="left"/>
        </w:tabs>
        <w:numPr>
          <w:ilvl w:val="0"/>
          <w:numId w:val="5"/>
        </w:numPr>
        <w:rPr>
          <w:rFonts w:ascii="MS PGothic" w:cs="MS PGothic" w:eastAsia="MS PGothic" w:hAnsi="MS PGothic"/>
          <w:sz w:val="15"/>
          <w:szCs w:val="15"/>
          <w:color w:val="auto"/>
        </w:rPr>
      </w:pPr>
      <w:r>
        <w:rPr>
          <w:rFonts w:ascii="Arial" w:cs="Arial" w:eastAsia="Arial" w:hAnsi="Arial"/>
          <w:sz w:val="15"/>
          <w:szCs w:val="15"/>
          <w:color w:val="auto"/>
        </w:rPr>
        <w:t>Fee computed on table below per Exchange Act Rules 14a-6(i)(1) and 0-11.</w:t>
      </w:r>
    </w:p>
    <w:p>
      <w:pPr>
        <w:spacing w:after="0" w:line="7" w:lineRule="exact"/>
        <w:rPr>
          <w:rFonts w:ascii="MS PGothic" w:cs="MS PGothic" w:eastAsia="MS PGothic" w:hAnsi="MS PGothic"/>
          <w:sz w:val="15"/>
          <w:szCs w:val="15"/>
          <w:color w:val="auto"/>
        </w:rPr>
      </w:pPr>
    </w:p>
    <w:p>
      <w:pPr>
        <w:ind w:left="1100" w:hanging="524"/>
        <w:spacing w:after="0"/>
        <w:tabs>
          <w:tab w:leader="none" w:pos="1100" w:val="left"/>
        </w:tabs>
        <w:numPr>
          <w:ilvl w:val="1"/>
          <w:numId w:val="5"/>
        </w:numPr>
        <w:rPr>
          <w:rFonts w:ascii="Arial" w:cs="Arial" w:eastAsia="Arial" w:hAnsi="Arial"/>
          <w:sz w:val="15"/>
          <w:szCs w:val="15"/>
          <w:color w:val="auto"/>
        </w:rPr>
      </w:pPr>
      <w:r>
        <w:rPr>
          <w:rFonts w:ascii="Arial" w:cs="Arial" w:eastAsia="Arial" w:hAnsi="Arial"/>
          <w:sz w:val="15"/>
          <w:szCs w:val="15"/>
          <w:color w:val="auto"/>
        </w:rPr>
        <w:t>Title of each class of securities to which transaction applies:</w:t>
      </w:r>
    </w:p>
    <w:p>
      <w:pPr>
        <w:spacing w:after="0" w:line="176" w:lineRule="exact"/>
        <w:rPr>
          <w:rFonts w:ascii="Arial" w:cs="Arial" w:eastAsia="Arial" w:hAnsi="Arial"/>
          <w:sz w:val="15"/>
          <w:szCs w:val="15"/>
          <w:color w:val="auto"/>
        </w:rPr>
      </w:pPr>
    </w:p>
    <w:p>
      <w:pPr>
        <w:ind w:left="1100" w:hanging="524"/>
        <w:spacing w:after="0"/>
        <w:tabs>
          <w:tab w:leader="none" w:pos="1100" w:val="left"/>
        </w:tabs>
        <w:numPr>
          <w:ilvl w:val="1"/>
          <w:numId w:val="5"/>
        </w:numPr>
        <w:rPr>
          <w:rFonts w:ascii="Arial" w:cs="Arial" w:eastAsia="Arial" w:hAnsi="Arial"/>
          <w:sz w:val="15"/>
          <w:szCs w:val="15"/>
          <w:color w:val="auto"/>
        </w:rPr>
      </w:pPr>
      <w:r>
        <w:rPr>
          <w:rFonts w:ascii="Arial" w:cs="Arial" w:eastAsia="Arial" w:hAnsi="Arial"/>
          <w:sz w:val="15"/>
          <w:szCs w:val="15"/>
          <w:color w:val="auto"/>
        </w:rPr>
        <w:t>Aggregate number of securities to which transaction applies:</w:t>
      </w:r>
    </w:p>
    <w:p>
      <w:pPr>
        <w:spacing w:after="0" w:line="188" w:lineRule="exact"/>
        <w:rPr>
          <w:rFonts w:ascii="Arial" w:cs="Arial" w:eastAsia="Arial" w:hAnsi="Arial"/>
          <w:sz w:val="15"/>
          <w:szCs w:val="15"/>
          <w:color w:val="auto"/>
        </w:rPr>
      </w:pPr>
    </w:p>
    <w:p>
      <w:pPr>
        <w:ind w:left="1100" w:right="40" w:hanging="524"/>
        <w:spacing w:after="0" w:line="259" w:lineRule="auto"/>
        <w:tabs>
          <w:tab w:leader="none" w:pos="1100" w:val="left"/>
        </w:tabs>
        <w:numPr>
          <w:ilvl w:val="1"/>
          <w:numId w:val="5"/>
        </w:numPr>
        <w:rPr>
          <w:rFonts w:ascii="Arial" w:cs="Arial" w:eastAsia="Arial" w:hAnsi="Arial"/>
          <w:sz w:val="15"/>
          <w:szCs w:val="15"/>
          <w:color w:val="auto"/>
        </w:rPr>
      </w:pPr>
      <w:r>
        <w:rPr>
          <w:rFonts w:ascii="Arial" w:cs="Arial" w:eastAsia="Arial" w:hAnsi="Arial"/>
          <w:sz w:val="15"/>
          <w:szCs w:val="15"/>
          <w:color w:val="auto"/>
        </w:rPr>
        <w:t>Per unit price or other underlying value of transaction computed pursuant to Exchange Act Rule 0-11 (set forth the amount on which the filing fee is calculated and state how it was determined):</w:t>
      </w:r>
    </w:p>
    <w:p>
      <w:pPr>
        <w:spacing w:after="0" w:line="163" w:lineRule="exact"/>
        <w:rPr>
          <w:rFonts w:ascii="Arial" w:cs="Arial" w:eastAsia="Arial" w:hAnsi="Arial"/>
          <w:sz w:val="15"/>
          <w:szCs w:val="15"/>
          <w:color w:val="auto"/>
        </w:rPr>
      </w:pPr>
    </w:p>
    <w:p>
      <w:pPr>
        <w:ind w:left="1100" w:hanging="524"/>
        <w:spacing w:after="0"/>
        <w:tabs>
          <w:tab w:leader="none" w:pos="1100" w:val="left"/>
        </w:tabs>
        <w:numPr>
          <w:ilvl w:val="1"/>
          <w:numId w:val="5"/>
        </w:numPr>
        <w:rPr>
          <w:rFonts w:ascii="Arial" w:cs="Arial" w:eastAsia="Arial" w:hAnsi="Arial"/>
          <w:sz w:val="15"/>
          <w:szCs w:val="15"/>
          <w:color w:val="auto"/>
        </w:rPr>
      </w:pPr>
      <w:r>
        <w:rPr>
          <w:rFonts w:ascii="Arial" w:cs="Arial" w:eastAsia="Arial" w:hAnsi="Arial"/>
          <w:sz w:val="15"/>
          <w:szCs w:val="15"/>
          <w:color w:val="auto"/>
        </w:rPr>
        <w:t>Proposed maximum aggregate value of transaction:</w:t>
      </w:r>
    </w:p>
    <w:p>
      <w:pPr>
        <w:spacing w:after="0" w:line="188" w:lineRule="exact"/>
        <w:rPr>
          <w:rFonts w:ascii="Arial" w:cs="Arial" w:eastAsia="Arial" w:hAnsi="Arial"/>
          <w:sz w:val="15"/>
          <w:szCs w:val="15"/>
          <w:color w:val="auto"/>
        </w:rPr>
      </w:pPr>
    </w:p>
    <w:p>
      <w:pPr>
        <w:ind w:left="1100" w:hanging="524"/>
        <w:spacing w:after="0"/>
        <w:tabs>
          <w:tab w:leader="none" w:pos="1100" w:val="left"/>
        </w:tabs>
        <w:numPr>
          <w:ilvl w:val="1"/>
          <w:numId w:val="5"/>
        </w:numPr>
        <w:rPr>
          <w:rFonts w:ascii="Arial" w:cs="Arial" w:eastAsia="Arial" w:hAnsi="Arial"/>
          <w:sz w:val="15"/>
          <w:szCs w:val="15"/>
          <w:color w:val="auto"/>
        </w:rPr>
      </w:pPr>
      <w:r>
        <w:rPr>
          <w:rFonts w:ascii="Arial" w:cs="Arial" w:eastAsia="Arial" w:hAnsi="Arial"/>
          <w:sz w:val="15"/>
          <w:szCs w:val="15"/>
          <w:color w:val="auto"/>
        </w:rPr>
        <w:t>Total fee paid:</w:t>
      </w:r>
    </w:p>
    <w:p>
      <w:pPr>
        <w:spacing w:after="0" w:line="188" w:lineRule="exact"/>
        <w:rPr>
          <w:rFonts w:ascii="Arial" w:cs="Arial" w:eastAsia="Arial" w:hAnsi="Arial"/>
          <w:sz w:val="15"/>
          <w:szCs w:val="15"/>
          <w:color w:val="auto"/>
        </w:rPr>
      </w:pPr>
    </w:p>
    <w:p>
      <w:pPr>
        <w:ind w:left="580" w:hanging="573"/>
        <w:spacing w:after="0"/>
        <w:tabs>
          <w:tab w:leader="none" w:pos="580" w:val="left"/>
        </w:tabs>
        <w:numPr>
          <w:ilvl w:val="0"/>
          <w:numId w:val="5"/>
        </w:numPr>
        <w:rPr>
          <w:rFonts w:ascii="MS PGothic" w:cs="MS PGothic" w:eastAsia="MS PGothic" w:hAnsi="MS PGothic"/>
          <w:sz w:val="15"/>
          <w:szCs w:val="15"/>
          <w:color w:val="auto"/>
        </w:rPr>
      </w:pPr>
      <w:r>
        <w:rPr>
          <w:rFonts w:ascii="Arial" w:cs="Arial" w:eastAsia="Arial" w:hAnsi="Arial"/>
          <w:sz w:val="15"/>
          <w:szCs w:val="15"/>
          <w:color w:val="auto"/>
        </w:rPr>
        <w:t>Fee paid previously with preliminary materials.</w:t>
      </w:r>
    </w:p>
    <w:p>
      <w:pPr>
        <w:spacing w:after="0" w:line="14" w:lineRule="exact"/>
        <w:rPr>
          <w:rFonts w:ascii="MS PGothic" w:cs="MS PGothic" w:eastAsia="MS PGothic" w:hAnsi="MS PGothic"/>
          <w:sz w:val="15"/>
          <w:szCs w:val="15"/>
          <w:color w:val="auto"/>
        </w:rPr>
      </w:pPr>
    </w:p>
    <w:p>
      <w:pPr>
        <w:ind w:left="580" w:hanging="573"/>
        <w:spacing w:after="0" w:line="241" w:lineRule="auto"/>
        <w:tabs>
          <w:tab w:leader="none" w:pos="580" w:val="left"/>
        </w:tabs>
        <w:numPr>
          <w:ilvl w:val="0"/>
          <w:numId w:val="5"/>
        </w:numPr>
        <w:rPr>
          <w:rFonts w:ascii="MS PGothic" w:cs="MS PGothic" w:eastAsia="MS PGothic" w:hAnsi="MS PGothic"/>
          <w:sz w:val="15"/>
          <w:szCs w:val="15"/>
          <w:color w:val="auto"/>
        </w:rPr>
      </w:pPr>
      <w:r>
        <w:rPr>
          <w:rFonts w:ascii="Arial" w:cs="Arial" w:eastAsia="Arial" w:hAnsi="Arial"/>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60" w:hanging="484"/>
        <w:spacing w:after="0"/>
        <w:tabs>
          <w:tab w:leader="none" w:pos="1060" w:val="left"/>
        </w:tabs>
        <w:numPr>
          <w:ilvl w:val="1"/>
          <w:numId w:val="5"/>
        </w:numPr>
        <w:rPr>
          <w:rFonts w:ascii="Arial" w:cs="Arial" w:eastAsia="Arial" w:hAnsi="Arial"/>
          <w:sz w:val="15"/>
          <w:szCs w:val="15"/>
          <w:color w:val="auto"/>
        </w:rPr>
      </w:pPr>
      <w:r>
        <w:rPr>
          <w:rFonts w:ascii="Arial" w:cs="Arial" w:eastAsia="Arial" w:hAnsi="Arial"/>
          <w:sz w:val="15"/>
          <w:szCs w:val="15"/>
          <w:color w:val="auto"/>
        </w:rPr>
        <w:t>Amount Previously Paid:</w:t>
      </w:r>
    </w:p>
    <w:p>
      <w:pPr>
        <w:spacing w:after="0" w:line="179" w:lineRule="exact"/>
        <w:rPr>
          <w:rFonts w:ascii="Arial" w:cs="Arial" w:eastAsia="Arial" w:hAnsi="Arial"/>
          <w:sz w:val="15"/>
          <w:szCs w:val="15"/>
          <w:color w:val="auto"/>
        </w:rPr>
      </w:pPr>
    </w:p>
    <w:p>
      <w:pPr>
        <w:ind w:left="1060" w:hanging="484"/>
        <w:spacing w:after="0"/>
        <w:tabs>
          <w:tab w:leader="none" w:pos="1060" w:val="left"/>
        </w:tabs>
        <w:numPr>
          <w:ilvl w:val="1"/>
          <w:numId w:val="5"/>
        </w:numPr>
        <w:rPr>
          <w:rFonts w:ascii="Arial" w:cs="Arial" w:eastAsia="Arial" w:hAnsi="Arial"/>
          <w:sz w:val="15"/>
          <w:szCs w:val="15"/>
          <w:color w:val="auto"/>
        </w:rPr>
      </w:pPr>
      <w:r>
        <w:rPr>
          <w:rFonts w:ascii="Arial" w:cs="Arial" w:eastAsia="Arial" w:hAnsi="Arial"/>
          <w:sz w:val="15"/>
          <w:szCs w:val="15"/>
          <w:color w:val="auto"/>
        </w:rPr>
        <w:t>Form, Schedule or Registration Statement No.:</w:t>
      </w:r>
    </w:p>
    <w:p>
      <w:pPr>
        <w:spacing w:after="0" w:line="188" w:lineRule="exact"/>
        <w:rPr>
          <w:rFonts w:ascii="Arial" w:cs="Arial" w:eastAsia="Arial" w:hAnsi="Arial"/>
          <w:sz w:val="15"/>
          <w:szCs w:val="15"/>
          <w:color w:val="auto"/>
        </w:rPr>
      </w:pPr>
    </w:p>
    <w:p>
      <w:pPr>
        <w:ind w:left="1060" w:hanging="484"/>
        <w:spacing w:after="0"/>
        <w:tabs>
          <w:tab w:leader="none" w:pos="1060" w:val="left"/>
        </w:tabs>
        <w:numPr>
          <w:ilvl w:val="1"/>
          <w:numId w:val="5"/>
        </w:numPr>
        <w:rPr>
          <w:rFonts w:ascii="Arial" w:cs="Arial" w:eastAsia="Arial" w:hAnsi="Arial"/>
          <w:sz w:val="15"/>
          <w:szCs w:val="15"/>
          <w:color w:val="auto"/>
        </w:rPr>
      </w:pPr>
      <w:r>
        <w:rPr>
          <w:rFonts w:ascii="Arial" w:cs="Arial" w:eastAsia="Arial" w:hAnsi="Arial"/>
          <w:sz w:val="15"/>
          <w:szCs w:val="15"/>
          <w:color w:val="auto"/>
        </w:rPr>
        <w:t>Filing Party:</w:t>
      </w:r>
    </w:p>
    <w:p>
      <w:pPr>
        <w:spacing w:after="0" w:line="188" w:lineRule="exact"/>
        <w:rPr>
          <w:rFonts w:ascii="Arial" w:cs="Arial" w:eastAsia="Arial" w:hAnsi="Arial"/>
          <w:sz w:val="15"/>
          <w:szCs w:val="15"/>
          <w:color w:val="auto"/>
        </w:rPr>
      </w:pPr>
    </w:p>
    <w:p>
      <w:pPr>
        <w:ind w:left="1060" w:hanging="484"/>
        <w:spacing w:after="0"/>
        <w:tabs>
          <w:tab w:leader="none" w:pos="1060" w:val="left"/>
        </w:tabs>
        <w:numPr>
          <w:ilvl w:val="1"/>
          <w:numId w:val="5"/>
        </w:numPr>
        <w:rPr>
          <w:rFonts w:ascii="Arial" w:cs="Arial" w:eastAsia="Arial" w:hAnsi="Arial"/>
          <w:sz w:val="15"/>
          <w:szCs w:val="15"/>
          <w:color w:val="auto"/>
        </w:rPr>
      </w:pPr>
      <w:r>
        <w:rPr>
          <w:rFonts w:ascii="Arial" w:cs="Arial" w:eastAsia="Arial" w:hAnsi="Arial"/>
          <w:sz w:val="15"/>
          <w:szCs w:val="15"/>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698500</wp:posOffset>
            </wp:positionH>
            <wp:positionV relativeFrom="paragraph">
              <wp:posOffset>-2156460</wp:posOffset>
            </wp:positionV>
            <wp:extent cx="657860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78600" cy="6985"/>
                    </a:xfrm>
                    <a:prstGeom prst="rect">
                      <a:avLst/>
                    </a:prstGeom>
                    <a:noFill/>
                  </pic:spPr>
                </pic:pic>
              </a:graphicData>
            </a:graphic>
          </wp:anchor>
        </w:drawing>
        <w:drawing>
          <wp:anchor simplePos="0" relativeHeight="251657728" behindDoc="1" locked="0" layoutInCell="0" allowOverlap="1">
            <wp:simplePos x="0" y="0"/>
            <wp:positionH relativeFrom="column">
              <wp:posOffset>698500</wp:posOffset>
            </wp:positionH>
            <wp:positionV relativeFrom="paragraph">
              <wp:posOffset>-1927225</wp:posOffset>
            </wp:positionV>
            <wp:extent cx="657860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78600" cy="6985"/>
                    </a:xfrm>
                    <a:prstGeom prst="rect">
                      <a:avLst/>
                    </a:prstGeom>
                    <a:noFill/>
                  </pic:spPr>
                </pic:pic>
              </a:graphicData>
            </a:graphic>
          </wp:anchor>
        </w:drawing>
        <w:drawing>
          <wp:anchor simplePos="0" relativeHeight="251657728" behindDoc="1" locked="0" layoutInCell="0" allowOverlap="1">
            <wp:simplePos x="0" y="0"/>
            <wp:positionH relativeFrom="column">
              <wp:posOffset>698500</wp:posOffset>
            </wp:positionH>
            <wp:positionV relativeFrom="paragraph">
              <wp:posOffset>-1587500</wp:posOffset>
            </wp:positionV>
            <wp:extent cx="657860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78600" cy="6985"/>
                    </a:xfrm>
                    <a:prstGeom prst="rect">
                      <a:avLst/>
                    </a:prstGeom>
                    <a:noFill/>
                  </pic:spPr>
                </pic:pic>
              </a:graphicData>
            </a:graphic>
          </wp:anchor>
        </w:drawing>
        <w:drawing>
          <wp:anchor simplePos="0" relativeHeight="251657728" behindDoc="1" locked="0" layoutInCell="0" allowOverlap="1">
            <wp:simplePos x="0" y="0"/>
            <wp:positionH relativeFrom="column">
              <wp:posOffset>698500</wp:posOffset>
            </wp:positionH>
            <wp:positionV relativeFrom="paragraph">
              <wp:posOffset>-1358265</wp:posOffset>
            </wp:positionV>
            <wp:extent cx="657860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78600" cy="6985"/>
                    </a:xfrm>
                    <a:prstGeom prst="rect">
                      <a:avLst/>
                    </a:prstGeom>
                    <a:noFill/>
                  </pic:spPr>
                </pic:pic>
              </a:graphicData>
            </a:graphic>
          </wp:anchor>
        </w:drawing>
        <w:drawing>
          <wp:anchor simplePos="0" relativeHeight="251657728" behindDoc="1" locked="0" layoutInCell="0" allowOverlap="1">
            <wp:simplePos x="0" y="0"/>
            <wp:positionH relativeFrom="column">
              <wp:posOffset>698500</wp:posOffset>
            </wp:positionH>
            <wp:positionV relativeFrom="paragraph">
              <wp:posOffset>-1129030</wp:posOffset>
            </wp:positionV>
            <wp:extent cx="657860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78600" cy="6985"/>
                    </a:xfrm>
                    <a:prstGeom prst="rect">
                      <a:avLst/>
                    </a:prstGeom>
                    <a:noFill/>
                  </pic:spPr>
                </pic:pic>
              </a:graphicData>
            </a:graphic>
          </wp:anchor>
        </w:drawing>
        <w:drawing>
          <wp:anchor simplePos="0" relativeHeight="251657728" behindDoc="1" locked="0" layoutInCell="0" allowOverlap="1">
            <wp:simplePos x="0" y="0"/>
            <wp:positionH relativeFrom="column">
              <wp:posOffset>677545</wp:posOffset>
            </wp:positionH>
            <wp:positionV relativeFrom="paragraph">
              <wp:posOffset>-567055</wp:posOffset>
            </wp:positionV>
            <wp:extent cx="659955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99555" cy="6985"/>
                    </a:xfrm>
                    <a:prstGeom prst="rect">
                      <a:avLst/>
                    </a:prstGeom>
                    <a:noFill/>
                  </pic:spPr>
                </pic:pic>
              </a:graphicData>
            </a:graphic>
          </wp:anchor>
        </w:drawing>
        <w:drawing>
          <wp:anchor simplePos="0" relativeHeight="251657728" behindDoc="1" locked="0" layoutInCell="0" allowOverlap="1">
            <wp:simplePos x="0" y="0"/>
            <wp:positionH relativeFrom="column">
              <wp:posOffset>677545</wp:posOffset>
            </wp:positionH>
            <wp:positionV relativeFrom="paragraph">
              <wp:posOffset>-337820</wp:posOffset>
            </wp:positionV>
            <wp:extent cx="659955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99555" cy="6985"/>
                    </a:xfrm>
                    <a:prstGeom prst="rect">
                      <a:avLst/>
                    </a:prstGeom>
                    <a:noFill/>
                  </pic:spPr>
                </pic:pic>
              </a:graphicData>
            </a:graphic>
          </wp:anchor>
        </w:drawing>
        <w:drawing>
          <wp:anchor simplePos="0" relativeHeight="251657728" behindDoc="1" locked="0" layoutInCell="0" allowOverlap="1">
            <wp:simplePos x="0" y="0"/>
            <wp:positionH relativeFrom="column">
              <wp:posOffset>677545</wp:posOffset>
            </wp:positionH>
            <wp:positionV relativeFrom="paragraph">
              <wp:posOffset>-109220</wp:posOffset>
            </wp:positionV>
            <wp:extent cx="659955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99555" cy="6985"/>
                    </a:xfrm>
                    <a:prstGeom prst="rect">
                      <a:avLst/>
                    </a:prstGeom>
                    <a:noFill/>
                  </pic:spPr>
                </pic:pic>
              </a:graphicData>
            </a:graphic>
          </wp:anchor>
        </w:drawing>
        <w:drawing>
          <wp:anchor simplePos="0" relativeHeight="251657728" behindDoc="1" locked="0" layoutInCell="0" allowOverlap="1">
            <wp:simplePos x="0" y="0"/>
            <wp:positionH relativeFrom="column">
              <wp:posOffset>677545</wp:posOffset>
            </wp:positionH>
            <wp:positionV relativeFrom="paragraph">
              <wp:posOffset>119380</wp:posOffset>
            </wp:positionV>
            <wp:extent cx="659955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99555"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553720</wp:posOffset>
            </wp:positionV>
            <wp:extent cx="7292340" cy="336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2340" cy="33655"/>
                    </a:xfrm>
                    <a:prstGeom prst="rect">
                      <a:avLst/>
                    </a:prstGeom>
                    <a:noFill/>
                  </pic:spPr>
                </pic:pic>
              </a:graphicData>
            </a:graphic>
          </wp:anchor>
        </w:drawing>
      </w:r>
    </w:p>
    <w:p>
      <w:pPr>
        <w:sectPr>
          <w:pgSz w:w="11900" w:h="16838" w:orient="portrait"/>
          <w:cols w:equalWidth="0" w:num="1">
            <w:col w:w="11360"/>
          </w:cols>
          <w:pgMar w:left="220" w:top="387" w:right="319" w:bottom="1440" w:gutter="0" w:footer="0" w:header="0"/>
        </w:sectPr>
      </w:pPr>
    </w:p>
    <w:bookmarkStart w:id="1" w:name="page2"/>
    <w:bookmarkEnd w:id="1"/>
    <w:p>
      <w:pPr>
        <w:spacing w:after="0"/>
        <w:rPr>
          <w:sz w:val="20"/>
          <w:szCs w:val="20"/>
          <w:color w:val="auto"/>
        </w:rPr>
      </w:pPr>
      <w:r>
        <w:rPr>
          <w:rFonts w:ascii="Arial" w:cs="Arial" w:eastAsia="Arial" w:hAnsi="Arial"/>
          <w:sz w:val="15"/>
          <w:szCs w:val="15"/>
          <w:b w:val="1"/>
          <w:bCs w:val="1"/>
          <w:u w:val="single" w:color="auto"/>
          <w:color w:val="auto"/>
        </w:rPr>
        <w:t>Important Information</w:t>
      </w:r>
    </w:p>
    <w:p>
      <w:pPr>
        <w:spacing w:after="0" w:line="181" w:lineRule="exact"/>
        <w:rPr>
          <w:sz w:val="20"/>
          <w:szCs w:val="20"/>
          <w:color w:val="auto"/>
        </w:rPr>
      </w:pPr>
    </w:p>
    <w:p>
      <w:pPr>
        <w:jc w:val="both"/>
        <w:ind w:right="40"/>
        <w:spacing w:after="0" w:line="251" w:lineRule="auto"/>
        <w:rPr>
          <w:sz w:val="20"/>
          <w:szCs w:val="20"/>
          <w:color w:val="auto"/>
        </w:rPr>
      </w:pPr>
      <w:r>
        <w:rPr>
          <w:rFonts w:ascii="Arial" w:cs="Arial" w:eastAsia="Arial" w:hAnsi="Arial"/>
          <w:sz w:val="15"/>
          <w:szCs w:val="15"/>
          <w:color w:val="auto"/>
        </w:rPr>
        <w:t>On March 20, 2015, Elaine P. Wynn filed a definitive proxy statement on Schedule 14A with the Securities and Exchange Commission. Ms. Wynn is soliciting proxies for use at the 2015 annual meeting of stockholders of Wynn Resorts, Limited, to be held on April 24, 2015. She intends to use such proxies to vote in favor of her re-election to the board of directors, and for the election of the company’s nominee other than John J. Hagenbuch.</w:t>
      </w:r>
    </w:p>
    <w:p>
      <w:pPr>
        <w:spacing w:after="0" w:line="158"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SECURITY HOLDERS ARE ADVISED TO READ THE DEFINITIVE PROXY STATEMENT AND, AS THEY BECOME AVAILABLE, OTHER DOCUMENTS RELATED TO THE SOLICITATION OF PROXIES BY MS. WYNN FROM THE STOCKHOLDERS OF WYNN RESORTS, LIMITED BECAUSE THEY CONTAIN IMPORTANT INFORMATION. THESE MATERIALS AND OTHER MATERIALS FILED BY MS. WYNN IN CONNECTION WITH HER PROXY SOLICITATION WILL BE AVAILABLE AT NO CHARGE AT THE SECURITIES AND EXCHANGE COMMISSION’S WEBSITE AT HTTP://WWW.SEC.GOV. THE DEFINITIVE PROXY STATEMENT AND OTHER RELEVANT DOCUMENTS FILED BY MS. WYNN WITH THE SECURITIES AND EXCHANGE COMMISSION WILL ALSO BE AVAILABLE, WITHOUT CHARGE, BY DIRECTING A REQUEST TO MS. WYNN’S PROXY SOLICITOR, OKAPI PARTNERS LLC, AT ITS TOLL-FREE NUMBER (877) 629-6355 OR VIA EMAIL AT INFO@OKAPIPARTNERS.COM.</w:t>
      </w:r>
    </w:p>
    <w:p>
      <w:pPr>
        <w:sectPr>
          <w:pgSz w:w="11900" w:h="16838" w:orient="portrait"/>
          <w:cols w:equalWidth="0" w:num="1">
            <w:col w:w="11420"/>
          </w:cols>
          <w:pgMar w:left="220" w:top="518" w:right="259" w:bottom="1440" w:gutter="0" w:footer="0" w:header="0"/>
        </w:sectPr>
      </w:pPr>
    </w:p>
    <w:bookmarkStart w:id="2" w:name="page3"/>
    <w:bookmarkEnd w:id="2"/>
    <w:p>
      <w:pPr>
        <w:ind w:left="9480"/>
        <w:spacing w:after="0"/>
        <w:rPr>
          <w:sz w:val="20"/>
          <w:szCs w:val="20"/>
          <w:color w:val="auto"/>
        </w:rPr>
      </w:pPr>
      <w:r>
        <w:rPr>
          <w:rFonts w:ascii="Arial" w:cs="Arial" w:eastAsia="Arial" w:hAnsi="Arial"/>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-772160</wp:posOffset>
            </wp:positionH>
            <wp:positionV relativeFrom="paragraph">
              <wp:posOffset>282575</wp:posOffset>
            </wp:positionV>
            <wp:extent cx="7325995" cy="6109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25995" cy="6109970"/>
                    </a:xfrm>
                    <a:prstGeom prst="rect">
                      <a:avLst/>
                    </a:prstGeom>
                    <a:noFill/>
                  </pic:spPr>
                </pic:pic>
              </a:graphicData>
            </a:graphic>
          </wp:anchor>
        </w:drawing>
      </w:r>
    </w:p>
    <w:p>
      <w:pPr>
        <w:sectPr>
          <w:pgSz w:w="11900" w:h="16838" w:orient="portrait"/>
          <w:cols w:equalWidth="0" w:num="1">
            <w:col w:w="10240"/>
          </w:cols>
          <w:pgMar w:left="1440" w:top="125" w:right="21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477520</wp:posOffset>
            </wp:positionV>
            <wp:extent cx="7325995" cy="61099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25995" cy="6109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477520</wp:posOffset>
            </wp:positionV>
            <wp:extent cx="7325995" cy="61099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25995" cy="6109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477520</wp:posOffset>
            </wp:positionV>
            <wp:extent cx="7325995" cy="61099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5995" cy="6109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477520</wp:posOffset>
            </wp:positionV>
            <wp:extent cx="7325995" cy="6109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5995" cy="6109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477520</wp:posOffset>
            </wp:positionV>
            <wp:extent cx="7325995" cy="61099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5995" cy="6109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477520</wp:posOffset>
            </wp:positionV>
            <wp:extent cx="7325995" cy="61099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5995" cy="6109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477520</wp:posOffset>
            </wp:positionV>
            <wp:extent cx="7325995" cy="61099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5995" cy="6109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477520</wp:posOffset>
            </wp:positionV>
            <wp:extent cx="7325995" cy="61099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5995" cy="6109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477520</wp:posOffset>
            </wp:positionV>
            <wp:extent cx="7325995" cy="61099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5995" cy="6109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477520</wp:posOffset>
            </wp:positionV>
            <wp:extent cx="7325995" cy="61099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5995" cy="6109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477520</wp:posOffset>
            </wp:positionV>
            <wp:extent cx="7325995" cy="61099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5995" cy="6109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477520</wp:posOffset>
            </wp:positionV>
            <wp:extent cx="7325995" cy="61099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5995" cy="6109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477520</wp:posOffset>
            </wp:positionV>
            <wp:extent cx="7325995" cy="61099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5995" cy="6109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477520</wp:posOffset>
            </wp:positionV>
            <wp:extent cx="7325995" cy="61099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25995" cy="6109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477520</wp:posOffset>
            </wp:positionV>
            <wp:extent cx="7325995" cy="61099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25995" cy="6109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477520</wp:posOffset>
            </wp:positionV>
            <wp:extent cx="7325995" cy="61099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5995" cy="6109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477520</wp:posOffset>
            </wp:positionV>
            <wp:extent cx="7325995" cy="61099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25995" cy="6109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477520</wp:posOffset>
            </wp:positionV>
            <wp:extent cx="7325995" cy="61099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25995" cy="6109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477520</wp:posOffset>
            </wp:positionV>
            <wp:extent cx="7325995" cy="61099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25995" cy="6109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477520</wp:posOffset>
            </wp:positionV>
            <wp:extent cx="7325995" cy="61099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25995" cy="6109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477520</wp:posOffset>
            </wp:positionV>
            <wp:extent cx="7325995" cy="61099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25995" cy="6109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477520</wp:posOffset>
            </wp:positionV>
            <wp:extent cx="7323455" cy="56629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7323455" cy="56629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2019-12-08T01:26:11Z</dcterms:created>
  <dcterms:modified xsi:type="dcterms:W3CDTF">2019-12-08T01:26:11Z</dcterms:modified>
</cp:coreProperties>
</file>