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Binion Jack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11/07/2006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Chairman, Wynn Int'l Marketing</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8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520" w:type="dxa"/>
            <w:vAlign w:val="bottom"/>
            <w:gridSpan w:val="8"/>
          </w:tcPr>
          <w:p>
            <w:pPr>
              <w:ind w:left="1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11/15/2006</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4"/>
          </w:tcPr>
          <w:p>
            <w:pPr>
              <w:ind w:left="160"/>
              <w:spacing w:after="0"/>
              <w:rPr>
                <w:sz w:val="20"/>
                <w:szCs w:val="20"/>
                <w:color w:val="auto"/>
              </w:rPr>
            </w:pPr>
            <w:r>
              <w:rPr>
                <w:rFonts w:ascii="Arial" w:cs="Arial" w:eastAsia="Arial" w:hAnsi="Arial"/>
                <w:sz w:val="14"/>
                <w:szCs w:val="14"/>
                <w:color w:val="auto"/>
              </w:rPr>
              <w:t>Line)</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620" w:type="dxa"/>
            <w:vAlign w:val="bottom"/>
            <w:gridSpan w:val="3"/>
            <w:vMerge w:val="restart"/>
          </w:tcPr>
          <w:p>
            <w:pPr>
              <w:ind w:left="620"/>
              <w:spacing w:after="0"/>
              <w:rPr>
                <w:sz w:val="20"/>
                <w:szCs w:val="20"/>
                <w:color w:val="auto"/>
              </w:rPr>
            </w:pPr>
            <w:r>
              <w:rPr>
                <w:rFonts w:ascii="Arial" w:cs="Arial" w:eastAsia="Arial" w:hAnsi="Arial"/>
                <w:sz w:val="18"/>
                <w:szCs w:val="18"/>
                <w:color w:val="0000FF"/>
              </w:rPr>
              <w:t>11/07/2006</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418,419.725</w:t>
            </w:r>
            <w:r>
              <w:rPr>
                <w:rFonts w:ascii="Arial" w:cs="Arial" w:eastAsia="Arial" w:hAnsi="Arial"/>
                <w:sz w:val="22"/>
                <w:szCs w:val="22"/>
                <w:color w:val="008000"/>
                <w:w w:val="94"/>
                <w:vertAlign w:val="superscript"/>
              </w:rPr>
              <w:t>(2)</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(3)</w:t>
            </w:r>
          </w:p>
        </w:tc>
        <w:tc>
          <w:tcPr>
            <w:tcW w:w="1500" w:type="dxa"/>
            <w:vAlign w:val="bottom"/>
            <w:gridSpan w:val="3"/>
            <w:vMerge w:val="restart"/>
          </w:tcPr>
          <w:p>
            <w:pPr>
              <w:jc w:val="right"/>
              <w:ind w:right="99"/>
              <w:spacing w:after="0"/>
              <w:rPr>
                <w:sz w:val="20"/>
                <w:szCs w:val="20"/>
                <w:color w:val="auto"/>
              </w:rPr>
            </w:pPr>
            <w:r>
              <w:rPr>
                <w:rFonts w:ascii="Arial" w:cs="Arial" w:eastAsia="Arial" w:hAnsi="Arial"/>
                <w:sz w:val="18"/>
                <w:szCs w:val="18"/>
                <w:color w:val="0000FF"/>
              </w:rPr>
              <w:t>1,550,614.275</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tcBorders>
              <w:top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500" w:type="dxa"/>
            <w:vAlign w:val="bottom"/>
            <w:tcBorders>
              <w:top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500,000</w:t>
            </w:r>
          </w:p>
        </w:tc>
        <w:tc>
          <w:tcPr>
            <w:tcW w:w="90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60" w:type="dxa"/>
            <w:vAlign w:val="bottom"/>
            <w:gridSpan w:val="12"/>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31, 2006, the reporting person transferred 1,969,034 shares of Common Stock of Wynn Resorts, Limited to Asian Gaming Investments, LLC, a Nevada limited liability company (the "LLC"), of which the reporting person was the sole member. As of November 7, 2006, the reporting person transferred membership interests representing, in the aggregate, a 21.25% interest in the LLC to five perpetual trust funds held by family members and three individuals.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number of shares shown represents a 21.25% proportionate interest in the shares of Common Stock of Wynn Resorts, Limited owned by the LLC.</w:t>
      </w:r>
    </w:p>
    <w:p>
      <w:pPr>
        <w:spacing w:after="0" w:line="41" w:lineRule="exact"/>
        <w:rPr>
          <w:rFonts w:ascii="Arial" w:cs="Arial" w:eastAsia="Arial" w:hAnsi="Arial"/>
          <w:sz w:val="14"/>
          <w:szCs w:val="14"/>
          <w:color w:val="008000"/>
        </w:rPr>
      </w:pP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consideration for the transfers of the interests in the LLC will be determined based on an appraiser's valuation as of the transaction date, which has not yet been completed. After such appraisal is completed and the consideration for such interests has been determined, the reporting person will promptly file an amendment to this report to disclose the consideration.</w:t>
      </w: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color w:val="008000"/>
        </w:rPr>
        <w:t>4. Represents the reporting person?s 78.75% proportionate interest in the shares of Common Stock of Wynn Resorts, Limited owned by the LLC.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Kevin Tourek,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576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Jack B. Binion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60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078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11/15/2006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00" w:space="16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0760"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2019-12-24T01:31:28Z</dcterms:created>
  <dcterms:modified xsi:type="dcterms:W3CDTF">2019-12-24T01:31:28Z</dcterms:modified>
</cp:coreProperties>
</file>