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CURRENT REPORT</w:t>
      </w:r>
    </w:p>
    <w:p>
      <w:pPr>
        <w:jc w:val="center"/>
        <w:ind w:right="-99"/>
        <w:spacing w:after="0" w:line="238" w:lineRule="auto"/>
        <w:rPr>
          <w:sz w:val="20"/>
          <w:szCs w:val="20"/>
          <w:color w:val="auto"/>
        </w:rPr>
      </w:pPr>
      <w:r>
        <w:rPr>
          <w:rFonts w:ascii="Times New Roman" w:cs="Times New Roman" w:eastAsia="Times New Roman" w:hAnsi="Times New Roman"/>
          <w:sz w:val="20"/>
          <w:szCs w:val="20"/>
          <w:b w:val="1"/>
          <w:bCs w:val="1"/>
          <w:color w:val="auto"/>
        </w:rPr>
        <w:t>Pursuant to Section 13 or 15(d) of</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March 5, 2009</w:t>
      </w:r>
    </w:p>
    <w:p>
      <w:pPr>
        <w:spacing w:after="0" w:line="17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320"/>
          </w:cols>
          <w:pgMar w:left="240" w:top="950" w:right="339" w:bottom="1440" w:gutter="0" w:footer="0" w:header="0"/>
        </w:sectPr>
      </w:pPr>
    </w:p>
    <w:p>
      <w:pPr>
        <w:spacing w:after="0" w:line="176"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9"/>
          <w:szCs w:val="19"/>
          <w:color w:val="auto"/>
        </w:rPr>
        <w:t>(State or Other Jurisdiction</w:t>
      </w:r>
    </w:p>
    <w:p>
      <w:pPr>
        <w:spacing w:after="0" w:line="4"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20"/>
          <w:szCs w:val="20"/>
          <w:b w:val="1"/>
          <w:bCs w:val="1"/>
          <w:color w:val="auto"/>
        </w:rPr>
        <w:t>000-50028</w:t>
      </w:r>
    </w:p>
    <w:p>
      <w:pPr>
        <w:spacing w:after="0" w:line="32"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9"/>
          <w:szCs w:val="19"/>
          <w:color w:val="auto"/>
        </w:rPr>
        <w:t>(Commission File</w:t>
      </w:r>
    </w:p>
    <w:p>
      <w:pPr>
        <w:spacing w:after="0" w:line="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20"/>
          <w:szCs w:val="20"/>
          <w:color w:val="auto"/>
        </w:rPr>
        <w:t>Number)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0"/>
          <w:szCs w:val="20"/>
          <w:b w:val="1"/>
          <w:bCs w:val="1"/>
          <w:color w:val="auto"/>
        </w:rPr>
        <w:t>46-0484987</w:t>
      </w:r>
    </w:p>
    <w:p>
      <w:pPr>
        <w:spacing w:after="0" w:line="2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(I.R.S. Employer</w:t>
      </w:r>
    </w:p>
    <w:p>
      <w:pPr>
        <w:jc w:val="center"/>
        <w:ind w:right="600"/>
        <w:spacing w:after="0"/>
        <w:rPr>
          <w:sz w:val="20"/>
          <w:szCs w:val="20"/>
          <w:color w:val="auto"/>
        </w:rPr>
      </w:pPr>
      <w:r>
        <w:rPr>
          <w:rFonts w:ascii="Times New Roman" w:cs="Times New Roman" w:eastAsia="Times New Roman" w:hAnsi="Times New Roman"/>
          <w:sz w:val="19"/>
          <w:szCs w:val="19"/>
          <w:color w:val="auto"/>
        </w:rPr>
        <w:t>Identification Number)</w:t>
      </w:r>
    </w:p>
    <w:p>
      <w:pPr>
        <w:spacing w:after="0" w:line="211" w:lineRule="exact"/>
        <w:rPr>
          <w:sz w:val="24"/>
          <w:szCs w:val="24"/>
          <w:color w:val="auto"/>
        </w:rPr>
      </w:pPr>
    </w:p>
    <w:p>
      <w:pPr>
        <w:sectPr>
          <w:pgSz w:w="11900" w:h="16838" w:orient="portrait"/>
          <w:cols w:equalWidth="0" w:num="3">
            <w:col w:w="4560" w:space="720"/>
            <w:col w:w="2880" w:space="720"/>
            <w:col w:w="2440"/>
          </w:cols>
          <w:pgMar w:left="240" w:top="950" w:right="339" w:bottom="1440" w:gutter="0" w:footer="0" w:header="0"/>
          <w:type w:val="continuous"/>
        </w:sectPr>
      </w:pP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3131 Las Vegas Boulevard South</w:t>
      </w:r>
    </w:p>
    <w:p>
      <w:pPr>
        <w:jc w:val="center"/>
        <w:ind w:right="-99"/>
        <w:spacing w:after="0" w:line="238" w:lineRule="auto"/>
        <w:rPr>
          <w:sz w:val="20"/>
          <w:szCs w:val="20"/>
          <w:color w:val="auto"/>
        </w:rPr>
      </w:pPr>
      <w:r>
        <w:rPr>
          <w:rFonts w:ascii="Times New Roman" w:cs="Times New Roman" w:eastAsia="Times New Roman" w:hAnsi="Times New Roman"/>
          <w:sz w:val="20"/>
          <w:szCs w:val="20"/>
          <w:b w:val="1"/>
          <w:bCs w:val="1"/>
          <w:color w:val="auto"/>
        </w:rPr>
        <w:t>Las Vegas, Nevada 89109</w:t>
      </w:r>
    </w:p>
    <w:p>
      <w:pPr>
        <w:jc w:val="center"/>
        <w:ind w:right="-9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(702) 770-7555</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(Former name or former address, if changed since last report)</w:t>
      </w:r>
    </w:p>
    <w:p>
      <w:pPr>
        <w:sectPr>
          <w:pgSz w:w="11900" w:h="16838" w:orient="portrait"/>
          <w:cols w:equalWidth="0" w:num="1">
            <w:col w:w="11320"/>
          </w:cols>
          <w:pgMar w:left="240" w:top="950" w:right="339"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540" w:hanging="208"/>
        <w:spacing w:after="0"/>
        <w:tabs>
          <w:tab w:leader="none" w:pos="5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Written communications pursuant to Rule 425 under the Securities Act (17 CFR 230.425)</w:t>
      </w:r>
    </w:p>
    <w:p>
      <w:pPr>
        <w:spacing w:after="0" w:line="202" w:lineRule="exact"/>
        <w:rPr>
          <w:rFonts w:ascii="Times New Roman" w:cs="Times New Roman" w:eastAsia="Times New Roman" w:hAnsi="Times New Roman"/>
          <w:sz w:val="20"/>
          <w:szCs w:val="20"/>
          <w:color w:val="auto"/>
        </w:rPr>
      </w:pPr>
    </w:p>
    <w:p>
      <w:pPr>
        <w:ind w:left="540" w:hanging="208"/>
        <w:spacing w:after="0"/>
        <w:tabs>
          <w:tab w:leader="none" w:pos="5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Rule 14a-12 under the Exchange Act (17 CFR 240.14a-12)</w:t>
      </w:r>
    </w:p>
    <w:p>
      <w:pPr>
        <w:spacing w:after="0" w:line="202" w:lineRule="exact"/>
        <w:rPr>
          <w:rFonts w:ascii="Times New Roman" w:cs="Times New Roman" w:eastAsia="Times New Roman" w:hAnsi="Times New Roman"/>
          <w:sz w:val="20"/>
          <w:szCs w:val="20"/>
          <w:color w:val="auto"/>
        </w:rPr>
      </w:pPr>
    </w:p>
    <w:p>
      <w:pPr>
        <w:ind w:left="540" w:hanging="208"/>
        <w:spacing w:after="0"/>
        <w:tabs>
          <w:tab w:leader="none" w:pos="5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spacing w:after="0" w:line="202" w:lineRule="exact"/>
        <w:rPr>
          <w:rFonts w:ascii="Times New Roman" w:cs="Times New Roman" w:eastAsia="Times New Roman" w:hAnsi="Times New Roman"/>
          <w:sz w:val="20"/>
          <w:szCs w:val="20"/>
          <w:color w:val="auto"/>
        </w:rPr>
      </w:pPr>
    </w:p>
    <w:p>
      <w:pPr>
        <w:ind w:left="540" w:hanging="208"/>
        <w:spacing w:after="0"/>
        <w:tabs>
          <w:tab w:leader="none" w:pos="5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1058545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March 5, 2009, Wynn Resorts, Limited (the “Company”) entered into a fourth amendment to the Employment Agreement, dated as of October 1, 2005, by and between Wynn Las Vegas, LLC and Matt Maddox, the Company’s Chief Financial Officer and Treasurer, which employment agreement was subsequently assigned to the Company. The amendment, among other things, extends the term of Mr. Maddox’s employment agreement to November 30, 2013, provides for a base salary payable to Mr. Maddox of $850,000 per annum effective December 1, 2008, which base salary was reduced to $722,500 per annum effective February 16, 2009. The amendment also provides for a separation payment and continued health benefits coverage to be provided to Mr. Maddox upon notice (i) of his termination by the Company without “cause”, (ii) by Mr. Maddox following the occurrence of both a “change of control” and “good reason”, and (iii) by Mr. Maddox of a material breach of the employment agreement by the Company if such breach remains uncured for a period of thirty days thereafter. The separation payment is to be paid six months after termination as a lump sum equal to (a) Mr. Maddox’s base salary for the remainder of the term, but not less than one year of base salary, plus (b) the bonus that was paid to Mr. Maddox for the preceding bonus period, projected over the remainder of the term (but not less than the preceding bonus that was paid). Mr. Maddox would also be entitled to receive health benefits coverage with the same payment obligation as if he were still employed by the Company until the earlier of (i) the expiration of the period for which the separation payment is made and (ii) the date he becomes covered under any other group health plan. A copy of the amendment is attached hereto as Exhibit 10.1 and is hereby incorporated by reference.</w:t>
      </w:r>
    </w:p>
    <w:p>
      <w:pPr>
        <w:spacing w:after="0" w:line="202" w:lineRule="exact"/>
        <w:rPr>
          <w:sz w:val="20"/>
          <w:szCs w:val="20"/>
          <w:color w:val="auto"/>
        </w:rPr>
      </w:pPr>
    </w:p>
    <w:p>
      <w:pPr>
        <w:ind w:right="1180"/>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in Item 1.01 of this report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Exhibits</w:t>
      </w:r>
    </w:p>
    <w:p>
      <w:pPr>
        <w:spacing w:after="0" w:line="233"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Fourth Amendment to Employment Agreement, dated as of</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March 5, 2009, by and between Wynn Resorts, Limited and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714375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16" w:right="2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tab/>
        <w:t>March 9, 2009</w:t>
      </w:r>
    </w:p>
    <w:p>
      <w:pPr>
        <w:spacing w:after="0" w:line="23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3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By: /s/ Kim Sinatra</w:t>
      </w:r>
    </w:p>
    <w:p>
      <w:pPr>
        <w:spacing w:after="0" w:line="3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2"/>
          <w:szCs w:val="22"/>
          <w:color w:val="auto"/>
        </w:rPr>
        <w:t>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-158750</wp:posOffset>
            </wp:positionV>
            <wp:extent cx="1586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7000"/>
        <w:spacing w:after="0" w:line="232" w:lineRule="auto"/>
        <w:rPr>
          <w:sz w:val="20"/>
          <w:szCs w:val="20"/>
          <w:color w:val="auto"/>
        </w:rPr>
      </w:pPr>
      <w:r>
        <w:rPr>
          <w:rFonts w:ascii="Times New Roman" w:cs="Times New Roman" w:eastAsia="Times New Roman" w:hAnsi="Times New Roman"/>
          <w:sz w:val="22"/>
          <w:szCs w:val="22"/>
          <w:color w:val="auto"/>
        </w:rPr>
        <w:t>Senior Vice President, General</w:t>
      </w:r>
    </w:p>
    <w:p>
      <w:pPr>
        <w:ind w:left="7000"/>
        <w:spacing w:after="0"/>
        <w:rPr>
          <w:sz w:val="20"/>
          <w:szCs w:val="20"/>
          <w:color w:val="auto"/>
        </w:rPr>
      </w:pPr>
      <w:r>
        <w:rPr>
          <w:rFonts w:ascii="Times New Roman" w:cs="Times New Roman" w:eastAsia="Times New Roman" w:hAnsi="Times New Roman"/>
          <w:sz w:val="22"/>
          <w:szCs w:val="22"/>
          <w:color w:val="auto"/>
        </w:rPr>
        <w:t>Counsel and Secretary</w:t>
      </w:r>
    </w:p>
    <w:p>
      <w:pPr>
        <w:sectPr>
          <w:pgSz w:w="11900" w:h="16838" w:orient="portrait"/>
          <w:cols w:equalWidth="0" w:num="1">
            <w:col w:w="11400"/>
          </w:cols>
          <w:pgMar w:left="240" w:top="50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3" w:lineRule="exact"/>
        <w:rPr>
          <w:sz w:val="20"/>
          <w:szCs w:val="20"/>
          <w:color w:val="auto"/>
        </w:rPr>
      </w:pPr>
    </w:p>
    <w:p>
      <w:pPr>
        <w:jc w:val="both"/>
        <w:ind w:right="20" w:firstLine="720"/>
        <w:spacing w:after="0" w:line="244" w:lineRule="auto"/>
        <w:rPr>
          <w:sz w:val="20"/>
          <w:szCs w:val="20"/>
          <w:color w:val="auto"/>
        </w:rPr>
      </w:pPr>
      <w:r>
        <w:rPr>
          <w:rFonts w:ascii="Arial" w:cs="Arial" w:eastAsia="Arial" w:hAnsi="Arial"/>
          <w:sz w:val="22"/>
          <w:szCs w:val="22"/>
          <w:color w:val="auto"/>
        </w:rPr>
        <w:t>This FOURTH AMENDMENT TO EMPLOYMENT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the 5th day of March, 2009, by and between Wynn Resorts, Limited (“</w:t>
      </w:r>
      <w:r>
        <w:rPr>
          <w:rFonts w:ascii="Arial" w:cs="Arial" w:eastAsia="Arial" w:hAnsi="Arial"/>
          <w:sz w:val="22"/>
          <w:szCs w:val="22"/>
          <w:b w:val="1"/>
          <w:bCs w:val="1"/>
          <w:color w:val="auto"/>
        </w:rPr>
        <w:t>Employer</w:t>
      </w:r>
      <w:r>
        <w:rPr>
          <w:rFonts w:ascii="Arial" w:cs="Arial" w:eastAsia="Arial" w:hAnsi="Arial"/>
          <w:sz w:val="22"/>
          <w:szCs w:val="22"/>
          <w:color w:val="auto"/>
        </w:rPr>
        <w:t>”) and Matt Maddox ("</w:t>
      </w:r>
      <w:r>
        <w:rPr>
          <w:rFonts w:ascii="Arial" w:cs="Arial" w:eastAsia="Arial" w:hAnsi="Arial"/>
          <w:sz w:val="22"/>
          <w:szCs w:val="22"/>
          <w:b w:val="1"/>
          <w:bCs w:val="1"/>
          <w:color w:val="auto"/>
        </w:rPr>
        <w:t>Employee</w:t>
      </w:r>
      <w:r>
        <w:rPr>
          <w:rFonts w:ascii="Arial" w:cs="Arial" w:eastAsia="Arial" w:hAnsi="Arial"/>
          <w:sz w:val="22"/>
          <w:szCs w:val="22"/>
          <w:color w:val="auto"/>
        </w:rPr>
        <w:t>"). Capitalized terms that are not defined herein shall have the meanings ascribed to them in the Agreement (as defined below).</w:t>
      </w:r>
    </w:p>
    <w:p>
      <w:pPr>
        <w:spacing w:after="0" w:line="187"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RECITALS</w:t>
      </w:r>
    </w:p>
    <w:p>
      <w:pPr>
        <w:spacing w:after="0" w:line="235" w:lineRule="exact"/>
        <w:rPr>
          <w:sz w:val="20"/>
          <w:szCs w:val="20"/>
          <w:color w:val="auto"/>
        </w:rPr>
      </w:pPr>
    </w:p>
    <w:p>
      <w:pPr>
        <w:jc w:val="both"/>
        <w:ind w:right="20" w:firstLine="720"/>
        <w:spacing w:after="0" w:line="257" w:lineRule="auto"/>
        <w:rPr>
          <w:sz w:val="20"/>
          <w:szCs w:val="20"/>
          <w:color w:val="auto"/>
        </w:rPr>
      </w:pPr>
      <w:r>
        <w:rPr>
          <w:rFonts w:ascii="Arial" w:cs="Arial" w:eastAsia="Arial" w:hAnsi="Arial"/>
          <w:sz w:val="21"/>
          <w:szCs w:val="21"/>
          <w:color w:val="auto"/>
        </w:rPr>
        <w:t>WHEREAS, Employer and Employee are party to that certain Employment Agreement, dated as of October 1, 2005, by and between Wynn Las Vegas, LLC and Employee, subsequently assigned to Employer, as amended by that certain First Amendment to Employment Agreement, dated as of May 5, 2008, as further amended by that certain Second Amendment to Employment Agreement, dated as of December 31, 2008, and as further amended by that certain Amendment to Employment Agreement, dated as of February 13, 2009 (collectively, the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WHEREAS, the parties have agreed to amend the Agreement as provided herein;</w:t>
      </w:r>
    </w:p>
    <w:p>
      <w:pPr>
        <w:spacing w:after="0" w:line="233"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22"/>
          <w:szCs w:val="22"/>
          <w:color w:val="auto"/>
        </w:rPr>
        <w:t>NOW THEREFORE, in consideration of the above and other good and valuable consideration, the receipt and sufficiency of which is hereby acknowledged, the parties agree as follows:</w:t>
      </w:r>
    </w:p>
    <w:p>
      <w:pPr>
        <w:spacing w:after="0" w:line="160" w:lineRule="exact"/>
        <w:rPr>
          <w:sz w:val="20"/>
          <w:szCs w:val="20"/>
          <w:color w:val="auto"/>
        </w:rPr>
      </w:pPr>
    </w:p>
    <w:p>
      <w:pPr>
        <w:ind w:firstLine="728"/>
        <w:spacing w:after="0" w:line="271" w:lineRule="auto"/>
        <w:tabs>
          <w:tab w:leader="none" w:pos="1561"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Section 1 of the Agreement shall be amended to add the following definitions for “Change</w:t>
      </w:r>
      <w:r>
        <w:rPr>
          <w:rFonts w:ascii="Arial" w:cs="Arial" w:eastAsia="Arial" w:hAnsi="Arial"/>
          <w:sz w:val="22"/>
          <w:szCs w:val="22"/>
          <w:b w:val="1"/>
          <w:bCs w:val="1"/>
          <w:color w:val="auto"/>
        </w:rPr>
        <w:t xml:space="preserve"> </w:t>
      </w:r>
      <w:r>
        <w:rPr>
          <w:rFonts w:ascii="Arial" w:cs="Arial" w:eastAsia="Arial" w:hAnsi="Arial"/>
          <w:sz w:val="22"/>
          <w:szCs w:val="22"/>
          <w:color w:val="auto"/>
        </w:rPr>
        <w:t>of Control”, “Good Reason” and “Separation Payment”:</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 means the occurrence, after the Effective Date, of any of the following</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events:</w:t>
      </w:r>
    </w:p>
    <w:p>
      <w:pPr>
        <w:spacing w:after="0" w:line="205" w:lineRule="exact"/>
        <w:rPr>
          <w:sz w:val="20"/>
          <w:szCs w:val="20"/>
          <w:color w:val="auto"/>
        </w:rPr>
      </w:pPr>
    </w:p>
    <w:p>
      <w:pPr>
        <w:jc w:val="both"/>
        <w:ind w:left="1360" w:right="1300" w:firstLine="719"/>
        <w:spacing w:after="0" w:line="236" w:lineRule="auto"/>
        <w:tabs>
          <w:tab w:leader="none" w:pos="297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4" w:name="page5"/>
    <w:bookmarkEnd w:id="4"/>
    <w:p>
      <w:pPr>
        <w:jc w:val="both"/>
        <w:ind w:left="160" w:right="99" w:firstLine="719"/>
        <w:spacing w:after="0" w:line="246" w:lineRule="auto"/>
        <w:tabs>
          <w:tab w:leader="none" w:pos="1824" w:val="left"/>
        </w:tabs>
        <w:numPr>
          <w:ilvl w:val="1"/>
          <w:numId w:val="4"/>
        </w:numPr>
        <w:rPr>
          <w:rFonts w:ascii="Arial" w:cs="Arial" w:eastAsia="Arial" w:hAnsi="Arial"/>
          <w:sz w:val="21"/>
          <w:szCs w:val="21"/>
          <w:color w:val="auto"/>
        </w:rPr>
      </w:pPr>
      <w:r>
        <w:rPr>
          <w:rFonts w:ascii="Arial" w:cs="Arial" w:eastAsia="Arial" w:hAnsi="Arial"/>
          <w:sz w:val="21"/>
          <w:szCs w:val="21"/>
          <w:color w:val="auto"/>
        </w:rPr>
        <w:t xml:space="preserve">the individuals who, as of March 5, 2009, are members of WRL’s Board of Directors (the "Existing Directors") cease, for any reason, to constitute more than fifty percent (50%) of the number of authorized directors of WRL as determined in the manner prescribed in WRL’s Articles of Incorporation and Bylaws;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Arial" w:cs="Arial" w:eastAsia="Arial" w:hAnsi="Arial"/>
          <w:sz w:val="21"/>
          <w:szCs w:val="21"/>
          <w:i w:val="1"/>
          <w:iCs w:val="1"/>
          <w:u w:val="single" w:color="auto"/>
          <w:color w:val="auto"/>
        </w:rPr>
        <w:t>provided further</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90" w:lineRule="exact"/>
        <w:rPr>
          <w:rFonts w:ascii="Arial" w:cs="Arial" w:eastAsia="Arial" w:hAnsi="Arial"/>
          <w:sz w:val="21"/>
          <w:szCs w:val="21"/>
          <w:color w:val="auto"/>
        </w:rPr>
      </w:pPr>
    </w:p>
    <w:p>
      <w:pPr>
        <w:jc w:val="both"/>
        <w:ind w:left="160" w:right="99" w:firstLine="719"/>
        <w:spacing w:after="0" w:line="255" w:lineRule="auto"/>
        <w:tabs>
          <w:tab w:leader="none" w:pos="2133" w:val="left"/>
        </w:tabs>
        <w:numPr>
          <w:ilvl w:val="1"/>
          <w:numId w:val="4"/>
        </w:numPr>
        <w:rPr>
          <w:rFonts w:ascii="Arial" w:cs="Arial" w:eastAsia="Arial" w:hAnsi="Arial"/>
          <w:sz w:val="21"/>
          <w:szCs w:val="21"/>
          <w:color w:val="auto"/>
        </w:rPr>
      </w:pPr>
      <w:r>
        <w:rPr>
          <w:rFonts w:ascii="Arial" w:cs="Arial" w:eastAsia="Arial" w:hAnsi="Arial"/>
          <w:sz w:val="21"/>
          <w:szCs w:val="21"/>
          <w:color w:val="auto"/>
        </w:rPr>
        <w:t>the consummation of (x) a merger, consolidation or reorganization to which WRL is a party, whether or not WRL is the Person surviving or resulting therefrom, or</w:t>
      </w:r>
    </w:p>
    <w:p>
      <w:pPr>
        <w:spacing w:after="0" w:line="1" w:lineRule="exact"/>
        <w:rPr>
          <w:rFonts w:ascii="Arial" w:cs="Arial" w:eastAsia="Arial" w:hAnsi="Arial"/>
          <w:sz w:val="21"/>
          <w:szCs w:val="21"/>
          <w:color w:val="auto"/>
        </w:rPr>
      </w:pPr>
    </w:p>
    <w:p>
      <w:pPr>
        <w:jc w:val="both"/>
        <w:ind w:left="160" w:right="99" w:hanging="1"/>
        <w:spacing w:after="0" w:line="232" w:lineRule="auto"/>
        <w:tabs>
          <w:tab w:leader="none" w:pos="494"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213360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5" w:name="page6"/>
    <w:bookmarkEnd w:id="5"/>
    <w:p>
      <w:pPr>
        <w:jc w:val="both"/>
        <w:ind w:left="640"/>
        <w:spacing w:after="0"/>
        <w:rPr>
          <w:sz w:val="20"/>
          <w:szCs w:val="20"/>
          <w:color w:val="auto"/>
        </w:rPr>
      </w:pPr>
      <w:r>
        <w:rPr>
          <w:rFonts w:ascii="Arial" w:cs="Arial" w:eastAsia="Arial" w:hAnsi="Arial"/>
          <w:sz w:val="22"/>
          <w:szCs w:val="22"/>
          <w:color w:val="auto"/>
        </w:rPr>
        <w:t>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94" w:lineRule="exact"/>
        <w:rPr>
          <w:sz w:val="20"/>
          <w:szCs w:val="20"/>
          <w:color w:val="auto"/>
        </w:rPr>
      </w:pPr>
    </w:p>
    <w:p>
      <w:pPr>
        <w:jc w:val="both"/>
        <w:ind w:right="660"/>
        <w:spacing w:after="0" w:line="243" w:lineRule="auto"/>
        <w:rPr>
          <w:sz w:val="20"/>
          <w:szCs w:val="20"/>
          <w:color w:val="auto"/>
        </w:rPr>
      </w:pPr>
      <w:r>
        <w:rPr>
          <w:rFonts w:ascii="Arial" w:cs="Arial" w:eastAsia="Arial" w:hAnsi="Arial"/>
          <w:sz w:val="22"/>
          <w:szCs w:val="22"/>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89" w:lineRule="exact"/>
        <w:rPr>
          <w:sz w:val="20"/>
          <w:szCs w:val="20"/>
          <w:color w:val="auto"/>
        </w:rPr>
      </w:pPr>
    </w:p>
    <w:p>
      <w:pPr>
        <w:jc w:val="both"/>
        <w:ind w:right="660" w:firstLine="72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89" w:lineRule="exact"/>
        <w:rPr>
          <w:sz w:val="20"/>
          <w:szCs w:val="20"/>
          <w:color w:val="auto"/>
        </w:rPr>
      </w:pPr>
    </w:p>
    <w:p>
      <w:pPr>
        <w:ind w:left="640" w:right="1300" w:firstLine="719"/>
        <w:spacing w:after="0" w:line="269" w:lineRule="auto"/>
        <w:tabs>
          <w:tab w:leader="none" w:pos="2411" w:val="left"/>
        </w:tabs>
        <w:numPr>
          <w:ilvl w:val="0"/>
          <w:numId w:val="6"/>
        </w:numPr>
        <w:rPr>
          <w:rFonts w:ascii="Arial" w:cs="Arial" w:eastAsia="Arial" w:hAnsi="Arial"/>
          <w:sz w:val="22"/>
          <w:szCs w:val="22"/>
          <w:color w:val="auto"/>
        </w:rPr>
      </w:pPr>
      <w:r>
        <w:rPr>
          <w:rFonts w:ascii="Arial" w:cs="Arial" w:eastAsia="Arial" w:hAnsi="Arial"/>
          <w:sz w:val="22"/>
          <w:szCs w:val="22"/>
          <w:color w:val="auto"/>
        </w:rPr>
        <w:t>Employer or an Affiliate reduces Employee’s Base Salary (as defined in Subparagraph 7(a) below);</w:t>
      </w:r>
    </w:p>
    <w:p>
      <w:pPr>
        <w:spacing w:after="0" w:line="162" w:lineRule="exact"/>
        <w:rPr>
          <w:rFonts w:ascii="Arial" w:cs="Arial" w:eastAsia="Arial" w:hAnsi="Arial"/>
          <w:sz w:val="22"/>
          <w:szCs w:val="22"/>
          <w:color w:val="auto"/>
        </w:rPr>
      </w:pPr>
    </w:p>
    <w:p>
      <w:pPr>
        <w:jc w:val="both"/>
        <w:ind w:left="640" w:right="1300" w:firstLine="719"/>
        <w:spacing w:after="0"/>
        <w:tabs>
          <w:tab w:leader="none" w:pos="2275" w:val="left"/>
        </w:tabs>
        <w:numPr>
          <w:ilvl w:val="0"/>
          <w:numId w:val="6"/>
        </w:numPr>
        <w:rPr>
          <w:rFonts w:ascii="Arial" w:cs="Arial" w:eastAsia="Arial" w:hAnsi="Arial"/>
          <w:sz w:val="22"/>
          <w:szCs w:val="22"/>
          <w:color w:val="auto"/>
        </w:rPr>
      </w:pPr>
      <w:r>
        <w:rPr>
          <w:rFonts w:ascii="Arial" w:cs="Arial" w:eastAsia="Arial" w:hAnsi="Arial"/>
          <w:sz w:val="22"/>
          <w:szCs w:val="22"/>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93" w:lineRule="exact"/>
        <w:rPr>
          <w:rFonts w:ascii="Arial" w:cs="Arial" w:eastAsia="Arial" w:hAnsi="Arial"/>
          <w:sz w:val="22"/>
          <w:szCs w:val="22"/>
          <w:color w:val="auto"/>
        </w:rPr>
      </w:pPr>
    </w:p>
    <w:p>
      <w:pPr>
        <w:ind w:left="640" w:right="1300" w:firstLine="719"/>
        <w:spacing w:after="0" w:line="269" w:lineRule="auto"/>
        <w:tabs>
          <w:tab w:leader="none" w:pos="2535" w:val="left"/>
        </w:tabs>
        <w:numPr>
          <w:ilvl w:val="0"/>
          <w:numId w:val="6"/>
        </w:numPr>
        <w:rPr>
          <w:rFonts w:ascii="Arial" w:cs="Arial" w:eastAsia="Arial" w:hAnsi="Arial"/>
          <w:sz w:val="22"/>
          <w:szCs w:val="22"/>
          <w:color w:val="auto"/>
        </w:rPr>
      </w:pPr>
      <w:r>
        <w:rPr>
          <w:rFonts w:ascii="Arial" w:cs="Arial" w:eastAsia="Arial" w:hAnsi="Arial"/>
          <w:sz w:val="22"/>
          <w:szCs w:val="22"/>
          <w:color w:val="auto"/>
        </w:rPr>
        <w:t>Employer materially reduces the aggregate benefits and perquisites to Employee from those being provided immediately before the Change in Control;</w:t>
      </w:r>
    </w:p>
    <w:p>
      <w:pPr>
        <w:spacing w:after="0" w:line="162" w:lineRule="exact"/>
        <w:rPr>
          <w:rFonts w:ascii="Arial" w:cs="Arial" w:eastAsia="Arial" w:hAnsi="Arial"/>
          <w:sz w:val="22"/>
          <w:szCs w:val="22"/>
          <w:color w:val="auto"/>
        </w:rPr>
      </w:pPr>
    </w:p>
    <w:p>
      <w:pPr>
        <w:jc w:val="both"/>
        <w:ind w:left="640" w:right="1300" w:firstLine="719"/>
        <w:spacing w:after="0" w:line="267" w:lineRule="auto"/>
        <w:tabs>
          <w:tab w:leader="none" w:pos="2361" w:val="left"/>
        </w:tabs>
        <w:numPr>
          <w:ilvl w:val="0"/>
          <w:numId w:val="6"/>
        </w:numPr>
        <w:rPr>
          <w:rFonts w:ascii="Arial" w:cs="Arial" w:eastAsia="Arial" w:hAnsi="Arial"/>
          <w:sz w:val="21"/>
          <w:szCs w:val="21"/>
          <w:color w:val="auto"/>
        </w:rPr>
      </w:pPr>
      <w:r>
        <w:rPr>
          <w:rFonts w:ascii="Arial" w:cs="Arial" w:eastAsia="Arial" w:hAnsi="Arial"/>
          <w:sz w:val="21"/>
          <w:szCs w:val="21"/>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194310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591" w:right="239" w:bottom="1440" w:gutter="0" w:footer="0" w:header="0"/>
        </w:sectPr>
      </w:pPr>
    </w:p>
    <w:bookmarkStart w:id="6" w:name="page7"/>
    <w:bookmarkEnd w:id="6"/>
    <w:p>
      <w:pPr>
        <w:jc w:val="both"/>
        <w:ind w:left="1360" w:right="1280" w:firstLine="719"/>
        <w:spacing w:after="0" w:line="249" w:lineRule="auto"/>
        <w:tabs>
          <w:tab w:leader="none" w:pos="3230" w:val="left"/>
        </w:tabs>
        <w:numPr>
          <w:ilvl w:val="0"/>
          <w:numId w:val="7"/>
        </w:numPr>
        <w:rPr>
          <w:rFonts w:ascii="Arial" w:cs="Arial" w:eastAsia="Arial" w:hAnsi="Arial"/>
          <w:sz w:val="22"/>
          <w:szCs w:val="22"/>
          <w:color w:val="auto"/>
        </w:rPr>
      </w:pPr>
      <w:r>
        <w:rPr>
          <w:rFonts w:ascii="Arial" w:cs="Arial" w:eastAsia="Arial" w:hAnsi="Arial"/>
          <w:sz w:val="22"/>
          <w:szCs w:val="22"/>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85" w:lineRule="exact"/>
        <w:rPr>
          <w:rFonts w:ascii="Arial" w:cs="Arial" w:eastAsia="Arial" w:hAnsi="Arial"/>
          <w:sz w:val="22"/>
          <w:szCs w:val="22"/>
          <w:color w:val="auto"/>
        </w:rPr>
      </w:pPr>
    </w:p>
    <w:p>
      <w:pPr>
        <w:ind w:left="1360" w:right="1280" w:firstLine="719"/>
        <w:spacing w:after="0" w:line="269" w:lineRule="auto"/>
        <w:tabs>
          <w:tab w:leader="none" w:pos="310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successor to Employer fails or refuses expressly to assume in writing the obligations of Employer under this Agreement.</w:t>
      </w:r>
    </w:p>
    <w:p>
      <w:pPr>
        <w:spacing w:after="0" w:line="162" w:lineRule="exact"/>
        <w:rPr>
          <w:sz w:val="20"/>
          <w:szCs w:val="20"/>
          <w:color w:val="auto"/>
        </w:rPr>
      </w:pPr>
    </w:p>
    <w:p>
      <w:pPr>
        <w:jc w:val="both"/>
        <w:ind w:left="720" w:right="640"/>
        <w:spacing w:after="0" w:line="269" w:lineRule="auto"/>
        <w:rPr>
          <w:sz w:val="20"/>
          <w:szCs w:val="20"/>
          <w:color w:val="auto"/>
        </w:rPr>
      </w:pPr>
      <w:r>
        <w:rPr>
          <w:rFonts w:ascii="Arial" w:cs="Arial" w:eastAsia="Arial" w:hAnsi="Arial"/>
          <w:sz w:val="22"/>
          <w:szCs w:val="22"/>
          <w:color w:val="auto"/>
        </w:rPr>
        <w:t>For purposes of this Agreement, a determination by Employee that Employee has “Good Reason” shall be final and binding on Employer and Employee absent a showing of bad faith on Employee’s part.</w:t>
      </w:r>
    </w:p>
    <w:p>
      <w:pPr>
        <w:spacing w:after="0" w:line="160" w:lineRule="exact"/>
        <w:rPr>
          <w:sz w:val="20"/>
          <w:szCs w:val="20"/>
          <w:color w:val="auto"/>
        </w:rPr>
      </w:pPr>
    </w:p>
    <w:p>
      <w:pPr>
        <w:jc w:val="both"/>
        <w:ind w:left="720" w:right="620" w:firstLine="7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Separation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 means a lump sum equal to (A) Employee’s Base Salary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Subparagraph 7(a) of this Agreement) for the remainder of the Term, but not less than one (1) year of Base Salary, plus (B) the bonus that was paid to Employee under Subparagraph 7(b) for the preceding bonus period, projected over the remainder of the Term (but not less than the preceding bonus that was paid), plus (C) any accrued but unpaid vacation pay.</w:t>
      </w:r>
    </w:p>
    <w:p>
      <w:pPr>
        <w:spacing w:after="0" w:line="194" w:lineRule="exact"/>
        <w:rPr>
          <w:sz w:val="20"/>
          <w:szCs w:val="20"/>
          <w:color w:val="auto"/>
        </w:rPr>
      </w:pPr>
    </w:p>
    <w:p>
      <w:pPr>
        <w:ind w:left="1820" w:hanging="1092"/>
        <w:spacing w:after="0"/>
        <w:tabs>
          <w:tab w:leader="none" w:pos="182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Special Termination Provisions</w:t>
      </w:r>
      <w:r>
        <w:rPr>
          <w:rFonts w:ascii="Arial" w:cs="Arial" w:eastAsia="Arial" w:hAnsi="Arial"/>
          <w:sz w:val="22"/>
          <w:szCs w:val="22"/>
          <w:color w:val="auto"/>
        </w:rPr>
        <w:t>.  Section 6 shall be deleted in its entirety and replaced with the</w:t>
      </w:r>
    </w:p>
    <w:p>
      <w:pPr>
        <w:spacing w:after="0" w:line="20"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following:</w:t>
      </w:r>
    </w:p>
    <w:p>
      <w:pPr>
        <w:spacing w:after="0" w:line="205" w:lineRule="exact"/>
        <w:rPr>
          <w:sz w:val="20"/>
          <w:szCs w:val="20"/>
          <w:color w:val="auto"/>
        </w:rPr>
      </w:pPr>
    </w:p>
    <w:p>
      <w:pPr>
        <w:ind w:left="720" w:right="640"/>
        <w:spacing w:after="0" w:line="269" w:lineRule="auto"/>
        <w:rPr>
          <w:sz w:val="20"/>
          <w:szCs w:val="20"/>
          <w:color w:val="auto"/>
        </w:rPr>
      </w:pPr>
      <w:r>
        <w:rPr>
          <w:rFonts w:ascii="Arial" w:cs="Arial" w:eastAsia="Arial" w:hAnsi="Arial"/>
          <w:sz w:val="22"/>
          <w:szCs w:val="22"/>
          <w:color w:val="auto"/>
        </w:rPr>
        <w:t>Notwithstanding the provisions of Section 5 of this Agreement, this Agreement shall terminate upon the occurrence of any of the following events:</w:t>
      </w:r>
    </w:p>
    <w:p>
      <w:pPr>
        <w:spacing w:after="0" w:line="162" w:lineRule="exact"/>
        <w:rPr>
          <w:sz w:val="20"/>
          <w:szCs w:val="20"/>
          <w:color w:val="auto"/>
        </w:rPr>
      </w:pPr>
    </w:p>
    <w:p>
      <w:pPr>
        <w:ind w:left="2280" w:hanging="921"/>
        <w:spacing w:after="0"/>
        <w:tabs>
          <w:tab w:leader="none" w:pos="22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death of Employee;</w:t>
      </w:r>
    </w:p>
    <w:p>
      <w:pPr>
        <w:spacing w:after="0" w:line="233" w:lineRule="exact"/>
        <w:rPr>
          <w:rFonts w:ascii="Arial" w:cs="Arial" w:eastAsia="Arial" w:hAnsi="Arial"/>
          <w:sz w:val="22"/>
          <w:szCs w:val="22"/>
          <w:color w:val="auto"/>
        </w:rPr>
      </w:pPr>
    </w:p>
    <w:p>
      <w:pPr>
        <w:ind w:left="1360" w:right="1280" w:hanging="1"/>
        <w:spacing w:after="0" w:line="269" w:lineRule="auto"/>
        <w:tabs>
          <w:tab w:leader="none" w:pos="2396"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giving of written notice from Employer to Employee of the termination of this Agreement upon the Complete Disability of Employee;</w:t>
      </w:r>
    </w:p>
    <w:p>
      <w:pPr>
        <w:spacing w:after="0" w:line="162" w:lineRule="exact"/>
        <w:rPr>
          <w:rFonts w:ascii="Arial" w:cs="Arial" w:eastAsia="Arial" w:hAnsi="Arial"/>
          <w:sz w:val="22"/>
          <w:szCs w:val="22"/>
          <w:color w:val="auto"/>
        </w:rPr>
      </w:pPr>
    </w:p>
    <w:p>
      <w:pPr>
        <w:ind w:left="1360" w:right="1280" w:hanging="1"/>
        <w:spacing w:after="0" w:line="269" w:lineRule="auto"/>
        <w:tabs>
          <w:tab w:leader="none" w:pos="248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upon the discharge of Employee for Cause;</w:t>
      </w:r>
    </w:p>
    <w:p>
      <w:pPr>
        <w:spacing w:after="0" w:line="162" w:lineRule="exact"/>
        <w:rPr>
          <w:rFonts w:ascii="Arial" w:cs="Arial" w:eastAsia="Arial" w:hAnsi="Arial"/>
          <w:sz w:val="22"/>
          <w:szCs w:val="22"/>
          <w:color w:val="auto"/>
        </w:rPr>
      </w:pPr>
    </w:p>
    <w:p>
      <w:pPr>
        <w:jc w:val="both"/>
        <w:ind w:left="1360" w:right="1280" w:hanging="1"/>
        <w:spacing w:after="0" w:line="249" w:lineRule="auto"/>
        <w:tabs>
          <w:tab w:leader="none" w:pos="2396"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giving of written notice by Employer to Employee of the termination of this Agreement without Cause,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six (6) months after such notice, Employer must tender the Separation Payment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669290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 w:name="page8"/>
    <w:bookmarkEnd w:id="7"/>
    <w:p>
      <w:pPr>
        <w:jc w:val="both"/>
        <w:ind w:left="1360" w:right="1300" w:hanging="1"/>
        <w:spacing w:after="0"/>
        <w:tabs>
          <w:tab w:leader="none" w:pos="2175"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six (6) months after the expiration of such cure period without the cure having been effected, Employer must tender the Separation Payment to Employee;</w:t>
      </w:r>
    </w:p>
    <w:p>
      <w:pPr>
        <w:spacing w:after="0" w:line="193" w:lineRule="exact"/>
        <w:rPr>
          <w:rFonts w:ascii="Arial" w:cs="Arial" w:eastAsia="Arial" w:hAnsi="Arial"/>
          <w:sz w:val="22"/>
          <w:szCs w:val="22"/>
          <w:color w:val="auto"/>
        </w:rPr>
      </w:pPr>
    </w:p>
    <w:p>
      <w:pPr>
        <w:jc w:val="both"/>
        <w:ind w:left="1360" w:right="1300" w:hanging="1"/>
        <w:spacing w:after="0" w:line="243" w:lineRule="auto"/>
        <w:tabs>
          <w:tab w:leader="none" w:pos="2573"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at Employee’s sole election in writing as provided in paragraph 16 of this Agreement, after both a Change of Control and as a result of Good Reason,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six (6) months after Employer’s receipt of Employee’s written election,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Employer must tender the Separation Payment to Employee; or</w:t>
      </w:r>
    </w:p>
    <w:p>
      <w:pPr>
        <w:spacing w:after="0" w:line="190" w:lineRule="exact"/>
        <w:rPr>
          <w:rFonts w:ascii="Arial" w:cs="Arial" w:eastAsia="Arial" w:hAnsi="Arial"/>
          <w:sz w:val="22"/>
          <w:szCs w:val="22"/>
          <w:color w:val="auto"/>
        </w:rPr>
      </w:pPr>
    </w:p>
    <w:p>
      <w:pPr>
        <w:jc w:val="both"/>
        <w:ind w:left="1360" w:right="1300" w:hanging="1"/>
        <w:spacing w:after="0" w:line="249" w:lineRule="auto"/>
        <w:tabs>
          <w:tab w:leader="none" w:pos="23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following a termination of Employee’s License (as defined in Subparagraph 8(b) of this Agreement).</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In the event of a termination of this Agreement pursuant to the provisions of Subparagraph 6(a), (b), (c) or (g), Employer shall not be required to make any payments to Employee other than payment of Base Salary and vacation pay accrued but unpaid through the termination date. In the event of a termination of this Agreement pursuant to the provisions of Subparagraph (d), (e) or (f),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if such other group health plan excludes any pre-existing condition that Employee or</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dependents may have when coverage under such group health plan would otherwise begin, coverage under this Paragraph 6 shall continue (but not beyond the period described in clause (x) of this sentence) with respect to such pre-existing condition until such exclusion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2"/>
          <w:szCs w:val="22"/>
          <w:color w:val="auto"/>
        </w:rPr>
        <w:t>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97" w:lineRule="exact"/>
        <w:rPr>
          <w:sz w:val="20"/>
          <w:szCs w:val="20"/>
          <w:color w:val="auto"/>
        </w:rPr>
      </w:pPr>
    </w:p>
    <w:p>
      <w:pPr>
        <w:ind w:left="1700" w:hanging="972"/>
        <w:spacing w:after="0"/>
        <w:tabs>
          <w:tab w:leader="none" w:pos="1700"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Section 5 of the Agreement is amended to provide that the Term will expire on November 30,</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2013.</w:t>
      </w:r>
    </w:p>
    <w:p>
      <w:pPr>
        <w:spacing w:after="0" w:line="205" w:lineRule="exact"/>
        <w:rPr>
          <w:sz w:val="20"/>
          <w:szCs w:val="20"/>
          <w:color w:val="auto"/>
        </w:rPr>
      </w:pPr>
    </w:p>
    <w:p>
      <w:pPr>
        <w:jc w:val="both"/>
        <w:ind w:firstLine="728"/>
        <w:spacing w:after="0" w:line="243" w:lineRule="auto"/>
        <w:tabs>
          <w:tab w:leader="none" w:pos="166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Section 7(a) of the Agreement is amended to provide that effective December 1, 2008, Base Salary paid to Employee shall be Eight Hundred Fifty Thousand Dollars ($850,000) per annum. Provided that, effective February 16, 2009, the Base Salary paid to Employee shall be reduced to Seven Hundred Twenty-Two Thousand Five Hundred Dollars ($722,500) per annum.</w:t>
      </w:r>
    </w:p>
    <w:p>
      <w:pPr>
        <w:spacing w:after="0" w:line="190" w:lineRule="exact"/>
        <w:rPr>
          <w:rFonts w:ascii="Arial" w:cs="Arial" w:eastAsia="Arial" w:hAnsi="Arial"/>
          <w:sz w:val="22"/>
          <w:szCs w:val="22"/>
          <w:color w:val="auto"/>
        </w:rPr>
      </w:pPr>
    </w:p>
    <w:p>
      <w:pPr>
        <w:ind w:right="20" w:firstLine="728"/>
        <w:spacing w:after="0" w:line="269" w:lineRule="auto"/>
        <w:tabs>
          <w:tab w:leader="none" w:pos="184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xml:space="preserve"> Section 7(3) of the Agreement is amended to provide that in no event shall Employee receive fewer than four (4) weeks of paid vacation in any full year of the Term.</w:t>
      </w:r>
    </w:p>
    <w:p>
      <w:pPr>
        <w:spacing w:after="0" w:line="162" w:lineRule="exact"/>
        <w:rPr>
          <w:rFonts w:ascii="Arial" w:cs="Arial" w:eastAsia="Arial" w:hAnsi="Arial"/>
          <w:sz w:val="22"/>
          <w:szCs w:val="22"/>
          <w:color w:val="auto"/>
        </w:rPr>
      </w:pPr>
    </w:p>
    <w:p>
      <w:pPr>
        <w:ind w:firstLine="728"/>
        <w:spacing w:after="0" w:line="269" w:lineRule="auto"/>
        <w:tabs>
          <w:tab w:leader="none" w:pos="1561"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Other Provisions of Agreement</w:t>
      </w:r>
      <w:r>
        <w:rPr>
          <w:rFonts w:ascii="Arial" w:cs="Arial" w:eastAsia="Arial" w:hAnsi="Arial"/>
          <w:sz w:val="22"/>
          <w:szCs w:val="22"/>
          <w:color w:val="auto"/>
        </w:rPr>
        <w:t>. The parties acknowledge that the Agreement is being modified only as stated herein, and agree that nothing else in the Agreement shall be affected by this Amendment.</w:t>
      </w:r>
    </w:p>
    <w:p>
      <w:pPr>
        <w:spacing w:after="0" w:line="162" w:lineRule="exact"/>
        <w:rPr>
          <w:sz w:val="20"/>
          <w:szCs w:val="20"/>
          <w:color w:val="auto"/>
        </w:rPr>
      </w:pPr>
    </w:p>
    <w:p>
      <w:pPr>
        <w:ind w:right="260" w:firstLine="720"/>
        <w:spacing w:after="0" w:line="269" w:lineRule="auto"/>
        <w:rPr>
          <w:sz w:val="20"/>
          <w:szCs w:val="20"/>
          <w:color w:val="auto"/>
        </w:rPr>
      </w:pPr>
      <w:r>
        <w:rPr>
          <w:rFonts w:ascii="Arial" w:cs="Arial" w:eastAsia="Arial" w:hAnsi="Arial"/>
          <w:sz w:val="22"/>
          <w:szCs w:val="22"/>
          <w:color w:val="auto"/>
        </w:rPr>
        <w:t>IN WITNESS WHEREOF, the parties hereto have caused this Amendment to be executed as of the date first written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040" w:type="dxa"/>
            <w:vAlign w:val="bottom"/>
            <w:gridSpan w:val="2"/>
          </w:tcPr>
          <w:p>
            <w:pPr>
              <w:spacing w:after="0"/>
              <w:rPr>
                <w:sz w:val="20"/>
                <w:szCs w:val="20"/>
                <w:color w:val="auto"/>
              </w:rPr>
            </w:pPr>
            <w:r>
              <w:rPr>
                <w:rFonts w:ascii="Arial" w:cs="Arial" w:eastAsia="Arial" w:hAnsi="Arial"/>
                <w:sz w:val="22"/>
                <w:szCs w:val="22"/>
                <w:b w:val="1"/>
                <w:bCs w:val="1"/>
                <w:color w:val="auto"/>
              </w:rPr>
              <w:t>WYNN RESORTS, LIMITED</w:t>
            </w:r>
          </w:p>
        </w:tc>
        <w:tc>
          <w:tcPr>
            <w:tcW w:w="4560" w:type="dxa"/>
            <w:vAlign w:val="bottom"/>
            <w:gridSpan w:val="2"/>
          </w:tcPr>
          <w:p>
            <w:pPr>
              <w:ind w:left="1040"/>
              <w:spacing w:after="0"/>
              <w:rPr>
                <w:sz w:val="20"/>
                <w:szCs w:val="20"/>
                <w:color w:val="auto"/>
              </w:rPr>
            </w:pPr>
            <w:r>
              <w:rPr>
                <w:rFonts w:ascii="Arial" w:cs="Arial" w:eastAsia="Arial" w:hAnsi="Arial"/>
                <w:sz w:val="22"/>
                <w:szCs w:val="22"/>
                <w:b w:val="1"/>
                <w:bCs w:val="1"/>
                <w:color w:val="auto"/>
              </w:rPr>
              <w:t>EMPLOYEE</w:t>
            </w:r>
          </w:p>
        </w:tc>
      </w:tr>
      <w:tr>
        <w:trPr>
          <w:trHeight w:val="467"/>
        </w:trPr>
        <w:tc>
          <w:tcPr>
            <w:tcW w:w="5040" w:type="dxa"/>
            <w:vAlign w:val="bottom"/>
            <w:gridSpan w:val="2"/>
          </w:tcPr>
          <w:p>
            <w:pPr>
              <w:spacing w:after="0"/>
              <w:rPr>
                <w:sz w:val="20"/>
                <w:szCs w:val="20"/>
                <w:color w:val="auto"/>
              </w:rPr>
            </w:pPr>
            <w:r>
              <w:rPr>
                <w:rFonts w:ascii="Arial" w:cs="Arial" w:eastAsia="Arial" w:hAnsi="Arial"/>
                <w:sz w:val="22"/>
                <w:szCs w:val="22"/>
                <w:color w:val="auto"/>
              </w:rPr>
              <w:t>By:   /s/ Marc D. Schorr</w:t>
            </w:r>
          </w:p>
        </w:tc>
        <w:tc>
          <w:tcPr>
            <w:tcW w:w="4560" w:type="dxa"/>
            <w:vAlign w:val="bottom"/>
            <w:gridSpan w:val="2"/>
          </w:tcPr>
          <w:p>
            <w:pPr>
              <w:ind w:left="1040"/>
              <w:spacing w:after="0"/>
              <w:rPr>
                <w:sz w:val="20"/>
                <w:szCs w:val="20"/>
                <w:color w:val="auto"/>
              </w:rPr>
            </w:pPr>
            <w:r>
              <w:rPr>
                <w:rFonts w:ascii="Arial" w:cs="Arial" w:eastAsia="Arial" w:hAnsi="Arial"/>
                <w:sz w:val="22"/>
                <w:szCs w:val="22"/>
                <w:color w:val="auto"/>
              </w:rPr>
              <w:t>/s/ Matt Maddox</w:t>
            </w:r>
          </w:p>
        </w:tc>
      </w:tr>
      <w:tr>
        <w:trPr>
          <w:trHeight w:val="209"/>
        </w:trPr>
        <w:tc>
          <w:tcPr>
            <w:tcW w:w="460" w:type="dxa"/>
            <w:vAlign w:val="bottom"/>
          </w:tcPr>
          <w:p>
            <w:pPr>
              <w:spacing w:after="0"/>
              <w:rPr>
                <w:sz w:val="18"/>
                <w:szCs w:val="18"/>
                <w:color w:val="auto"/>
              </w:rPr>
            </w:pPr>
          </w:p>
        </w:tc>
        <w:tc>
          <w:tcPr>
            <w:tcW w:w="4580" w:type="dxa"/>
            <w:vAlign w:val="bottom"/>
            <w:tcBorders>
              <w:top w:val="single" w:sz="8" w:color="auto"/>
            </w:tcBorders>
          </w:tcPr>
          <w:p>
            <w:pPr>
              <w:ind w:left="140"/>
              <w:spacing w:after="0" w:line="208" w:lineRule="exact"/>
              <w:rPr>
                <w:sz w:val="20"/>
                <w:szCs w:val="20"/>
                <w:color w:val="auto"/>
              </w:rPr>
            </w:pPr>
            <w:r>
              <w:rPr>
                <w:rFonts w:ascii="Arial" w:cs="Arial" w:eastAsia="Arial" w:hAnsi="Arial"/>
                <w:sz w:val="22"/>
                <w:szCs w:val="22"/>
                <w:color w:val="auto"/>
              </w:rPr>
              <w:t>Marc D. Schorr</w:t>
            </w:r>
          </w:p>
        </w:tc>
        <w:tc>
          <w:tcPr>
            <w:tcW w:w="1040" w:type="dxa"/>
            <w:vAlign w:val="bottom"/>
          </w:tcPr>
          <w:p>
            <w:pPr>
              <w:spacing w:after="0"/>
              <w:rPr>
                <w:sz w:val="18"/>
                <w:szCs w:val="18"/>
                <w:color w:val="auto"/>
              </w:rPr>
            </w:pPr>
          </w:p>
        </w:tc>
        <w:tc>
          <w:tcPr>
            <w:tcW w:w="3520" w:type="dxa"/>
            <w:vAlign w:val="bottom"/>
            <w:tcBorders>
              <w:top w:val="single" w:sz="8" w:color="auto"/>
            </w:tcBorders>
          </w:tcPr>
          <w:p>
            <w:pPr>
              <w:spacing w:after="0" w:line="208" w:lineRule="exact"/>
              <w:rPr>
                <w:sz w:val="20"/>
                <w:szCs w:val="20"/>
                <w:color w:val="auto"/>
              </w:rPr>
            </w:pPr>
            <w:r>
              <w:rPr>
                <w:rFonts w:ascii="Arial" w:cs="Arial" w:eastAsia="Arial" w:hAnsi="Arial"/>
                <w:sz w:val="22"/>
                <w:szCs w:val="22"/>
                <w:color w:val="auto"/>
              </w:rPr>
              <w:t>Matt Maddox</w:t>
            </w:r>
          </w:p>
        </w:tc>
      </w:tr>
      <w:tr>
        <w:trPr>
          <w:trHeight w:val="294"/>
        </w:trPr>
        <w:tc>
          <w:tcPr>
            <w:tcW w:w="460" w:type="dxa"/>
            <w:vAlign w:val="bottom"/>
          </w:tcPr>
          <w:p>
            <w:pPr>
              <w:spacing w:after="0"/>
              <w:rPr>
                <w:sz w:val="24"/>
                <w:szCs w:val="24"/>
                <w:color w:val="auto"/>
              </w:rPr>
            </w:pPr>
          </w:p>
        </w:tc>
        <w:tc>
          <w:tcPr>
            <w:tcW w:w="4580" w:type="dxa"/>
            <w:vAlign w:val="bottom"/>
          </w:tcPr>
          <w:p>
            <w:pPr>
              <w:ind w:left="140"/>
              <w:spacing w:after="0"/>
              <w:rPr>
                <w:sz w:val="20"/>
                <w:szCs w:val="20"/>
                <w:color w:val="auto"/>
              </w:rPr>
            </w:pPr>
            <w:r>
              <w:rPr>
                <w:rFonts w:ascii="Arial" w:cs="Arial" w:eastAsia="Arial" w:hAnsi="Arial"/>
                <w:sz w:val="22"/>
                <w:szCs w:val="22"/>
                <w:color w:val="auto"/>
              </w:rPr>
              <w:t>Chief Operating Officer</w:t>
            </w: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lowerLetter"/>
      <w:start w:val="1"/>
    </w:lvl>
    <w:lvl w:ilvl="1">
      <w:lvlJc w:val="left"/>
      <w:lvlText w:val="(%2)"/>
      <w:numFmt w:val="lowerRoman"/>
      <w:start w:val="2"/>
    </w:lvl>
  </w:abstractNum>
  <w:abstractNum w:abstractNumId="4">
    <w:nsid w:val="515F007C"/>
    <w:multiLevelType w:val="hybridMultilevel"/>
    <w:lvl w:ilvl="0">
      <w:lvlJc w:val="left"/>
      <w:lvlText w:val="(%1)"/>
      <w:numFmt w:val="lowerLetter"/>
      <w:start w:val="25"/>
    </w:lvl>
    <w:lvl w:ilvl="1">
      <w:lvlJc w:val="left"/>
      <w:lvlText w:val="%2"/>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5"/>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2019-12-15T06:37:58Z</dcterms:created>
  <dcterms:modified xsi:type="dcterms:W3CDTF">2019-12-15T06:37:58Z</dcterms:modified>
</cp:coreProperties>
</file>