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264"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Pursuant to Section 13 or 15(d) of</w:t>
      </w:r>
    </w:p>
    <w:p>
      <w:pPr>
        <w:jc w:val="center"/>
        <w:ind w:right="-99"/>
        <w:spacing w:after="0"/>
        <w:rPr>
          <w:sz w:val="20"/>
          <w:szCs w:val="20"/>
          <w:color w:val="auto"/>
        </w:rPr>
      </w:pPr>
      <w:r>
        <w:rPr>
          <w:rFonts w:ascii="Arial" w:cs="Arial" w:eastAsia="Arial" w:hAnsi="Arial"/>
          <w:sz w:val="20"/>
          <w:szCs w:val="20"/>
          <w:b w:val="1"/>
          <w:bCs w:val="1"/>
          <w:color w:val="auto"/>
        </w:rPr>
        <w:t>The Securities Exchange Act of 1934</w:t>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Date of Report (Date of Earliest Event Reported):</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August 1, 2008</w:t>
      </w:r>
    </w:p>
    <w:p>
      <w:pPr>
        <w:spacing w:after="0" w:line="200" w:lineRule="exact"/>
        <w:rPr>
          <w:sz w:val="24"/>
          <w:szCs w:val="24"/>
          <w:color w:val="auto"/>
        </w:rPr>
      </w:pPr>
    </w:p>
    <w:p>
      <w:pPr>
        <w:spacing w:after="0" w:line="264"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(Exact Name of Registrant as specified in Charter)</w:t>
      </w:r>
    </w:p>
    <w:p>
      <w:pPr>
        <w:sectPr>
          <w:pgSz w:w="11900" w:h="16838" w:orient="portrait"/>
          <w:cols w:equalWidth="0" w:num="1">
            <w:col w:w="11320"/>
          </w:cols>
          <w:pgMar w:left="240" w:top="1305" w:right="339" w:bottom="1440" w:gutter="0" w:footer="0" w:header="0"/>
        </w:sectPr>
      </w:pPr>
    </w:p>
    <w:p>
      <w:pPr>
        <w:spacing w:after="0" w:line="232" w:lineRule="exact"/>
        <w:rPr>
          <w:sz w:val="24"/>
          <w:szCs w:val="24"/>
          <w:color w:val="auto"/>
        </w:rPr>
      </w:pPr>
    </w:p>
    <w:p>
      <w:pPr>
        <w:ind w:left="1360"/>
        <w:spacing w:after="0"/>
        <w:rPr>
          <w:sz w:val="20"/>
          <w:szCs w:val="20"/>
          <w:color w:val="auto"/>
        </w:rPr>
      </w:pPr>
      <w:r>
        <w:rPr>
          <w:rFonts w:ascii="Arial" w:cs="Arial" w:eastAsia="Arial" w:hAnsi="Arial"/>
          <w:sz w:val="20"/>
          <w:szCs w:val="20"/>
          <w:b w:val="1"/>
          <w:bCs w:val="1"/>
          <w:color w:val="auto"/>
        </w:rPr>
        <w:t>Nevada</w:t>
      </w:r>
    </w:p>
    <w:p>
      <w:pPr>
        <w:spacing w:after="0" w:line="22"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000"/>
        <w:spacing w:after="0"/>
        <w:rPr>
          <w:sz w:val="20"/>
          <w:szCs w:val="20"/>
          <w:color w:val="auto"/>
        </w:rPr>
      </w:pPr>
      <w:r>
        <w:rPr>
          <w:rFonts w:ascii="Arial" w:cs="Arial" w:eastAsia="Arial" w:hAnsi="Arial"/>
          <w:sz w:val="20"/>
          <w:szCs w:val="20"/>
          <w:color w:val="auto"/>
        </w:rPr>
        <w:t>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700"/>
        <w:spacing w:after="0"/>
        <w:rPr>
          <w:sz w:val="20"/>
          <w:szCs w:val="20"/>
          <w:color w:val="auto"/>
        </w:rPr>
      </w:pPr>
      <w:r>
        <w:rPr>
          <w:rFonts w:ascii="Arial" w:cs="Arial" w:eastAsia="Arial" w:hAnsi="Arial"/>
          <w:sz w:val="20"/>
          <w:szCs w:val="20"/>
          <w:b w:val="1"/>
          <w:bCs w:val="1"/>
          <w:color w:val="auto"/>
        </w:rPr>
        <w:t>000-50028</w:t>
      </w:r>
    </w:p>
    <w:p>
      <w:pPr>
        <w:spacing w:after="0" w:line="22" w:lineRule="exact"/>
        <w:rPr>
          <w:sz w:val="24"/>
          <w:szCs w:val="24"/>
          <w:color w:val="auto"/>
        </w:rPr>
      </w:pPr>
    </w:p>
    <w:p>
      <w:pPr>
        <w:jc w:val="center"/>
        <w:ind w:right="1700"/>
        <w:spacing w:after="0"/>
        <w:rPr>
          <w:sz w:val="20"/>
          <w:szCs w:val="20"/>
          <w:color w:val="auto"/>
        </w:rPr>
      </w:pPr>
      <w:r>
        <w:rPr>
          <w:rFonts w:ascii="Arial" w:cs="Arial" w:eastAsia="Arial" w:hAnsi="Arial"/>
          <w:sz w:val="18"/>
          <w:szCs w:val="18"/>
          <w:color w:val="auto"/>
        </w:rPr>
        <w:t>(Commission File</w:t>
      </w:r>
    </w:p>
    <w:p>
      <w:pPr>
        <w:spacing w:after="0" w:line="23" w:lineRule="exact"/>
        <w:rPr>
          <w:sz w:val="24"/>
          <w:szCs w:val="24"/>
          <w:color w:val="auto"/>
        </w:rPr>
      </w:pPr>
    </w:p>
    <w:p>
      <w:pPr>
        <w:jc w:val="center"/>
        <w:ind w:right="1700"/>
        <w:spacing w:after="0"/>
        <w:rPr>
          <w:sz w:val="20"/>
          <w:szCs w:val="20"/>
          <w:color w:val="auto"/>
        </w:rPr>
      </w:pPr>
      <w:r>
        <w:rPr>
          <w:rFonts w:ascii="Arial" w:cs="Arial" w:eastAsia="Arial" w:hAnsi="Arial"/>
          <w:sz w:val="20"/>
          <w:szCs w:val="20"/>
          <w:color w:val="auto"/>
        </w:rPr>
        <w:t>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580"/>
        <w:spacing w:after="0"/>
        <w:rPr>
          <w:sz w:val="20"/>
          <w:szCs w:val="20"/>
          <w:color w:val="auto"/>
        </w:rPr>
      </w:pPr>
      <w:r>
        <w:rPr>
          <w:rFonts w:ascii="Arial" w:cs="Arial" w:eastAsia="Arial" w:hAnsi="Arial"/>
          <w:sz w:val="20"/>
          <w:szCs w:val="20"/>
          <w:b w:val="1"/>
          <w:bCs w:val="1"/>
          <w:color w:val="auto"/>
        </w:rPr>
        <w:t>46-0484987</w:t>
      </w:r>
    </w:p>
    <w:p>
      <w:pPr>
        <w:spacing w:after="0" w:line="21" w:lineRule="exact"/>
        <w:rPr>
          <w:sz w:val="24"/>
          <w:szCs w:val="24"/>
          <w:color w:val="auto"/>
        </w:rPr>
      </w:pPr>
    </w:p>
    <w:p>
      <w:pPr>
        <w:jc w:val="center"/>
        <w:ind w:right="580"/>
        <w:spacing w:after="0"/>
        <w:rPr>
          <w:sz w:val="20"/>
          <w:szCs w:val="20"/>
          <w:color w:val="auto"/>
        </w:rPr>
      </w:pPr>
      <w:r>
        <w:rPr>
          <w:rFonts w:ascii="Arial" w:cs="Arial" w:eastAsia="Arial" w:hAnsi="Arial"/>
          <w:sz w:val="20"/>
          <w:szCs w:val="20"/>
          <w:color w:val="auto"/>
        </w:rPr>
        <w:t>(I.R.S. Employer</w:t>
      </w:r>
    </w:p>
    <w:p>
      <w:pPr>
        <w:jc w:val="center"/>
        <w:ind w:right="580"/>
        <w:spacing w:after="0"/>
        <w:rPr>
          <w:sz w:val="20"/>
          <w:szCs w:val="20"/>
          <w:color w:val="auto"/>
        </w:rPr>
      </w:pPr>
      <w:r>
        <w:rPr>
          <w:rFonts w:ascii="Arial" w:cs="Arial" w:eastAsia="Arial" w:hAnsi="Arial"/>
          <w:sz w:val="18"/>
          <w:szCs w:val="18"/>
          <w:color w:val="auto"/>
        </w:rPr>
        <w:t>Identification Number)</w:t>
      </w:r>
    </w:p>
    <w:p>
      <w:pPr>
        <w:spacing w:after="0" w:line="222" w:lineRule="exact"/>
        <w:rPr>
          <w:sz w:val="24"/>
          <w:szCs w:val="24"/>
          <w:color w:val="auto"/>
        </w:rPr>
      </w:pPr>
    </w:p>
    <w:p>
      <w:pPr>
        <w:sectPr>
          <w:pgSz w:w="11900" w:h="16838" w:orient="portrait"/>
          <w:cols w:equalWidth="0" w:num="3">
            <w:col w:w="4360" w:space="720"/>
            <w:col w:w="3120" w:space="720"/>
            <w:col w:w="2400"/>
          </w:cols>
          <w:pgMar w:left="240" w:top="1305" w:right="339" w:bottom="1440" w:gutter="0" w:footer="0" w:header="0"/>
          <w:type w:val="continuous"/>
        </w:sectPr>
      </w:pPr>
    </w:p>
    <w:p>
      <w:pPr>
        <w:spacing w:after="0" w:line="264"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3131 Las Vegas Boulevard South</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Las Vegas, Nevada 89109</w:t>
      </w:r>
    </w:p>
    <w:p>
      <w:pPr>
        <w:jc w:val="center"/>
        <w:ind w:right="-99"/>
        <w:spacing w:after="0"/>
        <w:rPr>
          <w:sz w:val="20"/>
          <w:szCs w:val="20"/>
          <w:color w:val="auto"/>
        </w:rPr>
      </w:pPr>
      <w:r>
        <w:rPr>
          <w:rFonts w:ascii="Arial" w:cs="Arial" w:eastAsia="Arial" w:hAnsi="Arial"/>
          <w:sz w:val="20"/>
          <w:szCs w:val="20"/>
          <w:color w:val="auto"/>
        </w:rPr>
        <w:t>(Address of principal executive offices) (Zip Code)</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20"/>
          </w:cols>
          <w:pgMar w:left="240" w:top="1305" w:right="339" w:bottom="144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204" w:lineRule="exact"/>
        <w:rPr>
          <w:sz w:val="24"/>
          <w:szCs w:val="24"/>
          <w:color w:val="auto"/>
        </w:rPr>
      </w:pPr>
    </w:p>
    <w:p>
      <w:pPr>
        <w:ind w:left="220" w:hanging="212"/>
        <w:spacing w:after="0"/>
        <w:tabs>
          <w:tab w:leader="none" w:pos="2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Written communications pursuant to Rule 425 under the Securities Act (17 CFR 230.425)</w:t>
      </w:r>
    </w:p>
    <w:p>
      <w:pPr>
        <w:spacing w:after="0" w:line="242" w:lineRule="exact"/>
        <w:rPr>
          <w:rFonts w:ascii="Arial" w:cs="Arial" w:eastAsia="Arial" w:hAnsi="Arial"/>
          <w:sz w:val="20"/>
          <w:szCs w:val="20"/>
          <w:color w:val="auto"/>
        </w:rPr>
      </w:pPr>
    </w:p>
    <w:p>
      <w:pPr>
        <w:ind w:left="220" w:hanging="212"/>
        <w:spacing w:after="0"/>
        <w:tabs>
          <w:tab w:leader="none" w:pos="2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Soliciting material pursuant to Rule 14a-12 under the Exchange Act (17 CFR 240.14a-12)</w:t>
      </w:r>
    </w:p>
    <w:p>
      <w:pPr>
        <w:spacing w:after="0" w:line="242" w:lineRule="exact"/>
        <w:rPr>
          <w:rFonts w:ascii="Arial" w:cs="Arial" w:eastAsia="Arial" w:hAnsi="Arial"/>
          <w:sz w:val="20"/>
          <w:szCs w:val="20"/>
          <w:color w:val="auto"/>
        </w:rPr>
      </w:pPr>
    </w:p>
    <w:p>
      <w:pPr>
        <w:ind w:left="220" w:hanging="212"/>
        <w:spacing w:after="0"/>
        <w:tabs>
          <w:tab w:leader="none" w:pos="2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spacing w:after="0" w:line="242" w:lineRule="exact"/>
        <w:rPr>
          <w:rFonts w:ascii="Arial" w:cs="Arial" w:eastAsia="Arial" w:hAnsi="Arial"/>
          <w:sz w:val="20"/>
          <w:szCs w:val="20"/>
          <w:color w:val="auto"/>
        </w:rPr>
      </w:pPr>
    </w:p>
    <w:p>
      <w:pPr>
        <w:ind w:left="220" w:hanging="212"/>
        <w:spacing w:after="0"/>
        <w:tabs>
          <w:tab w:leader="none" w:pos="2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516255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1226185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0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8.01. Other Events.</w:t>
      </w:r>
    </w:p>
    <w:p>
      <w:pPr>
        <w:spacing w:after="0" w:line="200" w:lineRule="exact"/>
        <w:rPr>
          <w:sz w:val="20"/>
          <w:szCs w:val="20"/>
          <w:color w:val="auto"/>
        </w:rPr>
      </w:pPr>
    </w:p>
    <w:p>
      <w:pPr>
        <w:spacing w:after="0" w:line="292"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On August 1, 2008, Palo Real Estate Development Company Limited (“Palo”), Wynn Cotai Holding Company, Ltd. and Cotai Partner, Ltd., each a wholly owned indirect subsidiary of Wynn Resorts, Limited (the “Registrant”), entered into an agreement with an unrelated third party to make a one-time payment in the amount of US$50 million in consideration of the unrelated third party’s relinquishment of certain rights with respect to a portion of approximately 52 acres of land in the Cotai area of Macau. The payment will be made within 15 days after the Government of the Special Administrative Region of the People’s Republic of China publishes Palo’s rights to the land in the government’s official gazette. As previously disclosed by the Registrant, an application for the land has been submitted to the Macau government and is awaiting final government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750570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810895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1520825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46"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4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August 1, 2008</w:t>
      </w:r>
    </w:p>
    <w:p>
      <w:pPr>
        <w:spacing w:after="0" w:line="243"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WYNN RESORTS, LIMITED</w:t>
      </w:r>
    </w:p>
    <w:p>
      <w:pPr>
        <w:spacing w:after="0" w:line="229"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19050</wp:posOffset>
            </wp:positionV>
            <wp:extent cx="16637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20" w:lineRule="exact"/>
        <w:rPr>
          <w:sz w:val="20"/>
          <w:szCs w:val="20"/>
          <w:color w:val="auto"/>
        </w:rPr>
      </w:pPr>
    </w:p>
    <w:p>
      <w:pPr>
        <w:ind w:left="6180"/>
        <w:spacing w:after="0"/>
        <w:rPr>
          <w:sz w:val="20"/>
          <w:szCs w:val="20"/>
          <w:color w:val="auto"/>
        </w:rPr>
      </w:pPr>
      <w:r>
        <w:rPr>
          <w:rFonts w:ascii="Arial" w:cs="Arial" w:eastAsia="Arial" w:hAnsi="Arial"/>
          <w:sz w:val="20"/>
          <w:szCs w:val="20"/>
          <w:color w:val="auto"/>
        </w:rPr>
        <w:t>Matt Maddox</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20"/>
          <w:szCs w:val="20"/>
          <w:color w:val="auto"/>
        </w:rPr>
        <w:t>Chief Financial Officer and</w:t>
      </w:r>
    </w:p>
    <w:p>
      <w:pPr>
        <w:ind w:left="6180"/>
        <w:spacing w:after="0"/>
        <w:rPr>
          <w:sz w:val="20"/>
          <w:szCs w:val="20"/>
          <w:color w:val="auto"/>
        </w:rPr>
      </w:pPr>
      <w:r>
        <w:rPr>
          <w:rFonts w:ascii="Arial" w:cs="Arial" w:eastAsia="Arial" w:hAnsi="Arial"/>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909320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969645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8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2019-12-15T07:17:42Z</dcterms:created>
  <dcterms:modified xsi:type="dcterms:W3CDTF">2019-12-15T07:17:42Z</dcterms:modified>
</cp:coreProperties>
</file>