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____________________</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Date of Report (Date of earliest event reported): April 9, 2007</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7"/>
              </w:rPr>
              <w:t>Nevada</w:t>
            </w:r>
          </w:p>
        </w:tc>
        <w:tc>
          <w:tcPr>
            <w:tcW w:w="3040" w:type="dxa"/>
            <w:vAlign w:val="bottom"/>
          </w:tcPr>
          <w:p>
            <w:pPr>
              <w:jc w:val="right"/>
              <w:ind w:right="812"/>
              <w:spacing w:after="0"/>
              <w:rPr>
                <w:sz w:val="20"/>
                <w:szCs w:val="20"/>
                <w:color w:val="auto"/>
              </w:rPr>
            </w:pPr>
            <w:r>
              <w:rPr>
                <w:rFonts w:ascii="Arial" w:cs="Arial" w:eastAsia="Arial" w:hAnsi="Arial"/>
                <w:sz w:val="18"/>
                <w:szCs w:val="18"/>
                <w:b w:val="1"/>
                <w:bCs w:val="1"/>
                <w:color w:val="auto"/>
              </w:rPr>
              <w:t>000-50028</w:t>
            </w:r>
          </w:p>
        </w:tc>
        <w:tc>
          <w:tcPr>
            <w:tcW w:w="2820" w:type="dxa"/>
            <w:vAlign w:val="bottom"/>
          </w:tcPr>
          <w:p>
            <w:pPr>
              <w:jc w:val="right"/>
              <w:ind w:right="692"/>
              <w:spacing w:after="0"/>
              <w:rPr>
                <w:sz w:val="20"/>
                <w:szCs w:val="20"/>
                <w:color w:val="auto"/>
              </w:rPr>
            </w:pPr>
            <w:r>
              <w:rPr>
                <w:rFonts w:ascii="Arial" w:cs="Arial" w:eastAsia="Arial" w:hAnsi="Arial"/>
                <w:sz w:val="18"/>
                <w:szCs w:val="18"/>
                <w:b w:val="1"/>
                <w:bCs w:val="1"/>
                <w:color w:val="auto"/>
              </w:rPr>
              <w:t>46-0484987</w:t>
            </w:r>
          </w:p>
        </w:tc>
      </w:tr>
      <w:tr>
        <w:trPr>
          <w:trHeight w:val="237"/>
        </w:trPr>
        <w:tc>
          <w:tcPr>
            <w:tcW w:w="2240" w:type="dxa"/>
            <w:vAlign w:val="bottom"/>
          </w:tcPr>
          <w:p>
            <w:pPr>
              <w:spacing w:after="0"/>
              <w:rPr>
                <w:sz w:val="20"/>
                <w:szCs w:val="20"/>
                <w:color w:val="auto"/>
              </w:rPr>
            </w:pPr>
            <w:r>
              <w:rPr>
                <w:rFonts w:ascii="Arial" w:cs="Arial" w:eastAsia="Arial" w:hAnsi="Arial"/>
                <w:sz w:val="18"/>
                <w:szCs w:val="18"/>
                <w:color w:val="auto"/>
                <w:w w:val="98"/>
              </w:rPr>
              <w:t>(State or other jurisdiction of</w:t>
            </w:r>
          </w:p>
        </w:tc>
        <w:tc>
          <w:tcPr>
            <w:tcW w:w="3040" w:type="dxa"/>
            <w:vAlign w:val="bottom"/>
          </w:tcPr>
          <w:p>
            <w:pPr>
              <w:ind w:left="720"/>
              <w:spacing w:after="0"/>
              <w:rPr>
                <w:sz w:val="20"/>
                <w:szCs w:val="20"/>
                <w:color w:val="auto"/>
              </w:rPr>
            </w:pPr>
            <w:r>
              <w:rPr>
                <w:rFonts w:ascii="Arial" w:cs="Arial" w:eastAsia="Arial" w:hAnsi="Arial"/>
                <w:sz w:val="18"/>
                <w:szCs w:val="18"/>
                <w:color w:val="auto"/>
              </w:rPr>
              <w:t>(Commission File Number)</w:t>
            </w:r>
          </w:p>
        </w:tc>
        <w:tc>
          <w:tcPr>
            <w:tcW w:w="282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r>
        <w:trPr>
          <w:trHeight w:val="222"/>
        </w:trPr>
        <w:tc>
          <w:tcPr>
            <w:tcW w:w="22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304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486"/>
        </w:trPr>
        <w:tc>
          <w:tcPr>
            <w:tcW w:w="2240" w:type="dxa"/>
            <w:vAlign w:val="bottom"/>
          </w:tcPr>
          <w:p>
            <w:pPr>
              <w:spacing w:after="0"/>
              <w:rPr>
                <w:sz w:val="24"/>
                <w:szCs w:val="24"/>
                <w:color w:val="auto"/>
              </w:rPr>
            </w:pPr>
          </w:p>
        </w:tc>
        <w:tc>
          <w:tcPr>
            <w:tcW w:w="3040" w:type="dxa"/>
            <w:vAlign w:val="bottom"/>
          </w:tcPr>
          <w:p>
            <w:pPr>
              <w:ind w:left="720"/>
              <w:spacing w:after="0"/>
              <w:rPr>
                <w:sz w:val="20"/>
                <w:szCs w:val="20"/>
                <w:color w:val="auto"/>
              </w:rPr>
            </w:pPr>
            <w:r>
              <w:rPr>
                <w:rFonts w:ascii="Arial" w:cs="Arial" w:eastAsia="Arial" w:hAnsi="Arial"/>
                <w:sz w:val="18"/>
                <w:szCs w:val="18"/>
                <w:b w:val="1"/>
                <w:bCs w:val="1"/>
                <w:color w:val="auto"/>
              </w:rPr>
              <w:t>WYNN LAS VEGAS, LLC</w:t>
            </w:r>
          </w:p>
        </w:tc>
        <w:tc>
          <w:tcPr>
            <w:tcW w:w="2820" w:type="dxa"/>
            <w:vAlign w:val="bottom"/>
          </w:tcPr>
          <w:p>
            <w:pPr>
              <w:spacing w:after="0"/>
              <w:rPr>
                <w:sz w:val="24"/>
                <w:szCs w:val="24"/>
                <w:color w:val="auto"/>
              </w:rPr>
            </w:pPr>
          </w:p>
        </w:tc>
      </w:tr>
      <w:tr>
        <w:trPr>
          <w:trHeight w:val="243"/>
        </w:trPr>
        <w:tc>
          <w:tcPr>
            <w:tcW w:w="2240" w:type="dxa"/>
            <w:vAlign w:val="bottom"/>
          </w:tcPr>
          <w:p>
            <w:pPr>
              <w:spacing w:after="0"/>
              <w:rPr>
                <w:sz w:val="21"/>
                <w:szCs w:val="21"/>
                <w:color w:val="auto"/>
              </w:rPr>
            </w:pPr>
          </w:p>
        </w:tc>
        <w:tc>
          <w:tcPr>
            <w:tcW w:w="5860" w:type="dxa"/>
            <w:vAlign w:val="bottom"/>
            <w:gridSpan w:val="2"/>
          </w:tcPr>
          <w:p>
            <w:pPr>
              <w:jc w:val="right"/>
              <w:ind w:right="213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7"/>
              </w:rPr>
              <w:t>Nevada</w:t>
            </w:r>
          </w:p>
        </w:tc>
        <w:tc>
          <w:tcPr>
            <w:tcW w:w="3040" w:type="dxa"/>
            <w:vAlign w:val="bottom"/>
          </w:tcPr>
          <w:p>
            <w:pPr>
              <w:jc w:val="right"/>
              <w:ind w:right="812"/>
              <w:spacing w:after="0"/>
              <w:rPr>
                <w:sz w:val="20"/>
                <w:szCs w:val="20"/>
                <w:color w:val="auto"/>
              </w:rPr>
            </w:pPr>
            <w:r>
              <w:rPr>
                <w:rFonts w:ascii="Arial" w:cs="Arial" w:eastAsia="Arial" w:hAnsi="Arial"/>
                <w:sz w:val="18"/>
                <w:szCs w:val="18"/>
                <w:b w:val="1"/>
                <w:bCs w:val="1"/>
                <w:color w:val="auto"/>
              </w:rPr>
              <w:t>333-98369</w:t>
            </w:r>
          </w:p>
        </w:tc>
        <w:tc>
          <w:tcPr>
            <w:tcW w:w="2820" w:type="dxa"/>
            <w:vAlign w:val="bottom"/>
          </w:tcPr>
          <w:p>
            <w:pPr>
              <w:jc w:val="right"/>
              <w:ind w:right="692"/>
              <w:spacing w:after="0"/>
              <w:rPr>
                <w:sz w:val="20"/>
                <w:szCs w:val="20"/>
                <w:color w:val="auto"/>
              </w:rPr>
            </w:pPr>
            <w:r>
              <w:rPr>
                <w:rFonts w:ascii="Arial" w:cs="Arial" w:eastAsia="Arial" w:hAnsi="Arial"/>
                <w:sz w:val="18"/>
                <w:szCs w:val="18"/>
                <w:b w:val="1"/>
                <w:bCs w:val="1"/>
                <w:color w:val="auto"/>
              </w:rPr>
              <w:t>88-0494875</w:t>
            </w:r>
          </w:p>
        </w:tc>
      </w:tr>
      <w:tr>
        <w:trPr>
          <w:trHeight w:val="237"/>
        </w:trPr>
        <w:tc>
          <w:tcPr>
            <w:tcW w:w="2240" w:type="dxa"/>
            <w:vAlign w:val="bottom"/>
          </w:tcPr>
          <w:p>
            <w:pPr>
              <w:spacing w:after="0"/>
              <w:rPr>
                <w:sz w:val="20"/>
                <w:szCs w:val="20"/>
                <w:color w:val="auto"/>
              </w:rPr>
            </w:pPr>
            <w:r>
              <w:rPr>
                <w:rFonts w:ascii="Arial" w:cs="Arial" w:eastAsia="Arial" w:hAnsi="Arial"/>
                <w:sz w:val="18"/>
                <w:szCs w:val="18"/>
                <w:color w:val="auto"/>
                <w:w w:val="98"/>
              </w:rPr>
              <w:t>(State or other jurisdiction of</w:t>
            </w:r>
          </w:p>
        </w:tc>
        <w:tc>
          <w:tcPr>
            <w:tcW w:w="3040" w:type="dxa"/>
            <w:vAlign w:val="bottom"/>
          </w:tcPr>
          <w:p>
            <w:pPr>
              <w:ind w:left="720"/>
              <w:spacing w:after="0"/>
              <w:rPr>
                <w:sz w:val="20"/>
                <w:szCs w:val="20"/>
                <w:color w:val="auto"/>
              </w:rPr>
            </w:pPr>
            <w:r>
              <w:rPr>
                <w:rFonts w:ascii="Arial" w:cs="Arial" w:eastAsia="Arial" w:hAnsi="Arial"/>
                <w:sz w:val="18"/>
                <w:szCs w:val="18"/>
                <w:color w:val="auto"/>
              </w:rPr>
              <w:t>(Commission File Number)</w:t>
            </w:r>
          </w:p>
        </w:tc>
        <w:tc>
          <w:tcPr>
            <w:tcW w:w="282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r>
        <w:trPr>
          <w:trHeight w:val="222"/>
        </w:trPr>
        <w:tc>
          <w:tcPr>
            <w:tcW w:w="22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304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486"/>
        </w:trPr>
        <w:tc>
          <w:tcPr>
            <w:tcW w:w="5280" w:type="dxa"/>
            <w:vAlign w:val="bottom"/>
            <w:gridSpan w:val="2"/>
          </w:tcPr>
          <w:p>
            <w:pPr>
              <w:ind w:left="220"/>
              <w:spacing w:after="0"/>
              <w:rPr>
                <w:sz w:val="20"/>
                <w:szCs w:val="20"/>
                <w:color w:val="auto"/>
              </w:rPr>
            </w:pPr>
            <w:r>
              <w:rPr>
                <w:rFonts w:ascii="Arial" w:cs="Arial" w:eastAsia="Arial" w:hAnsi="Arial"/>
                <w:sz w:val="18"/>
                <w:szCs w:val="18"/>
                <w:b w:val="1"/>
                <w:bCs w:val="1"/>
                <w:color w:val="auto"/>
              </w:rPr>
              <w:t>3131 Las Vegas Boulevard South</w:t>
            </w:r>
          </w:p>
        </w:tc>
        <w:tc>
          <w:tcPr>
            <w:tcW w:w="2820" w:type="dxa"/>
            <w:vAlign w:val="bottom"/>
          </w:tcPr>
          <w:p>
            <w:pPr>
              <w:spacing w:after="0"/>
              <w:rPr>
                <w:sz w:val="24"/>
                <w:szCs w:val="24"/>
                <w:color w:val="auto"/>
              </w:rPr>
            </w:pPr>
          </w:p>
        </w:tc>
      </w:tr>
      <w:tr>
        <w:trPr>
          <w:trHeight w:val="243"/>
        </w:trPr>
        <w:tc>
          <w:tcPr>
            <w:tcW w:w="2240" w:type="dxa"/>
            <w:vAlign w:val="bottom"/>
          </w:tcPr>
          <w:p>
            <w:pPr>
              <w:ind w:left="820"/>
              <w:spacing w:after="0"/>
              <w:rPr>
                <w:sz w:val="20"/>
                <w:szCs w:val="20"/>
                <w:color w:val="auto"/>
              </w:rPr>
            </w:pPr>
            <w:r>
              <w:rPr>
                <w:rFonts w:ascii="Arial" w:cs="Arial" w:eastAsia="Arial" w:hAnsi="Arial"/>
                <w:sz w:val="18"/>
                <w:szCs w:val="18"/>
                <w:b w:val="1"/>
                <w:bCs w:val="1"/>
                <w:color w:val="auto"/>
                <w:w w:val="85"/>
              </w:rPr>
              <w:t>Las Vegas, Nevada</w:t>
            </w:r>
          </w:p>
        </w:tc>
        <w:tc>
          <w:tcPr>
            <w:tcW w:w="3040" w:type="dxa"/>
            <w:vAlign w:val="bottom"/>
          </w:tcPr>
          <w:p>
            <w:pPr>
              <w:spacing w:after="0"/>
              <w:rPr>
                <w:sz w:val="21"/>
                <w:szCs w:val="21"/>
                <w:color w:val="auto"/>
              </w:rPr>
            </w:pPr>
          </w:p>
        </w:tc>
        <w:tc>
          <w:tcPr>
            <w:tcW w:w="2820" w:type="dxa"/>
            <w:vAlign w:val="bottom"/>
          </w:tcPr>
          <w:p>
            <w:pPr>
              <w:jc w:val="right"/>
              <w:ind w:right="872"/>
              <w:spacing w:after="0"/>
              <w:rPr>
                <w:sz w:val="20"/>
                <w:szCs w:val="20"/>
                <w:color w:val="auto"/>
              </w:rPr>
            </w:pPr>
            <w:r>
              <w:rPr>
                <w:rFonts w:ascii="Arial" w:cs="Arial" w:eastAsia="Arial" w:hAnsi="Arial"/>
                <w:sz w:val="18"/>
                <w:szCs w:val="18"/>
                <w:b w:val="1"/>
                <w:bCs w:val="1"/>
                <w:color w:val="auto"/>
              </w:rPr>
              <w:t>89109</w:t>
            </w:r>
          </w:p>
        </w:tc>
      </w:tr>
      <w:tr>
        <w:trPr>
          <w:trHeight w:val="243"/>
        </w:trPr>
        <w:tc>
          <w:tcPr>
            <w:tcW w:w="528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 of each registrant)</w:t>
            </w:r>
          </w:p>
        </w:tc>
        <w:tc>
          <w:tcPr>
            <w:tcW w:w="2820" w:type="dxa"/>
            <w:vAlign w:val="bottom"/>
          </w:tcPr>
          <w:p>
            <w:pPr>
              <w:jc w:val="right"/>
              <w:ind w:right="692"/>
              <w:spacing w:after="0"/>
              <w:rPr>
                <w:sz w:val="20"/>
                <w:szCs w:val="20"/>
                <w:color w:val="auto"/>
              </w:rPr>
            </w:pPr>
            <w:r>
              <w:rPr>
                <w:rFonts w:ascii="Arial" w:cs="Arial" w:eastAsia="Arial" w:hAnsi="Arial"/>
                <w:sz w:val="18"/>
                <w:szCs w:val="18"/>
                <w:color w:val="auto"/>
              </w:rPr>
              <w:t>(Zip Code)</w:t>
            </w:r>
          </w:p>
        </w:tc>
      </w:tr>
    </w:tbl>
    <w:p>
      <w:pPr>
        <w:spacing w:after="0" w:line="23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6" w:lineRule="exact"/>
        <w:rPr>
          <w:sz w:val="24"/>
          <w:szCs w:val="24"/>
          <w:color w:val="auto"/>
        </w:rPr>
      </w:pPr>
    </w:p>
    <w:p>
      <w:pPr>
        <w:jc w:val="both"/>
        <w:ind w:right="2099"/>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13"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500" w:right="2119" w:hanging="492"/>
        <w:spacing w:after="0" w:line="268"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2" w:lineRule="exact"/>
        <w:rPr>
          <w:rFonts w:ascii="Arial" w:cs="Arial" w:eastAsia="Arial" w:hAnsi="Arial"/>
          <w:sz w:val="18"/>
          <w:szCs w:val="18"/>
          <w:color w:val="auto"/>
        </w:rPr>
      </w:pPr>
    </w:p>
    <w:p>
      <w:pPr>
        <w:ind w:left="500" w:right="2139" w:hanging="492"/>
        <w:spacing w:after="0" w:line="268"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8" w:lineRule="exact"/>
        <w:rPr>
          <w:sz w:val="24"/>
          <w:szCs w:val="24"/>
          <w:color w:val="auto"/>
        </w:rPr>
      </w:pPr>
    </w:p>
    <w:p>
      <w:pPr>
        <w:ind w:right="2179"/>
        <w:spacing w:after="0" w:line="290" w:lineRule="auto"/>
        <w:rPr>
          <w:sz w:val="20"/>
          <w:szCs w:val="20"/>
          <w:color w:val="auto"/>
        </w:rPr>
      </w:pPr>
      <w:r>
        <w:rPr>
          <w:rFonts w:ascii="Arial" w:cs="Arial" w:eastAsia="Arial" w:hAnsi="Arial"/>
          <w:sz w:val="16"/>
          <w:szCs w:val="16"/>
          <w:color w:val="auto"/>
        </w:rPr>
        <w:t>On April 9, 2007, Wynn Las Vegas, LLC (“WLV”), a wholly owned subsidiary of Wynn Resorts, Limited (“WRL”), entered into a First Amendment to Amended and Restated Credit Agreement, dated as of April 9, 2007 (the “Credit Agreement Amendment”), among WLV, Wynn Las Vegas Capital Corp., Wynn Show Performers, LLC, Wynn Golf, LLC, Wynn Sunrise, LLC, World Travel, LLC, Kevyn, LLC, Las Vegas Jet, LLC, and Deutsche Bank Trust Company Americas, as Administrative Agent on behalf of the several banks and other financial institutions or entities from time to time party to WLV’s Amended and Restated Credit Agreement, dated as of August 15, 2006 (the “Credit Agreement”).</w:t>
      </w:r>
    </w:p>
    <w:p>
      <w:pPr>
        <w:spacing w:after="0" w:line="199" w:lineRule="exact"/>
        <w:rPr>
          <w:sz w:val="24"/>
          <w:szCs w:val="24"/>
          <w:color w:val="auto"/>
        </w:rPr>
      </w:pPr>
    </w:p>
    <w:p>
      <w:pPr>
        <w:ind w:right="2379"/>
        <w:spacing w:after="0" w:line="259" w:lineRule="auto"/>
        <w:rPr>
          <w:sz w:val="20"/>
          <w:szCs w:val="20"/>
          <w:color w:val="auto"/>
        </w:rPr>
      </w:pPr>
      <w:r>
        <w:rPr>
          <w:rFonts w:ascii="Arial" w:cs="Arial" w:eastAsia="Arial" w:hAnsi="Arial"/>
          <w:sz w:val="18"/>
          <w:szCs w:val="18"/>
          <w:color w:val="auto"/>
        </w:rPr>
        <w:t>Also on April 9, 2007, WLV entered into a Fifth Amendment to Master Disbursement Agreement, dated as of April 9, 2007 (the “Disbursement Agreement Amendment”), with Deutsche Bank Trust Company Americas, as Bank Agent and Disbursement Agent.</w:t>
      </w:r>
    </w:p>
    <w:p>
      <w:pPr>
        <w:spacing w:after="0" w:line="221" w:lineRule="exact"/>
        <w:rPr>
          <w:sz w:val="24"/>
          <w:szCs w:val="24"/>
          <w:color w:val="auto"/>
        </w:rPr>
      </w:pPr>
    </w:p>
    <w:p>
      <w:pPr>
        <w:ind w:right="2199"/>
        <w:spacing w:after="0" w:line="323" w:lineRule="auto"/>
        <w:rPr>
          <w:sz w:val="20"/>
          <w:szCs w:val="20"/>
          <w:color w:val="auto"/>
        </w:rPr>
      </w:pPr>
      <w:r>
        <w:rPr>
          <w:rFonts w:ascii="Arial" w:cs="Arial" w:eastAsia="Arial" w:hAnsi="Arial"/>
          <w:sz w:val="15"/>
          <w:szCs w:val="15"/>
          <w:color w:val="auto"/>
        </w:rPr>
        <w:t>The Credit Agreement Amendment and the Disbursement Agreement Amendment, among other things, (i) permit the issuance by WLV and Wynn Las Vegas Capital Corp. of up to $500 million of senior unsecured debt to the extent permitted under the indenture relating to WLV’s First Mortgage Notes due 2014 and include such amounts as available funds under the Disbursement Agreement; (ii) declare construction of phase I of the Wynn Las Vegas</w:t>
      </w:r>
    </w:p>
    <w:p>
      <w:pPr>
        <w:sectPr>
          <w:pgSz w:w="11900" w:h="16845" w:orient="portrait"/>
          <w:cols w:equalWidth="0" w:num="1">
            <w:col w:w="10219"/>
          </w:cols>
          <w:pgMar w:left="240" w:top="233" w:right="1440" w:bottom="0" w:gutter="0" w:footer="0" w:header="0"/>
        </w:sectPr>
      </w:pPr>
    </w:p>
    <w:bookmarkStart w:id="1" w:name="page2"/>
    <w:bookmarkEnd w:id="1"/>
    <w:p>
      <w:pPr>
        <w:ind w:right="2239"/>
        <w:spacing w:after="0" w:line="294" w:lineRule="auto"/>
        <w:rPr>
          <w:sz w:val="20"/>
          <w:szCs w:val="20"/>
          <w:color w:val="auto"/>
        </w:rPr>
      </w:pPr>
      <w:r>
        <w:rPr>
          <w:rFonts w:ascii="Arial" w:cs="Arial" w:eastAsia="Arial" w:hAnsi="Arial"/>
          <w:sz w:val="16"/>
          <w:szCs w:val="16"/>
          <w:color w:val="auto"/>
        </w:rPr>
        <w:t>resort completed; (iii) release all amounts in excess of $30 million from the completion guaranty deposit account, and release all funds in the project liquidity reserve account; (iv) increase the maximum permissible expenditures for payment of Encore project costs from $300 million to $500 million prior to the execution of a guaranteed maximum price contract for Encore; and (v) provide a de minimus exception from requiring delivery of an environmental report upon receipt of a property interest.</w:t>
      </w:r>
    </w:p>
    <w:p>
      <w:pPr>
        <w:spacing w:after="0" w:line="197" w:lineRule="exact"/>
        <w:rPr>
          <w:sz w:val="20"/>
          <w:szCs w:val="20"/>
          <w:color w:val="auto"/>
        </w:rPr>
      </w:pPr>
    </w:p>
    <w:p>
      <w:pPr>
        <w:ind w:right="2159"/>
        <w:spacing w:after="0" w:line="298" w:lineRule="auto"/>
        <w:rPr>
          <w:sz w:val="20"/>
          <w:szCs w:val="20"/>
          <w:color w:val="auto"/>
        </w:rPr>
      </w:pPr>
      <w:r>
        <w:rPr>
          <w:rFonts w:ascii="Arial" w:cs="Arial" w:eastAsia="Arial" w:hAnsi="Arial"/>
          <w:sz w:val="16"/>
          <w:szCs w:val="16"/>
          <w:color w:val="auto"/>
        </w:rPr>
        <w:t>The lenders and agents under the Credit Agreement and certain of their affiliates have performed investment banking, commercial lending and advisory services for WLV, WRL and their affiliates, from time to time, for which they have received customary fees and expenses. These parties may, from time to time, engage in transactions with, and perform services for, WLV, WRL and their affiliates in the ordinary course of their business.</w:t>
      </w:r>
    </w:p>
    <w:p>
      <w:pPr>
        <w:spacing w:after="0" w:line="19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9, 2007</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WYNN RESORTS, LIMITED</w:t>
      </w:r>
    </w:p>
    <w:p>
      <w:pPr>
        <w:spacing w:after="0" w:line="252"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Strzemp</w:t>
      </w:r>
    </w:p>
    <w:p>
      <w:pPr>
        <w:spacing w:after="0" w:line="3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9, 2007</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WYNN LAS VEGAS, LLC</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Wynn Resorts Holdings, LLC, its sole</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24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Wynn Resorts, Limited, its sole member</w:t>
      </w:r>
    </w:p>
    <w:p>
      <w:pPr>
        <w:spacing w:after="0" w:line="252" w:lineRule="exact"/>
        <w:rPr>
          <w:sz w:val="20"/>
          <w:szCs w:val="20"/>
          <w:color w:val="auto"/>
        </w:rPr>
      </w:pPr>
    </w:p>
    <w:p>
      <w:pPr>
        <w:ind w:left="4540"/>
        <w:spacing w:after="0"/>
        <w:tabs>
          <w:tab w:leader="none" w:pos="5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Strzemp</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24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2019-12-15T06:38:57Z</dcterms:created>
  <dcterms:modified xsi:type="dcterms:W3CDTF">2019-12-15T06:38:57Z</dcterms:modified>
</cp:coreProperties>
</file>