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532765</wp:posOffset>
            </wp:positionV>
            <wp:extent cx="514985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410210</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200" w:lineRule="exact"/>
        <w:rPr>
          <w:sz w:val="24"/>
          <w:szCs w:val="24"/>
          <w:color w:val="auto"/>
        </w:rPr>
      </w:pPr>
    </w:p>
    <w:p>
      <w:pPr>
        <w:spacing w:after="0" w:line="348"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417830</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2004</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jc w:val="center"/>
              <w:ind w:right="572"/>
              <w:spacing w:after="0"/>
              <w:rPr>
                <w:sz w:val="20"/>
                <w:szCs w:val="20"/>
                <w:color w:val="auto"/>
              </w:rPr>
            </w:pPr>
            <w:r>
              <w:rPr>
                <w:rFonts w:ascii="Arial" w:cs="Arial" w:eastAsia="Arial" w:hAnsi="Arial"/>
                <w:sz w:val="18"/>
                <w:szCs w:val="18"/>
                <w:b w:val="1"/>
                <w:bCs w:val="1"/>
                <w:color w:val="auto"/>
                <w:w w:val="87"/>
              </w:rPr>
              <w:t>Nevada</w:t>
            </w:r>
          </w:p>
        </w:tc>
        <w:tc>
          <w:tcPr>
            <w:tcW w:w="2720" w:type="dxa"/>
            <w:vAlign w:val="bottom"/>
          </w:tcPr>
          <w:p>
            <w:pPr>
              <w:jc w:val="right"/>
              <w:ind w:right="1532"/>
              <w:spacing w:after="0"/>
              <w:rPr>
                <w:sz w:val="20"/>
                <w:szCs w:val="20"/>
                <w:color w:val="auto"/>
              </w:rPr>
            </w:pPr>
            <w:r>
              <w:rPr>
                <w:rFonts w:ascii="Arial" w:cs="Arial" w:eastAsia="Arial" w:hAnsi="Arial"/>
                <w:sz w:val="18"/>
                <w:szCs w:val="18"/>
                <w:b w:val="1"/>
                <w:bCs w:val="1"/>
                <w:color w:val="auto"/>
              </w:rPr>
              <w:t>000-50028</w:t>
            </w:r>
          </w:p>
        </w:tc>
        <w:tc>
          <w:tcPr>
            <w:tcW w:w="206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46-0484987</w:t>
            </w:r>
          </w:p>
        </w:tc>
      </w:tr>
      <w:tr>
        <w:trPr>
          <w:trHeight w:val="216"/>
        </w:trPr>
        <w:tc>
          <w:tcPr>
            <w:tcW w:w="3340" w:type="dxa"/>
            <w:vAlign w:val="bottom"/>
          </w:tcPr>
          <w:p>
            <w:pPr>
              <w:jc w:val="center"/>
              <w:ind w:right="552"/>
              <w:spacing w:after="0"/>
              <w:rPr>
                <w:sz w:val="20"/>
                <w:szCs w:val="20"/>
                <w:color w:val="auto"/>
              </w:rPr>
            </w:pPr>
            <w:r>
              <w:rPr>
                <w:rFonts w:ascii="Arial" w:cs="Arial" w:eastAsia="Arial" w:hAnsi="Arial"/>
                <w:sz w:val="18"/>
                <w:szCs w:val="18"/>
                <w:color w:val="auto"/>
                <w:w w:val="88"/>
              </w:rPr>
              <w:t>(State or Other Jurisdiction</w:t>
            </w:r>
          </w:p>
        </w:tc>
        <w:tc>
          <w:tcPr>
            <w:tcW w:w="2720" w:type="dxa"/>
            <w:vAlign w:val="bottom"/>
          </w:tcPr>
          <w:p>
            <w:pPr>
              <w:jc w:val="center"/>
              <w:ind w:right="1192"/>
              <w:spacing w:after="0"/>
              <w:rPr>
                <w:sz w:val="20"/>
                <w:szCs w:val="20"/>
                <w:color w:val="auto"/>
              </w:rPr>
            </w:pPr>
            <w:r>
              <w:rPr>
                <w:rFonts w:ascii="Arial" w:cs="Arial" w:eastAsia="Arial" w:hAnsi="Arial"/>
                <w:sz w:val="18"/>
                <w:szCs w:val="18"/>
                <w:color w:val="auto"/>
                <w:w w:val="91"/>
              </w:rPr>
              <w:t>(Commission</w:t>
            </w:r>
          </w:p>
        </w:tc>
        <w:tc>
          <w:tcPr>
            <w:tcW w:w="2060" w:type="dxa"/>
            <w:vAlign w:val="bottom"/>
          </w:tcPr>
          <w:p>
            <w:pPr>
              <w:jc w:val="center"/>
              <w:ind w:right="532"/>
              <w:spacing w:after="0"/>
              <w:rPr>
                <w:sz w:val="20"/>
                <w:szCs w:val="20"/>
                <w:color w:val="auto"/>
              </w:rPr>
            </w:pPr>
            <w:r>
              <w:rPr>
                <w:rFonts w:ascii="Arial" w:cs="Arial" w:eastAsia="Arial" w:hAnsi="Arial"/>
                <w:sz w:val="18"/>
                <w:szCs w:val="18"/>
                <w:color w:val="auto"/>
                <w:w w:val="91"/>
              </w:rPr>
              <w:t>( IRS Employer</w:t>
            </w:r>
          </w:p>
        </w:tc>
      </w:tr>
      <w:tr>
        <w:trPr>
          <w:trHeight w:val="222"/>
        </w:trPr>
        <w:tc>
          <w:tcPr>
            <w:tcW w:w="3340" w:type="dxa"/>
            <w:vAlign w:val="bottom"/>
          </w:tcPr>
          <w:p>
            <w:pPr>
              <w:jc w:val="center"/>
              <w:ind w:right="572"/>
              <w:spacing w:after="0"/>
              <w:rPr>
                <w:sz w:val="20"/>
                <w:szCs w:val="20"/>
                <w:color w:val="auto"/>
              </w:rPr>
            </w:pPr>
            <w:r>
              <w:rPr>
                <w:rFonts w:ascii="Arial" w:cs="Arial" w:eastAsia="Arial" w:hAnsi="Arial"/>
                <w:sz w:val="18"/>
                <w:szCs w:val="18"/>
                <w:color w:val="auto"/>
                <w:w w:val="91"/>
              </w:rPr>
              <w:t>Of Incorporation or Organization)</w:t>
            </w:r>
          </w:p>
        </w:tc>
        <w:tc>
          <w:tcPr>
            <w:tcW w:w="2720" w:type="dxa"/>
            <w:vAlign w:val="bottom"/>
          </w:tcPr>
          <w:p>
            <w:pPr>
              <w:jc w:val="center"/>
              <w:ind w:right="1192"/>
              <w:spacing w:after="0"/>
              <w:rPr>
                <w:sz w:val="20"/>
                <w:szCs w:val="20"/>
                <w:color w:val="auto"/>
              </w:rPr>
            </w:pPr>
            <w:r>
              <w:rPr>
                <w:rFonts w:ascii="Arial" w:cs="Arial" w:eastAsia="Arial" w:hAnsi="Arial"/>
                <w:sz w:val="18"/>
                <w:szCs w:val="18"/>
                <w:color w:val="auto"/>
                <w:w w:val="92"/>
              </w:rPr>
              <w:t>File Number)</w:t>
            </w:r>
          </w:p>
        </w:tc>
        <w:tc>
          <w:tcPr>
            <w:tcW w:w="2060" w:type="dxa"/>
            <w:vAlign w:val="bottom"/>
          </w:tcPr>
          <w:p>
            <w:pPr>
              <w:jc w:val="center"/>
              <w:ind w:right="552"/>
              <w:spacing w:after="0"/>
              <w:rPr>
                <w:sz w:val="20"/>
                <w:szCs w:val="20"/>
                <w:color w:val="auto"/>
              </w:rPr>
            </w:pPr>
            <w:r>
              <w:rPr>
                <w:rFonts w:ascii="Arial" w:cs="Arial" w:eastAsia="Arial" w:hAnsi="Arial"/>
                <w:sz w:val="18"/>
                <w:szCs w:val="18"/>
                <w:color w:val="auto"/>
                <w:w w:val="92"/>
              </w:rPr>
              <w:t>Identification No.)</w:t>
            </w:r>
          </w:p>
        </w:tc>
      </w:tr>
      <w:tr>
        <w:trPr>
          <w:trHeight w:val="69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6"/>
              </w:rPr>
              <w:t>3131 Las Vegas Boulevard South</w:t>
            </w: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5"/>
              </w:rPr>
              <w:t>Las Vegas, Nevada</w:t>
            </w:r>
          </w:p>
        </w:tc>
        <w:tc>
          <w:tcPr>
            <w:tcW w:w="27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3340" w:type="dxa"/>
            <w:vAlign w:val="bottom"/>
          </w:tcPr>
          <w:p>
            <w:pPr>
              <w:ind w:left="160"/>
              <w:spacing w:after="0"/>
              <w:rPr>
                <w:sz w:val="20"/>
                <w:szCs w:val="20"/>
                <w:color w:val="auto"/>
              </w:rPr>
            </w:pPr>
            <w:r>
              <w:rPr>
                <w:rFonts w:ascii="Arial" w:cs="Arial" w:eastAsia="Arial" w:hAnsi="Arial"/>
                <w:sz w:val="18"/>
                <w:szCs w:val="18"/>
                <w:b w:val="1"/>
                <w:bCs w:val="1"/>
                <w:color w:val="auto"/>
                <w:w w:val="92"/>
              </w:rPr>
              <w:t>(Address of Principal Executive Offices)</w:t>
            </w:r>
          </w:p>
        </w:tc>
        <w:tc>
          <w:tcPr>
            <w:tcW w:w="2720" w:type="dxa"/>
            <w:vAlign w:val="bottom"/>
          </w:tcPr>
          <w:p>
            <w:pPr>
              <w:spacing w:after="0"/>
              <w:rPr>
                <w:sz w:val="19"/>
                <w:szCs w:val="19"/>
                <w:color w:val="auto"/>
              </w:rPr>
            </w:pPr>
          </w:p>
        </w:tc>
        <w:tc>
          <w:tcPr>
            <w:tcW w:w="2060" w:type="dxa"/>
            <w:vAlign w:val="bottom"/>
          </w:tcPr>
          <w:p>
            <w:pPr>
              <w:jc w:val="right"/>
              <w:ind w:right="1092"/>
              <w:spacing w:after="0"/>
              <w:rPr>
                <w:sz w:val="20"/>
                <w:szCs w:val="20"/>
                <w:color w:val="auto"/>
              </w:rPr>
            </w:pPr>
            <w:r>
              <w:rPr>
                <w:rFonts w:ascii="Arial" w:cs="Arial" w:eastAsia="Arial" w:hAnsi="Arial"/>
                <w:sz w:val="18"/>
                <w:szCs w:val="18"/>
                <w:b w:val="1"/>
                <w:bCs w:val="1"/>
                <w:color w:val="auto"/>
              </w:rPr>
              <w:t>89109</w:t>
            </w:r>
          </w:p>
        </w:tc>
      </w:tr>
      <w:tr>
        <w:trPr>
          <w:trHeight w:val="222"/>
        </w:trPr>
        <w:tc>
          <w:tcPr>
            <w:tcW w:w="33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2720" w:type="dxa"/>
            <w:vAlign w:val="bottom"/>
          </w:tcPr>
          <w:p>
            <w:pPr>
              <w:spacing w:after="0"/>
              <w:rPr>
                <w:sz w:val="19"/>
                <w:szCs w:val="19"/>
                <w:color w:val="auto"/>
              </w:rPr>
            </w:pPr>
          </w:p>
        </w:tc>
        <w:tc>
          <w:tcPr>
            <w:tcW w:w="2060" w:type="dxa"/>
            <w:vAlign w:val="bottom"/>
          </w:tcPr>
          <w:p>
            <w:pPr>
              <w:jc w:val="center"/>
              <w:ind w:right="632"/>
              <w:spacing w:after="0"/>
              <w:rPr>
                <w:sz w:val="20"/>
                <w:szCs w:val="20"/>
                <w:color w:val="auto"/>
              </w:rPr>
            </w:pPr>
            <w:r>
              <w:rPr>
                <w:rFonts w:ascii="Arial" w:cs="Arial" w:eastAsia="Arial" w:hAnsi="Arial"/>
                <w:sz w:val="18"/>
                <w:szCs w:val="18"/>
                <w:color w:val="auto"/>
                <w:w w:val="91"/>
              </w:rPr>
              <w:t>(Zip Code)</w:t>
            </w:r>
          </w:p>
        </w:tc>
      </w:tr>
      <w:tr>
        <w:trPr>
          <w:trHeight w:val="696"/>
        </w:trPr>
        <w:tc>
          <w:tcPr>
            <w:tcW w:w="3340" w:type="dxa"/>
            <w:vAlign w:val="bottom"/>
          </w:tcPr>
          <w:p>
            <w:pPr>
              <w:spacing w:after="0"/>
              <w:rPr>
                <w:sz w:val="24"/>
                <w:szCs w:val="24"/>
                <w:color w:val="auto"/>
              </w:rPr>
            </w:pPr>
          </w:p>
        </w:tc>
        <w:tc>
          <w:tcPr>
            <w:tcW w:w="2720" w:type="dxa"/>
            <w:vAlign w:val="bottom"/>
          </w:tcPr>
          <w:p>
            <w:pPr>
              <w:jc w:val="right"/>
              <w:ind w:right="1372"/>
              <w:spacing w:after="0"/>
              <w:rPr>
                <w:sz w:val="20"/>
                <w:szCs w:val="20"/>
                <w:color w:val="auto"/>
              </w:rPr>
            </w:pPr>
            <w:r>
              <w:rPr>
                <w:rFonts w:ascii="Arial" w:cs="Arial" w:eastAsia="Arial" w:hAnsi="Arial"/>
                <w:sz w:val="18"/>
                <w:szCs w:val="18"/>
                <w:b w:val="1"/>
                <w:bCs w:val="1"/>
                <w:color w:val="auto"/>
              </w:rPr>
              <w:t>(702) 770-7555</w:t>
            </w:r>
          </w:p>
        </w:tc>
        <w:tc>
          <w:tcPr>
            <w:tcW w:w="2060" w:type="dxa"/>
            <w:vAlign w:val="bottom"/>
          </w:tcPr>
          <w:p>
            <w:pPr>
              <w:spacing w:after="0"/>
              <w:rPr>
                <w:sz w:val="24"/>
                <w:szCs w:val="24"/>
                <w:color w:val="auto"/>
              </w:rPr>
            </w:pPr>
          </w:p>
        </w:tc>
      </w:tr>
      <w:tr>
        <w:trPr>
          <w:trHeight w:val="222"/>
        </w:trPr>
        <w:tc>
          <w:tcPr>
            <w:tcW w:w="6060" w:type="dxa"/>
            <w:vAlign w:val="bottom"/>
            <w:gridSpan w:val="2"/>
          </w:tcPr>
          <w:p>
            <w:pPr>
              <w:jc w:val="center"/>
              <w:ind w:left="1972"/>
              <w:spacing w:after="0"/>
              <w:rPr>
                <w:sz w:val="20"/>
                <w:szCs w:val="20"/>
                <w:color w:val="auto"/>
              </w:rPr>
            </w:pPr>
            <w:r>
              <w:rPr>
                <w:rFonts w:ascii="Arial" w:cs="Arial" w:eastAsia="Arial" w:hAnsi="Arial"/>
                <w:sz w:val="18"/>
                <w:szCs w:val="18"/>
                <w:color w:val="auto"/>
                <w:w w:val="88"/>
              </w:rPr>
              <w:t>(Registrant's Telephone Number, including Area Code)</w:t>
            </w:r>
          </w:p>
        </w:tc>
        <w:tc>
          <w:tcPr>
            <w:tcW w:w="2060" w:type="dxa"/>
            <w:vAlign w:val="bottom"/>
          </w:tcPr>
          <w:p>
            <w:pPr>
              <w:spacing w:after="0"/>
              <w:rPr>
                <w:sz w:val="19"/>
                <w:szCs w:val="19"/>
                <w:color w:val="auto"/>
              </w:rPr>
            </w:pPr>
          </w:p>
        </w:tc>
      </w:tr>
      <w:tr>
        <w:trPr>
          <w:trHeight w:val="593"/>
        </w:trPr>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
        </w:trPr>
        <w:tc>
          <w:tcPr>
            <w:tcW w:w="3340" w:type="dxa"/>
            <w:vAlign w:val="bottom"/>
            <w:shd w:val="clear" w:color="auto" w:fill="808080"/>
          </w:tcPr>
          <w:p>
            <w:pPr>
              <w:spacing w:after="0"/>
              <w:rPr>
                <w:sz w:val="6"/>
                <w:szCs w:val="6"/>
                <w:color w:val="auto"/>
              </w:rPr>
            </w:pPr>
          </w:p>
        </w:tc>
        <w:tc>
          <w:tcPr>
            <w:tcW w:w="2720" w:type="dxa"/>
            <w:vAlign w:val="bottom"/>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r>
    </w:tbl>
    <w:p>
      <w:pPr>
        <w:spacing w:after="0" w:line="200" w:lineRule="exact"/>
        <w:rPr>
          <w:sz w:val="24"/>
          <w:szCs w:val="24"/>
          <w:color w:val="auto"/>
        </w:rPr>
      </w:pPr>
    </w:p>
    <w:p>
      <w:pPr>
        <w:spacing w:after="0" w:line="38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w:t>
      </w:r>
    </w:p>
    <w:p>
      <w:pPr>
        <w:spacing w:after="0" w:line="252" w:lineRule="exact"/>
        <w:rPr>
          <w:sz w:val="24"/>
          <w:szCs w:val="24"/>
          <w:color w:val="auto"/>
        </w:rPr>
      </w:pPr>
    </w:p>
    <w:p>
      <w:pPr>
        <w:ind w:right="2119" w:firstLine="702"/>
        <w:spacing w:after="0" w:line="287" w:lineRule="auto"/>
        <w:rPr>
          <w:sz w:val="20"/>
          <w:szCs w:val="20"/>
          <w:color w:val="auto"/>
        </w:rPr>
      </w:pPr>
      <w:r>
        <w:rPr>
          <w:rFonts w:ascii="Arial" w:cs="Arial" w:eastAsia="Arial" w:hAnsi="Arial"/>
          <w:sz w:val="16"/>
          <w:szCs w:val="16"/>
          <w:color w:val="auto"/>
        </w:rPr>
        <w:t>On August 6, 2004, the Registrant’s wholly-owned subsidiary, Wynn Resorts Holdings, LLC (“Holdings”), entered into agreements with Stephen A. Wynn, the Registrant’s Chairman of the Board and Chief Executive Officer and one of its principal stockholders, that confirm and clarify the Registrant’s rights to use the “Wynn” name and Mr. Wynn’s persona in connection with its casino resort businesses. Under the parties’ Surname Rights Agreement, Mr. Wynn has granted Holdings an exclusive, fully paid-up, perpetual, worldwide license to use, and to own and register trademarks and service marks incorporating, the “Wynn” name, together with the right to sublicense the name and marks to its affiliates. Under the parties’ Rights of Publicity License, Mr. Wynn has granted Holdings the exclusive, royalty-free, worldwide right to use his full name, persona and related rights of publicity, together with the ability to sublicense the persona and publicity rights to its affiliates, until October 24, 2017.</w:t>
      </w:r>
    </w:p>
    <w:p>
      <w:pPr>
        <w:spacing w:after="0" w:line="204" w:lineRule="exact"/>
        <w:rPr>
          <w:sz w:val="24"/>
          <w:szCs w:val="24"/>
          <w:color w:val="auto"/>
        </w:rPr>
      </w:pPr>
    </w:p>
    <w:p>
      <w:pPr>
        <w:jc w:val="both"/>
        <w:ind w:right="2239" w:firstLine="693"/>
        <w:spacing w:after="0" w:line="259" w:lineRule="auto"/>
        <w:rPr>
          <w:sz w:val="20"/>
          <w:szCs w:val="20"/>
          <w:color w:val="auto"/>
        </w:rPr>
      </w:pPr>
      <w:r>
        <w:rPr>
          <w:rFonts w:ascii="Arial" w:cs="Arial" w:eastAsia="Arial" w:hAnsi="Arial"/>
          <w:sz w:val="18"/>
          <w:szCs w:val="18"/>
          <w:color w:val="auto"/>
        </w:rPr>
        <w:t>Also on August 6, 2004, the Registrant extended the term of Mr. Wynn’s employment agreement by ten years, until October 24, 2017, to be co-terminus with the Rights of Publicity License. The other material terms of Mr. Wynn’s employment agreement remain unchanged.</w:t>
      </w:r>
    </w:p>
    <w:p>
      <w:pPr>
        <w:spacing w:after="0" w:line="221" w:lineRule="exact"/>
        <w:rPr>
          <w:sz w:val="24"/>
          <w:szCs w:val="24"/>
          <w:color w:val="auto"/>
        </w:rPr>
      </w:pPr>
    </w:p>
    <w:p>
      <w:pPr>
        <w:ind w:right="2159" w:firstLine="702"/>
        <w:spacing w:after="0" w:line="294" w:lineRule="auto"/>
        <w:rPr>
          <w:sz w:val="20"/>
          <w:szCs w:val="20"/>
          <w:color w:val="auto"/>
        </w:rPr>
      </w:pPr>
      <w:r>
        <w:rPr>
          <w:rFonts w:ascii="Arial" w:cs="Arial" w:eastAsia="Arial" w:hAnsi="Arial"/>
          <w:sz w:val="16"/>
          <w:szCs w:val="16"/>
          <w:color w:val="auto"/>
        </w:rPr>
        <w:t>Finally, on August 6, 2004, the Registrant’s wholly-owned subsidiary, Wynn Las Vegas, LLC, entered into a Third Amended and Restated Art Rental and Licensing Agreement with Mr. Wynn, setting forth the terms and conditions under which the Wynn Las Vegas resort will exhibit “The Wynn Collection,” the personal fine art collection of Mr. Wynn and his wife, Elaine P. Wynn, who is also a Director of the Registrant. The terms of this agreement, which becomes effective upon the opening of the new resort to the public (planned for April 2005), are</w:t>
      </w:r>
    </w:p>
    <w:p>
      <w:pPr>
        <w:sectPr>
          <w:pgSz w:w="11900" w:h="16838" w:orient="portrait"/>
          <w:cols w:equalWidth="0" w:num="1">
            <w:col w:w="10219"/>
          </w:cols>
          <w:pgMar w:left="240" w:top="1440" w:right="1440" w:bottom="0" w:gutter="0" w:footer="0" w:header="0"/>
        </w:sectPr>
      </w:pPr>
    </w:p>
    <w:bookmarkStart w:id="1" w:name="page2"/>
    <w:bookmarkEnd w:id="1"/>
    <w:p>
      <w:pPr>
        <w:ind w:right="2139"/>
        <w:spacing w:after="0" w:line="259" w:lineRule="auto"/>
        <w:rPr>
          <w:sz w:val="20"/>
          <w:szCs w:val="20"/>
          <w:color w:val="auto"/>
        </w:rPr>
      </w:pPr>
      <w:r>
        <w:rPr>
          <w:rFonts w:ascii="Arial" w:cs="Arial" w:eastAsia="Arial" w:hAnsi="Arial"/>
          <w:sz w:val="18"/>
          <w:szCs w:val="18"/>
          <w:color w:val="auto"/>
        </w:rPr>
        <w:t>substantively the same as the terms under which Holdings most recently had displayed The Wynn Collection in the gallery in the former Desert Inn resort hotel, including an annual rental of one dollar ($1) for all of the leased works for the term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2" w:lineRule="exact"/>
        <w:rPr>
          <w:sz w:val="20"/>
          <w:szCs w:val="20"/>
          <w:color w:val="auto"/>
        </w:rPr>
      </w:pPr>
    </w:p>
    <w:p>
      <w:pPr>
        <w:ind w:right="221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2004</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jc w:val="center"/>
        <w:ind w:left="880"/>
        <w:spacing w:after="0"/>
        <w:tabs>
          <w:tab w:leader="none" w:pos="18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2019-12-15T05:46:53Z</dcterms:created>
  <dcterms:modified xsi:type="dcterms:W3CDTF">2019-12-15T05:46:53Z</dcterms:modified>
</cp:coreProperties>
</file>