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339090</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384175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66"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Pursuant to Section 13 or 15(d)</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 as Amended</w:t>
      </w:r>
    </w:p>
    <w:p>
      <w:pPr>
        <w:spacing w:after="0" w:line="14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April 24,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474345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467995</wp:posOffset>
            </wp:positionV>
            <wp:extent cx="289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tbl>
      <w:tblPr>
        <w:tblLayout w:type="fixed"/>
        <w:tblInd w:w="700" w:type="dxa"/>
        <w:tblCellMar>
          <w:top w:w="0" w:type="dxa"/>
          <w:left w:w="0" w:type="dxa"/>
          <w:bottom w:w="0" w:type="dxa"/>
          <w:right w:w="0" w:type="dxa"/>
        </w:tblCellMar>
      </w:tblPr>
      <w:tr>
        <w:trPr>
          <w:trHeight w:val="234"/>
        </w:trPr>
        <w:tc>
          <w:tcPr>
            <w:tcW w:w="2800" w:type="dxa"/>
            <w:vAlign w:val="bottom"/>
          </w:tcPr>
          <w:p>
            <w:pPr>
              <w:jc w:val="center"/>
              <w:ind w:right="219"/>
              <w:spacing w:after="0"/>
              <w:rPr>
                <w:sz w:val="20"/>
                <w:szCs w:val="20"/>
                <w:color w:val="auto"/>
              </w:rPr>
            </w:pPr>
            <w:r>
              <w:rPr>
                <w:rFonts w:ascii="Arial" w:cs="Arial" w:eastAsia="Arial" w:hAnsi="Arial"/>
                <w:sz w:val="18"/>
                <w:szCs w:val="18"/>
                <w:b w:val="1"/>
                <w:bCs w:val="1"/>
                <w:color w:val="auto"/>
                <w:w w:val="90"/>
              </w:rPr>
              <w:t>Nevada</w:t>
            </w:r>
          </w:p>
        </w:tc>
        <w:tc>
          <w:tcPr>
            <w:tcW w:w="4800" w:type="dxa"/>
            <w:vAlign w:val="bottom"/>
          </w:tcPr>
          <w:p>
            <w:pPr>
              <w:ind w:left="1900"/>
              <w:spacing w:after="0"/>
              <w:rPr>
                <w:sz w:val="20"/>
                <w:szCs w:val="20"/>
                <w:color w:val="auto"/>
              </w:rPr>
            </w:pPr>
            <w:r>
              <w:rPr>
                <w:rFonts w:ascii="Arial" w:cs="Arial" w:eastAsia="Arial" w:hAnsi="Arial"/>
                <w:sz w:val="18"/>
                <w:szCs w:val="18"/>
                <w:b w:val="1"/>
                <w:bCs w:val="1"/>
                <w:color w:val="auto"/>
              </w:rPr>
              <w:t>000-50028</w:t>
            </w:r>
          </w:p>
        </w:tc>
        <w:tc>
          <w:tcPr>
            <w:tcW w:w="1800" w:type="dxa"/>
            <w:vAlign w:val="bottom"/>
          </w:tcPr>
          <w:p>
            <w:pPr>
              <w:jc w:val="right"/>
              <w:ind w:right="41"/>
              <w:spacing w:after="0"/>
              <w:rPr>
                <w:sz w:val="20"/>
                <w:szCs w:val="20"/>
                <w:color w:val="auto"/>
              </w:rPr>
            </w:pPr>
            <w:r>
              <w:rPr>
                <w:rFonts w:ascii="Arial" w:cs="Arial" w:eastAsia="Arial" w:hAnsi="Arial"/>
                <w:sz w:val="18"/>
                <w:szCs w:val="18"/>
                <w:b w:val="1"/>
                <w:bCs w:val="1"/>
                <w:color w:val="auto"/>
              </w:rPr>
              <w:t>46-0484987</w:t>
            </w:r>
          </w:p>
        </w:tc>
        <w:tc>
          <w:tcPr>
            <w:tcW w:w="0" w:type="dxa"/>
            <w:vAlign w:val="bottom"/>
          </w:tcPr>
          <w:p>
            <w:pPr>
              <w:spacing w:after="0"/>
              <w:rPr>
                <w:sz w:val="1"/>
                <w:szCs w:val="1"/>
                <w:color w:val="auto"/>
              </w:rPr>
            </w:pPr>
          </w:p>
        </w:tc>
      </w:tr>
      <w:tr>
        <w:trPr>
          <w:trHeight w:val="180"/>
        </w:trPr>
        <w:tc>
          <w:tcPr>
            <w:tcW w:w="2800" w:type="dxa"/>
            <w:vAlign w:val="bottom"/>
          </w:tcPr>
          <w:p>
            <w:pPr>
              <w:jc w:val="center"/>
              <w:ind w:right="199"/>
              <w:spacing w:after="0"/>
              <w:rPr>
                <w:sz w:val="20"/>
                <w:szCs w:val="20"/>
                <w:color w:val="auto"/>
              </w:rPr>
            </w:pPr>
            <w:r>
              <w:rPr>
                <w:rFonts w:ascii="Arial" w:cs="Arial" w:eastAsia="Arial" w:hAnsi="Arial"/>
                <w:sz w:val="14"/>
                <w:szCs w:val="14"/>
                <w:b w:val="1"/>
                <w:bCs w:val="1"/>
                <w:color w:val="auto"/>
                <w:w w:val="93"/>
              </w:rPr>
              <w:t>(State or other jurisdiction</w:t>
            </w:r>
          </w:p>
        </w:tc>
        <w:tc>
          <w:tcPr>
            <w:tcW w:w="4800" w:type="dxa"/>
            <w:vAlign w:val="bottom"/>
          </w:tcPr>
          <w:p>
            <w:pPr>
              <w:ind w:left="1880"/>
              <w:spacing w:after="0"/>
              <w:rPr>
                <w:sz w:val="20"/>
                <w:szCs w:val="20"/>
                <w:color w:val="auto"/>
              </w:rPr>
            </w:pPr>
            <w:r>
              <w:rPr>
                <w:rFonts w:ascii="Arial" w:cs="Arial" w:eastAsia="Arial" w:hAnsi="Arial"/>
                <w:sz w:val="14"/>
                <w:szCs w:val="14"/>
                <w:b w:val="1"/>
                <w:bCs w:val="1"/>
                <w:color w:val="auto"/>
              </w:rPr>
              <w:t>(Commission</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2800" w:type="dxa"/>
            <w:vAlign w:val="bottom"/>
          </w:tcPr>
          <w:p>
            <w:pPr>
              <w:jc w:val="center"/>
              <w:ind w:right="219"/>
              <w:spacing w:after="0"/>
              <w:rPr>
                <w:sz w:val="20"/>
                <w:szCs w:val="20"/>
                <w:color w:val="auto"/>
              </w:rPr>
            </w:pPr>
            <w:r>
              <w:rPr>
                <w:rFonts w:ascii="Arial" w:cs="Arial" w:eastAsia="Arial" w:hAnsi="Arial"/>
                <w:sz w:val="14"/>
                <w:szCs w:val="14"/>
                <w:b w:val="1"/>
                <w:bCs w:val="1"/>
                <w:color w:val="auto"/>
                <w:w w:val="94"/>
              </w:rPr>
              <w:t>of incorporation)</w:t>
            </w:r>
          </w:p>
        </w:tc>
        <w:tc>
          <w:tcPr>
            <w:tcW w:w="4800" w:type="dxa"/>
            <w:vAlign w:val="bottom"/>
          </w:tcPr>
          <w:p>
            <w:pPr>
              <w:ind w:left="1860"/>
              <w:spacing w:after="0"/>
              <w:rPr>
                <w:sz w:val="20"/>
                <w:szCs w:val="20"/>
                <w:color w:val="auto"/>
              </w:rPr>
            </w:pPr>
            <w:r>
              <w:rPr>
                <w:rFonts w:ascii="Arial" w:cs="Arial" w:eastAsia="Arial" w:hAnsi="Arial"/>
                <w:sz w:val="14"/>
                <w:szCs w:val="14"/>
                <w:b w:val="1"/>
                <w:bCs w:val="1"/>
                <w:color w:val="auto"/>
              </w:rPr>
              <w:t>File Number)</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561"/>
        </w:trPr>
        <w:tc>
          <w:tcPr>
            <w:tcW w:w="2800" w:type="dxa"/>
            <w:vAlign w:val="bottom"/>
          </w:tcPr>
          <w:p>
            <w:pPr>
              <w:jc w:val="center"/>
              <w:ind w:right="219"/>
              <w:spacing w:after="0"/>
              <w:rPr>
                <w:sz w:val="20"/>
                <w:szCs w:val="20"/>
                <w:color w:val="auto"/>
              </w:rPr>
            </w:pPr>
            <w:r>
              <w:rPr>
                <w:rFonts w:ascii="Arial" w:cs="Arial" w:eastAsia="Arial" w:hAnsi="Arial"/>
                <w:sz w:val="18"/>
                <w:szCs w:val="18"/>
                <w:b w:val="1"/>
                <w:bCs w:val="1"/>
                <w:color w:val="auto"/>
                <w:w w:val="88"/>
              </w:rPr>
              <w:t>3131 Las Vegas Boulevard South</w:t>
            </w:r>
          </w:p>
        </w:tc>
        <w:tc>
          <w:tcPr>
            <w:tcW w:w="48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0" w:type="dxa"/>
            <w:vAlign w:val="bottom"/>
          </w:tcPr>
          <w:p>
            <w:pPr>
              <w:jc w:val="center"/>
              <w:ind w:right="199"/>
              <w:spacing w:after="0"/>
              <w:rPr>
                <w:sz w:val="20"/>
                <w:szCs w:val="20"/>
                <w:color w:val="auto"/>
              </w:rPr>
            </w:pPr>
            <w:r>
              <w:rPr>
                <w:rFonts w:ascii="Arial" w:cs="Arial" w:eastAsia="Arial" w:hAnsi="Arial"/>
                <w:sz w:val="18"/>
                <w:szCs w:val="18"/>
                <w:b w:val="1"/>
                <w:bCs w:val="1"/>
                <w:color w:val="auto"/>
                <w:w w:val="88"/>
              </w:rPr>
              <w:t>Las Vegas, Nevada</w:t>
            </w:r>
          </w:p>
        </w:tc>
        <w:tc>
          <w:tcPr>
            <w:tcW w:w="4800" w:type="dxa"/>
            <w:vAlign w:val="bottom"/>
          </w:tcPr>
          <w:p>
            <w:pPr>
              <w:spacing w:after="0"/>
              <w:rPr>
                <w:sz w:val="20"/>
                <w:szCs w:val="20"/>
                <w:color w:val="auto"/>
              </w:rPr>
            </w:pPr>
          </w:p>
        </w:tc>
        <w:tc>
          <w:tcPr>
            <w:tcW w:w="180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c>
          <w:tcPr>
            <w:tcW w:w="0" w:type="dxa"/>
            <w:vAlign w:val="bottom"/>
          </w:tcPr>
          <w:p>
            <w:pPr>
              <w:spacing w:after="0"/>
              <w:rPr>
                <w:sz w:val="1"/>
                <w:szCs w:val="1"/>
                <w:color w:val="auto"/>
              </w:rPr>
            </w:pPr>
          </w:p>
        </w:tc>
      </w:tr>
      <w:tr>
        <w:trPr>
          <w:trHeight w:val="218"/>
        </w:trPr>
        <w:tc>
          <w:tcPr>
            <w:tcW w:w="2800" w:type="dxa"/>
            <w:vAlign w:val="bottom"/>
          </w:tcPr>
          <w:p>
            <w:pPr>
              <w:jc w:val="center"/>
              <w:ind w:right="2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800" w:type="dxa"/>
            <w:vAlign w:val="bottom"/>
          </w:tcPr>
          <w:p>
            <w:pPr>
              <w:spacing w:after="0"/>
              <w:rPr>
                <w:sz w:val="18"/>
                <w:szCs w:val="18"/>
                <w:color w:val="auto"/>
              </w:rPr>
            </w:pPr>
          </w:p>
        </w:tc>
        <w:tc>
          <w:tcPr>
            <w:tcW w:w="1800" w:type="dxa"/>
            <w:vAlign w:val="bottom"/>
            <w:vMerge w:val="restart"/>
          </w:tcPr>
          <w:p>
            <w:pPr>
              <w:jc w:val="center"/>
              <w:ind w:left="601"/>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r>
        <w:trPr>
          <w:trHeight w:val="68"/>
        </w:trPr>
        <w:tc>
          <w:tcPr>
            <w:tcW w:w="2800" w:type="dxa"/>
            <w:vAlign w:val="bottom"/>
          </w:tcPr>
          <w:p>
            <w:pPr>
              <w:spacing w:after="0"/>
              <w:rPr>
                <w:sz w:val="5"/>
                <w:szCs w:val="5"/>
                <w:color w:val="auto"/>
              </w:rPr>
            </w:pPr>
          </w:p>
        </w:tc>
        <w:tc>
          <w:tcPr>
            <w:tcW w:w="4800" w:type="dxa"/>
            <w:vAlign w:val="bottom"/>
          </w:tcPr>
          <w:p>
            <w:pPr>
              <w:spacing w:after="0"/>
              <w:rPr>
                <w:sz w:val="5"/>
                <w:szCs w:val="5"/>
                <w:color w:val="auto"/>
              </w:rPr>
            </w:pPr>
          </w:p>
        </w:tc>
        <w:tc>
          <w:tcPr>
            <w:tcW w:w="1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67"/>
        </w:trPr>
        <w:tc>
          <w:tcPr>
            <w:tcW w:w="2800" w:type="dxa"/>
            <w:vAlign w:val="bottom"/>
          </w:tcPr>
          <w:p>
            <w:pPr>
              <w:spacing w:after="0"/>
              <w:rPr>
                <w:sz w:val="24"/>
                <w:szCs w:val="24"/>
                <w:color w:val="auto"/>
              </w:rPr>
            </w:pPr>
          </w:p>
        </w:tc>
        <w:tc>
          <w:tcPr>
            <w:tcW w:w="4800" w:type="dxa"/>
            <w:vAlign w:val="bottom"/>
          </w:tcPr>
          <w:p>
            <w:pPr>
              <w:jc w:val="center"/>
              <w:ind w:right="280"/>
              <w:spacing w:after="0"/>
              <w:rPr>
                <w:sz w:val="20"/>
                <w:szCs w:val="20"/>
                <w:color w:val="auto"/>
              </w:rPr>
            </w:pPr>
            <w:r>
              <w:rPr>
                <w:rFonts w:ascii="Arial" w:cs="Arial" w:eastAsia="Arial" w:hAnsi="Arial"/>
                <w:sz w:val="18"/>
                <w:szCs w:val="18"/>
                <w:b w:val="1"/>
                <w:bCs w:val="1"/>
                <w:color w:val="auto"/>
                <w:w w:val="90"/>
              </w:rPr>
              <w:t>(702) 770-7555</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800" w:type="dxa"/>
            <w:vAlign w:val="bottom"/>
          </w:tcPr>
          <w:p>
            <w:pPr>
              <w:spacing w:after="0"/>
              <w:rPr>
                <w:sz w:val="16"/>
                <w:szCs w:val="16"/>
                <w:color w:val="auto"/>
              </w:rPr>
            </w:pPr>
          </w:p>
        </w:tc>
        <w:tc>
          <w:tcPr>
            <w:tcW w:w="4800" w:type="dxa"/>
            <w:vAlign w:val="bottom"/>
          </w:tcPr>
          <w:p>
            <w:pPr>
              <w:jc w:val="center"/>
              <w:ind w:right="30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4"/>
        </w:trPr>
        <w:tc>
          <w:tcPr>
            <w:tcW w:w="2800" w:type="dxa"/>
            <w:vAlign w:val="bottom"/>
          </w:tcPr>
          <w:p>
            <w:pPr>
              <w:spacing w:after="0"/>
              <w:rPr>
                <w:sz w:val="24"/>
                <w:szCs w:val="24"/>
                <w:color w:val="auto"/>
              </w:rPr>
            </w:pPr>
          </w:p>
        </w:tc>
        <w:tc>
          <w:tcPr>
            <w:tcW w:w="4800" w:type="dxa"/>
            <w:vAlign w:val="bottom"/>
          </w:tcPr>
          <w:p>
            <w:pPr>
              <w:jc w:val="center"/>
              <w:ind w:right="280"/>
              <w:spacing w:after="0"/>
              <w:rPr>
                <w:sz w:val="20"/>
                <w:szCs w:val="20"/>
                <w:color w:val="auto"/>
              </w:rPr>
            </w:pPr>
            <w:r>
              <w:rPr>
                <w:rFonts w:ascii="Arial" w:cs="Arial" w:eastAsia="Arial" w:hAnsi="Arial"/>
                <w:sz w:val="18"/>
                <w:szCs w:val="18"/>
                <w:b w:val="1"/>
                <w:bCs w:val="1"/>
                <w:color w:val="auto"/>
                <w:w w:val="92"/>
              </w:rPr>
              <w:t>Not Applicable</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800" w:type="dxa"/>
            <w:vAlign w:val="bottom"/>
          </w:tcPr>
          <w:p>
            <w:pPr>
              <w:spacing w:after="0"/>
              <w:rPr>
                <w:sz w:val="16"/>
                <w:szCs w:val="16"/>
                <w:color w:val="auto"/>
              </w:rPr>
            </w:pPr>
          </w:p>
        </w:tc>
        <w:tc>
          <w:tcPr>
            <w:tcW w:w="4800" w:type="dxa"/>
            <w:vAlign w:val="bottom"/>
          </w:tcPr>
          <w:p>
            <w:pPr>
              <w:jc w:val="center"/>
              <w:ind w:right="28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222250</wp:posOffset>
            </wp:positionV>
            <wp:extent cx="2898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300"/>
          </w:cols>
          <w:pgMar w:left="240" w:top="679" w:right="3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Wynn Resorts, Limited (the “Company”) is filing this Amendment No. 1 to its Current Report on Form 8-K to report the final voting results certified by the independent inspector of elections for the Company’s 2015 Annual Meeting of Stockholders. The certified voting results do not differ from the preliminary voting results reported on the Company’s Form 8-K filed with the Securities and Exchange Commission on April 30, 2015 (the “Original Report”). This Amendment No. 1 to the Original Report amends and restates Item 5.07 of the Original Report.</w:t>
      </w:r>
    </w:p>
    <w:p>
      <w:pPr>
        <w:spacing w:after="0" w:line="345"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56"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On April 24, 2015, Wynn Resorts, Limited (the “Company”) held its 2015 Annual Meeting of Stockholders (the “Annual Meeting”). The proposals voted upon at the Annual Meeting and the final results of the stockholder vote on each proposal, as certified by IVS Associates, Inc. (“IVS”), the independent inspector of elections for the Annual Meeting, were as follows: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Proposal 1: Election of Directors</w:t>
      </w:r>
    </w:p>
    <w:p>
      <w:pPr>
        <w:spacing w:after="0" w:line="225"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To elect two Class I directors, each to serve until the 2018 Annual Meeting of Stockholders and until his or her successor has been duly elected and qualified, or until such director’s earlier resignation, death or removal:</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gridSpan w:val="2"/>
          </w:tcPr>
          <w:p>
            <w:pPr>
              <w:ind w:left="40"/>
              <w:spacing w:after="0"/>
              <w:rPr>
                <w:sz w:val="20"/>
                <w:szCs w:val="20"/>
                <w:color w:val="auto"/>
              </w:rPr>
            </w:pPr>
            <w:r>
              <w:rPr>
                <w:rFonts w:ascii="Arial" w:cs="Arial" w:eastAsia="Arial" w:hAnsi="Arial"/>
                <w:sz w:val="18"/>
                <w:szCs w:val="18"/>
                <w:b w:val="1"/>
                <w:bCs w:val="1"/>
                <w:color w:val="auto"/>
              </w:rPr>
              <w:t>Director Nominees</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Votes For</w:t>
            </w:r>
          </w:p>
        </w:tc>
        <w:tc>
          <w:tcPr>
            <w:tcW w:w="1940" w:type="dxa"/>
            <w:vAlign w:val="bottom"/>
            <w:gridSpan w:val="2"/>
          </w:tcPr>
          <w:p>
            <w:pPr>
              <w:ind w:left="320"/>
              <w:spacing w:after="0"/>
              <w:rPr>
                <w:sz w:val="20"/>
                <w:szCs w:val="20"/>
                <w:color w:val="auto"/>
              </w:rPr>
            </w:pPr>
            <w:r>
              <w:rPr>
                <w:rFonts w:ascii="Arial" w:cs="Arial" w:eastAsia="Arial" w:hAnsi="Arial"/>
                <w:sz w:val="18"/>
                <w:szCs w:val="18"/>
                <w:b w:val="1"/>
                <w:bCs w:val="1"/>
                <w:color w:val="auto"/>
              </w:rPr>
              <w:t>Votes Withheld</w:t>
            </w:r>
          </w:p>
        </w:tc>
        <w:tc>
          <w:tcPr>
            <w:tcW w:w="1820" w:type="dxa"/>
            <w:vAlign w:val="bottom"/>
          </w:tcPr>
          <w:p>
            <w:pPr>
              <w:ind w:left="220"/>
              <w:spacing w:after="0"/>
              <w:rPr>
                <w:sz w:val="20"/>
                <w:szCs w:val="20"/>
                <w:color w:val="auto"/>
              </w:rPr>
            </w:pPr>
            <w:r>
              <w:rPr>
                <w:rFonts w:ascii="Arial" w:cs="Arial" w:eastAsia="Arial" w:hAnsi="Arial"/>
                <w:sz w:val="18"/>
                <w:szCs w:val="18"/>
                <w:b w:val="1"/>
                <w:bCs w:val="1"/>
                <w:color w:val="auto"/>
              </w:rPr>
              <w:t>Broker Non-Votes</w:t>
            </w:r>
          </w:p>
        </w:tc>
      </w:tr>
      <w:tr>
        <w:trPr>
          <w:trHeight w:val="27"/>
        </w:trPr>
        <w:tc>
          <w:tcPr>
            <w:tcW w:w="5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7"/>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John J. Hagenbuch</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46,636,765</w:t>
            </w:r>
          </w:p>
        </w:tc>
        <w:tc>
          <w:tcPr>
            <w:tcW w:w="10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12,371,646</w:t>
            </w:r>
          </w:p>
        </w:tc>
        <w:tc>
          <w:tcPr>
            <w:tcW w:w="12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1,964,362</w:t>
            </w:r>
          </w:p>
        </w:tc>
      </w:tr>
      <w:tr>
        <w:trPr>
          <w:trHeight w:val="270"/>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J. Edward Virtue</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51,063,278</w:t>
            </w:r>
          </w:p>
        </w:tc>
        <w:tc>
          <w:tcPr>
            <w:tcW w:w="100" w:type="dxa"/>
            <w:vAlign w:val="bottom"/>
          </w:tcPr>
          <w:p>
            <w:pPr>
              <w:spacing w:after="0"/>
              <w:rPr>
                <w:sz w:val="23"/>
                <w:szCs w:val="23"/>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15,057,825</w:t>
            </w:r>
          </w:p>
        </w:tc>
        <w:tc>
          <w:tcPr>
            <w:tcW w:w="120" w:type="dxa"/>
            <w:vAlign w:val="bottom"/>
          </w:tcPr>
          <w:p>
            <w:pPr>
              <w:spacing w:after="0"/>
              <w:rPr>
                <w:sz w:val="23"/>
                <w:szCs w:val="23"/>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1,964,362</w:t>
            </w:r>
          </w:p>
        </w:tc>
      </w:tr>
      <w:tr>
        <w:trPr>
          <w:trHeight w:val="270"/>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Elaine P. Wynn</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26,617,589</w:t>
            </w:r>
          </w:p>
        </w:tc>
        <w:tc>
          <w:tcPr>
            <w:tcW w:w="100" w:type="dxa"/>
            <w:vAlign w:val="bottom"/>
          </w:tcPr>
          <w:p>
            <w:pPr>
              <w:spacing w:after="0"/>
              <w:rPr>
                <w:sz w:val="23"/>
                <w:szCs w:val="23"/>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100,203</w:t>
            </w:r>
          </w:p>
        </w:tc>
        <w:tc>
          <w:tcPr>
            <w:tcW w:w="120" w:type="dxa"/>
            <w:vAlign w:val="bottom"/>
          </w:tcPr>
          <w:p>
            <w:pPr>
              <w:spacing w:after="0"/>
              <w:rPr>
                <w:sz w:val="23"/>
                <w:szCs w:val="23"/>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29"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The Company’s Board of Directors nominated John J. Hagenbuch and J. Edward Virtue. Elaine P. Wynn nominated herself. The 26,617,589 votes received by Ms. Wynn include 9,539,077 shares owned by Ms. Wynn and 10,066,023 shares owned by the Wynn Family Holding Company LLC (Stephen A. Wynn’s shares) voted by Mr. Wynn in favor of Ms. Wynn in accordance with the terms of the Amended and Restated Stockholders Agreement. Based on the final voting results, the following Class I directors were elected with their terms expiring in 2018: John J. Hagenbuch and J. Edward Virtue. The following Class II directors remain in office with their terms expiring in 2016: Dr. Ray R. Irani, Alvin V. Shoemaker and Stephen A. Wynn. The following Class III directors remain in office with their terms expiring in 2017: Robert J. Miller and D. Boone Wayson.</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Proposal 2: Ratification of Appointment of Independent Registered Public Accounting Firm</w:t>
      </w:r>
    </w:p>
    <w:p>
      <w:pPr>
        <w:spacing w:after="0" w:line="225"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To ratify the Audit Committee’s appointment of Ernst &amp; Young LLP as the independent registered public accounting firm for the Company and its subsidiaries for 2015:</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Votes For</w:t>
            </w:r>
          </w:p>
        </w:tc>
        <w:tc>
          <w:tcPr>
            <w:tcW w:w="2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Votes Against</w:t>
            </w:r>
          </w:p>
        </w:tc>
        <w:tc>
          <w:tcPr>
            <w:tcW w:w="2840" w:type="dxa"/>
            <w:vAlign w:val="bottom"/>
            <w:gridSpan w:val="2"/>
          </w:tcPr>
          <w:p>
            <w:pPr>
              <w:ind w:left="1060"/>
              <w:spacing w:after="0"/>
              <w:rPr>
                <w:sz w:val="20"/>
                <w:szCs w:val="20"/>
                <w:color w:val="auto"/>
              </w:rPr>
            </w:pPr>
            <w:r>
              <w:rPr>
                <w:rFonts w:ascii="Arial" w:cs="Arial" w:eastAsia="Arial" w:hAnsi="Arial"/>
                <w:sz w:val="18"/>
                <w:szCs w:val="18"/>
                <w:b w:val="1"/>
                <w:bCs w:val="1"/>
                <w:color w:val="auto"/>
              </w:rPr>
              <w:t>Abstain</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7"/>
        </w:trPr>
        <w:tc>
          <w:tcPr>
            <w:tcW w:w="2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37"/>
        </w:trPr>
        <w:tc>
          <w:tcPr>
            <w:tcW w:w="2880" w:type="dxa"/>
            <w:vAlign w:val="bottom"/>
          </w:tcPr>
          <w:p>
            <w:pPr>
              <w:jc w:val="right"/>
              <w:ind w:right="950"/>
              <w:spacing w:after="0"/>
              <w:rPr>
                <w:sz w:val="20"/>
                <w:szCs w:val="20"/>
                <w:color w:val="auto"/>
              </w:rPr>
            </w:pPr>
            <w:r>
              <w:rPr>
                <w:rFonts w:ascii="Arial" w:cs="Arial" w:eastAsia="Arial" w:hAnsi="Arial"/>
                <w:sz w:val="18"/>
                <w:szCs w:val="18"/>
                <w:color w:val="auto"/>
              </w:rPr>
              <w:t>87,383,242</w:t>
            </w:r>
          </w:p>
        </w:tc>
        <w:tc>
          <w:tcPr>
            <w:tcW w:w="120" w:type="dxa"/>
            <w:vAlign w:val="bottom"/>
          </w:tcPr>
          <w:p>
            <w:pPr>
              <w:spacing w:after="0"/>
              <w:rPr>
                <w:sz w:val="20"/>
                <w:szCs w:val="20"/>
                <w:color w:val="auto"/>
              </w:rPr>
            </w:pPr>
          </w:p>
        </w:tc>
        <w:tc>
          <w:tcPr>
            <w:tcW w:w="2740" w:type="dxa"/>
            <w:vAlign w:val="bottom"/>
          </w:tcPr>
          <w:p>
            <w:pPr>
              <w:jc w:val="right"/>
              <w:ind w:right="990"/>
              <w:spacing w:after="0"/>
              <w:rPr>
                <w:sz w:val="20"/>
                <w:szCs w:val="20"/>
                <w:color w:val="auto"/>
              </w:rPr>
            </w:pPr>
            <w:r>
              <w:rPr>
                <w:rFonts w:ascii="Arial" w:cs="Arial" w:eastAsia="Arial" w:hAnsi="Arial"/>
                <w:sz w:val="18"/>
                <w:szCs w:val="18"/>
                <w:color w:val="auto"/>
              </w:rPr>
              <w:t>225,595</w:t>
            </w:r>
          </w:p>
        </w:tc>
        <w:tc>
          <w:tcPr>
            <w:tcW w:w="120" w:type="dxa"/>
            <w:vAlign w:val="bottom"/>
          </w:tcPr>
          <w:p>
            <w:pPr>
              <w:spacing w:after="0"/>
              <w:rPr>
                <w:sz w:val="20"/>
                <w:szCs w:val="20"/>
                <w:color w:val="auto"/>
              </w:rPr>
            </w:pPr>
          </w:p>
        </w:tc>
        <w:tc>
          <w:tcPr>
            <w:tcW w:w="2720" w:type="dxa"/>
            <w:vAlign w:val="bottom"/>
          </w:tcPr>
          <w:p>
            <w:pPr>
              <w:ind w:left="1060"/>
              <w:spacing w:after="0"/>
              <w:rPr>
                <w:sz w:val="20"/>
                <w:szCs w:val="20"/>
                <w:color w:val="auto"/>
              </w:rPr>
            </w:pPr>
            <w:r>
              <w:rPr>
                <w:rFonts w:ascii="Arial" w:cs="Arial" w:eastAsia="Arial" w:hAnsi="Arial"/>
                <w:sz w:val="18"/>
                <w:szCs w:val="18"/>
                <w:color w:val="auto"/>
              </w:rPr>
              <w:t>219,197</w:t>
            </w:r>
          </w:p>
        </w:tc>
        <w:tc>
          <w:tcPr>
            <w:tcW w:w="12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Proposal 3: Approval of Articles Amendment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To approve an amendment to the Company’s Second Amended and Restated Articles of Incorporation (the “Articles Amendment”) to provide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with additional flexibility in making distributions to its stockholders: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Votes For</w:t>
            </w:r>
          </w:p>
        </w:tc>
        <w:tc>
          <w:tcPr>
            <w:tcW w:w="2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Votes Against</w:t>
            </w:r>
          </w:p>
        </w:tc>
        <w:tc>
          <w:tcPr>
            <w:tcW w:w="2840" w:type="dxa"/>
            <w:vAlign w:val="bottom"/>
            <w:gridSpan w:val="2"/>
          </w:tcPr>
          <w:p>
            <w:pPr>
              <w:ind w:left="1060"/>
              <w:spacing w:after="0"/>
              <w:rPr>
                <w:sz w:val="20"/>
                <w:szCs w:val="20"/>
                <w:color w:val="auto"/>
              </w:rPr>
            </w:pPr>
            <w:r>
              <w:rPr>
                <w:rFonts w:ascii="Arial" w:cs="Arial" w:eastAsia="Arial" w:hAnsi="Arial"/>
                <w:sz w:val="18"/>
                <w:szCs w:val="18"/>
                <w:b w:val="1"/>
                <w:bCs w:val="1"/>
                <w:color w:val="auto"/>
              </w:rPr>
              <w:t>Abstain</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7"/>
        </w:trPr>
        <w:tc>
          <w:tcPr>
            <w:tcW w:w="2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37"/>
        </w:trPr>
        <w:tc>
          <w:tcPr>
            <w:tcW w:w="2880" w:type="dxa"/>
            <w:vAlign w:val="bottom"/>
          </w:tcPr>
          <w:p>
            <w:pPr>
              <w:jc w:val="right"/>
              <w:ind w:right="950"/>
              <w:spacing w:after="0"/>
              <w:rPr>
                <w:sz w:val="20"/>
                <w:szCs w:val="20"/>
                <w:color w:val="auto"/>
              </w:rPr>
            </w:pPr>
            <w:r>
              <w:rPr>
                <w:rFonts w:ascii="Arial" w:cs="Arial" w:eastAsia="Arial" w:hAnsi="Arial"/>
                <w:sz w:val="18"/>
                <w:szCs w:val="18"/>
                <w:color w:val="auto"/>
              </w:rPr>
              <w:t>72,411,355</w:t>
            </w:r>
          </w:p>
        </w:tc>
        <w:tc>
          <w:tcPr>
            <w:tcW w:w="120" w:type="dxa"/>
            <w:vAlign w:val="bottom"/>
          </w:tcPr>
          <w:p>
            <w:pPr>
              <w:spacing w:after="0"/>
              <w:rPr>
                <w:sz w:val="20"/>
                <w:szCs w:val="20"/>
                <w:color w:val="auto"/>
              </w:rPr>
            </w:pPr>
          </w:p>
        </w:tc>
        <w:tc>
          <w:tcPr>
            <w:tcW w:w="2740" w:type="dxa"/>
            <w:vAlign w:val="bottom"/>
          </w:tcPr>
          <w:p>
            <w:pPr>
              <w:jc w:val="right"/>
              <w:ind w:right="890"/>
              <w:spacing w:after="0"/>
              <w:rPr>
                <w:sz w:val="20"/>
                <w:szCs w:val="20"/>
                <w:color w:val="auto"/>
              </w:rPr>
            </w:pPr>
            <w:r>
              <w:rPr>
                <w:rFonts w:ascii="Arial" w:cs="Arial" w:eastAsia="Arial" w:hAnsi="Arial"/>
                <w:sz w:val="18"/>
                <w:szCs w:val="18"/>
                <w:color w:val="auto"/>
              </w:rPr>
              <w:t>13,263,297</w:t>
            </w:r>
          </w:p>
        </w:tc>
        <w:tc>
          <w:tcPr>
            <w:tcW w:w="120" w:type="dxa"/>
            <w:vAlign w:val="bottom"/>
          </w:tcPr>
          <w:p>
            <w:pPr>
              <w:spacing w:after="0"/>
              <w:rPr>
                <w:sz w:val="20"/>
                <w:szCs w:val="20"/>
                <w:color w:val="auto"/>
              </w:rPr>
            </w:pPr>
          </w:p>
        </w:tc>
        <w:tc>
          <w:tcPr>
            <w:tcW w:w="2720" w:type="dxa"/>
            <w:vAlign w:val="bottom"/>
          </w:tcPr>
          <w:p>
            <w:pPr>
              <w:ind w:left="1060"/>
              <w:spacing w:after="0"/>
              <w:rPr>
                <w:sz w:val="20"/>
                <w:szCs w:val="20"/>
                <w:color w:val="auto"/>
              </w:rPr>
            </w:pPr>
            <w:r>
              <w:rPr>
                <w:rFonts w:ascii="Arial" w:cs="Arial" w:eastAsia="Arial" w:hAnsi="Arial"/>
                <w:sz w:val="18"/>
                <w:szCs w:val="18"/>
                <w:color w:val="auto"/>
              </w:rPr>
              <w:t>189,020</w:t>
            </w:r>
          </w:p>
        </w:tc>
        <w:tc>
          <w:tcPr>
            <w:tcW w:w="120" w:type="dxa"/>
            <w:vAlign w:val="bottom"/>
          </w:tcPr>
          <w:p>
            <w:pPr>
              <w:spacing w:after="0"/>
              <w:rPr>
                <w:sz w:val="20"/>
                <w:szCs w:val="20"/>
                <w:color w:val="auto"/>
              </w:rPr>
            </w:pPr>
          </w:p>
        </w:tc>
        <w:tc>
          <w:tcPr>
            <w:tcW w:w="2720" w:type="dxa"/>
            <w:vAlign w:val="bottom"/>
          </w:tcPr>
          <w:p>
            <w:pPr>
              <w:jc w:val="right"/>
              <w:ind w:right="910"/>
              <w:spacing w:after="0"/>
              <w:rPr>
                <w:sz w:val="20"/>
                <w:szCs w:val="20"/>
                <w:color w:val="auto"/>
              </w:rPr>
            </w:pPr>
            <w:r>
              <w:rPr>
                <w:rFonts w:ascii="Arial" w:cs="Arial" w:eastAsia="Arial" w:hAnsi="Arial"/>
                <w:sz w:val="18"/>
                <w:szCs w:val="18"/>
                <w:color w:val="auto"/>
              </w:rPr>
              <w:t>1,964,362</w:t>
            </w:r>
          </w:p>
        </w:tc>
      </w:tr>
    </w:tbl>
    <w:p>
      <w:pPr>
        <w:spacing w:after="0" w:line="229"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On April 27, 2015, the Company implemented the Articles Amendment by filing a Certificate of Third Amended and Restated Articles of Incorporation with the Nevada Secretary of State.</w:t>
      </w:r>
    </w:p>
    <w:p>
      <w:pPr>
        <w:sectPr>
          <w:pgSz w:w="11900" w:h="16838" w:orient="portrait"/>
          <w:cols w:equalWidth="0" w:num="1">
            <w:col w:w="11420"/>
          </w:cols>
          <w:pgMar w:left="240" w:top="580" w:right="239" w:bottom="1440" w:gutter="0" w:footer="0" w:header="0"/>
        </w:sectPr>
      </w:pPr>
    </w:p>
    <w:bookmarkStart w:id="2" w:name="page3"/>
    <w:bookmarkEnd w:id="2"/>
    <w:p>
      <w:pPr>
        <w:ind w:left="440"/>
        <w:spacing w:after="0"/>
        <w:rPr>
          <w:sz w:val="20"/>
          <w:szCs w:val="20"/>
          <w:color w:val="auto"/>
        </w:rPr>
      </w:pPr>
      <w:r>
        <w:rPr>
          <w:rFonts w:ascii="Arial" w:cs="Arial" w:eastAsia="Arial" w:hAnsi="Arial"/>
          <w:sz w:val="18"/>
          <w:szCs w:val="18"/>
          <w:i w:val="1"/>
          <w:iCs w:val="1"/>
          <w:color w:val="auto"/>
        </w:rPr>
        <w:t>Proposal 4: Stockholder Proposal Regarding A Political Contributions Report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 request that the Company provide a political contributions report, updated semiannually, setting forth specified information: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Votes For</w:t>
            </w:r>
          </w:p>
        </w:tc>
        <w:tc>
          <w:tcPr>
            <w:tcW w:w="2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Votes Against</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Abstain</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7"/>
        </w:trPr>
        <w:tc>
          <w:tcPr>
            <w:tcW w:w="2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37"/>
        </w:trPr>
        <w:tc>
          <w:tcPr>
            <w:tcW w:w="2880" w:type="dxa"/>
            <w:vAlign w:val="bottom"/>
          </w:tcPr>
          <w:p>
            <w:pPr>
              <w:jc w:val="right"/>
              <w:ind w:right="950"/>
              <w:spacing w:after="0"/>
              <w:rPr>
                <w:sz w:val="20"/>
                <w:szCs w:val="20"/>
                <w:color w:val="auto"/>
              </w:rPr>
            </w:pPr>
            <w:r>
              <w:rPr>
                <w:rFonts w:ascii="Arial" w:cs="Arial" w:eastAsia="Arial" w:hAnsi="Arial"/>
                <w:sz w:val="18"/>
                <w:szCs w:val="18"/>
                <w:color w:val="auto"/>
              </w:rPr>
              <w:t>16,488,366</w:t>
            </w:r>
          </w:p>
        </w:tc>
        <w:tc>
          <w:tcPr>
            <w:tcW w:w="120" w:type="dxa"/>
            <w:vAlign w:val="bottom"/>
          </w:tcPr>
          <w:p>
            <w:pPr>
              <w:spacing w:after="0"/>
              <w:rPr>
                <w:sz w:val="20"/>
                <w:szCs w:val="20"/>
                <w:color w:val="auto"/>
              </w:rPr>
            </w:pPr>
          </w:p>
        </w:tc>
        <w:tc>
          <w:tcPr>
            <w:tcW w:w="2740" w:type="dxa"/>
            <w:vAlign w:val="bottom"/>
          </w:tcPr>
          <w:p>
            <w:pPr>
              <w:jc w:val="right"/>
              <w:ind w:right="890"/>
              <w:spacing w:after="0"/>
              <w:rPr>
                <w:sz w:val="20"/>
                <w:szCs w:val="20"/>
                <w:color w:val="auto"/>
              </w:rPr>
            </w:pPr>
            <w:r>
              <w:rPr>
                <w:rFonts w:ascii="Arial" w:cs="Arial" w:eastAsia="Arial" w:hAnsi="Arial"/>
                <w:sz w:val="18"/>
                <w:szCs w:val="18"/>
                <w:color w:val="auto"/>
              </w:rPr>
              <w:t>66,021,852</w:t>
            </w:r>
          </w:p>
        </w:tc>
        <w:tc>
          <w:tcPr>
            <w:tcW w:w="120" w:type="dxa"/>
            <w:vAlign w:val="bottom"/>
          </w:tcPr>
          <w:p>
            <w:pPr>
              <w:spacing w:after="0"/>
              <w:rPr>
                <w:sz w:val="20"/>
                <w:szCs w:val="20"/>
                <w:color w:val="auto"/>
              </w:rPr>
            </w:pPr>
          </w:p>
        </w:tc>
        <w:tc>
          <w:tcPr>
            <w:tcW w:w="2720" w:type="dxa"/>
            <w:vAlign w:val="bottom"/>
          </w:tcPr>
          <w:p>
            <w:pPr>
              <w:jc w:val="right"/>
              <w:ind w:right="910"/>
              <w:spacing w:after="0"/>
              <w:rPr>
                <w:sz w:val="20"/>
                <w:szCs w:val="20"/>
                <w:color w:val="auto"/>
              </w:rPr>
            </w:pPr>
            <w:r>
              <w:rPr>
                <w:rFonts w:ascii="Arial" w:cs="Arial" w:eastAsia="Arial" w:hAnsi="Arial"/>
                <w:sz w:val="18"/>
                <w:szCs w:val="18"/>
                <w:color w:val="auto"/>
              </w:rPr>
              <w:t>3,212,254</w:t>
            </w:r>
          </w:p>
        </w:tc>
        <w:tc>
          <w:tcPr>
            <w:tcW w:w="120" w:type="dxa"/>
            <w:vAlign w:val="bottom"/>
          </w:tcPr>
          <w:p>
            <w:pPr>
              <w:spacing w:after="0"/>
              <w:rPr>
                <w:sz w:val="20"/>
                <w:szCs w:val="20"/>
                <w:color w:val="auto"/>
              </w:rPr>
            </w:pPr>
          </w:p>
        </w:tc>
        <w:tc>
          <w:tcPr>
            <w:tcW w:w="2720" w:type="dxa"/>
            <w:vAlign w:val="bottom"/>
          </w:tcPr>
          <w:p>
            <w:pPr>
              <w:jc w:val="right"/>
              <w:ind w:right="910"/>
              <w:spacing w:after="0"/>
              <w:rPr>
                <w:sz w:val="20"/>
                <w:szCs w:val="20"/>
                <w:color w:val="auto"/>
              </w:rPr>
            </w:pPr>
            <w:r>
              <w:rPr>
                <w:rFonts w:ascii="Arial" w:cs="Arial" w:eastAsia="Arial" w:hAnsi="Arial"/>
                <w:sz w:val="18"/>
                <w:szCs w:val="18"/>
                <w:color w:val="auto"/>
              </w:rPr>
              <w:t>1,964,362</w:t>
            </w:r>
          </w:p>
        </w:tc>
      </w:tr>
    </w:tbl>
    <w:p>
      <w:pPr>
        <w:sectPr>
          <w:pgSz w:w="11900" w:h="16838" w:orient="portrait"/>
          <w:cols w:equalWidth="0" w:num="1">
            <w:col w:w="11420"/>
          </w:cols>
          <w:pgMar w:left="240" w:top="58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7520" w:type="dxa"/>
            <w:vAlign w:val="bottom"/>
            <w:gridSpan w:val="2"/>
          </w:tcPr>
          <w:p>
            <w:pPr>
              <w:ind w:left="2440"/>
              <w:spacing w:after="0"/>
              <w:rPr>
                <w:sz w:val="20"/>
                <w:szCs w:val="20"/>
                <w:color w:val="auto"/>
              </w:rPr>
            </w:pPr>
            <w:r>
              <w:rPr>
                <w:rFonts w:ascii="Arial" w:cs="Arial" w:eastAsia="Arial" w:hAnsi="Arial"/>
                <w:sz w:val="18"/>
                <w:szCs w:val="18"/>
                <w:b w:val="1"/>
                <w:bCs w:val="1"/>
                <w:color w:val="auto"/>
              </w:rPr>
              <w:t>WYNN RESORTS, LIMITED</w:t>
            </w:r>
          </w:p>
        </w:tc>
      </w:tr>
      <w:tr>
        <w:trPr>
          <w:trHeight w:val="594"/>
        </w:trPr>
        <w:tc>
          <w:tcPr>
            <w:tcW w:w="3860" w:type="dxa"/>
            <w:vAlign w:val="bottom"/>
          </w:tcPr>
          <w:p>
            <w:pPr>
              <w:spacing w:after="0"/>
              <w:rPr>
                <w:sz w:val="20"/>
                <w:szCs w:val="20"/>
                <w:color w:val="auto"/>
              </w:rPr>
            </w:pPr>
            <w:r>
              <w:rPr>
                <w:rFonts w:ascii="Arial" w:cs="Arial" w:eastAsia="Arial" w:hAnsi="Arial"/>
                <w:sz w:val="18"/>
                <w:szCs w:val="18"/>
                <w:color w:val="auto"/>
              </w:rPr>
              <w:t>Date: May 13, 2015</w:t>
            </w:r>
          </w:p>
        </w:tc>
        <w:tc>
          <w:tcPr>
            <w:tcW w:w="3540" w:type="dxa"/>
            <w:vAlign w:val="bottom"/>
          </w:tcPr>
          <w:p>
            <w:pPr>
              <w:ind w:left="2440"/>
              <w:spacing w:after="0"/>
              <w:rPr>
                <w:sz w:val="20"/>
                <w:szCs w:val="20"/>
                <w:color w:val="auto"/>
              </w:rPr>
            </w:pPr>
            <w:r>
              <w:rPr>
                <w:rFonts w:ascii="Arial" w:cs="Arial" w:eastAsia="Arial" w:hAnsi="Arial"/>
                <w:sz w:val="18"/>
                <w:szCs w:val="18"/>
                <w:color w:val="auto"/>
              </w:rPr>
              <w:t>By:</w:t>
            </w:r>
          </w:p>
        </w:tc>
        <w:tc>
          <w:tcPr>
            <w:tcW w:w="3980" w:type="dxa"/>
            <w:vAlign w:val="bottom"/>
          </w:tcPr>
          <w:p>
            <w:pPr>
              <w:ind w:left="20"/>
              <w:spacing w:after="0"/>
              <w:rPr>
                <w:sz w:val="20"/>
                <w:szCs w:val="20"/>
                <w:color w:val="auto"/>
              </w:rPr>
            </w:pPr>
            <w:r>
              <w:rPr>
                <w:rFonts w:ascii="Arial" w:cs="Arial" w:eastAsia="Arial" w:hAnsi="Arial"/>
                <w:sz w:val="18"/>
                <w:szCs w:val="18"/>
                <w:color w:val="auto"/>
              </w:rPr>
              <w:t>/s/ Kim Sinatra</w:t>
            </w:r>
          </w:p>
        </w:tc>
      </w:tr>
      <w:tr>
        <w:trPr>
          <w:trHeight w:val="27"/>
        </w:trPr>
        <w:tc>
          <w:tcPr>
            <w:tcW w:w="38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r>
      <w:tr>
        <w:trPr>
          <w:trHeight w:val="237"/>
        </w:trPr>
        <w:tc>
          <w:tcPr>
            <w:tcW w:w="3860" w:type="dxa"/>
            <w:vAlign w:val="bottom"/>
          </w:tcPr>
          <w:p>
            <w:pPr>
              <w:spacing w:after="0"/>
              <w:rPr>
                <w:sz w:val="20"/>
                <w:szCs w:val="20"/>
                <w:color w:val="auto"/>
              </w:rPr>
            </w:pPr>
          </w:p>
        </w:tc>
        <w:tc>
          <w:tcPr>
            <w:tcW w:w="3540" w:type="dxa"/>
            <w:vAlign w:val="bottom"/>
          </w:tcPr>
          <w:p>
            <w:pPr>
              <w:ind w:left="2440"/>
              <w:spacing w:after="0"/>
              <w:rPr>
                <w:sz w:val="20"/>
                <w:szCs w:val="20"/>
                <w:color w:val="auto"/>
              </w:rPr>
            </w:pPr>
            <w:r>
              <w:rPr>
                <w:rFonts w:ascii="Arial" w:cs="Arial" w:eastAsia="Arial" w:hAnsi="Arial"/>
                <w:sz w:val="18"/>
                <w:szCs w:val="18"/>
                <w:color w:val="auto"/>
              </w:rPr>
              <w:t>Name:</w:t>
            </w:r>
          </w:p>
        </w:tc>
        <w:tc>
          <w:tcPr>
            <w:tcW w:w="3980" w:type="dxa"/>
            <w:vAlign w:val="bottom"/>
          </w:tcPr>
          <w:p>
            <w:pPr>
              <w:ind w:left="20"/>
              <w:spacing w:after="0"/>
              <w:rPr>
                <w:sz w:val="20"/>
                <w:szCs w:val="20"/>
                <w:color w:val="auto"/>
              </w:rPr>
            </w:pPr>
            <w:r>
              <w:rPr>
                <w:rFonts w:ascii="Arial" w:cs="Arial" w:eastAsia="Arial" w:hAnsi="Arial"/>
                <w:sz w:val="18"/>
                <w:szCs w:val="18"/>
                <w:color w:val="auto"/>
              </w:rPr>
              <w:t>Kim Sinatra</w:t>
            </w:r>
          </w:p>
        </w:tc>
      </w:tr>
      <w:tr>
        <w:trPr>
          <w:trHeight w:val="270"/>
        </w:trPr>
        <w:tc>
          <w:tcPr>
            <w:tcW w:w="3860" w:type="dxa"/>
            <w:vAlign w:val="bottom"/>
          </w:tcPr>
          <w:p>
            <w:pPr>
              <w:spacing w:after="0"/>
              <w:rPr>
                <w:sz w:val="23"/>
                <w:szCs w:val="23"/>
                <w:color w:val="auto"/>
              </w:rPr>
            </w:pPr>
          </w:p>
        </w:tc>
        <w:tc>
          <w:tcPr>
            <w:tcW w:w="3540" w:type="dxa"/>
            <w:vAlign w:val="bottom"/>
          </w:tcPr>
          <w:p>
            <w:pPr>
              <w:ind w:left="2440"/>
              <w:spacing w:after="0"/>
              <w:rPr>
                <w:sz w:val="20"/>
                <w:szCs w:val="20"/>
                <w:color w:val="auto"/>
              </w:rPr>
            </w:pPr>
            <w:r>
              <w:rPr>
                <w:rFonts w:ascii="Arial" w:cs="Arial" w:eastAsia="Arial" w:hAnsi="Arial"/>
                <w:sz w:val="18"/>
                <w:szCs w:val="18"/>
                <w:color w:val="auto"/>
              </w:rPr>
              <w:t>Title:</w:t>
            </w:r>
          </w:p>
        </w:tc>
        <w:tc>
          <w:tcPr>
            <w:tcW w:w="3980" w:type="dxa"/>
            <w:vAlign w:val="bottom"/>
          </w:tcPr>
          <w:p>
            <w:pPr>
              <w:ind w:left="20"/>
              <w:spacing w:after="0"/>
              <w:rPr>
                <w:sz w:val="20"/>
                <w:szCs w:val="20"/>
                <w:color w:val="auto"/>
              </w:rPr>
            </w:pPr>
            <w:r>
              <w:rPr>
                <w:rFonts w:ascii="Arial" w:cs="Arial" w:eastAsia="Arial" w:hAnsi="Arial"/>
                <w:sz w:val="18"/>
                <w:szCs w:val="18"/>
                <w:color w:val="auto"/>
              </w:rPr>
              <w:t>Executive Vice President and General Counsel</w:t>
            </w: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2019-12-08T01:51:57Z</dcterms:created>
  <dcterms:modified xsi:type="dcterms:W3CDTF">2019-12-08T01:51:57Z</dcterms:modified>
</cp:coreProperties>
</file>