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-625475</wp:posOffset>
            </wp:positionV>
            <wp:extent cx="58420" cy="638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742950</wp:posOffset>
            </wp:positionV>
            <wp:extent cx="7046595" cy="53333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333365"/>
                    </a:xfrm>
                    <a:prstGeom prst="rect">
                      <a:avLst/>
                    </a:prstGeom>
                    <a:noFill/>
                  </pic:spPr>
                </pic:pic>
              </a:graphicData>
            </a:graphic>
          </wp:anchor>
        </w:drawing>
      </w:r>
    </w:p>
    <w:p>
      <w:pPr>
        <w:spacing w:after="0" w:line="124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Fullalove Craig Jeffrey</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WYNN RESORTS, LIMITED</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WYNN RESORTS LTD</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WYNN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04/06/2026</w:t>
      </w:r>
    </w:p>
    <w:p>
      <w:pPr>
        <w:spacing w:after="0" w:line="20" w:lineRule="exact"/>
        <w:rPr>
          <w:sz w:val="24"/>
          <w:szCs w:val="24"/>
          <w:color w:val="auto"/>
        </w:rPr>
      </w:pPr>
      <w:r>
        <w:rPr>
          <w:sz w:val="24"/>
          <w:szCs w:val="24"/>
          <w:color w:val="auto"/>
        </w:rPr>
        <w:br w:type="column"/>
      </w:r>
    </w:p>
    <w:p>
      <w:pPr>
        <w:ind w:left="9" w:right="640" w:hanging="9"/>
        <w:spacing w:after="0" w:line="258"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9"/>
        <w:spacing w:after="0"/>
        <w:tabs>
          <w:tab w:leader="none" w:pos="208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29"/>
        <w:spacing w:after="0"/>
        <w:tabs>
          <w:tab w:leader="none" w:pos="208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429"/>
        <w:spacing w:after="0"/>
        <w:rPr>
          <w:sz w:val="20"/>
          <w:szCs w:val="20"/>
          <w:color w:val="auto"/>
        </w:rPr>
      </w:pPr>
      <w:r>
        <w:rPr>
          <w:rFonts w:ascii="Times New Roman" w:cs="Times New Roman" w:eastAsia="Times New Roman" w:hAnsi="Times New Roman"/>
          <w:sz w:val="17"/>
          <w:szCs w:val="17"/>
          <w:color w:val="0000FF"/>
        </w:rPr>
        <w:t>CFO</w:t>
      </w:r>
    </w:p>
    <w:p>
      <w:pPr>
        <w:spacing w:after="0" w:line="394" w:lineRule="exact"/>
        <w:rPr>
          <w:sz w:val="24"/>
          <w:szCs w:val="24"/>
          <w:color w:val="auto"/>
        </w:rPr>
      </w:pPr>
    </w:p>
    <w:p>
      <w:pPr>
        <w:sectPr>
          <w:pgSz w:w="11900" w:h="16838" w:orient="portrait"/>
          <w:cols w:equalWidth="0" w:num="3">
            <w:col w:w="3180" w:space="720"/>
            <w:col w:w="3111" w:space="720"/>
            <w:col w:w="3349"/>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3700" w:type="dxa"/>
            <w:vAlign w:val="bottom"/>
            <w:gridSpan w:val="8"/>
          </w:tcPr>
          <w:p>
            <w:pPr>
              <w:jc w:val="center"/>
              <w:ind w:right="81"/>
              <w:spacing w:after="0"/>
              <w:rPr>
                <w:sz w:val="20"/>
                <w:szCs w:val="20"/>
                <w:color w:val="auto"/>
              </w:rPr>
            </w:pPr>
            <w:r>
              <w:rPr>
                <w:rFonts w:ascii="Arial" w:cs="Arial" w:eastAsia="Arial" w:hAnsi="Arial"/>
                <w:sz w:val="13"/>
                <w:szCs w:val="13"/>
                <w:color w:val="auto"/>
                <w:w w:val="99"/>
              </w:rPr>
              <w:t>4. If Amendment, Date of Original Filed (Month/Day/Year)</w:t>
            </w:r>
          </w:p>
        </w:tc>
        <w:tc>
          <w:tcPr>
            <w:tcW w:w="362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280"/>
              <w:spacing w:after="0"/>
              <w:rPr>
                <w:sz w:val="20"/>
                <w:szCs w:val="20"/>
                <w:color w:val="auto"/>
              </w:rPr>
            </w:pPr>
            <w:r>
              <w:rPr>
                <w:rFonts w:ascii="Arial" w:cs="Arial" w:eastAsia="Arial" w:hAnsi="Arial"/>
                <w:sz w:val="13"/>
                <w:szCs w:val="13"/>
                <w:color w:val="auto"/>
                <w:w w:val="89"/>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LAS VEGAS</w:t>
            </w:r>
          </w:p>
        </w:tc>
        <w:tc>
          <w:tcPr>
            <w:tcW w:w="2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NV</w:t>
            </w:r>
          </w:p>
        </w:tc>
        <w:tc>
          <w:tcPr>
            <w:tcW w:w="860" w:type="dxa"/>
            <w:vAlign w:val="bottom"/>
          </w:tcPr>
          <w:p>
            <w:pPr>
              <w:spacing w:after="0"/>
              <w:rPr>
                <w:sz w:val="10"/>
                <w:szCs w:val="10"/>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89109</w:t>
            </w: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6"/>
                <w:szCs w:val="6"/>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66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3780" w:type="dxa"/>
            <w:vAlign w:val="bottom"/>
            <w:tcBorders>
              <w:bottom w:val="single" w:sz="8" w:color="2C2C2C"/>
            </w:tcBorders>
            <w:gridSpan w:val="8"/>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120" w:type="dxa"/>
            <w:vAlign w:val="bottom"/>
            <w:tcBorders>
              <w:top w:val="single" w:sz="8" w:color="2C2C2C"/>
            </w:tcBorders>
            <w:gridSpan w:val="15"/>
          </w:tcPr>
          <w:p>
            <w:pPr>
              <w:ind w:left="6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6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3"/>
              </w:rPr>
              <w:t>2A. Deemed</w:t>
            </w:r>
          </w:p>
        </w:tc>
        <w:tc>
          <w:tcPr>
            <w:tcW w:w="30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9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0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120" w:type="dxa"/>
            <w:vAlign w:val="bottom"/>
            <w:tcBorders>
              <w:bottom w:val="single" w:sz="8" w:color="2C2C2C"/>
            </w:tcBorders>
            <w:gridSpan w:val="6"/>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312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220" w:type="dxa"/>
            <w:vAlign w:val="bottom"/>
            <w:tcBorders>
              <w:bottom w:val="single" w:sz="8" w:color="2C2C2C"/>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0000FF"/>
              </w:rPr>
              <w:t>04/06/2026</w:t>
            </w: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9"/>
              </w:rPr>
              <w:t>1,062</w:t>
            </w:r>
          </w:p>
        </w:tc>
        <w:tc>
          <w:tcPr>
            <w:tcW w:w="660" w:type="dxa"/>
            <w:vAlign w:val="bottom"/>
            <w:tcBorders>
              <w:bottom w:val="single" w:sz="8" w:color="2C2C2C"/>
            </w:tcBorders>
          </w:tcPr>
          <w:p>
            <w:pPr>
              <w:ind w:left="320"/>
              <w:spacing w:after="0" w:line="309" w:lineRule="exact"/>
              <w:rPr>
                <w:sz w:val="20"/>
                <w:szCs w:val="20"/>
                <w:color w:val="auto"/>
              </w:rPr>
            </w:pPr>
            <w:r>
              <w:rPr>
                <w:rFonts w:ascii="Times New Roman" w:cs="Times New Roman" w:eastAsia="Times New Roman" w:hAnsi="Times New Roman"/>
                <w:sz w:val="33"/>
                <w:szCs w:val="33"/>
                <w:color w:val="0000FF"/>
                <w:vertAlign w:val="subscript"/>
              </w:rPr>
              <w:t>A</w:t>
            </w:r>
            <w:r>
              <w:rPr>
                <w:rFonts w:ascii="Times New Roman" w:cs="Times New Roman" w:eastAsia="Times New Roman" w:hAnsi="Times New Roman"/>
                <w:sz w:val="11"/>
                <w:szCs w:val="11"/>
                <w:color w:val="008000"/>
              </w:rPr>
              <w:t>(1)</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21,897</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220" w:type="dxa"/>
            <w:vAlign w:val="bottom"/>
            <w:tcBorders>
              <w:bottom w:val="single" w:sz="8" w:color="2C2C2C"/>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0000FF"/>
              </w:rPr>
              <w:t>04/06/2026</w:t>
            </w: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9"/>
              </w:rPr>
              <w:t>3,249</w:t>
            </w:r>
          </w:p>
        </w:tc>
        <w:tc>
          <w:tcPr>
            <w:tcW w:w="660" w:type="dxa"/>
            <w:vAlign w:val="bottom"/>
            <w:tcBorders>
              <w:bottom w:val="single" w:sz="8" w:color="2C2C2C"/>
            </w:tcBorders>
          </w:tcPr>
          <w:p>
            <w:pPr>
              <w:ind w:left="320"/>
              <w:spacing w:after="0" w:line="309" w:lineRule="exact"/>
              <w:rPr>
                <w:sz w:val="20"/>
                <w:szCs w:val="20"/>
                <w:color w:val="auto"/>
              </w:rPr>
            </w:pPr>
            <w:r>
              <w:rPr>
                <w:rFonts w:ascii="Times New Roman" w:cs="Times New Roman" w:eastAsia="Times New Roman" w:hAnsi="Times New Roman"/>
                <w:sz w:val="33"/>
                <w:szCs w:val="33"/>
                <w:color w:val="0000FF"/>
                <w:vertAlign w:val="subscript"/>
              </w:rPr>
              <w:t>A</w:t>
            </w:r>
            <w:r>
              <w:rPr>
                <w:rFonts w:ascii="Times New Roman" w:cs="Times New Roman" w:eastAsia="Times New Roman" w:hAnsi="Times New Roman"/>
                <w:sz w:val="11"/>
                <w:szCs w:val="11"/>
                <w:color w:val="008000"/>
              </w:rPr>
              <w:t>(2)</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25,146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8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4"/>
          </w:tcPr>
          <w:p>
            <w:pPr>
              <w:jc w:val="center"/>
              <w:ind w:right="8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80" w:type="dxa"/>
            <w:vAlign w:val="bottom"/>
            <w:gridSpan w:val="11"/>
          </w:tcPr>
          <w:p>
            <w:pPr>
              <w:jc w:val="center"/>
              <w:ind w:right="8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280" w:type="dxa"/>
            <w:vAlign w:val="bottom"/>
            <w:gridSpan w:val="2"/>
          </w:tcPr>
          <w:p>
            <w:pPr>
              <w:ind w:left="2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5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  if any</w:t>
            </w:r>
          </w:p>
        </w:tc>
        <w:tc>
          <w:tcPr>
            <w:tcW w:w="6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Price of</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gridSpan w:val="2"/>
          </w:tcPr>
          <w:p>
            <w:pPr>
              <w:ind w:left="26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Security</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5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1,857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rPr>
              <w:t>04/06/2026</w:t>
            </w: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5"/>
                <w:szCs w:val="5"/>
                <w:color w:val="auto"/>
              </w:rPr>
            </w:pPr>
          </w:p>
        </w:tc>
        <w:tc>
          <w:tcPr>
            <w:tcW w:w="50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1,857</w:t>
            </w:r>
          </w:p>
        </w:tc>
        <w:tc>
          <w:tcPr>
            <w:tcW w:w="3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w w:val="95"/>
              </w:rPr>
              <w:t>1,857</w:t>
            </w:r>
          </w:p>
        </w:tc>
        <w:tc>
          <w:tcPr>
            <w:tcW w:w="30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5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$0.01 per</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6960"/>
        <w:spacing w:after="0"/>
        <w:rPr>
          <w:sz w:val="20"/>
          <w:szCs w:val="20"/>
          <w:color w:val="auto"/>
        </w:rPr>
      </w:pPr>
      <w:r>
        <w:rPr>
          <w:rFonts w:ascii="Times New Roman" w:cs="Times New Roman" w:eastAsia="Times New Roman" w:hAnsi="Times New Roman"/>
          <w:sz w:val="13"/>
          <w:szCs w:val="13"/>
          <w:color w:val="0000FF"/>
        </w:rPr>
        <w:t>share</w:t>
      </w:r>
    </w:p>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Wynn Resorts, Limited (the "Company") granted pursuant to the Company's Amended and Restated 2014 Omnibus Incentive Plan (the "Plan"). Vesting of the shares is conditioned on continued service through January 7, 2029, with 1/3 of the shares vesting on each of the three consecutive anniversary dates from January 7, 2026; provided that if the reporting person's employment with the Company is terminated, certain accelerated vesting provisions may apply.</w:t>
      </w:r>
    </w:p>
    <w:p>
      <w:pPr>
        <w:spacing w:after="0" w:line="26" w:lineRule="exact"/>
        <w:rPr>
          <w:rFonts w:ascii="Times New Roman" w:cs="Times New Roman" w:eastAsia="Times New Roman" w:hAnsi="Times New Roman"/>
          <w:sz w:val="13"/>
          <w:szCs w:val="13"/>
          <w:color w:val="008000"/>
        </w:rPr>
      </w:pPr>
    </w:p>
    <w:p>
      <w:pPr>
        <w:ind w:left="40" w:right="16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the Company granted pursuant to the Plan. Vesting of the shares is based on achievement of pre-established financial performance goals for each of the years ending December 31, 2026, 2027 and 2028, and if met, 1/3 of the shares will vest on February 28, 2027, 2028 and 2029, respectively; provided that if the reporting person's employment with the Company is terminated, certain accelerated vesting provisions may apply.</w:t>
      </w:r>
    </w:p>
    <w:p>
      <w:pPr>
        <w:spacing w:after="0" w:line="26" w:lineRule="exact"/>
        <w:rPr>
          <w:rFonts w:ascii="Times New Roman" w:cs="Times New Roman" w:eastAsia="Times New Roman" w:hAnsi="Times New Roman"/>
          <w:sz w:val="13"/>
          <w:szCs w:val="13"/>
          <w:color w:val="008000"/>
        </w:rPr>
      </w:pPr>
    </w:p>
    <w:p>
      <w:pPr>
        <w:ind w:left="40" w:right="2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performance share units ("PSUs") pursuant to the Plan. Each PSU represents the contingent right to receive between 0 and 1.6 shares of the Company's common stock, par value $0.01 per share, based on the total shareholder return performance of the common stock for the period January 1, 2026 to January 1, 2029.</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Nicholas Pannucci,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-8890</wp:posOffset>
            </wp:positionV>
            <wp:extent cx="13582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in-fact for Craig Jeffrey</w:t>
      </w:r>
      <w:r>
        <w:rPr>
          <w:sz w:val="20"/>
          <w:szCs w:val="20"/>
          <w:color w:val="auto"/>
        </w:rPr>
        <w:tab/>
      </w:r>
      <w:r>
        <w:rPr>
          <w:rFonts w:ascii="Times New Roman" w:cs="Times New Roman" w:eastAsia="Times New Roman" w:hAnsi="Times New Roman"/>
          <w:sz w:val="16"/>
          <w:szCs w:val="16"/>
          <w:color w:val="0000FF"/>
        </w:rPr>
        <w:t>04/07/2026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-16510</wp:posOffset>
            </wp:positionV>
            <wp:extent cx="1882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27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Fullalove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-16510</wp:posOffset>
            </wp:positionV>
            <wp:extent cx="401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01320"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126294" TargetMode="External"/><Relationship Id="rId14"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2026-04-07T19:06:21Z</dcterms:created>
  <dcterms:modified xsi:type="dcterms:W3CDTF">2026-04-07T19:06:21Z</dcterms:modified>
</cp:coreProperties>
</file>