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SECURITIES AND EXCHANGE COMMISSION</w:t>
      </w:r>
    </w:p>
    <w:p>
      <w:pPr>
        <w:ind w:left="5000"/>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2185670</wp:posOffset>
            </wp:positionH>
            <wp:positionV relativeFrom="paragraph">
              <wp:posOffset>231140</wp:posOffset>
            </wp:positionV>
            <wp:extent cx="291719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17190" cy="571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ind w:left="5200"/>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2185670</wp:posOffset>
            </wp:positionH>
            <wp:positionV relativeFrom="paragraph">
              <wp:posOffset>251460</wp:posOffset>
            </wp:positionV>
            <wp:extent cx="291719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17190" cy="5715"/>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ind w:left="5060"/>
        <w:spacing w:after="0"/>
        <w:rPr>
          <w:sz w:val="20"/>
          <w:szCs w:val="20"/>
          <w:color w:val="auto"/>
        </w:rPr>
      </w:pPr>
      <w:r>
        <w:rPr>
          <w:rFonts w:ascii="Arial" w:cs="Arial" w:eastAsia="Arial" w:hAnsi="Arial"/>
          <w:sz w:val="14"/>
          <w:szCs w:val="14"/>
          <w:b w:val="1"/>
          <w:bCs w:val="1"/>
          <w:color w:val="auto"/>
        </w:rPr>
        <w:t>CURRENT REPORT</w:t>
      </w:r>
    </w:p>
    <w:p>
      <w:pPr>
        <w:spacing w:after="0" w:line="118" w:lineRule="exact"/>
        <w:rPr>
          <w:sz w:val="24"/>
          <w:szCs w:val="24"/>
          <w:color w:val="auto"/>
        </w:rPr>
      </w:pPr>
    </w:p>
    <w:p>
      <w:pPr>
        <w:ind w:left="4780"/>
        <w:spacing w:after="0"/>
        <w:rPr>
          <w:sz w:val="20"/>
          <w:szCs w:val="20"/>
          <w:color w:val="auto"/>
        </w:rPr>
      </w:pPr>
      <w:r>
        <w:rPr>
          <w:rFonts w:ascii="Arial" w:cs="Arial" w:eastAsia="Arial" w:hAnsi="Arial"/>
          <w:sz w:val="14"/>
          <w:szCs w:val="14"/>
          <w:b w:val="1"/>
          <w:bCs w:val="1"/>
          <w:color w:val="auto"/>
        </w:rPr>
        <w:t>Pursuant to Section 13 or 15(d)</w:t>
      </w:r>
    </w:p>
    <w:p>
      <w:pPr>
        <w:spacing w:after="0" w:line="25" w:lineRule="exact"/>
        <w:rPr>
          <w:sz w:val="24"/>
          <w:szCs w:val="24"/>
          <w:color w:val="auto"/>
        </w:rPr>
      </w:pPr>
    </w:p>
    <w:p>
      <w:pPr>
        <w:jc w:val="center"/>
        <w:ind w:right="-1220"/>
        <w:spacing w:after="0"/>
        <w:rPr>
          <w:sz w:val="20"/>
          <w:szCs w:val="20"/>
          <w:color w:val="auto"/>
        </w:rPr>
      </w:pPr>
      <w:r>
        <w:rPr>
          <w:rFonts w:ascii="Arial" w:cs="Arial" w:eastAsia="Arial" w:hAnsi="Arial"/>
          <w:sz w:val="14"/>
          <w:szCs w:val="14"/>
          <w:b w:val="1"/>
          <w:bCs w:val="1"/>
          <w:color w:val="auto"/>
        </w:rPr>
        <w:t>of the Securities Exchange Act of 1934, as Amended</w:t>
      </w:r>
    </w:p>
    <w:p>
      <w:pPr>
        <w:spacing w:after="0" w:line="103" w:lineRule="exact"/>
        <w:rPr>
          <w:sz w:val="24"/>
          <w:szCs w:val="24"/>
          <w:color w:val="auto"/>
        </w:rPr>
      </w:pPr>
    </w:p>
    <w:p>
      <w:pPr>
        <w:jc w:val="center"/>
        <w:ind w:right="-1220"/>
        <w:spacing w:after="0"/>
        <w:rPr>
          <w:sz w:val="20"/>
          <w:szCs w:val="20"/>
          <w:color w:val="auto"/>
        </w:rPr>
      </w:pPr>
      <w:r>
        <w:rPr>
          <w:rFonts w:ascii="Arial" w:cs="Arial" w:eastAsia="Arial" w:hAnsi="Arial"/>
          <w:sz w:val="14"/>
          <w:szCs w:val="14"/>
          <w:b w:val="1"/>
          <w:bCs w:val="1"/>
          <w:color w:val="auto"/>
        </w:rPr>
        <w:t>Date of Report (Date of earliest event reported): April 20,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2185670</wp:posOffset>
            </wp:positionH>
            <wp:positionV relativeFrom="paragraph">
              <wp:posOffset>321310</wp:posOffset>
            </wp:positionV>
            <wp:extent cx="291719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17190" cy="5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1220"/>
        <w:spacing w:after="0"/>
        <w:rPr>
          <w:sz w:val="20"/>
          <w:szCs w:val="20"/>
          <w:color w:val="auto"/>
        </w:rPr>
      </w:pPr>
      <w:r>
        <w:rPr>
          <w:rFonts w:ascii="Arial" w:cs="Arial" w:eastAsia="Arial" w:hAnsi="Arial"/>
          <w:sz w:val="29"/>
          <w:szCs w:val="29"/>
          <w:b w:val="1"/>
          <w:bCs w:val="1"/>
          <w:color w:val="auto"/>
        </w:rPr>
        <w:t>WYNN RESORTS, LIMITED</w:t>
      </w:r>
    </w:p>
    <w:p>
      <w:pPr>
        <w:spacing w:after="0" w:line="28" w:lineRule="exact"/>
        <w:rPr>
          <w:sz w:val="24"/>
          <w:szCs w:val="24"/>
          <w:color w:val="auto"/>
        </w:rPr>
      </w:pPr>
    </w:p>
    <w:p>
      <w:pPr>
        <w:ind w:left="4400"/>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0" w:lineRule="exact"/>
        <w:rPr>
          <w:sz w:val="24"/>
          <w:szCs w:val="24"/>
          <w:color w:val="auto"/>
        </w:rPr>
      </w:pPr>
    </w:p>
    <w:p>
      <w:pPr>
        <w:spacing w:after="0" w:line="387" w:lineRule="exact"/>
        <w:rPr>
          <w:sz w:val="24"/>
          <w:szCs w:val="24"/>
          <w:color w:val="auto"/>
        </w:rPr>
      </w:pPr>
    </w:p>
    <w:tbl>
      <w:tblPr>
        <w:tblLayout w:type="fixed"/>
        <w:tblInd w:w="1100" w:type="dxa"/>
        <w:tblCellMar>
          <w:top w:w="0" w:type="dxa"/>
          <w:left w:w="0" w:type="dxa"/>
          <w:bottom w:w="0" w:type="dxa"/>
          <w:right w:w="0" w:type="dxa"/>
        </w:tblCellMar>
      </w:tblPr>
      <w:tr>
        <w:trPr>
          <w:trHeight w:val="157"/>
        </w:trPr>
        <w:tc>
          <w:tcPr>
            <w:tcW w:w="2520" w:type="dxa"/>
            <w:vAlign w:val="bottom"/>
          </w:tcPr>
          <w:p>
            <w:pPr>
              <w:jc w:val="center"/>
              <w:ind w:right="766"/>
              <w:spacing w:after="0"/>
              <w:rPr>
                <w:sz w:val="20"/>
                <w:szCs w:val="20"/>
                <w:color w:val="auto"/>
              </w:rPr>
            </w:pPr>
            <w:r>
              <w:rPr>
                <w:rFonts w:ascii="Arial" w:cs="Arial" w:eastAsia="Arial" w:hAnsi="Arial"/>
                <w:sz w:val="12"/>
                <w:szCs w:val="12"/>
                <w:b w:val="1"/>
                <w:bCs w:val="1"/>
                <w:color w:val="auto"/>
                <w:w w:val="88"/>
              </w:rPr>
              <w:t>Nevada</w:t>
            </w:r>
          </w:p>
        </w:tc>
        <w:tc>
          <w:tcPr>
            <w:tcW w:w="4500" w:type="dxa"/>
            <w:vAlign w:val="bottom"/>
          </w:tcPr>
          <w:p>
            <w:pPr>
              <w:ind w:left="1920"/>
              <w:spacing w:after="0"/>
              <w:rPr>
                <w:sz w:val="20"/>
                <w:szCs w:val="20"/>
                <w:color w:val="auto"/>
              </w:rPr>
            </w:pPr>
            <w:r>
              <w:rPr>
                <w:rFonts w:ascii="Arial" w:cs="Arial" w:eastAsia="Arial" w:hAnsi="Arial"/>
                <w:sz w:val="12"/>
                <w:szCs w:val="12"/>
                <w:b w:val="1"/>
                <w:bCs w:val="1"/>
                <w:color w:val="auto"/>
              </w:rPr>
              <w:t>000-50028</w:t>
            </w:r>
          </w:p>
        </w:tc>
        <w:tc>
          <w:tcPr>
            <w:tcW w:w="1840" w:type="dxa"/>
            <w:vAlign w:val="bottom"/>
          </w:tcPr>
          <w:p>
            <w:pPr>
              <w:jc w:val="right"/>
              <w:ind w:right="27"/>
              <w:spacing w:after="0"/>
              <w:rPr>
                <w:sz w:val="20"/>
                <w:szCs w:val="20"/>
                <w:color w:val="auto"/>
              </w:rPr>
            </w:pPr>
            <w:r>
              <w:rPr>
                <w:rFonts w:ascii="Arial" w:cs="Arial" w:eastAsia="Arial" w:hAnsi="Arial"/>
                <w:sz w:val="12"/>
                <w:szCs w:val="12"/>
                <w:b w:val="1"/>
                <w:bCs w:val="1"/>
                <w:color w:val="auto"/>
              </w:rPr>
              <w:t>46-0484987</w:t>
            </w:r>
          </w:p>
        </w:tc>
        <w:tc>
          <w:tcPr>
            <w:tcW w:w="0" w:type="dxa"/>
            <w:vAlign w:val="bottom"/>
          </w:tcPr>
          <w:p>
            <w:pPr>
              <w:spacing w:after="0"/>
              <w:rPr>
                <w:sz w:val="1"/>
                <w:szCs w:val="1"/>
                <w:color w:val="auto"/>
              </w:rPr>
            </w:pPr>
          </w:p>
        </w:tc>
      </w:tr>
      <w:tr>
        <w:trPr>
          <w:trHeight w:val="121"/>
        </w:trPr>
        <w:tc>
          <w:tcPr>
            <w:tcW w:w="2520" w:type="dxa"/>
            <w:vAlign w:val="bottom"/>
          </w:tcPr>
          <w:p>
            <w:pPr>
              <w:jc w:val="center"/>
              <w:ind w:right="766"/>
              <w:spacing w:after="0"/>
              <w:rPr>
                <w:sz w:val="20"/>
                <w:szCs w:val="20"/>
                <w:color w:val="auto"/>
              </w:rPr>
            </w:pPr>
            <w:r>
              <w:rPr>
                <w:rFonts w:ascii="Arial" w:cs="Arial" w:eastAsia="Arial" w:hAnsi="Arial"/>
                <w:sz w:val="10"/>
                <w:szCs w:val="10"/>
                <w:b w:val="1"/>
                <w:bCs w:val="1"/>
                <w:color w:val="auto"/>
                <w:w w:val="87"/>
              </w:rPr>
              <w:t>(State or other jurisdiction</w:t>
            </w:r>
          </w:p>
        </w:tc>
        <w:tc>
          <w:tcPr>
            <w:tcW w:w="4500" w:type="dxa"/>
            <w:vAlign w:val="bottom"/>
          </w:tcPr>
          <w:p>
            <w:pPr>
              <w:ind w:left="1900"/>
              <w:spacing w:after="0"/>
              <w:rPr>
                <w:sz w:val="20"/>
                <w:szCs w:val="20"/>
                <w:color w:val="auto"/>
              </w:rPr>
            </w:pPr>
            <w:r>
              <w:rPr>
                <w:rFonts w:ascii="Arial" w:cs="Arial" w:eastAsia="Arial" w:hAnsi="Arial"/>
                <w:sz w:val="10"/>
                <w:szCs w:val="10"/>
                <w:b w:val="1"/>
                <w:bCs w:val="1"/>
                <w:color w:val="auto"/>
              </w:rPr>
              <w:t>(Commission</w:t>
            </w:r>
          </w:p>
        </w:tc>
        <w:tc>
          <w:tcPr>
            <w:tcW w:w="1840" w:type="dxa"/>
            <w:vAlign w:val="bottom"/>
          </w:tcPr>
          <w:p>
            <w:pPr>
              <w:jc w:val="center"/>
              <w:ind w:left="1047"/>
              <w:spacing w:after="0"/>
              <w:rPr>
                <w:sz w:val="20"/>
                <w:szCs w:val="20"/>
                <w:color w:val="auto"/>
              </w:rPr>
            </w:pPr>
            <w:r>
              <w:rPr>
                <w:rFonts w:ascii="Arial" w:cs="Arial" w:eastAsia="Arial" w:hAnsi="Arial"/>
                <w:sz w:val="10"/>
                <w:szCs w:val="10"/>
                <w:b w:val="1"/>
                <w:bCs w:val="1"/>
                <w:color w:val="auto"/>
                <w:w w:val="90"/>
              </w:rPr>
              <w:t>(IRS Employer</w:t>
            </w:r>
          </w:p>
        </w:tc>
        <w:tc>
          <w:tcPr>
            <w:tcW w:w="0" w:type="dxa"/>
            <w:vAlign w:val="bottom"/>
          </w:tcPr>
          <w:p>
            <w:pPr>
              <w:spacing w:after="0"/>
              <w:rPr>
                <w:sz w:val="1"/>
                <w:szCs w:val="1"/>
                <w:color w:val="auto"/>
              </w:rPr>
            </w:pPr>
          </w:p>
        </w:tc>
      </w:tr>
      <w:tr>
        <w:trPr>
          <w:trHeight w:val="124"/>
        </w:trPr>
        <w:tc>
          <w:tcPr>
            <w:tcW w:w="2520" w:type="dxa"/>
            <w:vAlign w:val="bottom"/>
          </w:tcPr>
          <w:p>
            <w:pPr>
              <w:jc w:val="center"/>
              <w:ind w:right="766"/>
              <w:spacing w:after="0"/>
              <w:rPr>
                <w:sz w:val="20"/>
                <w:szCs w:val="20"/>
                <w:color w:val="auto"/>
              </w:rPr>
            </w:pPr>
            <w:r>
              <w:rPr>
                <w:rFonts w:ascii="Arial" w:cs="Arial" w:eastAsia="Arial" w:hAnsi="Arial"/>
                <w:sz w:val="10"/>
                <w:szCs w:val="10"/>
                <w:b w:val="1"/>
                <w:bCs w:val="1"/>
                <w:color w:val="auto"/>
                <w:w w:val="87"/>
              </w:rPr>
              <w:t>of incorporation)</w:t>
            </w:r>
          </w:p>
        </w:tc>
        <w:tc>
          <w:tcPr>
            <w:tcW w:w="4500" w:type="dxa"/>
            <w:vAlign w:val="bottom"/>
          </w:tcPr>
          <w:p>
            <w:pPr>
              <w:ind w:left="1900"/>
              <w:spacing w:after="0"/>
              <w:rPr>
                <w:sz w:val="20"/>
                <w:szCs w:val="20"/>
                <w:color w:val="auto"/>
              </w:rPr>
            </w:pPr>
            <w:r>
              <w:rPr>
                <w:rFonts w:ascii="Arial" w:cs="Arial" w:eastAsia="Arial" w:hAnsi="Arial"/>
                <w:sz w:val="10"/>
                <w:szCs w:val="10"/>
                <w:b w:val="1"/>
                <w:bCs w:val="1"/>
                <w:color w:val="auto"/>
              </w:rPr>
              <w:t>File Number)</w:t>
            </w:r>
          </w:p>
        </w:tc>
        <w:tc>
          <w:tcPr>
            <w:tcW w:w="1840" w:type="dxa"/>
            <w:vAlign w:val="bottom"/>
          </w:tcPr>
          <w:p>
            <w:pPr>
              <w:jc w:val="center"/>
              <w:ind w:left="1027"/>
              <w:spacing w:after="0"/>
              <w:rPr>
                <w:sz w:val="20"/>
                <w:szCs w:val="20"/>
                <w:color w:val="auto"/>
              </w:rPr>
            </w:pPr>
            <w:r>
              <w:rPr>
                <w:rFonts w:ascii="Arial" w:cs="Arial" w:eastAsia="Arial" w:hAnsi="Arial"/>
                <w:sz w:val="10"/>
                <w:szCs w:val="10"/>
                <w:b w:val="1"/>
                <w:bCs w:val="1"/>
                <w:color w:val="auto"/>
                <w:w w:val="89"/>
              </w:rPr>
              <w:t>Identification No.)</w:t>
            </w:r>
          </w:p>
        </w:tc>
        <w:tc>
          <w:tcPr>
            <w:tcW w:w="0" w:type="dxa"/>
            <w:vAlign w:val="bottom"/>
          </w:tcPr>
          <w:p>
            <w:pPr>
              <w:spacing w:after="0"/>
              <w:rPr>
                <w:sz w:val="1"/>
                <w:szCs w:val="1"/>
                <w:color w:val="auto"/>
              </w:rPr>
            </w:pPr>
          </w:p>
        </w:tc>
      </w:tr>
      <w:tr>
        <w:trPr>
          <w:trHeight w:val="373"/>
        </w:trPr>
        <w:tc>
          <w:tcPr>
            <w:tcW w:w="2520" w:type="dxa"/>
            <w:vAlign w:val="bottom"/>
          </w:tcPr>
          <w:p>
            <w:pPr>
              <w:jc w:val="center"/>
              <w:ind w:right="786"/>
              <w:spacing w:after="0"/>
              <w:rPr>
                <w:sz w:val="20"/>
                <w:szCs w:val="20"/>
                <w:color w:val="auto"/>
              </w:rPr>
            </w:pPr>
            <w:r>
              <w:rPr>
                <w:rFonts w:ascii="Arial" w:cs="Arial" w:eastAsia="Arial" w:hAnsi="Arial"/>
                <w:sz w:val="12"/>
                <w:szCs w:val="12"/>
                <w:b w:val="1"/>
                <w:bCs w:val="1"/>
                <w:color w:val="auto"/>
                <w:w w:val="88"/>
              </w:rPr>
              <w:t>3131 Las Vegas Boulevard South</w:t>
            </w:r>
          </w:p>
        </w:tc>
        <w:tc>
          <w:tcPr>
            <w:tcW w:w="4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520" w:type="dxa"/>
            <w:vAlign w:val="bottom"/>
          </w:tcPr>
          <w:p>
            <w:pPr>
              <w:jc w:val="center"/>
              <w:ind w:right="786"/>
              <w:spacing w:after="0"/>
              <w:rPr>
                <w:sz w:val="20"/>
                <w:szCs w:val="20"/>
                <w:color w:val="auto"/>
              </w:rPr>
            </w:pPr>
            <w:r>
              <w:rPr>
                <w:rFonts w:ascii="Arial" w:cs="Arial" w:eastAsia="Arial" w:hAnsi="Arial"/>
                <w:sz w:val="12"/>
                <w:szCs w:val="12"/>
                <w:b w:val="1"/>
                <w:bCs w:val="1"/>
                <w:color w:val="auto"/>
                <w:w w:val="88"/>
              </w:rPr>
              <w:t>Las Vegas, Nevada</w:t>
            </w:r>
          </w:p>
        </w:tc>
        <w:tc>
          <w:tcPr>
            <w:tcW w:w="4500" w:type="dxa"/>
            <w:vAlign w:val="bottom"/>
          </w:tcPr>
          <w:p>
            <w:pPr>
              <w:spacing w:after="0"/>
              <w:rPr>
                <w:sz w:val="13"/>
                <w:szCs w:val="13"/>
                <w:color w:val="auto"/>
              </w:rPr>
            </w:pPr>
          </w:p>
        </w:tc>
        <w:tc>
          <w:tcPr>
            <w:tcW w:w="1840" w:type="dxa"/>
            <w:vAlign w:val="bottom"/>
          </w:tcPr>
          <w:p>
            <w:pPr>
              <w:jc w:val="right"/>
              <w:ind w:right="167"/>
              <w:spacing w:after="0"/>
              <w:rPr>
                <w:sz w:val="20"/>
                <w:szCs w:val="20"/>
                <w:color w:val="auto"/>
              </w:rPr>
            </w:pPr>
            <w:r>
              <w:rPr>
                <w:rFonts w:ascii="Arial" w:cs="Arial" w:eastAsia="Arial" w:hAnsi="Arial"/>
                <w:sz w:val="12"/>
                <w:szCs w:val="12"/>
                <w:b w:val="1"/>
                <w:bCs w:val="1"/>
                <w:color w:val="auto"/>
              </w:rPr>
              <w:t>89109</w:t>
            </w:r>
          </w:p>
        </w:tc>
        <w:tc>
          <w:tcPr>
            <w:tcW w:w="0" w:type="dxa"/>
            <w:vAlign w:val="bottom"/>
          </w:tcPr>
          <w:p>
            <w:pPr>
              <w:spacing w:after="0"/>
              <w:rPr>
                <w:sz w:val="1"/>
                <w:szCs w:val="1"/>
                <w:color w:val="auto"/>
              </w:rPr>
            </w:pPr>
          </w:p>
        </w:tc>
      </w:tr>
      <w:tr>
        <w:trPr>
          <w:trHeight w:val="145"/>
        </w:trPr>
        <w:tc>
          <w:tcPr>
            <w:tcW w:w="2520" w:type="dxa"/>
            <w:vAlign w:val="bottom"/>
          </w:tcPr>
          <w:p>
            <w:pPr>
              <w:jc w:val="center"/>
              <w:ind w:right="766"/>
              <w:spacing w:after="0"/>
              <w:rPr>
                <w:sz w:val="20"/>
                <w:szCs w:val="20"/>
                <w:color w:val="auto"/>
              </w:rPr>
            </w:pPr>
            <w:r>
              <w:rPr>
                <w:rFonts w:ascii="Arial" w:cs="Arial" w:eastAsia="Arial" w:hAnsi="Arial"/>
                <w:sz w:val="10"/>
                <w:szCs w:val="10"/>
                <w:b w:val="1"/>
                <w:bCs w:val="1"/>
                <w:color w:val="auto"/>
                <w:w w:val="84"/>
              </w:rPr>
              <w:t>(Address of principal executive offices)</w:t>
            </w:r>
          </w:p>
        </w:tc>
        <w:tc>
          <w:tcPr>
            <w:tcW w:w="4500" w:type="dxa"/>
            <w:vAlign w:val="bottom"/>
          </w:tcPr>
          <w:p>
            <w:pPr>
              <w:spacing w:after="0"/>
              <w:rPr>
                <w:sz w:val="12"/>
                <w:szCs w:val="12"/>
                <w:color w:val="auto"/>
              </w:rPr>
            </w:pPr>
          </w:p>
        </w:tc>
        <w:tc>
          <w:tcPr>
            <w:tcW w:w="1840" w:type="dxa"/>
            <w:vAlign w:val="bottom"/>
            <w:vMerge w:val="restart"/>
          </w:tcPr>
          <w:p>
            <w:pPr>
              <w:jc w:val="center"/>
              <w:ind w:left="1027"/>
              <w:spacing w:after="0"/>
              <w:rPr>
                <w:sz w:val="20"/>
                <w:szCs w:val="20"/>
                <w:color w:val="auto"/>
              </w:rPr>
            </w:pPr>
            <w:r>
              <w:rPr>
                <w:rFonts w:ascii="Arial" w:cs="Arial" w:eastAsia="Arial" w:hAnsi="Arial"/>
                <w:sz w:val="10"/>
                <w:szCs w:val="10"/>
                <w:b w:val="1"/>
                <w:bCs w:val="1"/>
                <w:color w:val="auto"/>
                <w:w w:val="88"/>
              </w:rPr>
              <w:t>(Zip Code)</w:t>
            </w:r>
          </w:p>
        </w:tc>
        <w:tc>
          <w:tcPr>
            <w:tcW w:w="0" w:type="dxa"/>
            <w:vAlign w:val="bottom"/>
          </w:tcPr>
          <w:p>
            <w:pPr>
              <w:spacing w:after="0"/>
              <w:rPr>
                <w:sz w:val="1"/>
                <w:szCs w:val="1"/>
                <w:color w:val="auto"/>
              </w:rPr>
            </w:pPr>
          </w:p>
        </w:tc>
      </w:tr>
      <w:tr>
        <w:trPr>
          <w:trHeight w:val="45"/>
        </w:trPr>
        <w:tc>
          <w:tcPr>
            <w:tcW w:w="2520" w:type="dxa"/>
            <w:vAlign w:val="bottom"/>
          </w:tcPr>
          <w:p>
            <w:pPr>
              <w:spacing w:after="0"/>
              <w:rPr>
                <w:sz w:val="3"/>
                <w:szCs w:val="3"/>
                <w:color w:val="auto"/>
              </w:rPr>
            </w:pPr>
          </w:p>
        </w:tc>
        <w:tc>
          <w:tcPr>
            <w:tcW w:w="450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520" w:type="dxa"/>
            <w:vAlign w:val="bottom"/>
          </w:tcPr>
          <w:p>
            <w:pPr>
              <w:spacing w:after="0"/>
              <w:rPr>
                <w:sz w:val="21"/>
                <w:szCs w:val="21"/>
                <w:color w:val="auto"/>
              </w:rPr>
            </w:pPr>
          </w:p>
        </w:tc>
        <w:tc>
          <w:tcPr>
            <w:tcW w:w="4500" w:type="dxa"/>
            <w:vAlign w:val="bottom"/>
          </w:tcPr>
          <w:p>
            <w:pPr>
              <w:jc w:val="center"/>
              <w:ind w:right="227"/>
              <w:spacing w:after="0"/>
              <w:rPr>
                <w:sz w:val="20"/>
                <w:szCs w:val="20"/>
                <w:color w:val="auto"/>
              </w:rPr>
            </w:pPr>
            <w:r>
              <w:rPr>
                <w:rFonts w:ascii="Arial" w:cs="Arial" w:eastAsia="Arial" w:hAnsi="Arial"/>
                <w:sz w:val="12"/>
                <w:szCs w:val="12"/>
                <w:b w:val="1"/>
                <w:bCs w:val="1"/>
                <w:color w:val="auto"/>
                <w:w w:val="90"/>
              </w:rPr>
              <w:t>(702) 770-7555</w:t>
            </w: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4500" w:type="dxa"/>
            <w:vAlign w:val="bottom"/>
          </w:tcPr>
          <w:p>
            <w:pPr>
              <w:jc w:val="center"/>
              <w:ind w:right="207"/>
              <w:spacing w:after="0"/>
              <w:rPr>
                <w:sz w:val="20"/>
                <w:szCs w:val="20"/>
                <w:color w:val="auto"/>
              </w:rPr>
            </w:pPr>
            <w:r>
              <w:rPr>
                <w:rFonts w:ascii="Arial" w:cs="Arial" w:eastAsia="Arial" w:hAnsi="Arial"/>
                <w:sz w:val="10"/>
                <w:szCs w:val="10"/>
                <w:b w:val="1"/>
                <w:bCs w:val="1"/>
                <w:color w:val="auto"/>
                <w:w w:val="85"/>
              </w:rPr>
              <w:t>(Registrant’s telephone number, including area code)</w:t>
            </w: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520" w:type="dxa"/>
            <w:vAlign w:val="bottom"/>
          </w:tcPr>
          <w:p>
            <w:pPr>
              <w:spacing w:after="0"/>
              <w:rPr>
                <w:sz w:val="20"/>
                <w:szCs w:val="20"/>
                <w:color w:val="auto"/>
              </w:rPr>
            </w:pPr>
          </w:p>
        </w:tc>
        <w:tc>
          <w:tcPr>
            <w:tcW w:w="4500" w:type="dxa"/>
            <w:vAlign w:val="bottom"/>
          </w:tcPr>
          <w:p>
            <w:pPr>
              <w:jc w:val="center"/>
              <w:ind w:right="227"/>
              <w:spacing w:after="0"/>
              <w:rPr>
                <w:sz w:val="20"/>
                <w:szCs w:val="20"/>
                <w:color w:val="auto"/>
              </w:rPr>
            </w:pPr>
            <w:r>
              <w:rPr>
                <w:rFonts w:ascii="Arial" w:cs="Arial" w:eastAsia="Arial" w:hAnsi="Arial"/>
                <w:sz w:val="12"/>
                <w:szCs w:val="12"/>
                <w:b w:val="1"/>
                <w:bCs w:val="1"/>
                <w:color w:val="auto"/>
                <w:w w:val="92"/>
              </w:rPr>
              <w:t>Not Applicable</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4500" w:type="dxa"/>
            <w:vAlign w:val="bottom"/>
          </w:tcPr>
          <w:p>
            <w:pPr>
              <w:jc w:val="center"/>
              <w:ind w:right="207"/>
              <w:spacing w:after="0"/>
              <w:rPr>
                <w:sz w:val="20"/>
                <w:szCs w:val="20"/>
                <w:color w:val="auto"/>
              </w:rPr>
            </w:pPr>
            <w:r>
              <w:rPr>
                <w:rFonts w:ascii="Arial" w:cs="Arial" w:eastAsia="Arial" w:hAnsi="Arial"/>
                <w:sz w:val="10"/>
                <w:szCs w:val="10"/>
                <w:b w:val="1"/>
                <w:bCs w:val="1"/>
                <w:color w:val="auto"/>
                <w:w w:val="86"/>
              </w:rPr>
              <w:t>(Former name or former address, if changed since last report.)</w:t>
            </w: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2185670</wp:posOffset>
            </wp:positionH>
            <wp:positionV relativeFrom="paragraph">
              <wp:posOffset>147955</wp:posOffset>
            </wp:positionV>
            <wp:extent cx="291719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17190" cy="571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14" w:lineRule="exact"/>
        <w:rPr>
          <w:sz w:val="24"/>
          <w:szCs w:val="24"/>
          <w:color w:val="auto"/>
        </w:rPr>
      </w:pPr>
    </w:p>
    <w:p>
      <w:pPr>
        <w:ind w:left="700" w:hanging="690"/>
        <w:spacing w:after="0"/>
        <w:tabs>
          <w:tab w:leader="none" w:pos="7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32" w:lineRule="exact"/>
        <w:rPr>
          <w:rFonts w:ascii="MS PGothic" w:cs="MS PGothic" w:eastAsia="MS PGothic" w:hAnsi="MS PGothic"/>
          <w:sz w:val="12"/>
          <w:szCs w:val="12"/>
          <w:color w:val="auto"/>
        </w:rPr>
      </w:pPr>
    </w:p>
    <w:p>
      <w:pPr>
        <w:ind w:left="700" w:hanging="690"/>
        <w:spacing w:after="0"/>
        <w:tabs>
          <w:tab w:leader="none" w:pos="7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32" w:lineRule="exact"/>
        <w:rPr>
          <w:rFonts w:ascii="MS PGothic" w:cs="MS PGothic" w:eastAsia="MS PGothic" w:hAnsi="MS PGothic"/>
          <w:sz w:val="12"/>
          <w:szCs w:val="12"/>
          <w:color w:val="auto"/>
        </w:rPr>
      </w:pPr>
    </w:p>
    <w:p>
      <w:pPr>
        <w:ind w:left="700" w:hanging="690"/>
        <w:spacing w:after="0"/>
        <w:tabs>
          <w:tab w:leader="none" w:pos="7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32" w:lineRule="exact"/>
        <w:rPr>
          <w:rFonts w:ascii="MS PGothic" w:cs="MS PGothic" w:eastAsia="MS PGothic" w:hAnsi="MS PGothic"/>
          <w:sz w:val="12"/>
          <w:szCs w:val="12"/>
          <w:color w:val="auto"/>
        </w:rPr>
      </w:pPr>
    </w:p>
    <w:p>
      <w:pPr>
        <w:ind w:left="700" w:hanging="690"/>
        <w:spacing w:after="0"/>
        <w:tabs>
          <w:tab w:leader="none" w:pos="7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ectPr>
          <w:pgSz w:w="11900" w:h="16838" w:orient="portrait"/>
          <w:cols w:equalWidth="0" w:num="1">
            <w:col w:w="10239"/>
          </w:cols>
          <w:pgMar w:left="220" w:top="499" w:right="1440" w:bottom="1440" w:gutter="0" w:footer="0" w:header="0"/>
        </w:sectPr>
      </w:pPr>
    </w:p>
    <w:bookmarkStart w:id="1" w:name="page2"/>
    <w:bookmarkEnd w:id="1"/>
    <w:p>
      <w:pPr>
        <w:ind w:left="20"/>
        <w:spacing w:after="0"/>
        <w:tabs>
          <w:tab w:leader="none" w:pos="252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0"/>
          <w:szCs w:val="10"/>
          <w:b w:val="1"/>
          <w:bCs w:val="1"/>
          <w:color w:val="auto"/>
        </w:rPr>
        <w:t>Regulation FD Disclosure.</w:t>
      </w:r>
    </w:p>
    <w:p>
      <w:pPr>
        <w:spacing w:after="0" w:line="82" w:lineRule="exact"/>
        <w:rPr>
          <w:sz w:val="20"/>
          <w:szCs w:val="20"/>
          <w:color w:val="auto"/>
        </w:rPr>
      </w:pPr>
    </w:p>
    <w:p>
      <w:pPr>
        <w:ind w:firstLine="288"/>
        <w:spacing w:after="0" w:line="290" w:lineRule="auto"/>
        <w:rPr>
          <w:sz w:val="20"/>
          <w:szCs w:val="20"/>
          <w:color w:val="auto"/>
        </w:rPr>
      </w:pPr>
      <w:r>
        <w:rPr>
          <w:rFonts w:ascii="Arial" w:cs="Arial" w:eastAsia="Arial" w:hAnsi="Arial"/>
          <w:sz w:val="11"/>
          <w:szCs w:val="11"/>
          <w:color w:val="auto"/>
        </w:rPr>
        <w:t>On April 20, 2015, Wynn Macau, Limited (“WML”), an indirect subsidiary of Wynn Resorts, Limited (the “Registrant”) with ordinary shares of its common stock listed on The Stock Exchange of Hong Kong Limited, filed its annual report in respect of the year ended December 31, 2014 (the “Annual Report”) with The Stock Exchange of Hong Kong Limited. The Registrant owns approximately 72% of WML’s ordinary shares of common stock. The Annual Report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ectPr>
          <w:pgSz w:w="11900" w:h="16838" w:orient="portrait"/>
          <w:cols w:equalWidth="0" w:num="1">
            <w:col w:w="11460"/>
          </w:cols>
          <w:pgMar w:left="220" w:top="541" w:right="21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Item 9.01.</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Financial Statements and Exhibits.</w:t>
      </w:r>
    </w:p>
    <w:p>
      <w:pPr>
        <w:spacing w:after="0" w:line="105" w:lineRule="exact"/>
        <w:rPr>
          <w:sz w:val="20"/>
          <w:szCs w:val="20"/>
          <w:color w:val="auto"/>
        </w:rPr>
      </w:pPr>
    </w:p>
    <w:p>
      <w:pPr>
        <w:sectPr>
          <w:pgSz w:w="11900" w:h="16838" w:orient="portrait"/>
          <w:cols w:equalWidth="0" w:num="2">
            <w:col w:w="1820" w:space="720"/>
            <w:col w:w="8920"/>
          </w:cols>
          <w:pgMar w:left="220" w:top="541" w:right="219" w:bottom="1440" w:gutter="0" w:footer="0" w:header="0"/>
          <w:type w:val="continuous"/>
        </w:sectPr>
      </w:pPr>
    </w:p>
    <w:p>
      <w:pPr>
        <w:ind w:left="280"/>
        <w:spacing w:after="0"/>
        <w:rPr>
          <w:sz w:val="20"/>
          <w:szCs w:val="20"/>
          <w:color w:val="auto"/>
        </w:rPr>
      </w:pPr>
      <w:r>
        <w:rPr>
          <w:rFonts w:ascii="Arial" w:cs="Arial" w:eastAsia="Arial" w:hAnsi="Arial"/>
          <w:sz w:val="11"/>
          <w:szCs w:val="11"/>
          <w:color w:val="auto"/>
        </w:rPr>
        <w:t>(d) Exhibits.</w:t>
      </w:r>
    </w:p>
    <w:p>
      <w:pPr>
        <w:sectPr>
          <w:pgSz w:w="11900" w:h="16838" w:orient="portrait"/>
          <w:cols w:equalWidth="0" w:num="1">
            <w:col w:w="11460"/>
          </w:cols>
          <w:pgMar w:left="220" w:top="541" w:right="219" w:bottom="1440" w:gutter="0" w:footer="0" w:header="0"/>
          <w:type w:val="continuous"/>
        </w:sectPr>
      </w:pPr>
    </w:p>
    <w:p>
      <w:pPr>
        <w:spacing w:after="0" w:line="374"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Exhibit No.</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Description</w:t>
      </w:r>
    </w:p>
    <w:p>
      <w:pPr>
        <w:spacing w:after="0" w:line="69" w:lineRule="exact"/>
        <w:rPr>
          <w:sz w:val="20"/>
          <w:szCs w:val="20"/>
          <w:color w:val="auto"/>
        </w:rPr>
      </w:pPr>
    </w:p>
    <w:p>
      <w:pPr>
        <w:sectPr>
          <w:pgSz w:w="11900" w:h="16838" w:orient="portrait"/>
          <w:cols w:equalWidth="0" w:num="2">
            <w:col w:w="1820" w:space="720"/>
            <w:col w:w="8920"/>
          </w:cols>
          <w:pgMar w:left="220" w:top="541" w:right="219" w:bottom="1440" w:gutter="0" w:footer="0" w:header="0"/>
          <w:type w:val="continuous"/>
        </w:sectPr>
      </w:pPr>
    </w:p>
    <w:p>
      <w:pPr>
        <w:ind w:left="20"/>
        <w:spacing w:after="0"/>
        <w:rPr>
          <w:sz w:val="20"/>
          <w:szCs w:val="20"/>
          <w:color w:val="auto"/>
        </w:rPr>
      </w:pPr>
      <w:r>
        <w:rPr>
          <w:rFonts w:ascii="Arial" w:cs="Arial" w:eastAsia="Arial" w:hAnsi="Arial"/>
          <w:sz w:val="10"/>
          <w:szCs w:val="10"/>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Annual Report of Wynn Macau, Limited in respect of the year ended December 31, 2014.</w:t>
      </w:r>
    </w:p>
    <w:p>
      <w:pPr>
        <w:sectPr>
          <w:pgSz w:w="11900" w:h="16838" w:orient="portrait"/>
          <w:cols w:equalWidth="0" w:num="2">
            <w:col w:w="1820" w:space="720"/>
            <w:col w:w="8920"/>
          </w:cols>
          <w:pgMar w:left="220" w:top="541" w:right="219" w:bottom="1440" w:gutter="0" w:footer="0" w:header="0"/>
          <w:type w:val="continuous"/>
        </w:sectPr>
      </w:pPr>
    </w:p>
    <w:bookmarkStart w:id="2" w:name="page3"/>
    <w:bookmarkEnd w:id="2"/>
    <w:p>
      <w:pPr>
        <w:ind w:left="5320"/>
        <w:spacing w:after="0"/>
        <w:rPr>
          <w:sz w:val="20"/>
          <w:szCs w:val="20"/>
          <w:color w:val="auto"/>
        </w:rPr>
      </w:pPr>
      <w:r>
        <w:rPr>
          <w:rFonts w:ascii="Arial" w:cs="Arial" w:eastAsia="Arial" w:hAnsi="Arial"/>
          <w:sz w:val="12"/>
          <w:szCs w:val="12"/>
          <w:b w:val="1"/>
          <w:bCs w:val="1"/>
          <w:color w:val="auto"/>
        </w:rPr>
        <w:t>SIGNATURES</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12"/>
          <w:szCs w:val="12"/>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480" w:type="dxa"/>
            <w:vAlign w:val="bottom"/>
          </w:tcPr>
          <w:p>
            <w:pPr>
              <w:spacing w:after="0"/>
              <w:rPr>
                <w:sz w:val="13"/>
                <w:szCs w:val="13"/>
                <w:color w:val="auto"/>
              </w:rPr>
            </w:pPr>
          </w:p>
        </w:tc>
        <w:tc>
          <w:tcPr>
            <w:tcW w:w="7980" w:type="dxa"/>
            <w:vAlign w:val="bottom"/>
            <w:gridSpan w:val="2"/>
          </w:tcPr>
          <w:p>
            <w:pPr>
              <w:ind w:left="2500"/>
              <w:spacing w:after="0"/>
              <w:rPr>
                <w:sz w:val="20"/>
                <w:szCs w:val="20"/>
                <w:color w:val="auto"/>
              </w:rPr>
            </w:pPr>
            <w:r>
              <w:rPr>
                <w:rFonts w:ascii="Arial" w:cs="Arial" w:eastAsia="Arial" w:hAnsi="Arial"/>
                <w:sz w:val="12"/>
                <w:szCs w:val="12"/>
                <w:b w:val="1"/>
                <w:bCs w:val="1"/>
                <w:color w:val="auto"/>
              </w:rPr>
              <w:t>WYNN RESORTS, LIMITED</w:t>
            </w:r>
          </w:p>
        </w:tc>
      </w:tr>
      <w:tr>
        <w:trPr>
          <w:trHeight w:val="405"/>
        </w:trPr>
        <w:tc>
          <w:tcPr>
            <w:tcW w:w="3480" w:type="dxa"/>
            <w:vAlign w:val="bottom"/>
          </w:tcPr>
          <w:p>
            <w:pPr>
              <w:spacing w:after="0"/>
              <w:rPr>
                <w:sz w:val="20"/>
                <w:szCs w:val="20"/>
                <w:color w:val="auto"/>
              </w:rPr>
            </w:pPr>
            <w:r>
              <w:rPr>
                <w:rFonts w:ascii="Arial" w:cs="Arial" w:eastAsia="Arial" w:hAnsi="Arial"/>
                <w:sz w:val="12"/>
                <w:szCs w:val="12"/>
                <w:color w:val="auto"/>
              </w:rPr>
              <w:t>Date: April 20, 2015</w:t>
            </w:r>
          </w:p>
        </w:tc>
        <w:tc>
          <w:tcPr>
            <w:tcW w:w="3620" w:type="dxa"/>
            <w:vAlign w:val="bottom"/>
          </w:tcPr>
          <w:p>
            <w:pPr>
              <w:ind w:left="2500"/>
              <w:spacing w:after="0"/>
              <w:rPr>
                <w:sz w:val="20"/>
                <w:szCs w:val="20"/>
                <w:color w:val="auto"/>
              </w:rPr>
            </w:pPr>
            <w:r>
              <w:rPr>
                <w:rFonts w:ascii="Arial" w:cs="Arial" w:eastAsia="Arial" w:hAnsi="Arial"/>
                <w:sz w:val="12"/>
                <w:szCs w:val="12"/>
                <w:color w:val="auto"/>
              </w:rPr>
              <w:t>By:</w:t>
            </w:r>
          </w:p>
        </w:tc>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Stephen Cootey</w:t>
            </w:r>
          </w:p>
        </w:tc>
      </w:tr>
      <w:tr>
        <w:trPr>
          <w:trHeight w:val="160"/>
        </w:trPr>
        <w:tc>
          <w:tcPr>
            <w:tcW w:w="3480" w:type="dxa"/>
            <w:vAlign w:val="bottom"/>
          </w:tcPr>
          <w:p>
            <w:pPr>
              <w:spacing w:after="0"/>
              <w:rPr>
                <w:sz w:val="13"/>
                <w:szCs w:val="13"/>
                <w:color w:val="auto"/>
              </w:rPr>
            </w:pPr>
          </w:p>
        </w:tc>
        <w:tc>
          <w:tcPr>
            <w:tcW w:w="3620" w:type="dxa"/>
            <w:vAlign w:val="bottom"/>
          </w:tcPr>
          <w:p>
            <w:pPr>
              <w:ind w:left="2500"/>
              <w:spacing w:after="0"/>
              <w:rPr>
                <w:sz w:val="20"/>
                <w:szCs w:val="20"/>
                <w:color w:val="auto"/>
              </w:rPr>
            </w:pPr>
            <w:r>
              <w:rPr>
                <w:rFonts w:ascii="Arial" w:cs="Arial" w:eastAsia="Arial" w:hAnsi="Arial"/>
                <w:sz w:val="12"/>
                <w:szCs w:val="12"/>
                <w:color w:val="auto"/>
              </w:rPr>
              <w:t>Name:</w:t>
            </w:r>
          </w:p>
        </w:tc>
        <w:tc>
          <w:tcPr>
            <w:tcW w:w="4360" w:type="dxa"/>
            <w:vAlign w:val="bottom"/>
          </w:tcPr>
          <w:p>
            <w:pPr>
              <w:ind w:left="20"/>
              <w:spacing w:after="0"/>
              <w:rPr>
                <w:sz w:val="20"/>
                <w:szCs w:val="20"/>
                <w:color w:val="auto"/>
              </w:rPr>
            </w:pPr>
            <w:r>
              <w:rPr>
                <w:rFonts w:ascii="Arial" w:cs="Arial" w:eastAsia="Arial" w:hAnsi="Arial"/>
                <w:sz w:val="12"/>
                <w:szCs w:val="12"/>
                <w:color w:val="auto"/>
              </w:rPr>
              <w:t>Stephen Cootey</w:t>
            </w:r>
          </w:p>
        </w:tc>
      </w:tr>
      <w:tr>
        <w:trPr>
          <w:trHeight w:val="180"/>
        </w:trPr>
        <w:tc>
          <w:tcPr>
            <w:tcW w:w="3480" w:type="dxa"/>
            <w:vAlign w:val="bottom"/>
          </w:tcPr>
          <w:p>
            <w:pPr>
              <w:spacing w:after="0"/>
              <w:rPr>
                <w:sz w:val="15"/>
                <w:szCs w:val="15"/>
                <w:color w:val="auto"/>
              </w:rPr>
            </w:pPr>
          </w:p>
        </w:tc>
        <w:tc>
          <w:tcPr>
            <w:tcW w:w="3620" w:type="dxa"/>
            <w:vAlign w:val="bottom"/>
          </w:tcPr>
          <w:p>
            <w:pPr>
              <w:ind w:left="2500"/>
              <w:spacing w:after="0"/>
              <w:rPr>
                <w:sz w:val="20"/>
                <w:szCs w:val="20"/>
                <w:color w:val="auto"/>
              </w:rPr>
            </w:pPr>
            <w:r>
              <w:rPr>
                <w:rFonts w:ascii="Arial" w:cs="Arial" w:eastAsia="Arial" w:hAnsi="Arial"/>
                <w:sz w:val="12"/>
                <w:szCs w:val="12"/>
                <w:color w:val="auto"/>
              </w:rPr>
              <w:t>Title:</w:t>
            </w:r>
          </w:p>
        </w:tc>
        <w:tc>
          <w:tcPr>
            <w:tcW w:w="4360" w:type="dxa"/>
            <w:vAlign w:val="bottom"/>
          </w:tcPr>
          <w:p>
            <w:pPr>
              <w:ind w:left="20"/>
              <w:spacing w:after="0"/>
              <w:rPr>
                <w:sz w:val="20"/>
                <w:szCs w:val="20"/>
                <w:color w:val="auto"/>
              </w:rPr>
            </w:pPr>
            <w:r>
              <w:rPr>
                <w:rFonts w:ascii="Arial" w:cs="Arial" w:eastAsia="Arial" w:hAnsi="Arial"/>
                <w:sz w:val="12"/>
                <w:szCs w:val="12"/>
                <w:color w:val="auto"/>
              </w:rPr>
              <w:t>Chief Financial Officer and Treasurer</w:t>
            </w:r>
          </w:p>
        </w:tc>
      </w:tr>
      <w:tr>
        <w:trPr>
          <w:trHeight w:val="180"/>
        </w:trPr>
        <w:tc>
          <w:tcPr>
            <w:tcW w:w="348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4360" w:type="dxa"/>
            <w:vAlign w:val="bottom"/>
          </w:tcPr>
          <w:p>
            <w:pPr>
              <w:ind w:left="20"/>
              <w:spacing w:after="0"/>
              <w:rPr>
                <w:sz w:val="20"/>
                <w:szCs w:val="20"/>
                <w:color w:val="auto"/>
              </w:rPr>
            </w:pPr>
            <w:r>
              <w:rPr>
                <w:rFonts w:ascii="Arial" w:cs="Arial" w:eastAsia="Arial" w:hAnsi="Arial"/>
                <w:sz w:val="12"/>
                <w:szCs w:val="12"/>
                <w:color w:val="auto"/>
              </w:rPr>
              <w:t>(Principal Financial and Accounting Officer)</w:t>
            </w:r>
          </w:p>
        </w:tc>
      </w:tr>
    </w:tbl>
    <w:p>
      <w:pPr>
        <w:sectPr>
          <w:pgSz w:w="11900" w:h="16838" w:orient="portrait"/>
          <w:cols w:equalWidth="0" w:num="1">
            <w:col w:w="11460"/>
          </w:cols>
          <w:pgMar w:left="240" w:top="433" w:right="199" w:bottom="1440" w:gutter="0" w:footer="0" w:header="0"/>
        </w:sectPr>
      </w:pPr>
    </w:p>
    <w:bookmarkStart w:id="3" w:name="page4"/>
    <w:bookmarkEnd w:id="3"/>
    <w:p>
      <w:pPr>
        <w:ind w:left="5240"/>
        <w:spacing w:after="0"/>
        <w:rPr>
          <w:sz w:val="20"/>
          <w:szCs w:val="20"/>
          <w:color w:val="auto"/>
        </w:rPr>
      </w:pPr>
      <w:r>
        <w:rPr>
          <w:rFonts w:ascii="Arial" w:cs="Arial" w:eastAsia="Arial" w:hAnsi="Arial"/>
          <w:sz w:val="12"/>
          <w:szCs w:val="12"/>
          <w:b w:val="1"/>
          <w:bCs w:val="1"/>
          <w:color w:val="auto"/>
        </w:rPr>
        <w:t>EXHIBIT INDEX</w:t>
      </w:r>
    </w:p>
    <w:p>
      <w:pPr>
        <w:sectPr>
          <w:pgSz w:w="11900" w:h="16838" w:orient="portrait"/>
          <w:cols w:equalWidth="0" w:num="1">
            <w:col w:w="10219"/>
          </w:cols>
          <w:pgMar w:left="240" w:top="433" w:right="1440" w:bottom="1440" w:gutter="0" w:footer="0" w:header="0"/>
        </w:sectPr>
      </w:pPr>
    </w:p>
    <w:p>
      <w:pPr>
        <w:spacing w:after="0" w:line="31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Exhibit No.</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Description</w:t>
      </w:r>
    </w:p>
    <w:p>
      <w:pPr>
        <w:spacing w:after="0" w:line="69" w:lineRule="exact"/>
        <w:rPr>
          <w:sz w:val="20"/>
          <w:szCs w:val="20"/>
          <w:color w:val="auto"/>
        </w:rPr>
      </w:pPr>
    </w:p>
    <w:p>
      <w:pPr>
        <w:sectPr>
          <w:pgSz w:w="11900" w:h="16838" w:orient="portrait"/>
          <w:cols w:equalWidth="0" w:num="2">
            <w:col w:w="1800" w:space="720"/>
            <w:col w:w="7699"/>
          </w:cols>
          <w:pgMar w:left="240" w:top="433" w:right="1440" w:bottom="1440" w:gutter="0" w:footer="0" w:header="0"/>
          <w:type w:val="continuous"/>
        </w:sectPr>
      </w:pPr>
    </w:p>
    <w:p>
      <w:pPr>
        <w:spacing w:after="0"/>
        <w:rPr>
          <w:sz w:val="20"/>
          <w:szCs w:val="20"/>
          <w:color w:val="auto"/>
        </w:rPr>
      </w:pPr>
      <w:r>
        <w:rPr>
          <w:rFonts w:ascii="Arial" w:cs="Arial" w:eastAsia="Arial" w:hAnsi="Arial"/>
          <w:sz w:val="10"/>
          <w:szCs w:val="10"/>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Annual Report of Wynn Macau, Limited in respect of the year ended December 31, 2014.</w:t>
      </w:r>
    </w:p>
    <w:p>
      <w:pPr>
        <w:sectPr>
          <w:pgSz w:w="11900" w:h="16838" w:orient="portrait"/>
          <w:cols w:equalWidth="0" w:num="2">
            <w:col w:w="1800" w:space="720"/>
            <w:col w:w="7699"/>
          </w:cols>
          <w:pgMar w:left="240" w:top="433" w:right="1440" w:bottom="1440" w:gutter="0" w:footer="0" w:header="0"/>
          <w:type w:val="continuous"/>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271780</wp:posOffset>
            </wp:positionV>
            <wp:extent cx="7244715" cy="6140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34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4715" cy="6134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6496685</wp:posOffset>
            </wp:positionV>
            <wp:extent cx="7244715" cy="18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6496685</wp:posOffset>
            </wp:positionV>
            <wp:extent cx="7244715" cy="18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6496685</wp:posOffset>
            </wp:positionV>
            <wp:extent cx="7244715" cy="18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61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375285</wp:posOffset>
            </wp:positionV>
            <wp:extent cx="7244715" cy="6140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2019-12-08T01:39:27Z</dcterms:created>
  <dcterms:modified xsi:type="dcterms:W3CDTF">2019-12-08T01:39:27Z</dcterms:modified>
</cp:coreProperties>
</file>