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5"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the Securities Exchange Act of 1934 (Amendment No. 1)</w:t>
      </w:r>
    </w:p>
    <w:p>
      <w:pPr>
        <w:spacing w:after="0" w:line="223"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Filed by the Registrant o</w:t>
      </w:r>
    </w:p>
    <w:p>
      <w:pPr>
        <w:spacing w:after="0" w:line="222"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9"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0"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4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-3314065</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-3019425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-2590800</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-2296160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-715010</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-421005</wp:posOffset>
            </wp:positionV>
            <wp:extent cx="528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68" w:gutter="0" w:footer="0" w:header="0"/>
        </w:sectPr>
      </w:pPr>
    </w:p>
    <w:bookmarkStart w:id="1" w:name="page2"/>
    <w:bookmarkEnd w:id="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PRELIMINARY PROXY STATEMENT SUBJECT TO COMPLETION—DATED MARCH 17, 2015</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Elaine P. Wynn</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 Wynn Resorts, Limited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3131 Las Vegas Boulevard South</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Las Vegas, NV 89109</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March</w:t>
        <w:tab/>
        <w:t>, 2015</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My Fellow Wynn Resorts, Limited Stockholders:</w:t>
      </w:r>
    </w:p>
    <w:p>
      <w:pPr>
        <w:spacing w:after="0" w:line="222" w:lineRule="exact"/>
        <w:rPr>
          <w:sz w:val="20"/>
          <w:szCs w:val="20"/>
          <w:color w:val="auto"/>
        </w:rPr>
      </w:pPr>
    </w:p>
    <w:p>
      <w:pPr>
        <w:ind w:firstLine="344"/>
        <w:spacing w:after="0" w:line="293" w:lineRule="auto"/>
        <w:rPr>
          <w:sz w:val="20"/>
          <w:szCs w:val="20"/>
          <w:color w:val="auto"/>
        </w:rPr>
      </w:pPr>
      <w:r>
        <w:rPr>
          <w:rFonts w:ascii="Arial" w:cs="Arial" w:eastAsia="Arial" w:hAnsi="Arial"/>
          <w:sz w:val="16"/>
          <w:szCs w:val="16"/>
          <w:color w:val="auto"/>
        </w:rPr>
        <w:t xml:space="preserve">I am furnishing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Wynn Resorts, Limited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my solicitation of proxies to be used at the Company's 2015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The Annual Meeting is scheduled to be held on Friday, April 24, 2015, at 9:00 a.m. local time, at the Encore Theater at Wynn Las Vegas, 3131 Las Vegas Boulevard South, Las Vegas, Nevada.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stockholders on or about March , 2015.</w:t>
      </w:r>
    </w:p>
    <w:p>
      <w:pPr>
        <w:spacing w:after="0" w:line="167" w:lineRule="exact"/>
        <w:rPr>
          <w:sz w:val="20"/>
          <w:szCs w:val="20"/>
          <w:color w:val="auto"/>
        </w:rPr>
      </w:pPr>
    </w:p>
    <w:p>
      <w:pPr>
        <w:ind w:right="40" w:firstLine="335"/>
        <w:spacing w:after="0" w:line="266" w:lineRule="auto"/>
        <w:rPr>
          <w:sz w:val="20"/>
          <w:szCs w:val="20"/>
          <w:color w:val="auto"/>
        </w:rPr>
      </w:pPr>
      <w:r>
        <w:rPr>
          <w:rFonts w:ascii="Arial" w:cs="Arial" w:eastAsia="Arial" w:hAnsi="Arial"/>
          <w:sz w:val="17"/>
          <w:szCs w:val="17"/>
          <w:color w:val="auto"/>
        </w:rPr>
        <w:t>At the Annual Meeting, I am seeking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 I am using this proxy statement to solicit proxies from holders of the Company's common stock, par value $0.01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xml:space="preserve">"), to vote for my re-election to the Board, and to vote on the other proposals identified in this proxy statement. As one of the Company's original founders and its third largest stockholder, I have a unique history with the Company and I represent a strong, independent voice on the Board. As a director, I am committed to acting in the best interests of all of the stockholders of the Company, and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18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 Stockholders of record at the close of business on the Record Date will be entitled to one vote at the Annual Meeting for each share of Common Stock held on the Record Date.</w:t>
      </w:r>
    </w:p>
    <w:p>
      <w:pPr>
        <w:spacing w:after="0" w:line="17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7"/>
          <w:szCs w:val="17"/>
          <w:color w:val="auto"/>
        </w:rPr>
        <w:t xml:space="preserve">Whether or not you plan to attend the Annual Meeting, I urge you to vote for my re-election to the Board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or by voting via the Internet or telephone. 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RETURN ANY WHITE PROXY CARD SENT TO YOU BY THE COMPANY. Please note that if you submit a WHITE proxy card to </w:t>
      </w:r>
      <w:r>
        <w:rPr>
          <w:rFonts w:ascii="Arial" w:cs="Arial" w:eastAsia="Arial" w:hAnsi="Arial"/>
          <w:sz w:val="17"/>
          <w:szCs w:val="17"/>
          <w:b w:val="1"/>
          <w:bCs w:val="1"/>
          <w:i w:val="1"/>
          <w:iCs w:val="1"/>
          <w:color w:val="auto"/>
        </w:rPr>
        <w:t>WITHHOLD</w:t>
      </w:r>
      <w:r>
        <w:rPr>
          <w:rFonts w:ascii="Arial" w:cs="Arial" w:eastAsia="Arial" w:hAnsi="Arial"/>
          <w:sz w:val="17"/>
          <w:szCs w:val="17"/>
          <w:color w:val="auto"/>
        </w:rPr>
        <w:t xml:space="preserve"> your vote with respect to any of the Company's nominees, that submission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cause your shares to be counted as a vote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me, and will revoke any prior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you may have submitted. If you want to vote for me, use only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w:t>
      </w:r>
    </w:p>
    <w:p>
      <w:pPr>
        <w:spacing w:after="0" w:line="186" w:lineRule="exact"/>
        <w:rPr>
          <w:sz w:val="20"/>
          <w:szCs w:val="20"/>
          <w:color w:val="auto"/>
        </w:rPr>
      </w:pPr>
    </w:p>
    <w:p>
      <w:pPr>
        <w:ind w:right="220" w:firstLine="335"/>
        <w:spacing w:after="0" w:line="273" w:lineRule="auto"/>
        <w:rPr>
          <w:sz w:val="20"/>
          <w:szCs w:val="20"/>
          <w:color w:val="auto"/>
        </w:rPr>
      </w:pPr>
      <w:r>
        <w:rPr>
          <w:rFonts w:ascii="Arial" w:cs="Arial" w:eastAsia="Arial" w:hAnsi="Arial"/>
          <w:sz w:val="17"/>
          <w:szCs w:val="17"/>
          <w:color w:val="auto"/>
        </w:rPr>
        <w:t xml:space="preserve">Also, if you hold your shares of Common Stock through a brokerage firm or bank, only they can exercise voting rights with respect to your shares and only upon receipt of your specific instructions. Accordingly, it is critical that you promptly contact the person responsible for your account and give instructions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you have any questions or require any assistance in executing your proxy, please call my proxy solicitor, Okapi Partners LLC, at (877) 629-6355.</w:t>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167005</wp:posOffset>
            </wp:positionV>
            <wp:extent cx="2480945" cy="386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094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2015 ANNUAL MEETING OF STOCKHOLDERS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Held on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150495</wp:posOffset>
            </wp:positionV>
            <wp:extent cx="1833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OF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149860</wp:posOffset>
            </wp:positionV>
            <wp:extent cx="18332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344"/>
        <w:spacing w:after="0" w:line="268" w:lineRule="auto"/>
        <w:rPr>
          <w:sz w:val="20"/>
          <w:szCs w:val="20"/>
          <w:color w:val="auto"/>
        </w:rPr>
      </w:pPr>
      <w:r>
        <w:rPr>
          <w:rFonts w:ascii="Arial" w:cs="Arial" w:eastAsia="Arial" w:hAnsi="Arial"/>
          <w:sz w:val="17"/>
          <w:szCs w:val="17"/>
          <w:color w:val="auto"/>
        </w:rPr>
        <w:t xml:space="preserve">I am furnishing this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stockholders of Wynn Resorts, Limited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my solicitation of proxies to be used at the Company's 2015 annual meeting of stockholders (the "</w:t>
      </w:r>
      <w:r>
        <w:rPr>
          <w:rFonts w:ascii="Arial" w:cs="Arial" w:eastAsia="Arial" w:hAnsi="Arial"/>
          <w:sz w:val="17"/>
          <w:szCs w:val="17"/>
          <w:i w:val="1"/>
          <w:iCs w:val="1"/>
          <w:color w:val="auto"/>
        </w:rPr>
        <w:t>Annual Meeting</w:t>
      </w:r>
      <w:r>
        <w:rPr>
          <w:rFonts w:ascii="Arial" w:cs="Arial" w:eastAsia="Arial" w:hAnsi="Arial"/>
          <w:sz w:val="17"/>
          <w:szCs w:val="17"/>
          <w:color w:val="auto"/>
        </w:rPr>
        <w:t>"). The Annual Meeting is scheduled to be held on Friday, April 24, 2015, at 9:00 a.m. local time, at the Encore Theater at Wynn Las Vegas, 3131 Las Vegas Boulevard South, Las Vegas, Nevada. 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am soliciting your proxy for the Annual Meeting (and any adjournments or postponements thereof) for the following purposes:</w:t>
      </w:r>
    </w:p>
    <w:p>
      <w:pPr>
        <w:spacing w:after="0" w:line="242" w:lineRule="exact"/>
        <w:rPr>
          <w:sz w:val="20"/>
          <w:szCs w:val="20"/>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FOR my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FOR the ratification of the appointment of Ernst &amp; Young LLP as the Company's independent public accountants for the fiscal year ending December 31, 2015;</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FOR a proposal to amend the Company's Second Amended and Restated Articles of Incorporation to provide the Company with additional flexibility in making distributions to its stockholders;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AGAINST a stockholder proposal asking the Company to provide a report regarding the Company's political contributions;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with respect to such other business as may properly come before the Annual Meeting (and any adjournments or postponements thereof).</w:t>
      </w:r>
    </w:p>
    <w:p>
      <w:pPr>
        <w:spacing w:after="0" w:line="240"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 xml:space="preserve">I am not aware of any other matters to be brought before the Annual Meeting other than as set forth in this proxy statement. Should any other matters be brought before the Annual Meeting, the proxies identified in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the shares that they have been authorized to represent in accordance with their discretion. I am making this solicitation on behalf of myself, and not on behalf of the Board or management of the Company.</w:t>
      </w:r>
    </w:p>
    <w:p>
      <w:pPr>
        <w:spacing w:after="0" w:line="162" w:lineRule="exact"/>
        <w:rPr>
          <w:sz w:val="20"/>
          <w:szCs w:val="20"/>
          <w:color w:val="auto"/>
        </w:rPr>
      </w:pPr>
    </w:p>
    <w:p>
      <w:pPr>
        <w:ind w:right="200" w:firstLine="344"/>
        <w:spacing w:after="0" w:line="269" w:lineRule="auto"/>
        <w:rPr>
          <w:sz w:val="20"/>
          <w:szCs w:val="20"/>
          <w:color w:val="auto"/>
        </w:rPr>
      </w:pPr>
      <w:r>
        <w:rPr>
          <w:rFonts w:ascii="Arial" w:cs="Arial" w:eastAsia="Arial" w:hAnsi="Arial"/>
          <w:sz w:val="17"/>
          <w:szCs w:val="17"/>
          <w:color w:val="auto"/>
        </w:rPr>
        <w:t xml:space="preserve">I am not seeking the authority to vote for, and will not vote for, the election of John J. Hagenbuch as a director of the Company. Stockholders who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have the opportunity to vote for the other candidate nominated by the Company for the two seats on the Board that are up for election at the Annual Meeting. This gives stockholders who want to vote for me the ability to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for an additional candidate to fill the second seat.</w:t>
      </w:r>
    </w:p>
    <w:p>
      <w:pPr>
        <w:spacing w:after="0" w:line="183" w:lineRule="exact"/>
        <w:rPr>
          <w:sz w:val="20"/>
          <w:szCs w:val="20"/>
          <w:color w:val="auto"/>
        </w:rPr>
      </w:pPr>
    </w:p>
    <w:p>
      <w:pPr>
        <w:jc w:val="both"/>
        <w:ind w:right="360" w:firstLine="344"/>
        <w:spacing w:after="0" w:line="273" w:lineRule="auto"/>
        <w:rPr>
          <w:sz w:val="20"/>
          <w:szCs w:val="20"/>
          <w:color w:val="auto"/>
        </w:rPr>
      </w:pPr>
      <w:r>
        <w:rPr>
          <w:rFonts w:ascii="Arial" w:cs="Arial" w:eastAsia="Arial" w:hAnsi="Arial"/>
          <w:sz w:val="17"/>
          <w:szCs w:val="17"/>
          <w:color w:val="auto"/>
        </w:rPr>
        <w:t>For your information, the mailing address of the principal executive office of the Company is 3131 Las Vegas Boulevard South, Las Vegas, Nevada 89109. According to the Company, as of the Record Date, there were 101,524,590 shares of common stock outstanding. I am the beneficial owner of 9,539,077 of those shares.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I URGE YOU TO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FAVOR OF MY RE-ELECTION TO THE BOARD.</w:t>
      </w:r>
    </w:p>
    <w:p>
      <w:pPr>
        <w:spacing w:after="0" w:line="234"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 xml:space="preserve">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SIGN ANY WHITE PROXY CARD SENT TO YOU BY THE COMPANY. IF YOU HAVE ALREADY DONE SO, YOU MAY REVOKE YOUR PROXY BY DELIVERING A LATER-DATED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ENCLOSED POSTAGE-PREPAID ENVELOPE, BY EXECUTING A VOTE VIA THE INTERNET OR TELEPHONE, OR BY VOTING IN PERSON AT THE ANNUAL MEETING.</w:t>
      </w:r>
    </w:p>
    <w:p>
      <w:pPr>
        <w:spacing w:after="0" w:line="181" w:lineRule="exact"/>
        <w:rPr>
          <w:sz w:val="20"/>
          <w:szCs w:val="20"/>
          <w:color w:val="auto"/>
        </w:rPr>
      </w:pPr>
    </w:p>
    <w:p>
      <w:pPr>
        <w:ind w:right="340" w:firstLine="344"/>
        <w:spacing w:after="0" w:line="298" w:lineRule="auto"/>
        <w:rPr>
          <w:sz w:val="20"/>
          <w:szCs w:val="20"/>
          <w:color w:val="auto"/>
        </w:rPr>
      </w:pPr>
      <w:r>
        <w:rPr>
          <w:rFonts w:ascii="Arial" w:cs="Arial" w:eastAsia="Arial" w:hAnsi="Arial"/>
          <w:sz w:val="16"/>
          <w:szCs w:val="16"/>
          <w:color w:val="auto"/>
        </w:rPr>
        <w:t xml:space="preserve">IF YOU HOLD YOUR SHARES OF COMMON STOCK THROUGH A BROKERAGE FIRM OR BANK, ONLY THEY CAN EXERCISE VOTING RIGHTS WITH RESPECT TO YOUR SHARES AND ONLY UPON RECEIPT OF YOUR SPECIFIC INSTRUCTIONS. ACCORDINGLY, I URGE YOU TO PROMPTLY CONTACT THE PERSON RESPONSIBLE FOR YOUR ACCOUNT AND GIVE INSTRUCTIONS TO VOTE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Stockholder Meeting to Be Held on April 24, 2015</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This proxy statement and the GOLD proxy card are available at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https://okapivote.com/wynnresorts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IMPORTANT</w:t>
      </w:r>
    </w:p>
    <w:p>
      <w:pPr>
        <w:spacing w:after="0" w:line="228" w:lineRule="exact"/>
        <w:rPr>
          <w:sz w:val="20"/>
          <w:szCs w:val="20"/>
          <w:color w:val="auto"/>
        </w:rPr>
      </w:pPr>
    </w:p>
    <w:p>
      <w:pPr>
        <w:ind w:right="120" w:firstLine="344"/>
        <w:spacing w:after="0" w:line="294" w:lineRule="auto"/>
        <w:rPr>
          <w:sz w:val="20"/>
          <w:szCs w:val="20"/>
          <w:color w:val="auto"/>
        </w:rPr>
      </w:pPr>
      <w:r>
        <w:rPr>
          <w:rFonts w:ascii="Arial" w:cs="Arial" w:eastAsia="Arial" w:hAnsi="Arial"/>
          <w:sz w:val="17"/>
          <w:szCs w:val="17"/>
          <w:b w:val="1"/>
          <w:bCs w:val="1"/>
          <w:color w:val="auto"/>
        </w:rPr>
        <w:t>Your vote is important, no matter how many shares you own. I urge you to sign, date and return the enclosed GOLD proxy card today to vote FOR my re-election to the Board.</w:t>
      </w:r>
    </w:p>
    <w:p>
      <w:pPr>
        <w:spacing w:after="0" w:line="170" w:lineRule="exact"/>
        <w:rPr>
          <w:sz w:val="20"/>
          <w:szCs w:val="20"/>
          <w:color w:val="auto"/>
        </w:rPr>
      </w:pPr>
    </w:p>
    <w:p>
      <w:pPr>
        <w:ind w:left="1060" w:right="300" w:hanging="524"/>
        <w:spacing w:after="0" w:line="294"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please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by signing and dating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returning it in the enclosed postage-paid envelope today.</w:t>
      </w:r>
    </w:p>
    <w:p>
      <w:pPr>
        <w:spacing w:after="0" w:line="189" w:lineRule="exact"/>
        <w:rPr>
          <w:rFonts w:ascii="Arial" w:cs="Arial" w:eastAsia="Arial" w:hAnsi="Arial"/>
          <w:sz w:val="17"/>
          <w:szCs w:val="17"/>
          <w:color w:val="auto"/>
        </w:rPr>
      </w:pPr>
    </w:p>
    <w:p>
      <w:pPr>
        <w:ind w:left="1060" w:right="300" w:hanging="524"/>
        <w:spacing w:after="0" w:line="320"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If your shares are held through a brokerage firm or bank, you are considered the beneficial owner of the shares, and these proxy materials are being forwarded to you by your broker or bank. If you have received a </w:t>
      </w:r>
      <w:r>
        <w:rPr>
          <w:rFonts w:ascii="Arial" w:cs="Arial" w:eastAsia="Arial" w:hAnsi="Arial"/>
          <w:sz w:val="16"/>
          <w:szCs w:val="16"/>
          <w:b w:val="1"/>
          <w:bCs w:val="1"/>
          <w:color w:val="auto"/>
        </w:rPr>
        <w:t>GOLD</w:t>
      </w:r>
      <w:r>
        <w:rPr>
          <w:rFonts w:ascii="Arial" w:cs="Arial" w:eastAsia="Arial" w:hAnsi="Arial"/>
          <w:sz w:val="16"/>
          <w:szCs w:val="16"/>
          <w:color w:val="auto"/>
        </w:rPr>
        <w:t xml:space="preserve"> voting instruction form, you can vote in one of the following ways:</w:t>
      </w:r>
    </w:p>
    <w:p>
      <w:pPr>
        <w:spacing w:after="0" w:line="370" w:lineRule="exact"/>
        <w:rPr>
          <w:rFonts w:ascii="Arial" w:cs="Arial" w:eastAsia="Arial" w:hAnsi="Arial"/>
          <w:sz w:val="16"/>
          <w:szCs w:val="16"/>
          <w:color w:val="auto"/>
        </w:rPr>
      </w:pPr>
    </w:p>
    <w:p>
      <w:pPr>
        <w:ind w:left="1600" w:hanging="535"/>
        <w:spacing w:after="0"/>
        <w:tabs>
          <w:tab w:leader="none" w:pos="1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54" w:lineRule="exact"/>
        <w:rPr>
          <w:rFonts w:ascii="Arial" w:cs="Arial" w:eastAsia="Arial" w:hAnsi="Arial"/>
          <w:sz w:val="17"/>
          <w:szCs w:val="17"/>
          <w:color w:val="auto"/>
        </w:rPr>
      </w:pPr>
    </w:p>
    <w:p>
      <w:pPr>
        <w:ind w:left="1600" w:hanging="535"/>
        <w:spacing w:after="0"/>
        <w:tabs>
          <w:tab w:leader="none" w:pos="1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52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jc w:val="both"/>
        <w:ind w:right="320" w:firstLine="344"/>
        <w:spacing w:after="0" w:line="273" w:lineRule="auto"/>
        <w:rPr>
          <w:sz w:val="20"/>
          <w:szCs w:val="20"/>
          <w:color w:val="auto"/>
        </w:rPr>
      </w:pPr>
      <w:r>
        <w:rPr>
          <w:rFonts w:ascii="Arial" w:cs="Arial" w:eastAsia="Arial" w:hAnsi="Arial"/>
          <w:sz w:val="17"/>
          <w:szCs w:val="17"/>
          <w:color w:val="auto"/>
        </w:rPr>
        <w:t xml:space="preserve">Because only your latest dated proxy card will count, we urge you not to return any proxy card you receive from the Company. Even if you return a WHITE proxy card marked "WITHHOLD" as a protest, it will revoke any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you may have previously sent to us. Remember, you can vote for me only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So please make certain that the latest dated proxy card you return is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313295" cy="2056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205613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left="480"/>
        <w:spacing w:after="0" w:line="294" w:lineRule="auto"/>
        <w:rPr>
          <w:sz w:val="20"/>
          <w:szCs w:val="20"/>
          <w:color w:val="auto"/>
        </w:rPr>
      </w:pPr>
      <w:r>
        <w:rPr>
          <w:rFonts w:ascii="Arial" w:cs="Arial" w:eastAsia="Arial" w:hAnsi="Arial"/>
          <w:sz w:val="17"/>
          <w:szCs w:val="17"/>
          <w:color w:val="auto"/>
        </w:rPr>
        <w:t xml:space="preserve">If you have any questions, require assistance in voting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need additional copies of my proxy materials, please contact Okapi Partners LLC at the telephone number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437 Madison Avenue,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jc w:val="center"/>
        <w:ind w:left="360"/>
        <w:spacing w:after="0"/>
        <w:rPr>
          <w:sz w:val="20"/>
          <w:szCs w:val="20"/>
          <w:color w:val="auto"/>
        </w:rPr>
      </w:pPr>
      <w:r>
        <w:rPr>
          <w:rFonts w:ascii="Arial" w:cs="Arial" w:eastAsia="Arial" w:hAnsi="Arial"/>
          <w:sz w:val="17"/>
          <w:szCs w:val="17"/>
          <w:color w:val="auto"/>
        </w:rPr>
        <w:t>New York, New York 10022</w:t>
      </w:r>
    </w:p>
    <w:p>
      <w:pPr>
        <w:spacing w:after="0" w:line="214"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Stockholders Call Toll-Free at: (877) 629-6355</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9840" w:type="dxa"/>
            <w:vAlign w:val="bottom"/>
            <w:gridSpan w:val="1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40" w:type="dxa"/>
            <w:vAlign w:val="bottom"/>
            <w:gridSpan w:val="5"/>
          </w:tcPr>
          <w:p>
            <w:pPr>
              <w:ind w:left="80"/>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Background of the Solicitation</w:t>
              </w:r>
            </w:hyperlink>
          </w:p>
        </w:tc>
        <w:tc>
          <w:tcPr>
            <w:tcW w:w="1580" w:type="dxa"/>
            <w:vAlign w:val="bottom"/>
            <w:gridSpan w:val="5"/>
          </w:tcPr>
          <w:p>
            <w:pPr>
              <w:jc w:val="right"/>
              <w:ind w:right="1300"/>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Reasons for the Solicitation and Information About Elaine P. Wynn</w:t>
              </w:r>
            </w:hyperlink>
          </w:p>
        </w:tc>
        <w:tc>
          <w:tcPr>
            <w:tcW w:w="1580" w:type="dxa"/>
            <w:vAlign w:val="bottom"/>
            <w:gridSpan w:val="5"/>
          </w:tcPr>
          <w:p>
            <w:pPr>
              <w:jc w:val="right"/>
              <w:ind w:right="1300"/>
              <w:spacing w:after="0"/>
              <w:rPr>
                <w:rFonts w:ascii="Arial" w:cs="Arial" w:eastAsia="Arial" w:hAnsi="Arial"/>
                <w:sz w:val="17"/>
                <w:szCs w:val="17"/>
                <w:color w:val="0000EE"/>
              </w:rPr>
            </w:pPr>
            <w:hyperlink w:anchor="page7">
              <w:r>
                <w:rPr>
                  <w:rFonts w:ascii="Arial" w:cs="Arial" w:eastAsia="Arial" w:hAnsi="Arial"/>
                  <w:sz w:val="17"/>
                  <w:szCs w:val="17"/>
                  <w:color w:val="0000EE"/>
                </w:rPr>
                <w:t>2</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2260" w:type="dxa"/>
            <w:vAlign w:val="bottom"/>
            <w:gridSpan w:val="6"/>
          </w:tcPr>
          <w:p>
            <w:pPr>
              <w:spacing w:after="0"/>
              <w:rPr>
                <w:rFonts w:ascii="Arial" w:cs="Arial" w:eastAsia="Arial" w:hAnsi="Arial"/>
                <w:sz w:val="17"/>
                <w:szCs w:val="17"/>
                <w:color w:val="0000EE"/>
                <w:w w:val="92"/>
              </w:rPr>
            </w:pPr>
            <w:hyperlink w:anchor="page10">
              <w:r>
                <w:rPr>
                  <w:rFonts w:ascii="Arial" w:cs="Arial" w:eastAsia="Arial" w:hAnsi="Arial"/>
                  <w:sz w:val="17"/>
                  <w:szCs w:val="17"/>
                  <w:color w:val="0000EE"/>
                  <w:w w:val="92"/>
                </w:rPr>
                <w:t>Proposal 1: Election of Directors</w:t>
              </w:r>
            </w:hyperlink>
          </w:p>
        </w:tc>
        <w:tc>
          <w:tcPr>
            <w:tcW w:w="2360" w:type="dxa"/>
            <w:vAlign w:val="bottom"/>
            <w:gridSpan w:val="4"/>
          </w:tcPr>
          <w:p>
            <w:pPr>
              <w:spacing w:after="0"/>
              <w:rPr>
                <w:sz w:val="24"/>
                <w:szCs w:val="24"/>
                <w:color w:val="auto"/>
              </w:rPr>
            </w:pPr>
          </w:p>
        </w:tc>
        <w:tc>
          <w:tcPr>
            <w:tcW w:w="4060" w:type="dxa"/>
            <w:vAlign w:val="bottom"/>
            <w:gridSpan w:val="3"/>
          </w:tcPr>
          <w:p>
            <w:pPr>
              <w:spacing w:after="0"/>
              <w:rPr>
                <w:sz w:val="24"/>
                <w:szCs w:val="24"/>
                <w:color w:val="auto"/>
              </w:rPr>
            </w:pPr>
          </w:p>
        </w:tc>
        <w:tc>
          <w:tcPr>
            <w:tcW w:w="1580" w:type="dxa"/>
            <w:vAlign w:val="bottom"/>
            <w:gridSpan w:val="5"/>
          </w:tcPr>
          <w:p>
            <w:pPr>
              <w:jc w:val="right"/>
              <w:ind w:right="1300"/>
              <w:spacing w:after="0"/>
              <w:rPr>
                <w:rFonts w:ascii="Arial" w:cs="Arial" w:eastAsia="Arial" w:hAnsi="Arial"/>
                <w:sz w:val="17"/>
                <w:szCs w:val="17"/>
                <w:color w:val="0000EE"/>
              </w:rPr>
            </w:pPr>
            <w:hyperlink w:anchor="page10">
              <w:r>
                <w:rPr>
                  <w:rFonts w:ascii="Arial" w:cs="Arial" w:eastAsia="Arial" w:hAnsi="Arial"/>
                  <w:sz w:val="17"/>
                  <w:szCs w:val="17"/>
                  <w:color w:val="0000EE"/>
                </w:rPr>
                <w:t>5</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Proposal 2: Ratification of Appointment of Independent Auditors</w:t>
              </w:r>
            </w:hyperlink>
          </w:p>
        </w:tc>
        <w:tc>
          <w:tcPr>
            <w:tcW w:w="1580" w:type="dxa"/>
            <w:vAlign w:val="bottom"/>
            <w:gridSpan w:val="5"/>
          </w:tcPr>
          <w:p>
            <w:pPr>
              <w:jc w:val="right"/>
              <w:ind w:right="1300"/>
              <w:spacing w:after="0"/>
              <w:rPr>
                <w:rFonts w:ascii="Arial" w:cs="Arial" w:eastAsia="Arial" w:hAnsi="Arial"/>
                <w:sz w:val="17"/>
                <w:szCs w:val="17"/>
                <w:color w:val="0000EE"/>
              </w:rPr>
            </w:pPr>
            <w:hyperlink w:anchor="page12">
              <w:r>
                <w:rPr>
                  <w:rFonts w:ascii="Arial" w:cs="Arial" w:eastAsia="Arial" w:hAnsi="Arial"/>
                  <w:sz w:val="17"/>
                  <w:szCs w:val="17"/>
                  <w:color w:val="0000EE"/>
                </w:rPr>
                <w:t>7</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3140" w:type="dxa"/>
            <w:vAlign w:val="bottom"/>
            <w:gridSpan w:val="7"/>
          </w:tcPr>
          <w:p>
            <w:pPr>
              <w:spacing w:after="0"/>
              <w:rPr>
                <w:rFonts w:ascii="Arial" w:cs="Arial" w:eastAsia="Arial" w:hAnsi="Arial"/>
                <w:sz w:val="17"/>
                <w:szCs w:val="17"/>
                <w:color w:val="0000EE"/>
                <w:w w:val="93"/>
              </w:rPr>
            </w:pPr>
            <w:hyperlink w:anchor="page13">
              <w:r>
                <w:rPr>
                  <w:rFonts w:ascii="Arial" w:cs="Arial" w:eastAsia="Arial" w:hAnsi="Arial"/>
                  <w:sz w:val="17"/>
                  <w:szCs w:val="17"/>
                  <w:color w:val="0000EE"/>
                  <w:w w:val="93"/>
                </w:rPr>
                <w:t>Proposal 3: Approval of Articles Amendment</w:t>
              </w:r>
            </w:hyperlink>
          </w:p>
        </w:tc>
        <w:tc>
          <w:tcPr>
            <w:tcW w:w="1340" w:type="dxa"/>
            <w:vAlign w:val="bottom"/>
            <w:gridSpan w:val="2"/>
          </w:tcPr>
          <w:p>
            <w:pPr>
              <w:spacing w:after="0"/>
              <w:rPr>
                <w:sz w:val="24"/>
                <w:szCs w:val="24"/>
                <w:color w:val="auto"/>
              </w:rPr>
            </w:pPr>
          </w:p>
        </w:tc>
        <w:tc>
          <w:tcPr>
            <w:tcW w:w="4200" w:type="dxa"/>
            <w:vAlign w:val="bottom"/>
            <w:gridSpan w:val="4"/>
          </w:tcPr>
          <w:p>
            <w:pPr>
              <w:spacing w:after="0"/>
              <w:rPr>
                <w:sz w:val="24"/>
                <w:szCs w:val="24"/>
                <w:color w:val="auto"/>
              </w:rPr>
            </w:pPr>
          </w:p>
        </w:tc>
        <w:tc>
          <w:tcPr>
            <w:tcW w:w="1580" w:type="dxa"/>
            <w:vAlign w:val="bottom"/>
            <w:gridSpan w:val="5"/>
          </w:tcPr>
          <w:p>
            <w:pPr>
              <w:jc w:val="right"/>
              <w:ind w:right="1300"/>
              <w:spacing w:after="0"/>
              <w:rPr>
                <w:rFonts w:ascii="Arial" w:cs="Arial" w:eastAsia="Arial" w:hAnsi="Arial"/>
                <w:sz w:val="17"/>
                <w:szCs w:val="17"/>
                <w:color w:val="0000EE"/>
              </w:rPr>
            </w:pPr>
            <w:hyperlink w:anchor="page13">
              <w:r>
                <w:rPr>
                  <w:rFonts w:ascii="Arial" w:cs="Arial" w:eastAsia="Arial" w:hAnsi="Arial"/>
                  <w:sz w:val="17"/>
                  <w:szCs w:val="17"/>
                  <w:color w:val="0000EE"/>
                </w:rPr>
                <w:t>8</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Proposal 4: Stockholder Proposal Regarding a Political Contributions Report</w:t>
              </w:r>
            </w:hyperlink>
          </w:p>
        </w:tc>
        <w:tc>
          <w:tcPr>
            <w:tcW w:w="1580" w:type="dxa"/>
            <w:vAlign w:val="bottom"/>
            <w:gridSpan w:val="5"/>
          </w:tcPr>
          <w:p>
            <w:pPr>
              <w:jc w:val="right"/>
              <w:ind w:right="1300"/>
              <w:spacing w:after="0"/>
              <w:rPr>
                <w:rFonts w:ascii="Arial" w:cs="Arial" w:eastAsia="Arial" w:hAnsi="Arial"/>
                <w:sz w:val="17"/>
                <w:szCs w:val="17"/>
                <w:color w:val="0000EE"/>
              </w:rPr>
            </w:pPr>
            <w:hyperlink w:anchor="page15">
              <w:r>
                <w:rPr>
                  <w:rFonts w:ascii="Arial" w:cs="Arial" w:eastAsia="Arial" w:hAnsi="Arial"/>
                  <w:sz w:val="17"/>
                  <w:szCs w:val="17"/>
                  <w:color w:val="0000EE"/>
                </w:rPr>
                <w:t>10</w:t>
              </w:r>
            </w:hyperlink>
          </w:p>
        </w:tc>
      </w:tr>
      <w:tr>
        <w:trPr>
          <w:trHeight w:val="404"/>
        </w:trPr>
        <w:tc>
          <w:tcPr>
            <w:tcW w:w="116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8"/>
              </w:rPr>
            </w:pPr>
            <w:hyperlink w:anchor="page18">
              <w:r>
                <w:rPr>
                  <w:rFonts w:ascii="Arial" w:cs="Arial" w:eastAsia="Arial" w:hAnsi="Arial"/>
                  <w:sz w:val="17"/>
                  <w:szCs w:val="17"/>
                  <w:color w:val="0000EE"/>
                  <w:w w:val="88"/>
                </w:rPr>
                <w:t>Voting Procedures</w:t>
              </w:r>
            </w:hyperlink>
          </w:p>
        </w:tc>
        <w:tc>
          <w:tcPr>
            <w:tcW w:w="4020" w:type="dxa"/>
            <w:vAlign w:val="bottom"/>
            <w:tcBorders>
              <w:top w:val="single" w:sz="8" w:color="0000EE"/>
            </w:tcBorders>
            <w:gridSpan w:val="9"/>
          </w:tcPr>
          <w:p>
            <w:pPr>
              <w:spacing w:after="0"/>
              <w:rPr>
                <w:sz w:val="24"/>
                <w:szCs w:val="24"/>
                <w:color w:val="auto"/>
              </w:rPr>
            </w:pPr>
          </w:p>
        </w:tc>
        <w:tc>
          <w:tcPr>
            <w:tcW w:w="34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84"/>
              </w:rPr>
            </w:pPr>
            <w:hyperlink w:anchor="page18">
              <w:r>
                <w:rPr>
                  <w:rFonts w:ascii="Arial" w:cs="Arial" w:eastAsia="Arial" w:hAnsi="Arial"/>
                  <w:sz w:val="17"/>
                  <w:szCs w:val="17"/>
                  <w:color w:val="0000EE"/>
                  <w:w w:val="84"/>
                </w:rPr>
                <w:t>13</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54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20">
              <w:r>
                <w:rPr>
                  <w:rFonts w:ascii="Arial" w:cs="Arial" w:eastAsia="Arial" w:hAnsi="Arial"/>
                  <w:sz w:val="17"/>
                  <w:szCs w:val="17"/>
                  <w:color w:val="0000EE"/>
                  <w:w w:val="93"/>
                </w:rPr>
                <w:t>Solicitation of Proxies</w:t>
              </w:r>
            </w:hyperlink>
          </w:p>
        </w:tc>
        <w:tc>
          <w:tcPr>
            <w:tcW w:w="7140" w:type="dxa"/>
            <w:vAlign w:val="bottom"/>
            <w:gridSpan w:val="10"/>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15</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20">
              <w:r>
                <w:rPr>
                  <w:rFonts w:ascii="Arial" w:cs="Arial" w:eastAsia="Arial" w:hAnsi="Arial"/>
                  <w:sz w:val="17"/>
                  <w:szCs w:val="17"/>
                  <w:color w:val="0000EE"/>
                  <w:w w:val="96"/>
                </w:rPr>
                <w:t>Additional Information</w:t>
              </w:r>
            </w:hyperlink>
          </w:p>
        </w:tc>
        <w:tc>
          <w:tcPr>
            <w:tcW w:w="7080" w:type="dxa"/>
            <w:vAlign w:val="bottom"/>
            <w:gridSpan w:val="9"/>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15</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540" w:type="dxa"/>
            <w:vAlign w:val="bottom"/>
            <w:tcBorders>
              <w:bottom w:val="single" w:sz="8" w:color="0000EE"/>
            </w:tcBorders>
            <w:gridSpan w:val="8"/>
          </w:tcPr>
          <w:p>
            <w:pPr>
              <w:spacing w:after="0"/>
              <w:rPr>
                <w:rFonts w:ascii="Arial" w:cs="Arial" w:eastAsia="Arial" w:hAnsi="Arial"/>
                <w:sz w:val="17"/>
                <w:szCs w:val="17"/>
                <w:color w:val="0000EE"/>
                <w:w w:val="95"/>
              </w:rPr>
            </w:pPr>
            <w:hyperlink w:anchor="page21">
              <w:r>
                <w:rPr>
                  <w:rFonts w:ascii="Arial" w:cs="Arial" w:eastAsia="Arial" w:hAnsi="Arial"/>
                  <w:sz w:val="17"/>
                  <w:szCs w:val="17"/>
                  <w:color w:val="0000EE"/>
                  <w:w w:val="95"/>
                </w:rPr>
                <w:t>Annex A: Additional Information About Ms. Wynn</w:t>
              </w:r>
            </w:hyperlink>
          </w:p>
        </w:tc>
        <w:tc>
          <w:tcPr>
            <w:tcW w:w="5140" w:type="dxa"/>
            <w:vAlign w:val="bottom"/>
            <w:gridSpan w:val="5"/>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7"/>
                <w:szCs w:val="17"/>
                <w:color w:val="0000EE"/>
                <w:w w:val="98"/>
              </w:rPr>
            </w:pPr>
            <w:hyperlink w:anchor="page21">
              <w:r>
                <w:rPr>
                  <w:rFonts w:ascii="Arial" w:cs="Arial" w:eastAsia="Arial" w:hAnsi="Arial"/>
                  <w:sz w:val="17"/>
                  <w:szCs w:val="17"/>
                  <w:color w:val="0000EE"/>
                  <w:w w:val="98"/>
                </w:rPr>
                <w:t>A-1</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Annex B: Beneficial Ownership in, and Transactions in Securities of, the Company During the Past Two Years</w:t>
              </w:r>
            </w:hyperlink>
          </w:p>
        </w:tc>
        <w:tc>
          <w:tcPr>
            <w:tcW w:w="1580" w:type="dxa"/>
            <w:vAlign w:val="bottom"/>
            <w:gridSpan w:val="5"/>
          </w:tcPr>
          <w:p>
            <w:pPr>
              <w:jc w:val="right"/>
              <w:ind w:right="1300"/>
              <w:spacing w:after="0"/>
              <w:rPr>
                <w:rFonts w:ascii="Arial" w:cs="Arial" w:eastAsia="Arial" w:hAnsi="Arial"/>
                <w:sz w:val="17"/>
                <w:szCs w:val="17"/>
                <w:color w:val="0000EE"/>
                <w:w w:val="98"/>
              </w:rPr>
            </w:pPr>
            <w:hyperlink w:anchor="page23">
              <w:r>
                <w:rPr>
                  <w:rFonts w:ascii="Arial" w:cs="Arial" w:eastAsia="Arial" w:hAnsi="Arial"/>
                  <w:sz w:val="17"/>
                  <w:szCs w:val="17"/>
                  <w:color w:val="0000EE"/>
                  <w:w w:val="98"/>
                </w:rPr>
                <w:t>B-1</w:t>
              </w:r>
            </w:hyperlink>
          </w:p>
        </w:tc>
      </w:tr>
      <w:tr>
        <w:trPr>
          <w:trHeight w:val="136"/>
        </w:trPr>
        <w:tc>
          <w:tcPr>
            <w:tcW w:w="1160" w:type="dxa"/>
            <w:vAlign w:val="bottom"/>
            <w:tcBorders>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1200" w:type="dxa"/>
            <w:vAlign w:val="bottom"/>
            <w:tcBorders>
              <w:top w:val="single" w:sz="8" w:color="0000EE"/>
              <w:bottom w:val="single" w:sz="8" w:color="808080"/>
            </w:tcBorders>
          </w:tcPr>
          <w:p>
            <w:pPr>
              <w:spacing w:after="0"/>
              <w:rPr>
                <w:sz w:val="11"/>
                <w:szCs w:val="11"/>
                <w:color w:val="auto"/>
              </w:rPr>
            </w:pPr>
          </w:p>
        </w:tc>
        <w:tc>
          <w:tcPr>
            <w:tcW w:w="28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500" w:type="dxa"/>
            <w:vAlign w:val="bottom"/>
            <w:tcBorders>
              <w:top w:val="single" w:sz="8" w:color="0000EE"/>
              <w:bottom w:val="single" w:sz="8" w:color="808080"/>
            </w:tcBorders>
          </w:tcPr>
          <w:p>
            <w:pPr>
              <w:spacing w:after="0"/>
              <w:rPr>
                <w:sz w:val="11"/>
                <w:szCs w:val="11"/>
                <w:color w:val="auto"/>
              </w:rPr>
            </w:pPr>
          </w:p>
        </w:tc>
        <w:tc>
          <w:tcPr>
            <w:tcW w:w="160" w:type="dxa"/>
            <w:vAlign w:val="bottom"/>
            <w:tcBorders>
              <w:top w:val="single" w:sz="8" w:color="0000EE"/>
              <w:bottom w:val="single" w:sz="8" w:color="808080"/>
            </w:tcBorders>
          </w:tcPr>
          <w:p>
            <w:pPr>
              <w:spacing w:after="0"/>
              <w:rPr>
                <w:sz w:val="11"/>
                <w:szCs w:val="11"/>
                <w:color w:val="auto"/>
              </w:rPr>
            </w:pPr>
          </w:p>
        </w:tc>
        <w:tc>
          <w:tcPr>
            <w:tcW w:w="880" w:type="dxa"/>
            <w:vAlign w:val="bottom"/>
            <w:tcBorders>
              <w:top w:val="single" w:sz="8" w:color="0000EE"/>
              <w:bottom w:val="single" w:sz="8" w:color="808080"/>
            </w:tcBorders>
          </w:tcPr>
          <w:p>
            <w:pPr>
              <w:spacing w:after="0"/>
              <w:rPr>
                <w:sz w:val="11"/>
                <w:szCs w:val="11"/>
                <w:color w:val="auto"/>
              </w:rPr>
            </w:pPr>
          </w:p>
        </w:tc>
        <w:tc>
          <w:tcPr>
            <w:tcW w:w="400" w:type="dxa"/>
            <w:vAlign w:val="bottom"/>
            <w:tcBorders>
              <w:top w:val="single" w:sz="8" w:color="0000EE"/>
              <w:bottom w:val="single" w:sz="8" w:color="808080"/>
            </w:tcBorders>
          </w:tcPr>
          <w:p>
            <w:pPr>
              <w:spacing w:after="0"/>
              <w:rPr>
                <w:sz w:val="11"/>
                <w:szCs w:val="11"/>
                <w:color w:val="auto"/>
              </w:rPr>
            </w:pPr>
          </w:p>
        </w:tc>
        <w:tc>
          <w:tcPr>
            <w:tcW w:w="940" w:type="dxa"/>
            <w:vAlign w:val="bottom"/>
            <w:tcBorders>
              <w:top w:val="single" w:sz="8" w:color="0000EE"/>
              <w:bottom w:val="single" w:sz="8" w:color="808080"/>
            </w:tcBorders>
          </w:tcPr>
          <w:p>
            <w:pPr>
              <w:spacing w:after="0"/>
              <w:rPr>
                <w:sz w:val="11"/>
                <w:szCs w:val="11"/>
                <w:color w:val="auto"/>
              </w:rPr>
            </w:pPr>
          </w:p>
        </w:tc>
        <w:tc>
          <w:tcPr>
            <w:tcW w:w="140" w:type="dxa"/>
            <w:vAlign w:val="bottom"/>
            <w:tcBorders>
              <w:top w:val="single" w:sz="8" w:color="0000EE"/>
              <w:bottom w:val="single" w:sz="8" w:color="808080"/>
            </w:tcBorders>
          </w:tcPr>
          <w:p>
            <w:pPr>
              <w:spacing w:after="0"/>
              <w:rPr>
                <w:sz w:val="11"/>
                <w:szCs w:val="11"/>
                <w:color w:val="auto"/>
              </w:rPr>
            </w:pPr>
          </w:p>
        </w:tc>
        <w:tc>
          <w:tcPr>
            <w:tcW w:w="660" w:type="dxa"/>
            <w:vAlign w:val="bottom"/>
            <w:tcBorders>
              <w:top w:val="single" w:sz="8" w:color="0000EE"/>
              <w:bottom w:val="single" w:sz="8" w:color="808080"/>
            </w:tcBorders>
          </w:tcPr>
          <w:p>
            <w:pPr>
              <w:spacing w:after="0"/>
              <w:rPr>
                <w:sz w:val="11"/>
                <w:szCs w:val="11"/>
                <w:color w:val="auto"/>
              </w:rPr>
            </w:pPr>
          </w:p>
        </w:tc>
        <w:tc>
          <w:tcPr>
            <w:tcW w:w="2340" w:type="dxa"/>
            <w:vAlign w:val="bottom"/>
            <w:tcBorders>
              <w:top w:val="single" w:sz="8" w:color="0000EE"/>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0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BACKGROUND OF THE SOLICITATION</w:t>
      </w:r>
    </w:p>
    <w:p>
      <w:pPr>
        <w:spacing w:after="0" w:line="234"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I have been a director of the Company since its inception in 2002. Directors of the Company serve for three-year terms, and each time my term has been scheduled to end, I have been re-nominated for another three-year term as part of the Company's slate of candidates.</w:t>
      </w:r>
    </w:p>
    <w:p>
      <w:pPr>
        <w:spacing w:after="0" w:line="168" w:lineRule="exact"/>
        <w:rPr>
          <w:sz w:val="20"/>
          <w:szCs w:val="20"/>
          <w:color w:val="auto"/>
        </w:rPr>
      </w:pPr>
    </w:p>
    <w:p>
      <w:pPr>
        <w:ind w:right="300" w:firstLine="344"/>
        <w:spacing w:after="0" w:line="269" w:lineRule="auto"/>
        <w:rPr>
          <w:sz w:val="20"/>
          <w:szCs w:val="20"/>
          <w:color w:val="auto"/>
        </w:rPr>
      </w:pPr>
      <w:r>
        <w:rPr>
          <w:rFonts w:ascii="Arial" w:cs="Arial" w:eastAsia="Arial" w:hAnsi="Arial"/>
          <w:sz w:val="17"/>
          <w:szCs w:val="17"/>
          <w:color w:val="auto"/>
        </w:rPr>
        <w:t>On February 12, 2015, I had a telephone call with Robert Miller, the Chair of the Nominating and Corporate Governance Committee, to discuss my re-nomination to the Board. During this telephone call, I was surprised to find that Mr. Miller would not provide any assurance that I would be re-nominated, as had been the case in the past. Neither he, nor any of the other members of the Nominating and Corporate Governance Committee, had previously had any formal discussions with me regarding the possibility that I would not be re-nominated.</w:t>
      </w:r>
    </w:p>
    <w:p>
      <w:pPr>
        <w:spacing w:after="0" w:line="183" w:lineRule="exact"/>
        <w:rPr>
          <w:sz w:val="20"/>
          <w:szCs w:val="20"/>
          <w:color w:val="auto"/>
        </w:rPr>
      </w:pPr>
    </w:p>
    <w:p>
      <w:pPr>
        <w:ind w:right="360" w:firstLine="344"/>
        <w:spacing w:after="0" w:line="273" w:lineRule="auto"/>
        <w:rPr>
          <w:sz w:val="20"/>
          <w:szCs w:val="20"/>
          <w:color w:val="auto"/>
        </w:rPr>
      </w:pPr>
      <w:r>
        <w:rPr>
          <w:rFonts w:ascii="Arial" w:cs="Arial" w:eastAsia="Arial" w:hAnsi="Arial"/>
          <w:sz w:val="17"/>
          <w:szCs w:val="17"/>
          <w:color w:val="auto"/>
        </w:rPr>
        <w:t>On February 13, 2015, in order to preserve my ability to serve another three-year term as a director, I notified the Company by letter in accordance with the Company's bylaws that if I were not re-nominated as a director, I intended to nominate myself for election as a Class I director at the Company's 2015 Annual Meeting.</w:t>
      </w:r>
    </w:p>
    <w:p>
      <w:pPr>
        <w:spacing w:after="0" w:line="181"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On February 19, 2015, I met with Mr. Miller and D. Boone Wayson, another member of the Nominating and Corporate Governance Committee, and discussed my candidacy to the Board.</w:t>
      </w:r>
    </w:p>
    <w:p>
      <w:pPr>
        <w:spacing w:after="0" w:line="16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On February 24, 2015, I met with the full Nominating and Corporate Governance Committee and the other independent directors and I responded to each and every question regarding my candidacy to the Board.</w:t>
      </w:r>
    </w:p>
    <w:p>
      <w:pPr>
        <w:spacing w:after="0" w:line="168" w:lineRule="exact"/>
        <w:rPr>
          <w:sz w:val="20"/>
          <w:szCs w:val="20"/>
          <w:color w:val="auto"/>
        </w:rPr>
      </w:pPr>
    </w:p>
    <w:p>
      <w:pPr>
        <w:ind w:right="520" w:firstLine="344"/>
        <w:spacing w:after="0" w:line="273" w:lineRule="auto"/>
        <w:rPr>
          <w:sz w:val="20"/>
          <w:szCs w:val="20"/>
          <w:color w:val="auto"/>
        </w:rPr>
      </w:pPr>
      <w:r>
        <w:rPr>
          <w:rFonts w:ascii="Arial" w:cs="Arial" w:eastAsia="Arial" w:hAnsi="Arial"/>
          <w:sz w:val="17"/>
          <w:szCs w:val="17"/>
          <w:color w:val="auto"/>
        </w:rPr>
        <w:t>On February 26, 2015, the full Board held a meeting in which the Nominating and Corporate Governance Committee announced its recommendation to decrease the size of the Board by one and to nominate only two candidates for election, excluding me. The Board voted in favor of the recommendation of the Nominating and Corporate Governance Committee.</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On March 5, 2015, I filed a preliminary proxy statement with the Securities and Exchange Commission to solicit proxies in favor of my re-election to the Board.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REASONS FOR THE SOLICITATION AND INFORMATION ABOUT ELAINE P. WYNN</w:t>
      </w:r>
    </w:p>
    <w:p>
      <w:pPr>
        <w:spacing w:after="0" w:line="234"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I have served tirelessly on your behalf for the past 13 years as a director and co-founder of Wynn Resorts. The Board recently refused to re-nominate me, in my view without merit, and I've decided to nominate myself. I urge you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 for my re-election to the Board.</w:t>
      </w:r>
    </w:p>
    <w:p>
      <w:pPr>
        <w:spacing w:after="0" w:line="168" w:lineRule="exact"/>
        <w:rPr>
          <w:sz w:val="20"/>
          <w:szCs w:val="20"/>
          <w:color w:val="auto"/>
        </w:rPr>
      </w:pPr>
    </w:p>
    <w:p>
      <w:pPr>
        <w:ind w:right="40" w:firstLine="344"/>
        <w:spacing w:after="0" w:line="281" w:lineRule="auto"/>
        <w:rPr>
          <w:sz w:val="20"/>
          <w:szCs w:val="20"/>
          <w:color w:val="auto"/>
        </w:rPr>
      </w:pPr>
      <w:r>
        <w:rPr>
          <w:rFonts w:ascii="Arial" w:cs="Arial" w:eastAsia="Arial" w:hAnsi="Arial"/>
          <w:sz w:val="16"/>
          <w:szCs w:val="16"/>
          <w:color w:val="auto"/>
        </w:rPr>
        <w:t>I have served on the Company's Board since its inception in 2002, and I believe that I have been an integral part of helping the Company grow into the successful global enterprise it is today. With more than forty years of gaming and hospitality experience, I was shocked and disappointed to learn that the Board decided not to re-nominate me as a director, and the reasons they chose to cite for doing it. Not only because of my long history of effective service to the Company, meaningful contributions to its strategy and the fact that I am its third-largest stockholder, but also because I am the last remaining woman on the Board. Fiduciary responsibilities aside, there will not be a single woman director if the Board succeeds in excluding me. I believe you should support my nomination because I bring a valuable, productive voice to the boardroom, one that is deeply vested in the Company's success. But in my view, it is also clear that this appalling lack of diversity would be highly inappropriate at any public company, and would be especially unacceptable at Wynn Resorts. We are a global consumer-oriented company that strives to appeal to both men and women and, as a result, I think it is vital that the views of 50% of the population be represented on the Board. In my opinion, the exclusion of any diverse voices from the Board is not just a symbolic misstep, it's bad business.</w:t>
      </w:r>
    </w:p>
    <w:p>
      <w:pPr>
        <w:spacing w:after="0" w:line="180"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I believe that no one else at the Company, other than the Chairman and CEO, is more knowledgeable about its history, its operations, its customers, or its award-winning staff. For me, board membership isn't some professional title; it's a labor of love to which I am whole-heartedly devoted and have the tenure to prove. As stated in the Company's prior proxy statements, my four decades of experience in the gaming and hospitality businesses have been valuable to the Board and important in the continued development of the Wynn brand. The same has been said for my philanthropic and community efforts, which have been important to the Board's strategic and brand vision. The Company's success has been one of my life's main passions, and I bring that attitude to my role as a Director each and every day.</w:t>
      </w:r>
    </w:p>
    <w:p>
      <w:pPr>
        <w:spacing w:after="0" w:line="188" w:lineRule="exact"/>
        <w:rPr>
          <w:sz w:val="20"/>
          <w:szCs w:val="20"/>
          <w:color w:val="auto"/>
        </w:rPr>
      </w:pPr>
    </w:p>
    <w:p>
      <w:pPr>
        <w:jc w:val="both"/>
        <w:ind w:right="460" w:firstLine="344"/>
        <w:spacing w:after="0" w:line="273" w:lineRule="auto"/>
        <w:rPr>
          <w:sz w:val="20"/>
          <w:szCs w:val="20"/>
          <w:color w:val="auto"/>
        </w:rPr>
      </w:pPr>
      <w:r>
        <w:rPr>
          <w:rFonts w:ascii="Arial" w:cs="Arial" w:eastAsia="Arial" w:hAnsi="Arial"/>
          <w:sz w:val="17"/>
          <w:szCs w:val="17"/>
          <w:color w:val="auto"/>
        </w:rPr>
        <w:t>I am also the third-largest stockholder of the Company, with more than 9.5 million shares, representing a 9.4% interest in the Company. It is clear that my interests are very much aligned with the interests of my fellow stockholders, a fact that I have no plans to change. I am keenly focused on viewing every Board action through the lens of generating overall stockholder value.</w:t>
      </w:r>
    </w:p>
    <w:p>
      <w:pPr>
        <w:spacing w:after="0" w:line="181"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My unique history with the Company has afforded me a strong, independent voice on the Board. While I value collegiality and am generally supportive of management efforts and initiatives, I am unafraid to question the actions of Company management. I do not simply toe the party line and instead hold our management team, including our Chairman and CEO, accountable to our stockholders. My willingness to offer a different perspective on Board issues can sometimes lead to disagreement with my fellow directors, but I believe providing a forum for differing views and robust discussions is the hallmark of a healthy board, particularly in an environment where a board's duty to act on behalf of all stockholders has come under such scrutiny and led to so many improvements in corporate governance policies. The Board's action to exclude a strong and knowledgeable voice may make for a more homogenous and compliant Board, but I believe that result is not at all in the best interests of our stockholders.</w:t>
      </w:r>
    </w:p>
    <w:p>
      <w:pPr>
        <w:spacing w:after="0" w:line="190"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In the proxy statement filed by the Company on March 16, 2015 (the "</w:t>
      </w:r>
      <w:r>
        <w:rPr>
          <w:rFonts w:ascii="Arial" w:cs="Arial" w:eastAsia="Arial" w:hAnsi="Arial"/>
          <w:sz w:val="17"/>
          <w:szCs w:val="17"/>
          <w:i w:val="1"/>
          <w:iCs w:val="1"/>
          <w:color w:val="auto"/>
        </w:rPr>
        <w:t>Company Proxy Statement</w:t>
      </w:r>
      <w:r>
        <w:rPr>
          <w:rFonts w:ascii="Arial" w:cs="Arial" w:eastAsia="Arial" w:hAnsi="Arial"/>
          <w:sz w:val="17"/>
          <w:szCs w:val="17"/>
          <w:color w:val="auto"/>
        </w:rPr>
        <w:t>"), the Board has put forth a set of reasons for excluding me from the boardroom that I believe to be confusing and misleading. I address here each one in turn:</w:t>
      </w:r>
    </w:p>
    <w:p>
      <w:pPr>
        <w:spacing w:after="0" w:line="16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First, the Company Proxy Statement states that the Nominating and Corporate Governance Committee believes that I have placed my own interests ahead of the company's and created actual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potential conflicts of interest because my lawsuit against Mr. Wynn, if successful, could trigger a violation of indenture covenants. I believe that this is neither an authentic nor a valid reason to remove me from the Board.</w:t>
      </w:r>
    </w:p>
    <w:p>
      <w:pPr>
        <w:spacing w:after="0" w:line="168" w:lineRule="exact"/>
        <w:rPr>
          <w:sz w:val="20"/>
          <w:szCs w:val="20"/>
          <w:color w:val="auto"/>
        </w:rPr>
      </w:pPr>
    </w:p>
    <w:p>
      <w:pPr>
        <w:ind w:right="100" w:firstLine="344"/>
        <w:spacing w:after="0" w:line="298" w:lineRule="auto"/>
        <w:rPr>
          <w:sz w:val="20"/>
          <w:szCs w:val="20"/>
          <w:color w:val="auto"/>
        </w:rPr>
      </w:pPr>
      <w:r>
        <w:rPr>
          <w:rFonts w:ascii="Arial" w:cs="Arial" w:eastAsia="Arial" w:hAnsi="Arial"/>
          <w:sz w:val="16"/>
          <w:szCs w:val="16"/>
          <w:color w:val="auto"/>
        </w:rPr>
        <w:t>I believe that this is not an authentic reason because this issue existed at the time of my election to the Board in November 2012 and, in that election, the Board apparently had no problem re-nominating me as a director and urging stockholders to vote for me. The Board's decision not to re-nominate me now, when nothing has changed since the last time I was up for re-nomination, illustrates my belief that this reason is nothing more than a pretext by the Board.</w:t>
      </w:r>
    </w:p>
    <w:p>
      <w:pPr>
        <w:spacing w:after="0" w:line="162" w:lineRule="exact"/>
        <w:rPr>
          <w:sz w:val="20"/>
          <w:szCs w:val="20"/>
          <w:color w:val="auto"/>
        </w:rPr>
      </w:pPr>
    </w:p>
    <w:p>
      <w:pPr>
        <w:ind w:right="100" w:firstLine="344"/>
        <w:spacing w:after="0" w:line="280" w:lineRule="auto"/>
        <w:rPr>
          <w:sz w:val="20"/>
          <w:szCs w:val="20"/>
          <w:color w:val="auto"/>
        </w:rPr>
      </w:pPr>
      <w:r>
        <w:rPr>
          <w:rFonts w:ascii="Arial" w:cs="Arial" w:eastAsia="Arial" w:hAnsi="Arial"/>
          <w:sz w:val="16"/>
          <w:szCs w:val="16"/>
          <w:color w:val="auto"/>
        </w:rPr>
        <w:t xml:space="preserve">I also believe that this is not a valid reason. My dispute with Mr. Wynn is one between two stockholders who disagree over the continued validity of a stockholders agreement entered into long ago. It's a stockholder-to-stockholder issue and not a Board issue. This issue will persist whether or not I serve on the Board, and in my opinion, it does not impact the ability of either of us to act as effective Board members. Furthermore, although I am seeking to gain control of the shares I own, I remain devoted to the company and its future success. I intend to remain a significant stockholder indefinitely. Be assured that my interests as a stockholder are aligned with yours. Furthermore, in my view, there is no actual or potential conflict of interest other than a possible technical violation of the indenture covenants if my cross-claim against Mr. Wynn is successful. A violation of the indenture covenants will only occur if two things happen: there is a change of control of the Company </w:t>
      </w:r>
      <w:r>
        <w:rPr>
          <w:rFonts w:ascii="Arial" w:cs="Arial" w:eastAsia="Arial" w:hAnsi="Arial"/>
          <w:sz w:val="16"/>
          <w:szCs w:val="16"/>
          <w:i w:val="1"/>
          <w:iCs w:val="1"/>
          <w:color w:val="auto"/>
        </w:rPr>
        <w:t>and</w:t>
      </w:r>
      <w:r>
        <w:rPr>
          <w:rFonts w:ascii="Arial" w:cs="Arial" w:eastAsia="Arial" w:hAnsi="Arial"/>
          <w:sz w:val="16"/>
          <w:szCs w:val="16"/>
          <w:color w:val="auto"/>
        </w:rPr>
        <w:t>, within 60 days thereafter, certain of the Company's outstanding notes are rated below investment grade by both rating agencies that rate such notes. Even if I win my cross-claim and the Company's notes are downgraded by both rating agencies, such a violation could be prevented by my agreeing to let Mr. Wynn vote fewer shares than he now does, but still a sufficient number to ensure that our combined share total is larger than that of the next-largest stockholder. While such an agreement cannot be certain, as the second and third largest stockholders of the company, respectively, Mr. Wynn and I have every incentive to arrive at an agreement and avoid triggering a covenant violation.</w:t>
      </w:r>
    </w:p>
    <w:p>
      <w:pPr>
        <w:spacing w:after="0" w:line="182" w:lineRule="exact"/>
        <w:rPr>
          <w:sz w:val="20"/>
          <w:szCs w:val="20"/>
          <w:color w:val="auto"/>
        </w:rPr>
      </w:pPr>
    </w:p>
    <w:p>
      <w:pPr>
        <w:ind w:right="140" w:firstLine="344"/>
        <w:spacing w:after="0" w:line="281" w:lineRule="auto"/>
        <w:rPr>
          <w:sz w:val="20"/>
          <w:szCs w:val="20"/>
          <w:color w:val="auto"/>
        </w:rPr>
      </w:pPr>
      <w:r>
        <w:rPr>
          <w:rFonts w:ascii="Arial" w:cs="Arial" w:eastAsia="Arial" w:hAnsi="Arial"/>
          <w:sz w:val="16"/>
          <w:szCs w:val="16"/>
          <w:color w:val="auto"/>
        </w:rPr>
        <w:t>Second, the Company Proxy Statement states that the Committee believes that the pendency of that lawsuit has "reduced the effectiveness" of my participation on the Board because independent directors have voiced concerns that Board discussions could be "negatively impacted by the perception that [I] might seek to utilize statements made at Board meetings" in order to advance my litigation claims or my position as a stockholder. The Committee apparently did not have concerns about the effectiveness of my participation on the Board or the effect of my presence on deliberations of the Board when it re-nominated me in November 2012, many months after my claim was filed. Once again, I believe that this reason is pretextual, because nothing has changed since the last time I was up for re-nomination. In fact, I do not recall hearing any member of the Board ever raise concerns about any potential chilling effect that my litigation with Mr. Wynn may have on deliberations. If any member of the Board had such concerns, it is my view that the issue should have been raised and discussed, rather than referenced for the first time in the Company Proxy Statement. Moreover, the independent directors meet in Committee, as well as in executive sessions following Board meetings, so they have ample opportunity to speak with one another without Mr. Wynn or me in attendance.</w:t>
      </w:r>
    </w:p>
    <w:p>
      <w:pPr>
        <w:spacing w:after="0" w:line="180"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Finally, the Company Proxy Statement states that the Committee is focused on my "lack of independence under NASDAQ listing standards and resulting inability to serve on any existing Board committees." I find this statement to be quite puzzling. It turns out that likely I am "independent." I believe that I satisfy all of the bright line tests for independence under the NASDAQ rules, and that the Board could make a determination that I am "independent" if it wanted to. I wouldn't have qualified when I was married to the Chairman and CEO, but obviously that's no longer an issue. It's simply unfair of the Board to unjustifiably state the opposite conclusion and then use that as a reason for excluding me. Furthermore, I think that it is a curious argument to make given that the Board chose to shrink the size of the Board rather than nominate an independent director in my place. As a result, my exclusion from the Board would have absolutely no effect on increasing the number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independent directors who can serve on existing Board committees. All it does is eliminate a strong director from the ranks of the Board.</w:t>
      </w:r>
    </w:p>
    <w:p>
      <w:pPr>
        <w:spacing w:after="0" w:line="228"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There are two seats up for election. I intend to use the proxies given to me to vote for myself and for the one candidate nominated by the Board other than John J. Hagenbuch. Also, as I discuss in more detail later in this proxy statement, if the stockholders agreement between Mr. Wynn and me is valid, as Mr. Wynn contends, he is obligated to endorse and vote for me as a director.</w:t>
      </w:r>
    </w:p>
    <w:p>
      <w:pPr>
        <w:spacing w:after="0" w:line="181"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For the reasons described in detail above, I represent the superior candidate when compared with Mr. Hagenbuch, who has little, if any, experience in the highly regulated gaming industry. In contrast, I have spent more than four decades in the resort, hospitality and gaming industries. Because of my substantial ownership of the Company, my interests are aligned with yours. Moreover, I am fully committed to continuing my efforts to hold Company management accountable to our stockholders and to represent the views of women on a Board otherwise composed entirely of men.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For these reasons,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ind w:right="20" w:firstLine="335"/>
        <w:spacing w:after="0" w:line="273" w:lineRule="auto"/>
        <w:rPr>
          <w:sz w:val="20"/>
          <w:szCs w:val="20"/>
          <w:color w:val="auto"/>
        </w:rPr>
      </w:pPr>
      <w:r>
        <w:rPr>
          <w:rFonts w:ascii="Arial" w:cs="Arial" w:eastAsia="Arial" w:hAnsi="Arial"/>
          <w:sz w:val="17"/>
          <w:szCs w:val="17"/>
          <w:color w:val="auto"/>
        </w:rPr>
        <w:t xml:space="preserve">Additional information about me, including information about my background and my beneficial ownership of the Company's securities, is set forth under the section of this proxy statement titled "Proposal 1: Election of Directors" and in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and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to this proxy statement, each of which is incorporated herein by reference. Except as set forth in this proxy statement (including in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or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194" w:lineRule="exact"/>
        <w:rPr>
          <w:sz w:val="20"/>
          <w:szCs w:val="20"/>
          <w:color w:val="auto"/>
        </w:rPr>
      </w:pPr>
    </w:p>
    <w:p>
      <w:pPr>
        <w:ind w:left="1060" w:right="20" w:hanging="524"/>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any contract, arrangement or understanding with any persons with respect to any securities of the Company, including, but not limited to, joint ventures, loan or option arrangements, puts or calls, guarantees against loss or guarantees of profits, divisions of losses or profits, or the giving or withholding of proxies;</w:t>
      </w:r>
    </w:p>
    <w:p>
      <w:pPr>
        <w:spacing w:after="0" w:line="207" w:lineRule="exact"/>
        <w:rPr>
          <w:rFonts w:ascii="Arial" w:cs="Arial" w:eastAsia="Arial" w:hAnsi="Arial"/>
          <w:sz w:val="17"/>
          <w:szCs w:val="17"/>
          <w:color w:val="auto"/>
        </w:rPr>
      </w:pPr>
    </w:p>
    <w:p>
      <w:pPr>
        <w:ind w:left="1060" w:right="220" w:hanging="524"/>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and neither I nor my family members have had a direct or indirect material interest with respect to, any transaction or series of similar transactions since the beginning of the Company's last fiscal year to which the Company or any of its subsidiaries was or is a party, in which the amount involved exceeds $120,000;</w:t>
      </w:r>
    </w:p>
    <w:p>
      <w:pPr>
        <w:spacing w:after="0" w:line="193" w:lineRule="exact"/>
        <w:rPr>
          <w:rFonts w:ascii="Arial" w:cs="Arial" w:eastAsia="Arial" w:hAnsi="Arial"/>
          <w:sz w:val="17"/>
          <w:szCs w:val="17"/>
          <w:color w:val="auto"/>
        </w:rPr>
      </w:pPr>
    </w:p>
    <w:p>
      <w:pPr>
        <w:ind w:left="1060" w:right="500" w:hanging="524"/>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have not been convicted in a criminal proceeding nor am I a named subject of a pending criminal proceeding (excluding traffic violations and similar misdemeanors) during the past ten years; and</w:t>
      </w:r>
    </w:p>
    <w:p>
      <w:pPr>
        <w:spacing w:after="0" w:line="181" w:lineRule="exact"/>
        <w:rPr>
          <w:rFonts w:ascii="Arial" w:cs="Arial" w:eastAsia="Arial" w:hAnsi="Arial"/>
          <w:sz w:val="17"/>
          <w:szCs w:val="17"/>
          <w:color w:val="auto"/>
        </w:rPr>
      </w:pPr>
    </w:p>
    <w:p>
      <w:pPr>
        <w:ind w:left="1060" w:right="460" w:hanging="524"/>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do not have any arrangement or understanding with any person with respect to any future employment by the Company or its affiliates or with respect to any future transactions to which the Company or any of its affiliates will or may be a party.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 1: ELECTION OF DIRECTORS</w:t>
      </w:r>
    </w:p>
    <w:p>
      <w:pPr>
        <w:spacing w:after="0" w:line="234" w:lineRule="exact"/>
        <w:rPr>
          <w:sz w:val="20"/>
          <w:szCs w:val="20"/>
          <w:color w:val="auto"/>
        </w:rPr>
      </w:pPr>
    </w:p>
    <w:p>
      <w:pPr>
        <w:ind w:right="80" w:firstLine="335"/>
        <w:spacing w:after="0" w:line="265" w:lineRule="auto"/>
        <w:rPr>
          <w:sz w:val="20"/>
          <w:szCs w:val="20"/>
          <w:color w:val="auto"/>
        </w:rPr>
      </w:pPr>
      <w:r>
        <w:rPr>
          <w:rFonts w:ascii="Arial" w:cs="Arial" w:eastAsia="Arial" w:hAnsi="Arial"/>
          <w:sz w:val="17"/>
          <w:szCs w:val="17"/>
          <w:color w:val="auto"/>
        </w:rPr>
        <w:t>According to the Company Proxy Statement, the number of directors on the Board is established from time to time by resolution of the Board and must not be less than one nor more than thirteen members. The Board currently has eight directors, divided into three classes, designated as Class I, Class II and Class III. Members of each class serve for a three-year term. At each annual meeting, the term of one class expires. The term of office of the current Class I directors, including me, will expire at the Annual Meeting. The Board has voted to reduce the size of Class I from three to two directors as of the Annual Meeting, resulting in the size of the Board being reduced from eight directors to seven. According to the Company Proxy Statement, the Board has nominated J. Edward Virtue and John J. Hagenbuch to fill these remaining Class I seats.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stated in the Company Proxy Statement, directors of the Company are elected by a plurality of the votes cast in person or by proxy at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Therefore, the two candidates for election to the Board who receive the highest number of votes will be elected as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this Solicitation</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Pursuant to this proxy statement, I am soliciting proxies from holders of Common Stock to vote for my election as a Class I director at the Annual Meeting. I intend to use this proxy to vote for myself and for the candidate nominated by the Board other than Mr. Hagenbuch.</w:t>
      </w:r>
    </w:p>
    <w:p>
      <w:pPr>
        <w:spacing w:after="0" w:line="168" w:lineRule="exact"/>
        <w:rPr>
          <w:sz w:val="20"/>
          <w:szCs w:val="20"/>
          <w:color w:val="auto"/>
        </w:rPr>
      </w:pPr>
    </w:p>
    <w:p>
      <w:pPr>
        <w:ind w:right="220" w:firstLine="335"/>
        <w:spacing w:after="0" w:line="287" w:lineRule="auto"/>
        <w:rPr>
          <w:sz w:val="20"/>
          <w:szCs w:val="20"/>
          <w:color w:val="auto"/>
        </w:rPr>
      </w:pPr>
      <w:r>
        <w:rPr>
          <w:rFonts w:ascii="Arial" w:cs="Arial" w:eastAsia="Arial" w:hAnsi="Arial"/>
          <w:sz w:val="17"/>
          <w:szCs w:val="17"/>
          <w:color w:val="auto"/>
        </w:rPr>
        <w:t>As discussed above in the section titled "Reasons for the Solicitation and Information about Elaine P. Wynn," I believe you should give me your proxy for the following reasons:</w:t>
      </w:r>
    </w:p>
    <w:p>
      <w:pPr>
        <w:spacing w:after="0" w:line="181" w:lineRule="exact"/>
        <w:rPr>
          <w:sz w:val="20"/>
          <w:szCs w:val="20"/>
          <w:color w:val="auto"/>
        </w:rPr>
      </w:pPr>
    </w:p>
    <w:p>
      <w:pPr>
        <w:ind w:left="1060" w:right="6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Board is successful in excluding me as a director, there will not be a single woman serving on the Board, leading to a complete lack of diversity that, in my view, diminishes the Wynn brand and sends the wrong kind of public message to our customers and stockholders;</w:t>
      </w:r>
    </w:p>
    <w:p>
      <w:pPr>
        <w:spacing w:after="0" w:line="194" w:lineRule="exact"/>
        <w:rPr>
          <w:rFonts w:ascii="Arial" w:cs="Arial" w:eastAsia="Arial" w:hAnsi="Arial"/>
          <w:sz w:val="17"/>
          <w:szCs w:val="17"/>
          <w:color w:val="auto"/>
        </w:rPr>
      </w:pPr>
    </w:p>
    <w:p>
      <w:pPr>
        <w:ind w:left="1060" w:right="34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than the Company's Chairman and CEO, I believe that there is no one else at the Company who is more knowledgeable about its history, its operations, its customers or its workforce;</w:t>
      </w:r>
    </w:p>
    <w:p>
      <w:pPr>
        <w:spacing w:after="0" w:line="18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my interests are highly aligned with the interests of the Company's stockholders, a fact that I have no plans to change, and I believe that renders me an ideal representative for the stockholders; and</w:t>
      </w:r>
    </w:p>
    <w:p>
      <w:pPr>
        <w:spacing w:after="0" w:line="181" w:lineRule="exact"/>
        <w:rPr>
          <w:rFonts w:ascii="Arial" w:cs="Arial" w:eastAsia="Arial" w:hAnsi="Arial"/>
          <w:sz w:val="17"/>
          <w:szCs w:val="17"/>
          <w:color w:val="auto"/>
        </w:rPr>
      </w:pPr>
    </w:p>
    <w:p>
      <w:pPr>
        <w:ind w:left="1060" w:right="4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due to my unique history and position at the Company, I represent a strong, independent voice on the Board, and I am unafraid to question the actions of Company management or the direction of the Company.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Please refer to the Company Proxy Statement for the backgrounds and qualifications of the Company's nominees, and certain other information about them.</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There is no assurance that either of the Company's nominees will serve as a director if I am elected.</w:t>
      </w:r>
    </w:p>
    <w:p>
      <w:pPr>
        <w:spacing w:after="0" w:line="22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I am not seeking the authority to vote for, and will not vote for, Mr. Hagenbuch. To my knowledge, Mr. Hagenbuch has little, if any, experience in the highly regulated gaming industry, and I believe I am the far more qualified candidate.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Information About Me</w:t>
      </w:r>
    </w:p>
    <w:p>
      <w:pPr>
        <w:spacing w:after="0" w:line="228" w:lineRule="exact"/>
        <w:rPr>
          <w:sz w:val="20"/>
          <w:szCs w:val="20"/>
          <w:color w:val="auto"/>
        </w:rPr>
      </w:pPr>
    </w:p>
    <w:p>
      <w:pPr>
        <w:ind w:right="220" w:firstLine="344"/>
        <w:spacing w:after="0" w:line="269" w:lineRule="auto"/>
        <w:rPr>
          <w:sz w:val="20"/>
          <w:szCs w:val="20"/>
          <w:color w:val="auto"/>
        </w:rPr>
      </w:pPr>
      <w:r>
        <w:rPr>
          <w:rFonts w:ascii="Arial" w:cs="Arial" w:eastAsia="Arial" w:hAnsi="Arial"/>
          <w:sz w:val="17"/>
          <w:szCs w:val="17"/>
          <w:color w:val="auto"/>
        </w:rPr>
        <w:t>I have served as a director of the Company since October 2002. I have been a strong advocate of programs and services for children at risk of dropping out of school. From 1995 until 2013, I co-chaired the Greater Las Vegas After-School All-Stars, an organization that provides thousands of children with high quality educational, recreational and cultural after-school programs. A past member of the Executive Board of the Consortium for Policy Research in Education, I have served on the State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Nevada Council to Establish Academic Standards and chaired for eight years the UNLV Foundation (the private fundraising arm of University of Nevada, Las Vegas). I am the founding chairman of Communities in Schools of Nevada and was appointed in 2009 as chair of the national board of Communities in Schools, among the oldest and most successful stay-in-school organization in America. In 2011, I was appointed by Nevada's governor to co-chair a Blue Ribbon Task Force for education reform that resulted in the enactment of ambitious new reform legislation. In 2013, I was appointed by Governor Brian Sandoval to serve a two-year term on the Nevada State Board of Education and was subsequently elected unanimously by the board to serve as president of that body. I have also been a strong supporter of the arts. I established the Elaine Wynn Studio for Arts Education at The Smith Center for the Performing Arts in Las Vegas and am a member of the Board of the Los Angeles County Museum of Art. In 2012, I was re-appointed to the Kennedy Center for the Performing Arts Board of Trustees. I also serve on the Library of Congress Trust Fund Board, and in 2013, I was elected to the Board of Directors of Activision Blizzard, Inc., an interactive entertainment publishing company. I am 72 years old, and I consent to serving as a director if I am elected.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Stephen A. Wynn's Endorsement</w:t>
      </w:r>
    </w:p>
    <w:p>
      <w:pPr>
        <w:spacing w:after="0" w:line="228" w:lineRule="exact"/>
        <w:rPr>
          <w:sz w:val="20"/>
          <w:szCs w:val="20"/>
          <w:color w:val="auto"/>
        </w:rPr>
      </w:pPr>
    </w:p>
    <w:p>
      <w:pPr>
        <w:ind w:right="20" w:firstLine="335"/>
        <w:spacing w:after="0" w:line="287" w:lineRule="auto"/>
        <w:rPr>
          <w:sz w:val="20"/>
          <w:szCs w:val="20"/>
          <w:color w:val="auto"/>
        </w:rPr>
      </w:pPr>
      <w:r>
        <w:rPr>
          <w:rFonts w:ascii="Arial" w:cs="Arial" w:eastAsia="Arial" w:hAnsi="Arial"/>
          <w:sz w:val="16"/>
          <w:szCs w:val="16"/>
          <w:color w:val="auto"/>
        </w:rPr>
        <w:t xml:space="preserve">As discussed in more detail in </w:t>
      </w:r>
      <w:r>
        <w:rPr>
          <w:rFonts w:ascii="Arial" w:cs="Arial" w:eastAsia="Arial" w:hAnsi="Arial"/>
          <w:sz w:val="16"/>
          <w:szCs w:val="16"/>
          <w:i w:val="1"/>
          <w:iCs w:val="1"/>
          <w:color w:val="auto"/>
        </w:rPr>
        <w:t>Annex A</w:t>
      </w:r>
      <w:r>
        <w:rPr>
          <w:rFonts w:ascii="Arial" w:cs="Arial" w:eastAsia="Arial" w:hAnsi="Arial"/>
          <w:sz w:val="16"/>
          <w:szCs w:val="16"/>
          <w:color w:val="auto"/>
        </w:rPr>
        <w:t>, I entered into an Amended and Restated Stockholders Agreement with Stephen A. Wynn, the Company's Chairman and CEO, on January 6, 2010. 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Use Your </w:t>
      </w:r>
      <w:r>
        <w:rPr>
          <w:rFonts w:ascii="Arial" w:cs="Arial" w:eastAsia="Arial" w:hAnsi="Arial"/>
          <w:sz w:val="17"/>
          <w:szCs w:val="17"/>
          <w:b w:val="1"/>
          <w:bCs w:val="1"/>
          <w:i w:val="1"/>
          <w:iCs w:val="1"/>
          <w:color w:val="auto"/>
        </w:rPr>
        <w:t>GOLD</w:t>
      </w:r>
      <w:r>
        <w:rPr>
          <w:rFonts w:ascii="Arial" w:cs="Arial" w:eastAsia="Arial" w:hAnsi="Arial"/>
          <w:sz w:val="17"/>
          <w:szCs w:val="17"/>
          <w:i w:val="1"/>
          <w:iCs w:val="1"/>
          <w:color w:val="auto"/>
        </w:rPr>
        <w:t xml:space="preserve"> Card</w:t>
      </w:r>
    </w:p>
    <w:p>
      <w:pPr>
        <w:spacing w:after="0" w:line="222" w:lineRule="exact"/>
        <w:rPr>
          <w:sz w:val="20"/>
          <w:szCs w:val="20"/>
          <w:color w:val="auto"/>
        </w:rPr>
      </w:pPr>
    </w:p>
    <w:p>
      <w:pPr>
        <w:jc w:val="both"/>
        <w:ind w:right="160" w:firstLine="341"/>
        <w:spacing w:after="0" w:line="302" w:lineRule="auto"/>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in accordance with your instructions. You may specify that your shares should be voted FOR me, or you may WITHHOLD authority to vote for me. I am not seeking authority to vote for, and will not vote for, Mr. Hagenbach. If you do not want your shares to be voted for the Company's other nominee either, you may also withhold authority to vote for him by writing his name on the proxy card in the space provided.</w:t>
      </w:r>
    </w:p>
    <w:p>
      <w:pPr>
        <w:spacing w:after="0" w:line="159"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 xml:space="preserve">If you hold your shares of common stock through a brokerage firm or bank, you are considered the beneficial owner of the shares, and these proxy materials are being forwarded to you by your broker or bank. If you have received a </w:t>
      </w:r>
      <w:r>
        <w:rPr>
          <w:rFonts w:ascii="Arial" w:cs="Arial" w:eastAsia="Arial" w:hAnsi="Arial"/>
          <w:sz w:val="16"/>
          <w:szCs w:val="16"/>
          <w:b w:val="1"/>
          <w:bCs w:val="1"/>
          <w:color w:val="auto"/>
        </w:rPr>
        <w:t>GOLD</w:t>
      </w:r>
      <w:r>
        <w:rPr>
          <w:rFonts w:ascii="Arial" w:cs="Arial" w:eastAsia="Arial" w:hAnsi="Arial"/>
          <w:sz w:val="16"/>
          <w:szCs w:val="16"/>
          <w:color w:val="auto"/>
        </w:rPr>
        <w:t xml:space="preserve"> voting instruction form, you can vote in one of the following ways:</w:t>
      </w:r>
    </w:p>
    <w:p>
      <w:pPr>
        <w:spacing w:after="0" w:line="158" w:lineRule="exact"/>
        <w:rPr>
          <w:sz w:val="20"/>
          <w:szCs w:val="20"/>
          <w:color w:val="auto"/>
        </w:rPr>
      </w:pPr>
    </w:p>
    <w:p>
      <w:pPr>
        <w:ind w:left="1060" w:hanging="5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38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jc w:val="both"/>
        <w:ind w:right="260" w:firstLine="335"/>
        <w:spacing w:after="0" w:line="269" w:lineRule="auto"/>
        <w:rPr>
          <w:sz w:val="20"/>
          <w:szCs w:val="20"/>
          <w:color w:val="auto"/>
        </w:rPr>
      </w:pPr>
      <w:r>
        <w:rPr>
          <w:rFonts w:ascii="Arial" w:cs="Arial" w:eastAsia="Arial" w:hAnsi="Arial"/>
          <w:sz w:val="17"/>
          <w:szCs w:val="17"/>
          <w:color w:val="auto"/>
        </w:rPr>
        <w:t xml:space="preserve">A plurality of the votes cast in person or by proxy at the Annual Meeting is required for the election of directors. Shares as to which a stockholder withholds voting authority in the election of directors and broker non-votes will not be counted as votes cast and, therefore, will not affect the outcome of the election.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me and FOR the Company's nominee other than Mr. Hagenbuch.</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ELECTION OF</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ELAINE P. WYNN TO THE BOARD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2: RATIFICATION OF APPOINTMENT OF INDEPENDENT AUDITORS</w:t>
      </w:r>
    </w:p>
    <w:p>
      <w:pPr>
        <w:spacing w:after="0" w:line="234" w:lineRule="exact"/>
        <w:rPr>
          <w:sz w:val="20"/>
          <w:szCs w:val="20"/>
          <w:color w:val="auto"/>
        </w:rPr>
      </w:pPr>
    </w:p>
    <w:p>
      <w:pPr>
        <w:ind w:right="220" w:firstLine="335"/>
        <w:spacing w:after="0" w:line="287" w:lineRule="auto"/>
        <w:rPr>
          <w:sz w:val="20"/>
          <w:szCs w:val="20"/>
          <w:color w:val="auto"/>
        </w:rPr>
      </w:pPr>
      <w:r>
        <w:rPr>
          <w:rFonts w:ascii="Arial" w:cs="Arial" w:eastAsia="Arial" w:hAnsi="Arial"/>
          <w:sz w:val="17"/>
          <w:szCs w:val="17"/>
          <w:color w:val="auto"/>
        </w:rPr>
        <w:t>According to the Company Proxy Statement, the Company will solicit proxies to ratify the appointment of Ernst &amp; Young LLP ("</w:t>
      </w:r>
      <w:r>
        <w:rPr>
          <w:rFonts w:ascii="Arial" w:cs="Arial" w:eastAsia="Arial" w:hAnsi="Arial"/>
          <w:sz w:val="17"/>
          <w:szCs w:val="17"/>
          <w:i w:val="1"/>
          <w:iCs w:val="1"/>
          <w:color w:val="auto"/>
        </w:rPr>
        <w:t>Ernst &amp; Young</w:t>
      </w:r>
      <w:r>
        <w:rPr>
          <w:rFonts w:ascii="Arial" w:cs="Arial" w:eastAsia="Arial" w:hAnsi="Arial"/>
          <w:sz w:val="17"/>
          <w:szCs w:val="17"/>
          <w:color w:val="auto"/>
        </w:rPr>
        <w:t>") to serve as the Company's independent public accountants for the fiscal year ending December 31, 2015.</w:t>
      </w:r>
    </w:p>
    <w:p>
      <w:pPr>
        <w:spacing w:after="0" w:line="162" w:lineRule="exact"/>
        <w:rPr>
          <w:sz w:val="20"/>
          <w:szCs w:val="20"/>
          <w:color w:val="auto"/>
        </w:rPr>
      </w:pPr>
    </w:p>
    <w:p>
      <w:pPr>
        <w:ind w:firstLine="344"/>
        <w:spacing w:after="0" w:line="284" w:lineRule="auto"/>
        <w:rPr>
          <w:sz w:val="20"/>
          <w:szCs w:val="20"/>
          <w:color w:val="auto"/>
        </w:rPr>
      </w:pPr>
      <w:r>
        <w:rPr>
          <w:rFonts w:ascii="Arial" w:cs="Arial" w:eastAsia="Arial" w:hAnsi="Arial"/>
          <w:sz w:val="16"/>
          <w:szCs w:val="16"/>
          <w:color w:val="auto"/>
        </w:rPr>
        <w:t xml:space="preserve">I recommend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 You may vote on the ratification of the appointment of Ernst &amp; Young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 xml:space="preserve">GOLD </w:t>
      </w:r>
      <w:r>
        <w:rPr>
          <w:rFonts w:ascii="Arial" w:cs="Arial" w:eastAsia="Arial" w:hAnsi="Arial"/>
          <w:sz w:val="16"/>
          <w:szCs w:val="16"/>
          <w:color w:val="auto"/>
        </w:rPr>
        <w:t>proxy card. If no instructions are given with respect to this proposal and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is returned,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will be voted</w:t>
      </w:r>
      <w:r>
        <w:rPr>
          <w:rFonts w:ascii="Arial" w:cs="Arial" w:eastAsia="Arial" w:hAnsi="Arial"/>
          <w:sz w:val="16"/>
          <w:szCs w:val="16"/>
          <w:b w:val="1"/>
          <w:bCs w:val="1"/>
          <w:color w:val="auto"/>
        </w:rPr>
        <w:t xml:space="preserve"> FOR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ratification of the appointment of Ernst &amp; Young. According to the Company Proxy Statement, this proposal will be approved if the number of votes cast in favor of the proposal exceeds the number of votes cast in opposition. For purposes of the vote on this proposal, abstentions will not count as votes cast and, therefore, will not affect the outcome of this proposal. Also, I understand that brokers have the authority to vote shares on this proposal even in the absence of specific instructions from their customers, so there should not be any broker non-votes on this proposal.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RATIFICATION OF THE APPOINTMENT OF ERNST &amp; YOUNG.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3: APPROVAL OF ARTICLES AMENDMENT</w:t>
      </w:r>
    </w:p>
    <w:p>
      <w:pPr>
        <w:spacing w:after="0" w:line="234"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According to the Company Proxy Statement, it is expected that at the Annual Meeting stockholders will be asked to approve an amendment (the "</w:t>
      </w:r>
      <w:r>
        <w:rPr>
          <w:rFonts w:ascii="Arial" w:cs="Arial" w:eastAsia="Arial" w:hAnsi="Arial"/>
          <w:sz w:val="17"/>
          <w:szCs w:val="17"/>
          <w:i w:val="1"/>
          <w:iCs w:val="1"/>
          <w:color w:val="auto"/>
        </w:rPr>
        <w:t>Articles</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w:t>
      </w:r>
      <w:r>
        <w:rPr>
          <w:rFonts w:ascii="Arial" w:cs="Arial" w:eastAsia="Arial" w:hAnsi="Arial"/>
          <w:sz w:val="17"/>
          <w:szCs w:val="17"/>
          <w:color w:val="auto"/>
        </w:rPr>
        <w:t>") to the Company's Second Amended and Restated Articles of Incorporation. The Company Proxy Statement includes the following description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Amendment:</w:t>
      </w:r>
    </w:p>
    <w:p>
      <w:pPr>
        <w:spacing w:after="0" w:line="181" w:lineRule="exact"/>
        <w:rPr>
          <w:sz w:val="20"/>
          <w:szCs w:val="20"/>
          <w:color w:val="auto"/>
        </w:rPr>
      </w:pPr>
    </w:p>
    <w:p>
      <w:pPr>
        <w:ind w:right="280" w:firstLine="344"/>
        <w:spacing w:after="0" w:line="269" w:lineRule="auto"/>
        <w:rPr>
          <w:sz w:val="20"/>
          <w:szCs w:val="20"/>
          <w:color w:val="auto"/>
        </w:rPr>
      </w:pPr>
      <w:r>
        <w:rPr>
          <w:rFonts w:ascii="Arial" w:cs="Arial" w:eastAsia="Arial" w:hAnsi="Arial"/>
          <w:sz w:val="17"/>
          <w:szCs w:val="17"/>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83" w:lineRule="exact"/>
        <w:rPr>
          <w:sz w:val="20"/>
          <w:szCs w:val="20"/>
          <w:color w:val="auto"/>
        </w:rPr>
      </w:pPr>
    </w:p>
    <w:p>
      <w:pPr>
        <w:jc w:val="both"/>
        <w:ind w:right="340" w:firstLine="344"/>
        <w:spacing w:after="0" w:line="273" w:lineRule="auto"/>
        <w:rPr>
          <w:sz w:val="20"/>
          <w:szCs w:val="20"/>
          <w:color w:val="auto"/>
        </w:rPr>
      </w:pPr>
      <w:r>
        <w:rPr>
          <w:rFonts w:ascii="Arial" w:cs="Arial" w:eastAsia="Arial" w:hAnsi="Arial"/>
          <w:sz w:val="17"/>
          <w:szCs w:val="17"/>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94" w:lineRule="exact"/>
        <w:rPr>
          <w:sz w:val="20"/>
          <w:szCs w:val="20"/>
          <w:color w:val="auto"/>
        </w:rPr>
      </w:pPr>
    </w:p>
    <w:p>
      <w:pPr>
        <w:ind w:left="1060" w:hanging="5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corporation would not be able to pay its debts as they become due in the usual course of business (the "Solvency Test"); or</w:t>
      </w:r>
    </w:p>
    <w:p>
      <w:pPr>
        <w:spacing w:after="0" w:line="254" w:lineRule="exact"/>
        <w:rPr>
          <w:rFonts w:ascii="Arial" w:cs="Arial" w:eastAsia="Arial" w:hAnsi="Arial"/>
          <w:sz w:val="17"/>
          <w:szCs w:val="17"/>
          <w:color w:val="auto"/>
        </w:rPr>
      </w:pPr>
    </w:p>
    <w:p>
      <w:pPr>
        <w:ind w:left="1060" w:right="140" w:hanging="524"/>
        <w:spacing w:after="0" w:line="326"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45" w:lineRule="exact"/>
        <w:rPr>
          <w:sz w:val="20"/>
          <w:szCs w:val="20"/>
          <w:color w:val="auto"/>
        </w:rPr>
      </w:pPr>
    </w:p>
    <w:p>
      <w:pPr>
        <w:ind w:firstLine="344"/>
        <w:spacing w:after="0" w:line="303" w:lineRule="auto"/>
        <w:rPr>
          <w:sz w:val="20"/>
          <w:szCs w:val="20"/>
          <w:color w:val="auto"/>
        </w:rPr>
      </w:pPr>
      <w:r>
        <w:rPr>
          <w:rFonts w:ascii="Arial" w:cs="Arial" w:eastAsia="Arial" w:hAnsi="Arial"/>
          <w:sz w:val="15"/>
          <w:szCs w:val="15"/>
          <w:color w:val="auto"/>
        </w:rPr>
        <w:t>From time to time over the Company's history, the application of the Balance Sheet Test has imposed what the Company's management has viewed as artificial and, in light of the Company's financial condition, unduly limiting constraints on the Company's ability to declare and pay distributions to its stockholders. Within the last year, and after reviewing the limitations imposed under the Balance Sheet Test in light of the Company's accumulated amortization and depreciation expense, the Company explored and evaluated implementation of the provisions of NRS 78.288(2)(b), which, as noted above, affords a Nevada corporation the flexibility of exempting distributions from the Balance Sheet Test pursuant to a provision in its articles of incorporation. In addition, the Company noted the substantially identically provisions of NRS 86.343(1)(b), which permits Nevada limited liability companies to exempt distributions from the Balance Sheet Test. The Company has over the past year amended the articles of organization of its material Nevada-domiciled subsidiaries as permitted by the statute. The Articles Amendment would make a corresponding change to the Articles, specifically allowing the Company to avail itself of the flexibility permitted under NRS 78.288(2)(b).</w:t>
      </w:r>
    </w:p>
    <w:p>
      <w:pPr>
        <w:spacing w:after="0" w:line="165"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The Articles Amendment, which has been recommended by the Company's management, was unanimously approved by the Board, and the Board has directed, in accordance with the Articles and Nevada law, that the Articles Amendment be considered at the Annual Meeting. If the Articles Amendment is approved by the Company's stockholders, the Board, subject to applicable fiduciary duties and the Solvency Test, will be empowered to approve greater distributions to stockholders than may otherwise be allowed without the Articles Amendment, if and when appropriate in the circumstances. In particular, the Board would be permitted to make distributions in the forms contemplated by NRS 78.191, such as cash dividends and certain share repurchases, that otherwise would be prohibited if the Balance Sheet Test were to apply.</w:t>
      </w:r>
    </w:p>
    <w:p>
      <w:pPr>
        <w:spacing w:after="0" w:line="18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Declaration and payment of any distribution will remain subject to the discretion of our Board. [The Company has] historically paid periodic cash dividends on our Common Stock. However, the timing and amount of future distributions, if any, will be at the discretion of our Board and will be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Articles Amendment would add a new Article VIII to the Company's Articles as follows: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PROVISION REGARDING DISTRIBUTIONS</w:t>
      </w:r>
    </w:p>
    <w:p>
      <w:pPr>
        <w:spacing w:after="0" w:line="223"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Notwithstanding anything to the contrary in these Articles or any bylaw of the Corporation, the Corporation is hereby specifically allowed to make any distribution that otherwise would be prohibited by NRS 78.288(2)(b).'</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 *</w:t>
      </w:r>
    </w:p>
    <w:p>
      <w:pPr>
        <w:spacing w:after="0" w:line="222"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 xml:space="preserve">I agree with the arguments in the Company Proxy Statement regarding this proposal. Accordingly, I recommend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approve the Articles Amendment. Stockholders may vote on the Articles Amendment by marking the proper box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if you hold your shares through a brokerage firm or bank, by using your voting instruction form to instruct them how to vote your shares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Articles Amendment. According to the Company Proxy Statement, the affirmative vote of the holders of at least a majority of the voting power of the issued and outstanding Common Stock is required to approve the Articles Amendment. Abstentions and broker non-votes, as well as shares not in attendance at the Annual Meeting and not voted by proxy, will have the same effect as a vote against the Articles Amendment.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ARTICLES AMENDMENT.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4: STOCKHOLDER PROPOSAL REGARDING A POLITICAL CONTRIBUTIONS REPORT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 to the Company Proxy Statement, it is expected that at the Annual Meeting stockholders will be asked to vote on a stockholder proposal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Stockholder Proposal</w:t>
      </w:r>
      <w:r>
        <w:rPr>
          <w:rFonts w:ascii="Arial" w:cs="Arial" w:eastAsia="Arial" w:hAnsi="Arial"/>
          <w:sz w:val="15"/>
          <w:szCs w:val="15"/>
          <w:color w:val="auto"/>
        </w:rPr>
        <w:t>"). The Company Proxy Statement contains the following description of the Stockholder Proposal, statement by the stockholder making such</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proposal, and statement of the Board in opposition to such proposal: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Proposal</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'Resolved, that the shareholders of [the Company] hereby request that the Company provide a report, updated semiannually, disclosing the Company's:</w:t>
      </w:r>
    </w:p>
    <w:p>
      <w:pPr>
        <w:spacing w:after="0" w:line="240" w:lineRule="exact"/>
        <w:rPr>
          <w:sz w:val="20"/>
          <w:szCs w:val="20"/>
          <w:color w:val="auto"/>
        </w:rPr>
      </w:pPr>
    </w:p>
    <w:p>
      <w:pPr>
        <w:ind w:right="80" w:firstLine="350"/>
        <w:spacing w:after="0" w:line="273" w:lineRule="auto"/>
        <w:tabs>
          <w:tab w:leader="none" w:pos="6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80" w:lineRule="exact"/>
        <w:rPr>
          <w:rFonts w:ascii="Arial" w:cs="Arial" w:eastAsia="Arial" w:hAnsi="Arial"/>
          <w:sz w:val="17"/>
          <w:szCs w:val="17"/>
          <w:color w:val="auto"/>
        </w:rPr>
      </w:pPr>
    </w:p>
    <w:p>
      <w:pPr>
        <w:ind w:left="700" w:hanging="350"/>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Monetary and non-monetary contributions and expenditures (direct and indirect) used in the manner described in section 1 above, including:</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identity of the recipient as well as the amount paid to each;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title(s) of the person(s) in the Company responsible for decision-making.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report shall be presented to the board of directors or relevant board committee and posted on the Company's website."'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Supporting Statement of the New York State Common Retirement Fund in Favor of the Stockholder Proposal</w:t>
      </w:r>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62"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 xml:space="preserve">Disclosure is in the best interest of the company and its shareholders and critical for compliance with federal ethics laws. Moreover, the Supreme Court's </w:t>
      </w:r>
      <w:r>
        <w:rPr>
          <w:rFonts w:ascii="Arial" w:cs="Arial" w:eastAsia="Arial" w:hAnsi="Arial"/>
          <w:sz w:val="17"/>
          <w:szCs w:val="17"/>
          <w:i w:val="1"/>
          <w:iCs w:val="1"/>
          <w:color w:val="auto"/>
        </w:rPr>
        <w:t xml:space="preserve">Citizens United </w:t>
      </w:r>
      <w:r>
        <w:rPr>
          <w:rFonts w:ascii="Arial" w:cs="Arial" w:eastAsia="Arial" w:hAnsi="Arial"/>
          <w:sz w:val="17"/>
          <w:szCs w:val="17"/>
          <w:color w:val="auto"/>
        </w:rPr>
        <w:t>decision recognized the importance of political spending disclosure for shareholders when it said, "[D]isclosure permits citizens and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Wynn Resorts contributed at least $1,800,053 in corporate funds since the 2004 election cycle. (CQ: http://moneyline.cq.com and National Institute on Money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State Politics: http://www.followthemoney.org)</w:t>
      </w:r>
    </w:p>
    <w:p>
      <w:pPr>
        <w:spacing w:after="0" w:line="223"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81"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Company's Board and its shareholders need comprehensive disclosure to be able to fully evaluate the political use of corporate assets. We urge your support for this critical governance reform."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 Statement in Opposition to the Stockholder Proposal</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"After careful consideration, the Board of Directors recommends that stockholders vote AGAINST this proposal for the following reasons:</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 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88"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70"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 In addition, reports regarding the Company's specific political contributions in various jurisdictions are publicly available at each jurisdiction's official website.</w:t>
      </w:r>
    </w:p>
    <w:p>
      <w:pPr>
        <w:spacing w:after="0" w:line="170"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8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86" w:lineRule="auto"/>
        <w:rPr>
          <w:sz w:val="20"/>
          <w:szCs w:val="20"/>
          <w:color w:val="auto"/>
        </w:rPr>
      </w:pPr>
      <w:r>
        <w:rPr>
          <w:rFonts w:ascii="Arial" w:cs="Arial" w:eastAsia="Arial" w:hAnsi="Arial"/>
          <w:sz w:val="16"/>
          <w:szCs w:val="16"/>
          <w:color w:val="auto"/>
        </w:rPr>
        <w:t xml:space="preserve">I agree with the Board's arguments in the Company Proxy Statement regarding this proposal. Accordingly, I recommend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 Stockholders may vote on the Stockholder Proposal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If no instructions are given with respect to this proposal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is returned,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Stockholder Proposal. According to the Company Proxy Statement, this proposal will be approved if the number of votes cast in favor of the proposal exceeds the number of votes cast in opposition. For purposes of the vote on this proposal, broker non-votes and abstentions will not count as votes cast and, therefore, will not affect the outcome of this proposal.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AGAINST</w:t>
      </w:r>
      <w:r>
        <w:rPr>
          <w:rFonts w:ascii="Arial" w:cs="Arial" w:eastAsia="Arial" w:hAnsi="Arial"/>
          <w:sz w:val="17"/>
          <w:szCs w:val="17"/>
          <w:b w:val="1"/>
          <w:bCs w:val="1"/>
          <w:color w:val="auto"/>
        </w:rPr>
        <w:t xml:space="preserve"> THE STOCKHOLDER PROPOSAL REGARDING POLITICAL CONTRIBUTIONS.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VOTING PROCEDURES</w:t>
      </w:r>
    </w:p>
    <w:p>
      <w:pPr>
        <w:spacing w:after="0" w:line="234" w:lineRule="exact"/>
        <w:rPr>
          <w:sz w:val="20"/>
          <w:szCs w:val="20"/>
          <w:color w:val="auto"/>
        </w:rPr>
      </w:pPr>
    </w:p>
    <w:p>
      <w:pPr>
        <w:ind w:right="60" w:firstLine="335"/>
        <w:spacing w:after="0" w:line="269" w:lineRule="auto"/>
        <w:rPr>
          <w:sz w:val="20"/>
          <w:szCs w:val="20"/>
          <w:color w:val="auto"/>
        </w:rPr>
      </w:pPr>
      <w:r>
        <w:rPr>
          <w:rFonts w:ascii="Arial" w:cs="Arial" w:eastAsia="Arial" w:hAnsi="Arial"/>
          <w:sz w:val="17"/>
          <w:szCs w:val="17"/>
          <w:color w:val="auto"/>
        </w:rPr>
        <w:t>According to the Company Proxy Statement, only holders of record of shares of Common Stock as of the close of business on the Record Date are entitled to notice of, and to vote at, the Annual Meeting and at any adjournments or postponements thereof. According to the Company Proxy Statement, as of the Record Date of March 5, 2015, there were 101,524,590 shares of Common Stock outstanding, and each stockholder is entitled to one vote for each share of Common Stock held as of the Record Date on all matters presented at the Annual Meeting.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As explained in the detailed instructions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there are four ways you may vote your shares of Common Stock:</w:t>
      </w:r>
    </w:p>
    <w:p>
      <w:pPr>
        <w:spacing w:after="0" w:line="242" w:lineRule="exact"/>
        <w:rPr>
          <w:sz w:val="20"/>
          <w:szCs w:val="20"/>
          <w:color w:val="auto"/>
        </w:rPr>
      </w:pPr>
    </w:p>
    <w:p>
      <w:pPr>
        <w:ind w:left="1060" w:right="20" w:hanging="524"/>
        <w:spacing w:after="0" w:line="294"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I recommend that you vote using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even if you plan to attend the Annual Meeting in person;</w:t>
      </w:r>
    </w:p>
    <w:p>
      <w:pPr>
        <w:spacing w:after="0" w:line="183" w:lineRule="exact"/>
        <w:rPr>
          <w:rFonts w:ascii="Arial" w:cs="Arial" w:eastAsia="Arial" w:hAnsi="Arial"/>
          <w:sz w:val="17"/>
          <w:szCs w:val="17"/>
          <w:color w:val="auto"/>
        </w:rPr>
      </w:pPr>
    </w:p>
    <w:p>
      <w:pPr>
        <w:ind w:left="1060" w:hanging="5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Vote via the Internet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Vote by telephone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w:t>
      </w:r>
    </w:p>
    <w:p>
      <w:pPr>
        <w:spacing w:after="0" w:line="247"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Vote in person by attending the Annual Meeting. Note, however, if you hold your shares of Common Stock through a brokerage firm or bank, you must obtain a legal proxy from such custodian in order to vote in person at the Annual Meeting.</w:t>
      </w:r>
    </w:p>
    <w:p>
      <w:pPr>
        <w:spacing w:after="0" w:line="16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If you are the beneficial owner of shares held through a brokerage firm or bank on the Record Date, you are considered the beneficial owner of the shares, and these proxy materials are being forwarded to you by your broker or bank. If you have received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you can vote in one of the following ways:</w:t>
      </w:r>
    </w:p>
    <w:p>
      <w:pPr>
        <w:spacing w:after="0" w:line="207" w:lineRule="exact"/>
        <w:rPr>
          <w:sz w:val="20"/>
          <w:szCs w:val="20"/>
          <w:color w:val="auto"/>
        </w:rPr>
      </w:pPr>
    </w:p>
    <w:p>
      <w:pPr>
        <w:ind w:left="1060" w:hanging="5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40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 xml:space="preserve">If you give me your proxy, your shares will be voted in the manner you indicate. You may specify whether your shares should be voted FOR my election, or whether you WITHHOLD authority for your shares to be voted for my election. You may also indicate that you wish to WITHHOLD authority for your shares to be voted for the Company's nominee other than Mr. Hagenbuch. You may also specify whether your shares should be voted FOR or AGAINST each of the other proposals. If you sign, date and return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without indicating your instructions, your shares will be voted as follows:</w:t>
      </w:r>
    </w:p>
    <w:p>
      <w:pPr>
        <w:spacing w:after="0" w:line="197" w:lineRule="exact"/>
        <w:rPr>
          <w:sz w:val="20"/>
          <w:szCs w:val="20"/>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election to the Board of Elaine P. Wynn and the Company's nominee other than Mr. Hagenbuch;</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as independent public accountants for the fiscal year ending December 31, 2015;</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Articles Amendment;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AGAINST the Stockholder Proposal regarding political contributions.</w:t>
      </w:r>
    </w:p>
    <w:p>
      <w:pPr>
        <w:spacing w:after="0" w:line="228" w:lineRule="exact"/>
        <w:rPr>
          <w:sz w:val="20"/>
          <w:szCs w:val="20"/>
          <w:color w:val="auto"/>
        </w:rPr>
      </w:pPr>
    </w:p>
    <w:p>
      <w:pPr>
        <w:ind w:right="200" w:firstLine="341"/>
        <w:spacing w:after="0" w:line="287" w:lineRule="auto"/>
        <w:rPr>
          <w:sz w:val="20"/>
          <w:szCs w:val="20"/>
          <w:color w:val="auto"/>
        </w:rPr>
      </w:pPr>
      <w:r>
        <w:rPr>
          <w:rFonts w:ascii="Arial" w:cs="Arial" w:eastAsia="Arial" w:hAnsi="Arial"/>
          <w:sz w:val="17"/>
          <w:szCs w:val="17"/>
          <w:color w:val="auto"/>
        </w:rPr>
        <w:t>With respect to matters other than those set forth above that may properly come before the Annual Meeting, or at any postponement or adjournment thereof, I will vote the shares I have been authorized to represent in accordance with my discretion.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Broker Non-Votes and Required Votes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6"/>
          <w:szCs w:val="16"/>
          <w:color w:val="auto"/>
        </w:rPr>
        <w:t>If you hold your shares of Common Stock through a bank, broker or other nominee (commonly referred to as holding your shares in "street name") and do not provide voting instructions to the record holder of the shares, your shares of Common Stock will not be voted on any proposal on which your bank, broker or other nominee does not have discretionary authority, under applicable rules, to vote. Accordingly, if your shares of Common Stock are held in street name, your bank, broker or other nominee has enclosed a voting instruction card with this proxy statement. I strongly encourage you to vote your shares of Common Stock in favor of my election to the Board by following the instructions provided on the voting instruction card.</w:t>
      </w:r>
    </w:p>
    <w:p>
      <w:pPr>
        <w:spacing w:after="0" w:line="171" w:lineRule="exact"/>
        <w:rPr>
          <w:sz w:val="20"/>
          <w:szCs w:val="20"/>
          <w:color w:val="auto"/>
        </w:rPr>
      </w:pPr>
    </w:p>
    <w:p>
      <w:pPr>
        <w:jc w:val="both"/>
        <w:ind w:right="120" w:firstLine="335"/>
        <w:spacing w:after="0" w:line="296" w:lineRule="auto"/>
        <w:rPr>
          <w:sz w:val="20"/>
          <w:szCs w:val="20"/>
          <w:color w:val="auto"/>
        </w:rPr>
      </w:pPr>
      <w:r>
        <w:rPr>
          <w:rFonts w:ascii="Arial" w:cs="Arial" w:eastAsia="Arial" w:hAnsi="Arial"/>
          <w:sz w:val="15"/>
          <w:szCs w:val="15"/>
          <w:color w:val="auto"/>
        </w:rPr>
        <w:t>According to the Company Proxy Statement, a plurality of the votes cast in person or by proxy at the Annual Meeting is required for the election of directors (Proposal 1). Shares as to which a stockholder withholds voting authority in the election of directors and broker non-votes, which are described above, will not be counted as votes cast and, therefore, will not affect the outcome of the election. The Company Proxy Statement indicates that the ratification of the appointment of Ernst &amp; Young (Proposal 2) and approval of the Stockholder Proposal (Proposal 4) each require that the number of votes cast in favor of such proposal exceeds the number of votes cast in opposition. For purposes of the votes on these proposals, broker non-votes (to the extent applicable) and abstentions will not count as votes cast and, therefore, will not affect the outcome of these proposals. As stated in the Company Proxy Statement, approval of the Articles Amendment (Proposal</w:t>
      </w:r>
    </w:p>
    <w:p>
      <w:pPr>
        <w:spacing w:after="0" w:line="1" w:lineRule="exact"/>
        <w:rPr>
          <w:sz w:val="20"/>
          <w:szCs w:val="20"/>
          <w:color w:val="auto"/>
        </w:rPr>
      </w:pPr>
    </w:p>
    <w:p>
      <w:pPr>
        <w:jc w:val="both"/>
        <w:ind w:right="160" w:firstLine="6"/>
        <w:spacing w:after="0" w:line="270" w:lineRule="auto"/>
        <w:tabs>
          <w:tab w:leader="none" w:pos="1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requires the affirmative vote of the holders of at least a majority of the voting power of the issued and outstanding Common Stock of the Company. Abstentions and broker non-votes, as well as shares not in attendance at the Annual Meeting and not voted by proxy, will have the same effect as a vote against the proposal to adopt the Articles Amendment.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Revocation of Proxies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may revoke or change your proxy instructions at any time prior to the vote at the Annual Meeting by:</w:t>
      </w:r>
    </w:p>
    <w:p>
      <w:pPr>
        <w:spacing w:after="0" w:line="236" w:lineRule="exact"/>
        <w:rPr>
          <w:sz w:val="20"/>
          <w:szCs w:val="20"/>
          <w:color w:val="auto"/>
        </w:rPr>
      </w:pPr>
    </w:p>
    <w:p>
      <w:pPr>
        <w:ind w:left="1060" w:right="80" w:hanging="524"/>
        <w:spacing w:after="0" w:line="294"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submitting a properly executed, subsequently 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will revoke all prior proxy cards, including any WHITE proxy cards that you may have submitted to the Company;</w:t>
      </w:r>
    </w:p>
    <w:p>
      <w:pPr>
        <w:spacing w:after="0" w:line="189" w:lineRule="exact"/>
        <w:rPr>
          <w:rFonts w:ascii="Arial" w:cs="Arial" w:eastAsia="Arial" w:hAnsi="Arial"/>
          <w:sz w:val="17"/>
          <w:szCs w:val="17"/>
          <w:color w:val="auto"/>
        </w:rPr>
      </w:pPr>
    </w:p>
    <w:p>
      <w:pPr>
        <w:ind w:left="1060" w:hanging="5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providing instructions by telephone or via the Internet as to how you would like your shares of Common Stock voted;</w:t>
      </w:r>
    </w:p>
    <w:p>
      <w:pPr>
        <w:spacing w:after="0" w:line="241"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attending the Annual Meeting and withdrawing your proxy by voting in person (although attendance at the Annual Meeting will not in and of itself constitute revocation of a proxy); or</w:t>
      </w:r>
    </w:p>
    <w:p>
      <w:pPr>
        <w:spacing w:after="0" w:line="181" w:lineRule="exact"/>
        <w:rPr>
          <w:rFonts w:ascii="Arial" w:cs="Arial" w:eastAsia="Arial" w:hAnsi="Arial"/>
          <w:sz w:val="17"/>
          <w:szCs w:val="17"/>
          <w:color w:val="auto"/>
        </w:rPr>
      </w:pPr>
    </w:p>
    <w:p>
      <w:pPr>
        <w:ind w:left="1060" w:right="340" w:hanging="524"/>
        <w:spacing w:after="0" w:line="287"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delivering written notice of revocation either to Elaine P. Wynn c/o Okapi Partners LLC, 437 Madison Avenue 28th Floor, New York, New York 10022, or the Corporate Secretary of the Company at 3131 Las Vegas Boulevard South, Las Vegas, Nevada 89109.</w:t>
      </w:r>
    </w:p>
    <w:p>
      <w:pPr>
        <w:spacing w:after="0" w:line="168" w:lineRule="exact"/>
        <w:rPr>
          <w:sz w:val="20"/>
          <w:szCs w:val="20"/>
          <w:color w:val="auto"/>
        </w:rPr>
      </w:pPr>
    </w:p>
    <w:p>
      <w:pPr>
        <w:jc w:val="both"/>
        <w:ind w:firstLine="335"/>
        <w:spacing w:after="0" w:line="273" w:lineRule="auto"/>
        <w:rPr>
          <w:sz w:val="20"/>
          <w:szCs w:val="20"/>
          <w:color w:val="auto"/>
        </w:rPr>
      </w:pPr>
      <w:r>
        <w:rPr>
          <w:rFonts w:ascii="Arial" w:cs="Arial" w:eastAsia="Arial" w:hAnsi="Arial"/>
          <w:sz w:val="17"/>
          <w:szCs w:val="17"/>
          <w:color w:val="auto"/>
        </w:rPr>
        <w:t>Although a revocation is effective if delivered to the Company, I request that either the original or a copy of any revocation be faxed to me at (212) 297-1710 or mailed to Elaine P. Wynn c/o Okapi Partners LLC, 437 Madison Avenue 28th Floor, New York, New York 10022, so that I will be aware of all revocations. You may also call Okapi Partners at (877) 629-6355 and they will assist you with sending a copy of the revocation.</w:t>
      </w:r>
    </w:p>
    <w:p>
      <w:pPr>
        <w:spacing w:after="0" w:line="181" w:lineRule="exact"/>
        <w:rPr>
          <w:sz w:val="20"/>
          <w:szCs w:val="20"/>
          <w:color w:val="auto"/>
        </w:rPr>
      </w:pPr>
    </w:p>
    <w:p>
      <w:pPr>
        <w:jc w:val="both"/>
        <w:ind w:right="100" w:firstLine="344"/>
        <w:spacing w:after="0" w:line="298" w:lineRule="auto"/>
        <w:rPr>
          <w:sz w:val="20"/>
          <w:szCs w:val="20"/>
          <w:color w:val="auto"/>
        </w:rPr>
      </w:pPr>
      <w:r>
        <w:rPr>
          <w:rFonts w:ascii="Arial" w:cs="Arial" w:eastAsia="Arial" w:hAnsi="Arial"/>
          <w:sz w:val="16"/>
          <w:szCs w:val="16"/>
          <w:color w:val="auto"/>
        </w:rPr>
        <w:t xml:space="preserve">IF YOU PREVIOUSLY SIGNED AND RETURNED A WHITE PROXY CARD TO THE COMPANY, I URGE YOU TO REVOKE IT BY (1) MARKING, SIGNING, DATING AND RETURNING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(2) PROVIDING INSTRUCTIONS BY TELEPHONE OR VIA THE INTERNET AS TO HOW YOU WOULD LIKE YOUR SHARES OF COMMON STOCK VOTED IN ACCORDANCE WITH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(3) ATTENDING THE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AND VOTING IN PERSON OR (4) DELIVERING A WRITTEN NOTICE OF REVOCATION TO ME.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Other Matters to be Considered at the Annual Meeting</w:t>
      </w:r>
    </w:p>
    <w:p>
      <w:pPr>
        <w:spacing w:after="0" w:line="228" w:lineRule="exact"/>
        <w:rPr>
          <w:sz w:val="20"/>
          <w:szCs w:val="20"/>
          <w:color w:val="auto"/>
        </w:rPr>
      </w:pPr>
    </w:p>
    <w:p>
      <w:pPr>
        <w:ind w:right="100" w:firstLine="344"/>
        <w:spacing w:after="0" w:line="266" w:lineRule="auto"/>
        <w:rPr>
          <w:sz w:val="20"/>
          <w:szCs w:val="20"/>
          <w:color w:val="auto"/>
        </w:rPr>
      </w:pPr>
      <w:r>
        <w:rPr>
          <w:rFonts w:ascii="Arial" w:cs="Arial" w:eastAsia="Arial" w:hAnsi="Arial"/>
          <w:sz w:val="17"/>
          <w:szCs w:val="17"/>
          <w:color w:val="auto"/>
        </w:rPr>
        <w:t xml:space="preserve">Except as set forth above, I am not aware of any other matters to be brought before the Annual Meeting. Should other matters properly be brought before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discretionary authority to vote on all such other matters and on all matters incident to the conduct of the Annual Meeting. In furtherance of the foregoing, should the Board, management or any other stockholder bring before the Annual Meeting any proposal to adjourn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the discretionary authority to vote on such adjournment proposal.</w:t>
      </w:r>
    </w:p>
    <w:p>
      <w:pPr>
        <w:spacing w:after="0" w:line="188"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Execution and delivery of a proxy by a record holder of shares of Common Stock will be presumed to be a proxy with respect to all shares held by such record holder unless the proxy specifies otherwise.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40" w:firstLine="344"/>
        <w:spacing w:after="0" w:line="307" w:lineRule="auto"/>
        <w:rPr>
          <w:sz w:val="20"/>
          <w:szCs w:val="20"/>
          <w:color w:val="auto"/>
        </w:rPr>
      </w:pPr>
      <w:r>
        <w:rPr>
          <w:rFonts w:ascii="Arial" w:cs="Arial" w:eastAsia="Arial" w:hAnsi="Arial"/>
          <w:sz w:val="15"/>
          <w:szCs w:val="15"/>
          <w:color w:val="auto"/>
        </w:rPr>
        <w:t>I have entered into an agreement with Okapi Partners LLC to help conduct my proxy solicitation, for which Okapi Partners will receive a retainer not to exceed $300,000 applicable toward the final fee to be mutually agreed upon by me and Okapi Partners, together with reimbursement for its reasonable out-of-pocket expenses, and will be indemnified against certain liabilities and expenses. Proxies may be solicited from individuals, banks, brokers, custodians, nominees, other institutional holders and other fiduciaries in person and by mail, phone, publication and electronic means. I will request such individuals and institutions to forward all solicitation materials to the beneficial owners of the shares of Common Stock they hold of record. I will reimburse these record holders for their reasonable out-of-pocket expenses in so doing. It is anticipated that Okapi Partners will employ up to 35 persons to solicit the Company's stockholders for the Annual Meeting.</w:t>
      </w:r>
    </w:p>
    <w:p>
      <w:pPr>
        <w:spacing w:after="0" w:line="159" w:lineRule="exact"/>
        <w:rPr>
          <w:sz w:val="20"/>
          <w:szCs w:val="20"/>
          <w:color w:val="auto"/>
        </w:rPr>
      </w:pPr>
    </w:p>
    <w:p>
      <w:pPr>
        <w:jc w:val="both"/>
        <w:ind w:right="180" w:firstLine="341"/>
        <w:spacing w:after="0" w:line="273" w:lineRule="auto"/>
        <w:rPr>
          <w:sz w:val="20"/>
          <w:szCs w:val="20"/>
          <w:color w:val="auto"/>
        </w:rPr>
      </w:pPr>
      <w:r>
        <w:rPr>
          <w:rFonts w:ascii="Arial" w:cs="Arial" w:eastAsia="Arial" w:hAnsi="Arial"/>
          <w:sz w:val="17"/>
          <w:szCs w:val="17"/>
          <w:color w:val="auto"/>
        </w:rPr>
        <w:t>Total costs related to this solicitation of proxies are expected to be approximately $2,000,000, of which approximately $210,000 has been expended to date. I will pay the costs of this solicitation of proxies, including the cost of preparing, assembling and mailing this proxy material to stockholders. I do not intend to seek reimbursement of these costs from the Company.</w:t>
      </w: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ADDITIONAL INFORMATION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Please refer to the Company Proxy Statement for the following information:</w:t>
      </w:r>
    </w:p>
    <w:p>
      <w:pPr>
        <w:spacing w:after="0" w:line="242" w:lineRule="exact"/>
        <w:rPr>
          <w:sz w:val="20"/>
          <w:szCs w:val="20"/>
          <w:color w:val="auto"/>
        </w:rPr>
      </w:pPr>
    </w:p>
    <w:p>
      <w:pPr>
        <w:ind w:left="1060" w:hanging="524"/>
        <w:spacing w:after="0" w:line="287"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by which proposals of stockholders intended to be presented at the 2016 annual meeting of stockholders must be received by the Company in order to be included in the Company's proxy materials for that meeting;</w:t>
      </w:r>
    </w:p>
    <w:p>
      <w:pPr>
        <w:spacing w:after="0" w:line="19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by which the submission of nominees of stockholders intended to be nominated as directors at the 2016 annual meeting of stockholders must be received by the Company in order to be included in the Company's proxy materials for that meeting;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information regarding the securities of the Company held by the Company's directors, nominees, executive officers and beneficial holders of more than five percent of the Common Stock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 and</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information concerning the Company's compensation policies and compensation paid or payable to the Company's executive officers and directors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I take no responsibility for the accuracy or completeness of any information or statements contained in the Company Proxy Statement, including any such information or statements appearing herein.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A</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ADDITIONAL INFORMATION ABOUT MS. WYNN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Certain Payments and Interests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I am currently a director of the Company, and I have served as a director since 2002. In fiscal 2014, I received $72,000 from the Company for my service on the Board and for my attendance at Board meetings. I did not receive any stock options or any other equity compensation.</w:t>
      </w:r>
    </w:p>
    <w:p>
      <w:pPr>
        <w:spacing w:after="0" w:line="168"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I believe that, if elected, I will be entitled to receive the cash compensation currently paid by the Company to its non-executive directors, all subject to required approvals and applicable law, and I will forego any stock options or other equity compensation, as I have in the past. I expect that, if elected, I will be indemnified for service as a director of the Company and covered by director and officer liability insurance to the same extent that indemnification and insurance coverage is provided to the current directors of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Agreement with Respect to Securities of the Company</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 January 6, 2010, I entered into an amended and restated stockholders agreement (the "</w:t>
      </w:r>
      <w:r>
        <w:rPr>
          <w:rFonts w:ascii="Arial" w:cs="Arial" w:eastAsia="Arial" w:hAnsi="Arial"/>
          <w:sz w:val="17"/>
          <w:szCs w:val="17"/>
          <w:i w:val="1"/>
          <w:iCs w:val="1"/>
          <w:color w:val="auto"/>
        </w:rPr>
        <w:t>Amended and Restated Stockholders Agreement</w:t>
      </w:r>
      <w:r>
        <w:rPr>
          <w:rFonts w:ascii="Arial" w:cs="Arial" w:eastAsia="Arial" w:hAnsi="Arial"/>
          <w:sz w:val="17"/>
          <w:szCs w:val="17"/>
          <w:color w:val="auto"/>
        </w:rPr>
        <w:t>") with Stephen A. Wynn, the Chairman of the Board and CEO of the Company, and Aruze USA, Inc. ("</w:t>
      </w:r>
      <w:r>
        <w:rPr>
          <w:rFonts w:ascii="Arial" w:cs="Arial" w:eastAsia="Arial" w:hAnsi="Arial"/>
          <w:sz w:val="17"/>
          <w:szCs w:val="17"/>
          <w:i w:val="1"/>
          <w:iCs w:val="1"/>
          <w:color w:val="auto"/>
        </w:rPr>
        <w:t>Aruze</w:t>
      </w:r>
      <w:r>
        <w:rPr>
          <w:rFonts w:ascii="Arial" w:cs="Arial" w:eastAsia="Arial" w:hAnsi="Arial"/>
          <w:sz w:val="17"/>
          <w:szCs w:val="17"/>
          <w:color w:val="auto"/>
        </w:rPr>
        <w:t>"). On February 18, 2012, the Company redeemed all of the shares previously owned by Aruze (the "</w:t>
      </w:r>
      <w:r>
        <w:rPr>
          <w:rFonts w:ascii="Arial" w:cs="Arial" w:eastAsia="Arial" w:hAnsi="Arial"/>
          <w:sz w:val="17"/>
          <w:szCs w:val="17"/>
          <w:i w:val="1"/>
          <w:iCs w:val="1"/>
          <w:color w:val="auto"/>
        </w:rPr>
        <w:t>Aruze Share Redemption</w:t>
      </w:r>
      <w:r>
        <w:rPr>
          <w:rFonts w:ascii="Arial" w:cs="Arial" w:eastAsia="Arial" w:hAnsi="Arial"/>
          <w:sz w:val="17"/>
          <w:szCs w:val="17"/>
          <w:color w:val="auto"/>
        </w:rPr>
        <w:t>"), and Aruze is no longer a stockholder of the Company.</w:t>
      </w:r>
    </w:p>
    <w:p>
      <w:pPr>
        <w:spacing w:after="0" w:line="181" w:lineRule="exact"/>
        <w:rPr>
          <w:sz w:val="20"/>
          <w:szCs w:val="20"/>
          <w:color w:val="auto"/>
        </w:rPr>
      </w:pPr>
    </w:p>
    <w:p>
      <w:pPr>
        <w:ind w:right="20" w:firstLine="335"/>
        <w:spacing w:after="0" w:line="269" w:lineRule="auto"/>
        <w:rPr>
          <w:sz w:val="20"/>
          <w:szCs w:val="20"/>
          <w:color w:val="auto"/>
        </w:rPr>
      </w:pPr>
      <w:r>
        <w:rPr>
          <w:rFonts w:ascii="Arial" w:cs="Arial" w:eastAsia="Arial" w:hAnsi="Arial"/>
          <w:sz w:val="17"/>
          <w:szCs w:val="17"/>
          <w:color w:val="auto"/>
        </w:rPr>
        <w:t>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Related Person Transactions</w:t>
      </w:r>
    </w:p>
    <w:p>
      <w:pPr>
        <w:spacing w:after="0" w:line="228" w:lineRule="exact"/>
        <w:rPr>
          <w:sz w:val="20"/>
          <w:szCs w:val="20"/>
          <w:color w:val="auto"/>
        </w:rPr>
      </w:pPr>
    </w:p>
    <w:p>
      <w:pPr>
        <w:ind w:right="120" w:firstLine="341"/>
        <w:spacing w:after="0" w:line="326" w:lineRule="auto"/>
        <w:rPr>
          <w:sz w:val="20"/>
          <w:szCs w:val="20"/>
          <w:color w:val="auto"/>
        </w:rPr>
      </w:pPr>
      <w:r>
        <w:rPr>
          <w:rFonts w:ascii="Arial" w:cs="Arial" w:eastAsia="Arial" w:hAnsi="Arial"/>
          <w:sz w:val="15"/>
          <w:szCs w:val="15"/>
          <w:color w:val="auto"/>
        </w:rPr>
        <w:t>The Company periodically provides services to certain of its executive officers and directors, including me. The services provided include the personal use of employees, construction work and other personal services. Like other officers and directors who receive such services, I have a deposit with the Company to prepay any such items, and the deposit is replenished on an ongoing basis as needed. At December 31, 2014, I had a net deposit balance with the Company of $178,190.</w:t>
      </w:r>
    </w:p>
    <w:p>
      <w:pPr>
        <w:spacing w:after="0" w:line="145"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My brother, Michael Pascal, who has worked in the gaming industry for 37 years, was employed by the Company as a Senior Executive Host of Wynn Las Vegas, until the Company terminated his employment on February 27, 2015, the same day it filed the Company Proxy Statement. As of the date hereof, the Company still employed Michael Pascal's wife, Mary Ann Pascal, as Vice President—Player Development at Wynn Las Vegas. The Audit Committee of the Company approved each of these employment arrangements in advance and determined that compensation was at (or below) levels paid to non-family members. Total compensation paid to Michael Pascal for 2014 included base salary and bonus of $142,500 and other compensation of $2,269. Total compensation paid to Mary Ann Pascal for 2014 included base salary and bonus of $200,000, and other compensation of $774. The annual base salary for Michael Pascal for 2015 was $132,500, and the annual base salary for Mary Ann Pascal for 2015 is $200,000.</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8" w:lineRule="exact"/>
        <w:rPr>
          <w:sz w:val="20"/>
          <w:szCs w:val="20"/>
          <w:color w:val="auto"/>
        </w:rPr>
      </w:pPr>
    </w:p>
    <w:p>
      <w:pPr>
        <w:ind w:right="40" w:firstLine="344"/>
        <w:spacing w:after="0" w:line="281" w:lineRule="auto"/>
        <w:rPr>
          <w:sz w:val="20"/>
          <w:szCs w:val="20"/>
          <w:color w:val="auto"/>
        </w:rPr>
      </w:pPr>
      <w:r>
        <w:rPr>
          <w:rFonts w:ascii="Arial" w:cs="Arial" w:eastAsia="Arial" w:hAnsi="Arial"/>
          <w:sz w:val="16"/>
          <w:szCs w:val="16"/>
          <w:color w:val="auto"/>
        </w:rPr>
        <w:t>On February 19, 2012, the day after the Aruze Share Redemption, the Company filed a complaint alleging breaches of fiduciary duty and related claims in the Eighth Judicial District Court, Clark County, Nevada against Aruze, Universal Entertainment Corporation (Aruze's parent company, hereinafter "Universal") and Kazuo Okada (the majority stockholder of Universal Entertainment Corporation and a former member of the Board). Aruze and Universal then asserted counterclaims against the Company and current and former members of the Board, including myself. Aruze made the Amended and Restated Stockholders Agreement an issue in the litigation by claiming, among other things, that the agreement barred the Aruze Share Redemption. On June 19, 2012, I asserted a cross claim in this action against Mr. Wynn, and a counterclaim against Aruze, seeking a declaration that (1) any and all of my duties under the Amended and Restated Stockholders Agreement shall be discharged; (2) the Amended and Restated Stockholders Agreement is subject to rescission and is rescinded; (3) certain restrictions in the Amended and Restated Stockholders Agreement constitute an unreasonable restraint on alienation in violation of public policy; and/or (4) the restrictions on sale of shares shall be construed as inapplicable to sales by me of shares, subject to certain conditions. I am also seeking injunctive relief as the court deems necessary and appropriate to enforce the declaration.</w:t>
      </w:r>
    </w:p>
    <w:p>
      <w:pPr>
        <w:spacing w:after="0" w:line="177"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The relief I seek is based on three claims. The first claim is that the Aruze Share Redemption has frustrated the purpose of the Amended and Restated Stockholders Agreement. That agreement was based on the prior Stockholders Agreement that Mr. Wynn and Aruze executed in 2002 and amended in 2006. My principal purpose in entering into the Amended and Restated Stockholders Agreement in 2010 was to support and avoid undermining the existing alliance and agreement between Mr. Wynn and Mr. Okada. Now that Mr. Okada's company Aruze is no longer a shareholder of the Company, I believe that purpose has been frustrated. The second claim is that certain restrictions in the Amended and Restatement Stockholders Agreement, such as the provisions requiring written consent of each party to the agreement before any of them can transfer Company stock, and requiring transferees to be bound by the agreement, are unreasonable restraints intended to maintain the controlling positions of Mr. Wynn and Mr. Okada's company, and should be deemed unenforceable or construed to permit transfers with lesser restrictions. The third claim is that if Aruze successfully obtains a discharge of its obligations under the Amended and Restatement Stockholders Agreement, which is one of the things that Aruze is seeking based on its allegation that Mr. Wynn failed to endorse Aruze's candidates to the Board, then I believe my duties under that agreement should be discharged also.</w:t>
      </w:r>
    </w:p>
    <w:p>
      <w:pPr>
        <w:spacing w:after="0" w:line="177" w:lineRule="exact"/>
        <w:rPr>
          <w:sz w:val="20"/>
          <w:szCs w:val="20"/>
          <w:color w:val="auto"/>
        </w:rPr>
      </w:pPr>
    </w:p>
    <w:p>
      <w:pPr>
        <w:ind w:firstLine="344"/>
        <w:spacing w:after="0" w:line="300" w:lineRule="auto"/>
        <w:rPr>
          <w:sz w:val="20"/>
          <w:szCs w:val="20"/>
          <w:color w:val="auto"/>
        </w:rPr>
      </w:pPr>
      <w:r>
        <w:rPr>
          <w:rFonts w:ascii="Arial" w:cs="Arial" w:eastAsia="Arial" w:hAnsi="Arial"/>
          <w:sz w:val="15"/>
          <w:szCs w:val="15"/>
          <w:color w:val="auto"/>
        </w:rPr>
        <w:t xml:space="preserve">If, at the conclusion of the litigation, I prevail completely on the first claim (frustration of purpose) or the third claim (discharge by Aruze), then all of my obligations under the Amended and Restated Stockholders Agreement would be discharged. As a result, the restrictions on my ability to transfer or gift my Company stock would be removed. If I prevail only on the second claim (unreasonable restraint in violation of public policy), then the written consent requirement would not apply to my stock, but other restrictions in the Amended and Restated Stockholders Agreement, including a right of first refusal in favor of Mr. Wynn, may continue to apply. As I have stated, although I am seeking to gain control of the shares I own, I remain devoted to the company and its future success. I intend to remain a significant stockholder indefinitely. Be assured that my interests as a stockholder are aligned with yours. In my view, there is no actual or potential conflict of interest other than a possible technical violation of the indenture covenants if my cross-claim against Mr. Wynn is successful. A violation of the indenture covenants will only occur if two things happen: there is a change of control of the Company </w:t>
      </w:r>
      <w:r>
        <w:rPr>
          <w:rFonts w:ascii="Arial" w:cs="Arial" w:eastAsia="Arial" w:hAnsi="Arial"/>
          <w:sz w:val="15"/>
          <w:szCs w:val="15"/>
          <w:i w:val="1"/>
          <w:iCs w:val="1"/>
          <w:color w:val="auto"/>
        </w:rPr>
        <w:t>and</w:t>
      </w:r>
      <w:r>
        <w:rPr>
          <w:rFonts w:ascii="Arial" w:cs="Arial" w:eastAsia="Arial" w:hAnsi="Arial"/>
          <w:sz w:val="15"/>
          <w:szCs w:val="15"/>
          <w:color w:val="auto"/>
        </w:rPr>
        <w:t>, within 60 days thereafter, certain of the Company's outstanding notes are rated below investment grade by both rating agencies that rate such notes. Even if I win my cross-claim and the Company's notes are downgraded by both rating agencies, such a violation could be prevented by my agreeing to let Mr. Wynn vote fewer shares than he now does, but still a sufficient number to ensure that our combined share total is larger than that of the next-largest stockholder. While such an agreement cannot be certain, as the second and third largest stockholders of the company, respectively, Mr. Wynn and I have every incentive to arrive at an agreement and avoid triggering a covenant violation.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BENEFICIAL OWNERSHIP IN, AND TRANSACTIONS IN SECURITIES OF,</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COMPANY DURING THE PAST TWO YEARS</w:t>
      </w:r>
    </w:p>
    <w:p>
      <w:pPr>
        <w:spacing w:after="0" w:line="223"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As of March , 2015, I beneficially own 9,539,077 shares of Common Stock, representing approximately 9.4% of the Company's outstanding shares. This number does not include additional shares that I may be deemed to beneficially own by virtue of the Amended and Restated Stockholders Agreement. My business address is c/o Wynn Resorts, Limited, 3131 Las Vegas Boulevard South, Las Vegas, Nevada 89109.</w:t>
      </w:r>
    </w:p>
    <w:p>
      <w:pPr>
        <w:spacing w:after="0" w:line="181"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 have not purchased or sold any shares of Common Stock within the past two years, but I have made two gifts of shares to philanthropic entities, as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95"/>
              </w:rPr>
              <w:t>Number of</w:t>
            </w:r>
          </w:p>
        </w:tc>
      </w:tr>
      <w:tr>
        <w:trPr>
          <w:trHeight w:val="158"/>
        </w:trPr>
        <w:tc>
          <w:tcPr>
            <w:tcW w:w="17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Transaction</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26, 2015</w:t>
            </w:r>
          </w:p>
        </w:tc>
        <w:tc>
          <w:tcPr>
            <w:tcW w:w="36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69,257</w:t>
            </w:r>
          </w:p>
        </w:tc>
        <w:tc>
          <w:tcPr>
            <w:tcW w:w="1720" w:type="dxa"/>
            <w:vAlign w:val="bottom"/>
          </w:tcPr>
          <w:p>
            <w:pPr>
              <w:spacing w:after="0"/>
              <w:rPr>
                <w:sz w:val="17"/>
                <w:szCs w:val="17"/>
                <w:color w:val="auto"/>
              </w:rPr>
            </w:pPr>
          </w:p>
        </w:tc>
      </w:tr>
      <w:tr>
        <w:trPr>
          <w:trHeight w:val="217"/>
        </w:trPr>
        <w:tc>
          <w:tcPr>
            <w:tcW w:w="17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February 3, 2014</w:t>
            </w:r>
          </w:p>
        </w:tc>
        <w:tc>
          <w:tcPr>
            <w:tcW w:w="36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51,021</w:t>
            </w:r>
          </w:p>
        </w:tc>
        <w:tc>
          <w:tcPr>
            <w:tcW w:w="1720" w:type="dxa"/>
            <w:vAlign w:val="bottom"/>
          </w:tcPr>
          <w:p>
            <w:pPr>
              <w:spacing w:after="0"/>
              <w:rPr>
                <w:sz w:val="18"/>
                <w:szCs w:val="18"/>
                <w:color w:val="auto"/>
              </w:rPr>
            </w:pPr>
          </w:p>
        </w:tc>
      </w:tr>
      <w:tr>
        <w:trPr>
          <w:trHeight w:val="415"/>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80" w:type="dxa"/>
            <w:vAlign w:val="bottom"/>
            <w:gridSpan w:val="2"/>
          </w:tcPr>
          <w:p>
            <w:pPr>
              <w:ind w:left="1340"/>
              <w:spacing w:after="0"/>
              <w:rPr>
                <w:sz w:val="20"/>
                <w:szCs w:val="20"/>
                <w:color w:val="auto"/>
              </w:rPr>
            </w:pPr>
            <w:r>
              <w:rPr>
                <w:rFonts w:ascii="Arial" w:cs="Arial" w:eastAsia="Arial" w:hAnsi="Arial"/>
                <w:sz w:val="17"/>
                <w:szCs w:val="17"/>
                <w:color w:val="auto"/>
              </w:rPr>
              <w:t>B-1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PRELIMINARY PROXY SUBJECT TO COMPLETION – DATED MARCH 17, 2015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Elaine P. Wynn c/o Okapi Partners LLC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437 Madison Avenue 28</w:t>
      </w:r>
      <w:r>
        <w:rPr>
          <w:rFonts w:ascii="Arial" w:cs="Arial" w:eastAsia="Arial" w:hAnsi="Arial"/>
          <w:sz w:val="11"/>
          <w:szCs w:val="11"/>
          <w:b w:val="1"/>
          <w:bCs w:val="1"/>
          <w:i w:val="1"/>
          <w:iCs w:val="1"/>
          <w:color w:val="auto"/>
        </w:rPr>
        <w:t>th</w:t>
      </w:r>
      <w:r>
        <w:rPr>
          <w:rFonts w:ascii="Arial" w:cs="Arial" w:eastAsia="Arial" w:hAnsi="Arial"/>
          <w:sz w:val="18"/>
          <w:szCs w:val="18"/>
          <w:b w:val="1"/>
          <w:bCs w:val="1"/>
          <w:i w:val="1"/>
          <w:iCs w:val="1"/>
          <w:color w:val="auto"/>
        </w:rPr>
        <w:t xml:space="preserve">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NY 10022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color w:val="auto"/>
        </w:rPr>
        <w:t>www.okapivote.com/wynn</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Use the Internet to transmit your voting instructions up until 11:59 p.m, Eastern time, on April 23, 2015. Have your proxy card in hand when you access the web site and follow the instructions to obtain your records and to create an electronic voting instruction form.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PHONE – </w:t>
      </w:r>
      <w:r>
        <w:rPr>
          <w:rFonts w:ascii="Arial" w:cs="Arial" w:eastAsia="Arial" w:hAnsi="Arial"/>
          <w:sz w:val="18"/>
          <w:szCs w:val="18"/>
          <w:color w:val="auto"/>
        </w:rPr>
        <w:t>866-287-6084</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Use any touch-tone telephone to transmit your voting instructions up until 11:59 p.m, Eastern time, on April 23, 2015. Have your proxy card in hand when you call and then follow the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Mark, sign and date your proxy card and return it in the postage-paid envelope that has been provided or return it to Elaine P. Wynn c/o Okapi Partners LLC, 437 Madison Avenue 28</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32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569595</wp:posOffset>
            </wp:positionV>
            <wp:extent cx="724916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800"/>
        <w:spacing w:after="0"/>
        <w:rPr>
          <w:sz w:val="20"/>
          <w:szCs w:val="20"/>
          <w:color w:val="auto"/>
        </w:rPr>
      </w:pPr>
      <w:r>
        <w:rPr>
          <w:rFonts w:ascii="Arial" w:cs="Arial" w:eastAsia="Arial" w:hAnsi="Arial"/>
          <w:sz w:val="15"/>
          <w:szCs w:val="15"/>
          <w:color w:val="auto"/>
        </w:rPr>
        <w:t>DETACH AND RETURN THIS PORTION ONLY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2918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2650" cy="291846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GOLD PROXY CARD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strongly recommends that you vote FOR her election to the Board in Proposal 1:</w:t>
      </w:r>
    </w:p>
    <w:p>
      <w:pPr>
        <w:spacing w:after="0" w:line="217" w:lineRule="exact"/>
        <w:rPr>
          <w:sz w:val="20"/>
          <w:szCs w:val="20"/>
          <w:color w:val="auto"/>
        </w:rPr>
      </w:pPr>
    </w:p>
    <w:p>
      <w:pPr>
        <w:ind w:left="120"/>
        <w:spacing w:after="0"/>
        <w:tabs>
          <w:tab w:leader="none" w:pos="420" w:val="left"/>
          <w:tab w:leader="none" w:pos="9340" w:val="left"/>
          <w:tab w:leader="none" w:pos="10320" w:val="left"/>
        </w:tabs>
        <w:rPr>
          <w:sz w:val="20"/>
          <w:szCs w:val="20"/>
          <w:color w:val="auto"/>
        </w:rPr>
      </w:pPr>
      <w:r>
        <w:rPr>
          <w:rFonts w:ascii="Arial" w:cs="Arial" w:eastAsia="Arial" w:hAnsi="Arial"/>
          <w:sz w:val="18"/>
          <w:szCs w:val="18"/>
          <w:color w:val="auto"/>
        </w:rPr>
        <w:t>1.</w:t>
        <w:tab/>
        <w:t>To elect Elaine P. Wynn to the Board of Directors of the Company.</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5"/>
          <w:szCs w:val="15"/>
          <w:b w:val="1"/>
          <w:bCs w:val="1"/>
          <w:color w:val="auto"/>
        </w:rPr>
        <w:t>Withhold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Nominee: (01) Elaine P. Wynn</w:t>
      </w:r>
    </w:p>
    <w:p>
      <w:pPr>
        <w:spacing w:after="0" w:line="16" w:lineRule="exact"/>
        <w:rPr>
          <w:sz w:val="20"/>
          <w:szCs w:val="20"/>
          <w:color w:val="auto"/>
        </w:rPr>
      </w:pPr>
    </w:p>
    <w:p>
      <w:pPr>
        <w:ind w:left="9440"/>
        <w:spacing w:after="0"/>
        <w:tabs>
          <w:tab w:leader="none" w:pos="106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p>
    <w:p>
      <w:pPr>
        <w:spacing w:after="0" w:line="205" w:lineRule="exact"/>
        <w:rPr>
          <w:sz w:val="20"/>
          <w:szCs w:val="20"/>
          <w:color w:val="auto"/>
        </w:rPr>
      </w:pPr>
    </w:p>
    <w:p>
      <w:pPr>
        <w:jc w:val="both"/>
        <w:ind w:left="120" w:right="180"/>
        <w:spacing w:after="0" w:line="252" w:lineRule="auto"/>
        <w:rPr>
          <w:sz w:val="20"/>
          <w:szCs w:val="20"/>
          <w:color w:val="auto"/>
        </w:rPr>
      </w:pPr>
      <w:r>
        <w:rPr>
          <w:rFonts w:ascii="Arial" w:cs="Arial" w:eastAsia="Arial" w:hAnsi="Arial"/>
          <w:sz w:val="18"/>
          <w:szCs w:val="18"/>
          <w:color w:val="auto"/>
        </w:rPr>
        <w:t>Two directors will be elected at the Annual Meeting. Ms. Wynn intends to use this proxy to vote FOR her election as a director and FOR the election of the candidate who has been nominated by the Company other than John J. Hagenbuch. The names, backgrounds and qualifications of the Company’s nominees, and certain other information about them, can be found in the Company’s proxy statement. There is no assurance that either of the Company’s nominees will serve as a director if Ms. Wynn is elected.</w:t>
      </w:r>
    </w:p>
    <w:p>
      <w:pPr>
        <w:spacing w:after="0" w:line="190" w:lineRule="exact"/>
        <w:rPr>
          <w:sz w:val="20"/>
          <w:szCs w:val="20"/>
          <w:color w:val="auto"/>
        </w:rPr>
      </w:pPr>
    </w:p>
    <w:p>
      <w:pPr>
        <w:jc w:val="both"/>
        <w:ind w:left="120" w:right="200"/>
        <w:spacing w:after="0" w:line="264" w:lineRule="auto"/>
        <w:rPr>
          <w:sz w:val="20"/>
          <w:szCs w:val="20"/>
          <w:color w:val="auto"/>
        </w:rPr>
      </w:pPr>
      <w:r>
        <w:rPr>
          <w:rFonts w:ascii="Arial" w:cs="Arial" w:eastAsia="Arial" w:hAnsi="Arial"/>
          <w:sz w:val="18"/>
          <w:szCs w:val="18"/>
          <w:color w:val="auto"/>
        </w:rPr>
        <w:t>Note: Ms. Wynn is not seeking authority to vote for, and will not vote for, Mr. Hagenbuch. If you do not wish for your shares to be voted for the Company’s other nominee, you may withhold authority to vote for him by writing his name on the line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639445</wp:posOffset>
            </wp:positionV>
            <wp:extent cx="727011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PROXY SUBJECT TO COMPLETION – DATED MARCH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2534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2650" cy="25349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tabs>
          <w:tab w:leader="none" w:pos="9000" w:val="left"/>
          <w:tab w:leader="none" w:pos="9780" w:val="left"/>
          <w:tab w:leader="none" w:pos="10740" w:val="left"/>
        </w:tabs>
        <w:rPr>
          <w:sz w:val="20"/>
          <w:szCs w:val="20"/>
          <w:color w:val="auto"/>
        </w:rPr>
      </w:pPr>
      <w:r>
        <w:rPr>
          <w:rFonts w:ascii="Arial" w:cs="Arial" w:eastAsia="Arial" w:hAnsi="Arial"/>
          <w:sz w:val="18"/>
          <w:szCs w:val="18"/>
          <w:b w:val="1"/>
          <w:bCs w:val="1"/>
          <w:color w:val="auto"/>
        </w:rPr>
        <w:t>Elaine P. Wynn recommends that you vote FOR Proposals 2 and 3:</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5"/>
          <w:szCs w:val="15"/>
          <w:b w:val="1"/>
          <w:bCs w:val="1"/>
          <w:color w:val="auto"/>
        </w:rPr>
        <w:t>Abstain</w:t>
      </w:r>
    </w:p>
    <w:p>
      <w:pPr>
        <w:spacing w:after="0" w:line="223" w:lineRule="exact"/>
        <w:rPr>
          <w:sz w:val="20"/>
          <w:szCs w:val="20"/>
          <w:color w:val="auto"/>
        </w:rPr>
      </w:pPr>
    </w:p>
    <w:p>
      <w:pPr>
        <w:ind w:left="440" w:hanging="319"/>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w:t>
      </w:r>
    </w:p>
    <w:p>
      <w:pPr>
        <w:spacing w:after="0" w:line="16" w:lineRule="exact"/>
        <w:rPr>
          <w:sz w:val="20"/>
          <w:szCs w:val="20"/>
          <w:color w:val="auto"/>
        </w:rPr>
      </w:pPr>
    </w:p>
    <w:p>
      <w:pPr>
        <w:ind w:left="440"/>
        <w:spacing w:after="0"/>
        <w:tabs>
          <w:tab w:leader="none" w:pos="9080" w:val="left"/>
          <w:tab w:leader="none" w:pos="10040" w:val="left"/>
          <w:tab w:leader="none" w:pos="1100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5" w:lineRule="exact"/>
        <w:rPr>
          <w:sz w:val="20"/>
          <w:szCs w:val="20"/>
          <w:color w:val="auto"/>
        </w:rPr>
      </w:pPr>
    </w:p>
    <w:p>
      <w:pPr>
        <w:ind w:left="440" w:right="2720" w:hanging="319"/>
        <w:spacing w:after="0" w:line="252"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approve the Articles Amendment to provide the Company with additional flexibility in making distributions to its stockholders.</w:t>
      </w:r>
    </w:p>
    <w:p>
      <w:pPr>
        <w:spacing w:after="0" w:line="1" w:lineRule="exact"/>
        <w:rPr>
          <w:sz w:val="20"/>
          <w:szCs w:val="20"/>
          <w:color w:val="auto"/>
        </w:rPr>
      </w:pPr>
    </w:p>
    <w:p>
      <w:pPr>
        <w:ind w:left="9100"/>
        <w:spacing w:after="0"/>
        <w:tabs>
          <w:tab w:leader="none" w:pos="10040" w:val="left"/>
          <w:tab w:leader="none" w:pos="110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recommends that you vote AGAINST Proposal 4:</w:t>
      </w:r>
    </w:p>
    <w:p>
      <w:pPr>
        <w:spacing w:after="0" w:line="223" w:lineRule="exact"/>
        <w:rPr>
          <w:sz w:val="20"/>
          <w:szCs w:val="20"/>
          <w:color w:val="auto"/>
        </w:rPr>
      </w:pPr>
    </w:p>
    <w:p>
      <w:pPr>
        <w:ind w:left="440" w:right="3120" w:hanging="319"/>
        <w:spacing w:after="0" w:line="252"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vote on a stockholder proposal regarding a political contributions report, if properly presented at the Annual Meeting.</w:t>
      </w:r>
    </w:p>
    <w:p>
      <w:pPr>
        <w:spacing w:after="0" w:line="1" w:lineRule="exact"/>
        <w:rPr>
          <w:sz w:val="20"/>
          <w:szCs w:val="20"/>
          <w:color w:val="auto"/>
        </w:rPr>
      </w:pPr>
    </w:p>
    <w:p>
      <w:pPr>
        <w:ind w:left="9100"/>
        <w:spacing w:after="0"/>
        <w:tabs>
          <w:tab w:leader="none" w:pos="10040" w:val="left"/>
          <w:tab w:leader="none" w:pos="110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transact such other business as may properly come before the reconvened Annual Meeting or any other</w:t>
      </w:r>
    </w:p>
    <w:p>
      <w:pPr>
        <w:sectPr>
          <w:pgSz w:w="11900" w:h="16838" w:orient="portrait"/>
          <w:cols w:equalWidth="0" w:num="1">
            <w:col w:w="11420"/>
          </w:cols>
          <w:pgMar w:left="240" w:top="333" w:right="239" w:bottom="0" w:gutter="0" w:footer="0" w:header="0"/>
        </w:sectPr>
      </w:pPr>
    </w:p>
    <w:bookmarkStart w:id="24" w:name="page25"/>
    <w:bookmarkEnd w:id="24"/>
    <w:p>
      <w:pPr>
        <w:ind w:left="120"/>
        <w:spacing w:after="0"/>
        <w:rPr>
          <w:sz w:val="20"/>
          <w:szCs w:val="20"/>
          <w:color w:val="auto"/>
        </w:rPr>
      </w:pPr>
      <w:r>
        <w:rPr>
          <w:rFonts w:ascii="Arial" w:cs="Arial" w:eastAsia="Arial" w:hAnsi="Arial"/>
          <w:sz w:val="18"/>
          <w:szCs w:val="18"/>
          <w:color w:val="auto"/>
        </w:rPr>
        <w:t>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32650" cy="131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2650" cy="1311910"/>
                    </a:xfrm>
                    <a:prstGeom prst="rect">
                      <a:avLst/>
                    </a:prstGeom>
                    <a:noFill/>
                  </pic:spPr>
                </pic:pic>
              </a:graphicData>
            </a:graphic>
          </wp:anchor>
        </w:drawing>
      </w:r>
    </w:p>
    <w:p>
      <w:pPr>
        <w:spacing w:after="0" w:line="19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person.</w:t>
      </w:r>
    </w:p>
    <w:p>
      <w:pPr>
        <w:spacing w:after="0" w:line="200" w:lineRule="exact"/>
        <w:rPr>
          <w:sz w:val="20"/>
          <w:szCs w:val="20"/>
          <w:color w:val="auto"/>
        </w:rPr>
      </w:pPr>
    </w:p>
    <w:p>
      <w:pPr>
        <w:spacing w:after="0" w:line="344" w:lineRule="exact"/>
        <w:rPr>
          <w:sz w:val="20"/>
          <w:szCs w:val="20"/>
          <w:color w:val="auto"/>
        </w:rPr>
      </w:pPr>
    </w:p>
    <w:p>
      <w:pPr>
        <w:ind w:left="120"/>
        <w:spacing w:after="0"/>
        <w:tabs>
          <w:tab w:leader="none" w:pos="4520" w:val="left"/>
          <w:tab w:leader="none" w:pos="5820" w:val="left"/>
          <w:tab w:leader="none" w:pos="1028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306705</wp:posOffset>
            </wp:positionV>
            <wp:extent cx="724916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951865</wp:posOffset>
            </wp:positionV>
            <wp:extent cx="7270115"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PROXY SUBJECT TO COMPLETION – DATED MARCH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3069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2650" cy="3069590"/>
                    </a:xfrm>
                    <a:prstGeom prst="rect">
                      <a:avLst/>
                    </a:prstGeom>
                    <a:noFill/>
                  </pic:spPr>
                </pic:pic>
              </a:graphicData>
            </a:graphic>
          </wp:anchor>
        </w:drawing>
      </w: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WYNN RESORTS, LIMITED</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Annual Meeting of Stockholders</w:t>
      </w:r>
    </w:p>
    <w:p>
      <w:pPr>
        <w:spacing w:after="0" w:line="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April 24, 2015 at 9:00 a.m local time</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gold proxy is solicited by Elaine P. Wynn</w:t>
      </w: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Board of Directors of Wynn Resorts, Limited is not soliciting this proxy</w:t>
      </w:r>
    </w:p>
    <w:p>
      <w:pPr>
        <w:spacing w:after="0" w:line="223" w:lineRule="exact"/>
        <w:rPr>
          <w:sz w:val="20"/>
          <w:szCs w:val="20"/>
          <w:color w:val="auto"/>
        </w:rPr>
      </w:pPr>
    </w:p>
    <w:p>
      <w:pPr>
        <w:ind w:left="120"/>
        <w:spacing w:after="0" w:line="308" w:lineRule="auto"/>
        <w:rPr>
          <w:sz w:val="20"/>
          <w:szCs w:val="20"/>
          <w:color w:val="auto"/>
        </w:rPr>
      </w:pPr>
      <w:r>
        <w:rPr>
          <w:rFonts w:ascii="Arial" w:cs="Arial" w:eastAsia="Arial" w:hAnsi="Arial"/>
          <w:sz w:val="15"/>
          <w:szCs w:val="15"/>
          <w:color w:val="auto"/>
        </w:rPr>
        <w:t>The undersigned hereby constitutes and appoints Elaine P. Wynn and Bruce H. Goldfarb, and each of them, with full power to act without the other, as attorney, agent and proxy, with full power of substitution, to represent and vote all of the shares of common stock of Wynn Resorts, Limited (the “Company”) which the undersigned is entitled to vote at the annual meeting of stockholders (the “Annual Meeting”) of the Company in such manner as the persons named as proxies herein may determine on any matters which may properly come before the Annual Meeting or any adjournments thereof and to vote on the matters set forth on the reverse side as directed by the undersigned. The Annual Meeting is scheduled to be held on Friday, April 24, 2015, at 9:00 a.m. local time, at the Encore Theater at Wynn Las Vegas, 3131 Las Vegas Boulevard South, Las Vegas, Nevada. The undersigned hereby revokes any proxies previously given.</w:t>
      </w:r>
    </w:p>
    <w:p>
      <w:pPr>
        <w:spacing w:after="0" w:line="15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THIS PROXY WILL BE VOTED AS DIRECTED OR, IF NO DIRECTION IS GIVEN, WILL BE VOTED “FOR” THE ELECTION OF ELAINE P. WYNN AND “FOR” THE ELECTION OF THE NOMINEE OF THE COMPANY OTHER THAN JOHN J. HAGENBUCH, “FOR” PROPOSALS 2 AND 3, AND “AGAINST” PROPOSAL 4. EACH PERSON NAMED AS A PROXY HEREIN IS AUTHORIZED TO VOTE IN HIS OR HER DISCRETION UPON SUCH OTHER BUSINESS AS MAY PROPERLY COME BEFORE THE ANNUAL MEETING OR ANY ADJOURNMENTS THEREOF.</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370205</wp:posOffset>
            </wp:positionV>
            <wp:extent cx="7270115"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sectPr>
      <w:pgSz w:w="11900" w:h="16838" w:orient="portrait"/>
      <w:cols w:equalWidth="0" w:num="1">
        <w:col w:w="11260"/>
      </w:cols>
      <w:pgMar w:left="240" w:top="1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o"/>
      <w:numFmt w:val="bullet"/>
      <w:start w:val="1"/>
    </w:lvl>
    <w:lvl w:ilvl="1">
      <w:lvlJc w:val="left"/>
      <w:lvlText w:val="(%2)"/>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2"/>
    </w:lvl>
  </w:abstractNum>
  <w:abstractNum w:abstractNumId="18">
    <w:nsid w:val="257130A3"/>
    <w:multiLevelType w:val="hybridMultilevel"/>
    <w:lvl w:ilvl="0">
      <w:lvlJc w:val="left"/>
      <w:lvlText w:val="%1."/>
      <w:numFmt w:val="decimal"/>
      <w:start w:val="3"/>
    </w:lvl>
  </w:abstractNum>
  <w:abstractNum w:abstractNumId="19">
    <w:nsid w:val="62BBD9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2019-12-08T01:18:05Z</dcterms:created>
  <dcterms:modified xsi:type="dcterms:W3CDTF">2019-12-08T01:18:05Z</dcterms:modified>
</cp:coreProperties>
</file>