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4"/>
          <w:szCs w:val="24"/>
          <w:color w:val="auto"/>
        </w:rPr>
      </w:pPr>
    </w:p>
    <w:p>
      <w:pPr>
        <w:spacing w:after="0" w:line="33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1583055</wp:posOffset>
            </wp:positionH>
            <wp:positionV relativeFrom="paragraph">
              <wp:posOffset>47625</wp:posOffset>
            </wp:positionV>
            <wp:extent cx="40989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098925" cy="8890"/>
                    </a:xfrm>
                    <a:prstGeom prst="rect">
                      <a:avLst/>
                    </a:prstGeom>
                    <a:noFill/>
                  </pic:spPr>
                </pic:pic>
              </a:graphicData>
            </a:graphic>
          </wp:anchor>
        </w:drawing>
      </w:r>
    </w:p>
    <w:p>
      <w:pPr>
        <w:spacing w:after="0" w:line="14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64" w:lineRule="exact"/>
        <w:rPr>
          <w:sz w:val="24"/>
          <w:szCs w:val="24"/>
          <w:color w:val="auto"/>
        </w:rPr>
      </w:pPr>
    </w:p>
    <w:p>
      <w:pPr>
        <w:ind w:left="720" w:hanging="694"/>
        <w:spacing w:after="0"/>
        <w:tabs>
          <w:tab w:leader="none" w:pos="72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77" w:lineRule="exact"/>
        <w:rPr>
          <w:sz w:val="24"/>
          <w:szCs w:val="24"/>
          <w:color w:val="auto"/>
        </w:rPr>
      </w:pPr>
    </w:p>
    <w:p>
      <w:pPr>
        <w:ind w:left="720"/>
        <w:spacing w:after="0"/>
        <w:rPr>
          <w:sz w:val="20"/>
          <w:szCs w:val="20"/>
          <w:color w:val="auto"/>
        </w:rPr>
      </w:pPr>
      <w:r>
        <w:rPr>
          <w:rFonts w:ascii="Arial" w:cs="Arial" w:eastAsia="Arial" w:hAnsi="Arial"/>
          <w:sz w:val="18"/>
          <w:szCs w:val="18"/>
          <w:b w:val="1"/>
          <w:bCs w:val="1"/>
          <w:color w:val="auto"/>
        </w:rPr>
        <w:t>For the fiscal year ended December 31, 2019</w:t>
      </w:r>
    </w:p>
    <w:p>
      <w:pPr>
        <w:spacing w:after="0" w:line="11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OR</w:t>
      </w:r>
    </w:p>
    <w:p>
      <w:pPr>
        <w:spacing w:after="0" w:line="44" w:lineRule="exact"/>
        <w:rPr>
          <w:sz w:val="24"/>
          <w:szCs w:val="24"/>
          <w:color w:val="auto"/>
        </w:rPr>
      </w:pPr>
    </w:p>
    <w:p>
      <w:pPr>
        <w:ind w:left="720" w:right="180" w:hanging="694"/>
        <w:spacing w:after="0" w:line="254"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ind w:left="720"/>
        <w:spacing w:after="0"/>
        <w:tabs>
          <w:tab w:leader="none" w:pos="3500" w:val="left"/>
        </w:tabs>
        <w:rPr>
          <w:sz w:val="20"/>
          <w:szCs w:val="20"/>
          <w:color w:val="auto"/>
        </w:rPr>
      </w:pPr>
      <w:r>
        <w:rPr>
          <w:rFonts w:ascii="Arial" w:cs="Arial" w:eastAsia="Arial" w:hAnsi="Arial"/>
          <w:sz w:val="18"/>
          <w:szCs w:val="18"/>
          <w:b w:val="1"/>
          <w:bCs w:val="1"/>
          <w:color w:val="auto"/>
        </w:rPr>
        <w:t>For the transition period</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1663065</wp:posOffset>
            </wp:positionH>
            <wp:positionV relativeFrom="paragraph">
              <wp:posOffset>-7620</wp:posOffset>
            </wp:positionV>
            <wp:extent cx="12668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66825" cy="8890"/>
                    </a:xfrm>
                    <a:prstGeom prst="rect">
                      <a:avLst/>
                    </a:prstGeom>
                    <a:noFill/>
                  </pic:spPr>
                </pic:pic>
              </a:graphicData>
            </a:graphic>
          </wp:anchor>
        </w:drawing>
      </w:r>
    </w:p>
    <w:p>
      <w:pPr>
        <w:spacing w:after="0" w:line="9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000-50028</w:t>
      </w:r>
    </w:p>
    <w:p>
      <w:pPr>
        <w:spacing w:after="0" w:line="5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WYNN RESORTS, LIMITED</w:t>
      </w:r>
    </w:p>
    <w:p>
      <w:pPr>
        <w:sectPr>
          <w:pgSz w:w="11900" w:h="16838" w:orient="portrait"/>
          <w:cols w:equalWidth="0" w:num="1">
            <w:col w:w="11400"/>
          </w:cols>
          <w:pgMar w:left="240" w:top="229" w:right="259" w:bottom="977" w:gutter="0" w:footer="0" w:header="0"/>
        </w:sectPr>
      </w:pPr>
    </w:p>
    <w:p>
      <w:pPr>
        <w:spacing w:after="0" w:line="5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0" w:lineRule="exact"/>
        <w:rPr>
          <w:sz w:val="24"/>
          <w:szCs w:val="24"/>
          <w:color w:val="auto"/>
        </w:rPr>
      </w:pPr>
    </w:p>
    <w:p>
      <w:pPr>
        <w:jc w:val="center"/>
        <w:ind w:right="204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evada</w:t>
      </w:r>
    </w:p>
    <w:p>
      <w:pPr>
        <w:spacing w:after="0" w:line="35" w:lineRule="exact"/>
        <w:rPr>
          <w:sz w:val="24"/>
          <w:szCs w:val="24"/>
          <w:color w:val="auto"/>
        </w:rPr>
      </w:pPr>
    </w:p>
    <w:p>
      <w:pPr>
        <w:ind w:left="1940"/>
        <w:spacing w:after="0"/>
        <w:rPr>
          <w:sz w:val="20"/>
          <w:szCs w:val="20"/>
          <w:color w:val="auto"/>
        </w:rPr>
      </w:pPr>
      <w:r>
        <w:rPr>
          <w:rFonts w:ascii="Arial" w:cs="Arial" w:eastAsia="Arial" w:hAnsi="Arial"/>
          <w:sz w:val="14"/>
          <w:szCs w:val="14"/>
          <w:b w:val="1"/>
          <w:bCs w:val="1"/>
          <w:color w:val="auto"/>
        </w:rPr>
        <w:t>(State or other jurisdiction of</w:t>
      </w:r>
    </w:p>
    <w:p>
      <w:pPr>
        <w:ind w:left="1900"/>
        <w:spacing w:after="0"/>
        <w:rPr>
          <w:sz w:val="20"/>
          <w:szCs w:val="20"/>
          <w:color w:val="auto"/>
        </w:rPr>
      </w:pPr>
      <w:r>
        <w:rPr>
          <w:rFonts w:ascii="Arial" w:cs="Arial" w:eastAsia="Arial" w:hAnsi="Arial"/>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80" w:lineRule="exact"/>
        <w:rPr>
          <w:sz w:val="24"/>
          <w:szCs w:val="24"/>
          <w:color w:val="auto"/>
        </w:rPr>
      </w:pPr>
    </w:p>
    <w:p>
      <w:pPr>
        <w:jc w:val="center"/>
        <w:ind w:right="2140"/>
        <w:spacing w:after="0"/>
        <w:rPr>
          <w:sz w:val="20"/>
          <w:szCs w:val="20"/>
          <w:color w:val="auto"/>
        </w:rPr>
      </w:pPr>
      <w:r>
        <w:rPr>
          <w:rFonts w:ascii="Arial" w:cs="Arial" w:eastAsia="Arial" w:hAnsi="Arial"/>
          <w:sz w:val="18"/>
          <w:szCs w:val="18"/>
          <w:b w:val="1"/>
          <w:bCs w:val="1"/>
          <w:color w:val="auto"/>
        </w:rPr>
        <w:t>46-0484987</w:t>
      </w:r>
    </w:p>
    <w:p>
      <w:pPr>
        <w:spacing w:after="0" w:line="59" w:lineRule="exact"/>
        <w:rPr>
          <w:sz w:val="24"/>
          <w:szCs w:val="24"/>
          <w:color w:val="auto"/>
        </w:rPr>
      </w:pPr>
    </w:p>
    <w:p>
      <w:pPr>
        <w:ind w:left="6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122" w:lineRule="exact"/>
        <w:rPr>
          <w:sz w:val="24"/>
          <w:szCs w:val="24"/>
          <w:color w:val="auto"/>
        </w:rPr>
      </w:pPr>
    </w:p>
    <w:p>
      <w:pPr>
        <w:sectPr>
          <w:pgSz w:w="11900" w:h="16838" w:orient="portrait"/>
          <w:cols w:equalWidth="0" w:num="2">
            <w:col w:w="7700" w:space="420"/>
            <w:col w:w="3280"/>
          </w:cols>
          <w:pgMar w:left="240" w:top="229" w:right="259" w:bottom="977"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3131 Las Vegas Boulevard South - Las Vegas, Nevada 89109</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59" w:lineRule="exact"/>
        <w:rPr>
          <w:sz w:val="24"/>
          <w:szCs w:val="24"/>
          <w:color w:val="auto"/>
        </w:rPr>
      </w:pPr>
    </w:p>
    <w:tbl>
      <w:tblPr>
        <w:tblLayout w:type="fixed"/>
        <w:tblInd w:w="80" w:type="dxa"/>
        <w:tblCellMar>
          <w:top w:w="0" w:type="dxa"/>
          <w:left w:w="0" w:type="dxa"/>
          <w:bottom w:w="0" w:type="dxa"/>
          <w:right w:w="0" w:type="dxa"/>
        </w:tblCellMar>
      </w:tblPr>
      <w:tr>
        <w:trPr>
          <w:trHeight w:val="192"/>
        </w:trPr>
        <w:tc>
          <w:tcPr>
            <w:tcW w:w="3360" w:type="dxa"/>
            <w:vAlign w:val="bottom"/>
            <w:tcBorders>
              <w:bottom w:val="single" w:sz="8" w:color="auto"/>
            </w:tcBorders>
          </w:tcPr>
          <w:p>
            <w:pPr>
              <w:jc w:val="center"/>
              <w:ind w:left="654"/>
              <w:spacing w:after="0"/>
              <w:rPr>
                <w:sz w:val="20"/>
                <w:szCs w:val="20"/>
                <w:color w:val="auto"/>
              </w:rPr>
            </w:pPr>
            <w:r>
              <w:rPr>
                <w:rFonts w:ascii="Arial" w:cs="Arial" w:eastAsia="Arial" w:hAnsi="Arial"/>
                <w:sz w:val="14"/>
                <w:szCs w:val="14"/>
                <w:b w:val="1"/>
                <w:bCs w:val="1"/>
                <w:color w:val="auto"/>
                <w:w w:val="91"/>
              </w:rPr>
              <w:t>Title of Each Class</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Trading Symbol</w:t>
            </w:r>
          </w:p>
        </w:tc>
        <w:tc>
          <w:tcPr>
            <w:tcW w:w="100" w:type="dxa"/>
            <w:vAlign w:val="bottom"/>
          </w:tcPr>
          <w:p>
            <w:pPr>
              <w:spacing w:after="0"/>
              <w:rPr>
                <w:sz w:val="16"/>
                <w:szCs w:val="16"/>
                <w:color w:val="auto"/>
              </w:rPr>
            </w:pPr>
          </w:p>
        </w:tc>
        <w:tc>
          <w:tcPr>
            <w:tcW w:w="41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243"/>
        </w:trPr>
        <w:tc>
          <w:tcPr>
            <w:tcW w:w="3360" w:type="dxa"/>
            <w:vAlign w:val="bottom"/>
          </w:tcPr>
          <w:p>
            <w:pPr>
              <w:jc w:val="center"/>
              <w:ind w:left="654"/>
              <w:spacing w:after="0"/>
              <w:rPr>
                <w:sz w:val="20"/>
                <w:szCs w:val="20"/>
                <w:color w:val="auto"/>
              </w:rPr>
            </w:pPr>
            <w:r>
              <w:rPr>
                <w:rFonts w:ascii="Arial" w:cs="Arial" w:eastAsia="Arial" w:hAnsi="Arial"/>
                <w:sz w:val="18"/>
                <w:szCs w:val="18"/>
                <w:b w:val="1"/>
                <w:bCs w:val="1"/>
                <w:color w:val="auto"/>
                <w:w w:val="90"/>
              </w:rPr>
              <w:t>Common Stock, par value $0.01</w:t>
            </w: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WYNN</w:t>
            </w:r>
          </w:p>
        </w:tc>
        <w:tc>
          <w:tcPr>
            <w:tcW w:w="41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Nasdaq Global Select Market</w:t>
            </w:r>
          </w:p>
        </w:tc>
      </w:tr>
      <w:tr>
        <w:trPr>
          <w:trHeight w:val="333"/>
        </w:trPr>
        <w:tc>
          <w:tcPr>
            <w:tcW w:w="3360" w:type="dxa"/>
            <w:vAlign w:val="bottom"/>
          </w:tcPr>
          <w:p>
            <w:pPr>
              <w:spacing w:after="0"/>
              <w:rPr>
                <w:sz w:val="24"/>
                <w:szCs w:val="24"/>
                <w:color w:val="auto"/>
              </w:rPr>
            </w:pPr>
          </w:p>
        </w:tc>
        <w:tc>
          <w:tcPr>
            <w:tcW w:w="6160" w:type="dxa"/>
            <w:vAlign w:val="bottom"/>
            <w:gridSpan w:val="5"/>
          </w:tcPr>
          <w:p>
            <w:pPr>
              <w:jc w:val="center"/>
              <w:ind w:right="1519"/>
              <w:spacing w:after="0"/>
              <w:rPr>
                <w:sz w:val="20"/>
                <w:szCs w:val="20"/>
                <w:color w:val="auto"/>
              </w:rPr>
            </w:pPr>
            <w:r>
              <w:rPr>
                <w:rFonts w:ascii="Arial" w:cs="Arial" w:eastAsia="Arial" w:hAnsi="Arial"/>
                <w:sz w:val="18"/>
                <w:szCs w:val="18"/>
                <w:b w:val="1"/>
                <w:bCs w:val="1"/>
                <w:color w:val="auto"/>
                <w:w w:val="89"/>
              </w:rPr>
              <w:t>Securities registered pursuant to Section 12(g) of the Act:</w:t>
            </w: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34"/>
        </w:trPr>
        <w:tc>
          <w:tcPr>
            <w:tcW w:w="3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None</w:t>
            </w:r>
          </w:p>
        </w:tc>
        <w:tc>
          <w:tcPr>
            <w:tcW w:w="2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7"/>
        </w:trPr>
        <w:tc>
          <w:tcPr>
            <w:tcW w:w="9520" w:type="dxa"/>
            <w:vAlign w:val="bottom"/>
            <w:gridSpan w:val="6"/>
          </w:tcPr>
          <w:p>
            <w:pPr>
              <w:ind w:left="900"/>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680" w:type="dxa"/>
            <w:vAlign w:val="bottom"/>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108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283"/>
        </w:trPr>
        <w:tc>
          <w:tcPr>
            <w:tcW w:w="9520" w:type="dxa"/>
            <w:vAlign w:val="bottom"/>
            <w:gridSpan w:val="6"/>
          </w:tcPr>
          <w:p>
            <w:pPr>
              <w:ind w:left="900"/>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680" w:type="dxa"/>
            <w:vAlign w:val="bottom"/>
          </w:tcPr>
          <w:p>
            <w:pPr>
              <w:ind w:left="160"/>
              <w:spacing w:after="0" w:line="207" w:lineRule="exact"/>
              <w:rPr>
                <w:sz w:val="20"/>
                <w:szCs w:val="20"/>
                <w:color w:val="auto"/>
              </w:rPr>
            </w:pPr>
            <w:r>
              <w:rPr>
                <w:rFonts w:ascii="Arial" w:cs="Arial" w:eastAsia="Arial" w:hAnsi="Arial"/>
                <w:sz w:val="18"/>
                <w:szCs w:val="18"/>
                <w:color w:val="auto"/>
                <w:w w:val="92"/>
              </w:rPr>
              <w:t xml:space="preserve">Yes </w:t>
            </w:r>
            <w:r>
              <w:rPr>
                <w:rFonts w:ascii="MS PGothic" w:cs="MS PGothic" w:eastAsia="MS PGothic" w:hAnsi="MS PGothic"/>
                <w:sz w:val="18"/>
                <w:szCs w:val="18"/>
                <w:color w:val="auto"/>
                <w:w w:val="92"/>
              </w:rPr>
              <w:t>☐</w:t>
            </w:r>
          </w:p>
        </w:tc>
        <w:tc>
          <w:tcPr>
            <w:tcW w:w="108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bl>
    <w:p>
      <w:pPr>
        <w:spacing w:after="0" w:line="20" w:lineRule="exact"/>
        <w:rPr>
          <w:sz w:val="24"/>
          <w:szCs w:val="24"/>
          <w:color w:val="auto"/>
        </w:rPr>
      </w:pPr>
    </w:p>
    <w:p>
      <w:pPr>
        <w:jc w:val="both"/>
        <w:ind w:right="20" w:firstLine="972"/>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60" w:firstLine="97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180" w:firstLine="972"/>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22" w:lineRule="exact"/>
        <w:rPr>
          <w:sz w:val="24"/>
          <w:szCs w:val="24"/>
          <w:color w:val="auto"/>
        </w:rPr>
      </w:pPr>
    </w:p>
    <w:p>
      <w:pPr>
        <w:ind w:right="260" w:firstLine="972"/>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283"/>
        </w:trPr>
        <w:tc>
          <w:tcPr>
            <w:tcW w:w="19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8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000"/>
              <w:spacing w:after="0"/>
              <w:rPr>
                <w:sz w:val="20"/>
                <w:szCs w:val="20"/>
                <w:color w:val="auto"/>
              </w:rPr>
            </w:pPr>
            <w:r>
              <w:rPr>
                <w:rFonts w:ascii="Arial" w:cs="Arial" w:eastAsia="Arial" w:hAnsi="Arial"/>
                <w:sz w:val="18"/>
                <w:szCs w:val="18"/>
                <w:color w:val="auto"/>
              </w:rPr>
              <w:t>Accelerated filer</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920" w:type="dxa"/>
            <w:vAlign w:val="bottom"/>
          </w:tcPr>
          <w:p>
            <w:pPr>
              <w:spacing w:after="0"/>
              <w:rPr>
                <w:sz w:val="20"/>
                <w:szCs w:val="20"/>
                <w:color w:val="auto"/>
              </w:rPr>
            </w:pPr>
            <w:r>
              <w:rPr>
                <w:rFonts w:ascii="Arial" w:cs="Arial" w:eastAsia="Arial" w:hAnsi="Arial"/>
                <w:sz w:val="18"/>
                <w:szCs w:val="18"/>
                <w:color w:val="auto"/>
              </w:rPr>
              <w:t>Non-accelerated filer</w:t>
            </w:r>
          </w:p>
        </w:tc>
        <w:tc>
          <w:tcPr>
            <w:tcW w:w="348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000"/>
              <w:spacing w:after="0"/>
              <w:rPr>
                <w:sz w:val="20"/>
                <w:szCs w:val="20"/>
                <w:color w:val="auto"/>
              </w:rPr>
            </w:pPr>
            <w:r>
              <w:rPr>
                <w:rFonts w:ascii="Arial" w:cs="Arial" w:eastAsia="Arial" w:hAnsi="Arial"/>
                <w:sz w:val="18"/>
                <w:szCs w:val="18"/>
                <w:color w:val="auto"/>
              </w:rPr>
              <w:t>Smaller reporting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9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320" w:type="dxa"/>
            <w:vAlign w:val="bottom"/>
          </w:tcPr>
          <w:p>
            <w:pPr>
              <w:ind w:left="3000"/>
              <w:spacing w:after="0"/>
              <w:rPr>
                <w:sz w:val="20"/>
                <w:szCs w:val="20"/>
                <w:color w:val="auto"/>
              </w:rPr>
            </w:pPr>
            <w:r>
              <w:rPr>
                <w:rFonts w:ascii="Arial" w:cs="Arial" w:eastAsia="Arial" w:hAnsi="Arial"/>
                <w:sz w:val="18"/>
                <w:szCs w:val="18"/>
                <w:color w:val="auto"/>
              </w:rPr>
              <w:t>Emerging growth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87" w:lineRule="exact"/>
        <w:rPr>
          <w:sz w:val="24"/>
          <w:szCs w:val="24"/>
          <w:color w:val="auto"/>
        </w:rPr>
      </w:pPr>
    </w:p>
    <w:p>
      <w:pPr>
        <w:ind w:firstLine="972"/>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980"/>
        <w:spacing w:after="0" w:line="207" w:lineRule="exact"/>
        <w:tabs>
          <w:tab w:leader="none" w:pos="9320" w:val="left"/>
          <w:tab w:leader="none" w:pos="1000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83" w:lineRule="exact"/>
        <w:rPr>
          <w:sz w:val="24"/>
          <w:szCs w:val="24"/>
          <w:color w:val="auto"/>
        </w:rPr>
      </w:pPr>
    </w:p>
    <w:p>
      <w:pPr>
        <w:ind w:right="40" w:firstLine="972"/>
        <w:spacing w:after="0" w:line="277" w:lineRule="auto"/>
        <w:rPr>
          <w:sz w:val="20"/>
          <w:szCs w:val="20"/>
          <w:color w:val="auto"/>
        </w:rPr>
      </w:pPr>
      <w:r>
        <w:rPr>
          <w:rFonts w:ascii="Arial" w:cs="Arial" w:eastAsia="Arial" w:hAnsi="Arial"/>
          <w:sz w:val="18"/>
          <w:szCs w:val="18"/>
          <w:color w:val="auto"/>
        </w:rPr>
        <w:t>The aggregate market value of the registrant's voting and non-voting common stock held by non-affiliates based on the closing price as reported on the Nasdaq Global Select Market on June 28, 2019 was approximately $12.08 billion.</w:t>
      </w:r>
    </w:p>
    <w:p>
      <w:pPr>
        <w:spacing w:after="0" w:line="8" w:lineRule="exact"/>
        <w:rPr>
          <w:sz w:val="24"/>
          <w:szCs w:val="24"/>
          <w:color w:val="auto"/>
        </w:rPr>
      </w:pPr>
    </w:p>
    <w:p>
      <w:pPr>
        <w:ind w:left="980"/>
        <w:spacing w:after="0"/>
        <w:rPr>
          <w:sz w:val="20"/>
          <w:szCs w:val="20"/>
          <w:color w:val="auto"/>
        </w:rPr>
      </w:pPr>
      <w:r>
        <w:rPr>
          <w:rFonts w:ascii="Arial" w:cs="Arial" w:eastAsia="Arial" w:hAnsi="Arial"/>
          <w:sz w:val="18"/>
          <w:szCs w:val="18"/>
          <w:color w:val="auto"/>
        </w:rPr>
        <w:t>As of February 14, 2020, 107,516,130 shares of the registrant's Common Stock, $0.01 par value, were outstanding.</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56" w:lineRule="exact"/>
        <w:rPr>
          <w:sz w:val="24"/>
          <w:szCs w:val="24"/>
          <w:color w:val="auto"/>
        </w:rPr>
      </w:pPr>
    </w:p>
    <w:p>
      <w:pPr>
        <w:ind w:right="160" w:firstLine="972"/>
        <w:spacing w:after="0" w:line="277" w:lineRule="auto"/>
        <w:rPr>
          <w:sz w:val="20"/>
          <w:szCs w:val="20"/>
          <w:color w:val="auto"/>
        </w:rPr>
      </w:pPr>
      <w:r>
        <w:rPr>
          <w:rFonts w:ascii="Arial" w:cs="Arial" w:eastAsia="Arial" w:hAnsi="Arial"/>
          <w:sz w:val="18"/>
          <w:szCs w:val="18"/>
          <w:color w:val="auto"/>
        </w:rPr>
        <w:t>Portions of the registrant's Proxy Statement for its 2020 Annual Meeting of Stockholders to be filed not later than 120 days after the end of the fiscal year covered by this report are incorporated by reference into Part III of this Form 10-K.</w:t>
      </w:r>
    </w:p>
    <w:p>
      <w:pPr>
        <w:sectPr>
          <w:pgSz w:w="11900" w:h="16838" w:orient="portrait"/>
          <w:cols w:equalWidth="0" w:num="1">
            <w:col w:w="11400"/>
          </w:cols>
          <w:pgMar w:left="240" w:top="229" w:right="259" w:bottom="977" w:gutter="0" w:footer="0" w:header="0"/>
          <w:type w:val="continuous"/>
        </w:sectPr>
      </w:pPr>
    </w:p>
    <w:bookmarkStart w:id="1" w:name="page2"/>
    <w:bookmarkEnd w:id="1"/>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179070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40" w:type="dxa"/>
            <w:vAlign w:val="bottom"/>
            <w:gridSpan w:val="5"/>
          </w:tcPr>
          <w:p>
            <w:pPr>
              <w:jc w:val="center"/>
              <w:ind w:right="3300"/>
              <w:spacing w:after="0"/>
              <w:rPr>
                <w:sz w:val="20"/>
                <w:szCs w:val="20"/>
                <w:color w:val="auto"/>
              </w:rPr>
            </w:pPr>
            <w:r>
              <w:rPr>
                <w:rFonts w:ascii="Arial" w:cs="Arial" w:eastAsia="Arial" w:hAnsi="Arial"/>
                <w:sz w:val="18"/>
                <w:szCs w:val="18"/>
                <w:b w:val="1"/>
                <w:bCs w:val="1"/>
                <w:color w:val="auto"/>
              </w:rPr>
              <w:t>WYNN RESORTS, LIMITED AND SUBSIDIARIES</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40" w:type="dxa"/>
            <w:vAlign w:val="bottom"/>
            <w:gridSpan w:val="5"/>
          </w:tcPr>
          <w:p>
            <w:pPr>
              <w:jc w:val="center"/>
              <w:ind w:right="3300"/>
              <w:spacing w:after="0"/>
              <w:rPr>
                <w:sz w:val="20"/>
                <w:szCs w:val="20"/>
                <w:color w:val="auto"/>
              </w:rPr>
            </w:pPr>
            <w:r>
              <w:rPr>
                <w:rFonts w:ascii="Arial" w:cs="Arial" w:eastAsia="Arial" w:hAnsi="Arial"/>
                <w:sz w:val="18"/>
                <w:szCs w:val="18"/>
                <w:b w:val="1"/>
                <w:bCs w:val="1"/>
                <w:color w:val="auto"/>
              </w:rPr>
              <w:t>FORM 10-K</w:t>
            </w: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40" w:type="dxa"/>
            <w:vAlign w:val="bottom"/>
            <w:gridSpan w:val="5"/>
          </w:tcPr>
          <w:p>
            <w:pPr>
              <w:jc w:val="center"/>
              <w:ind w:right="3280"/>
              <w:spacing w:after="0"/>
              <w:rPr>
                <w:sz w:val="20"/>
                <w:szCs w:val="20"/>
                <w:color w:val="auto"/>
              </w:rPr>
            </w:pPr>
            <w:r>
              <w:rPr>
                <w:rFonts w:ascii="Arial" w:cs="Arial" w:eastAsia="Arial" w:hAnsi="Arial"/>
                <w:sz w:val="18"/>
                <w:szCs w:val="18"/>
                <w:b w:val="1"/>
                <w:bCs w:val="1"/>
                <w:color w:val="auto"/>
                <w:w w:val="98"/>
              </w:rPr>
              <w:t>TABLE OF CONTENTS</w:t>
            </w:r>
          </w:p>
        </w:tc>
        <w:tc>
          <w:tcPr>
            <w:tcW w:w="0" w:type="dxa"/>
            <w:vAlign w:val="bottom"/>
          </w:tcPr>
          <w:p>
            <w:pPr>
              <w:spacing w:after="0"/>
              <w:rPr>
                <w:sz w:val="1"/>
                <w:szCs w:val="1"/>
                <w:color w:val="auto"/>
              </w:rPr>
            </w:pPr>
          </w:p>
        </w:tc>
      </w:tr>
      <w:tr>
        <w:trPr>
          <w:trHeight w:val="459"/>
        </w:trPr>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620" w:type="dxa"/>
            <w:vAlign w:val="bottom"/>
            <w:tcBorders>
              <w:bottom w:val="single" w:sz="8" w:color="0000FF"/>
            </w:tcBorders>
          </w:tcPr>
          <w:p>
            <w:pPr>
              <w:jc w:val="center"/>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PART I</w:t>
              </w:r>
            </w:hyperlink>
          </w:p>
        </w:tc>
        <w:tc>
          <w:tcPr>
            <w:tcW w:w="53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2400" w:type="dxa"/>
            <w:vAlign w:val="bottom"/>
            <w:gridSpan w:val="7"/>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Business</w:t>
              </w:r>
            </w:hyperlink>
          </w:p>
        </w:tc>
        <w:tc>
          <w:tcPr>
            <w:tcW w:w="8040" w:type="dxa"/>
            <w:vAlign w:val="bottom"/>
            <w:gridSpan w:val="5"/>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Arial" w:cs="Arial" w:eastAsia="Arial" w:hAnsi="Arial"/>
                <w:sz w:val="18"/>
                <w:szCs w:val="18"/>
                <w:color w:val="auto"/>
              </w:rPr>
              <w:t>Item 1A.</w:t>
            </w:r>
          </w:p>
        </w:tc>
        <w:tc>
          <w:tcPr>
            <w:tcW w:w="6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vMerge w:val="continue"/>
          </w:tcPr>
          <w:p>
            <w:pPr>
              <w:spacing w:after="0"/>
              <w:rPr>
                <w:sz w:val="21"/>
                <w:szCs w:val="21"/>
                <w:color w:val="auto"/>
              </w:rPr>
            </w:pPr>
          </w:p>
        </w:tc>
        <w:tc>
          <w:tcPr>
            <w:tcW w:w="2400" w:type="dxa"/>
            <w:vAlign w:val="bottom"/>
            <w:gridSpan w:val="7"/>
          </w:tcPr>
          <w:p>
            <w:pPr>
              <w:spacing w:after="0"/>
              <w:rPr>
                <w:rFonts w:ascii="Arial" w:cs="Arial" w:eastAsia="Arial" w:hAnsi="Arial"/>
                <w:sz w:val="18"/>
                <w:szCs w:val="18"/>
                <w:color w:val="0000FF"/>
              </w:rPr>
            </w:pPr>
            <w:hyperlink w:anchor="page18">
              <w:r>
                <w:rPr>
                  <w:rFonts w:ascii="Arial" w:cs="Arial" w:eastAsia="Arial" w:hAnsi="Arial"/>
                  <w:sz w:val="18"/>
                  <w:szCs w:val="18"/>
                  <w:color w:val="0000FF"/>
                </w:rPr>
                <w:t>Risk Factors</w:t>
              </w:r>
            </w:hyperlink>
          </w:p>
        </w:tc>
        <w:tc>
          <w:tcPr>
            <w:tcW w:w="8040" w:type="dxa"/>
            <w:vAlign w:val="bottom"/>
            <w:gridSpan w:val="5"/>
          </w:tcPr>
          <w:p>
            <w:pPr>
              <w:jc w:val="right"/>
              <w:spacing w:after="0"/>
              <w:rPr>
                <w:rFonts w:ascii="Arial" w:cs="Arial" w:eastAsia="Arial" w:hAnsi="Arial"/>
                <w:sz w:val="18"/>
                <w:szCs w:val="18"/>
                <w:color w:val="0000FF"/>
              </w:rPr>
            </w:pPr>
            <w:hyperlink w:anchor="page18">
              <w:r>
                <w:rPr>
                  <w:rFonts w:ascii="Arial" w:cs="Arial" w:eastAsia="Arial" w:hAnsi="Arial"/>
                  <w:sz w:val="18"/>
                  <w:szCs w:val="18"/>
                  <w:color w:val="0000FF"/>
                </w:rPr>
                <w:t>17</w:t>
              </w:r>
            </w:hyperlink>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Arial" w:cs="Arial" w:eastAsia="Arial" w:hAnsi="Arial"/>
                <w:sz w:val="18"/>
                <w:szCs w:val="18"/>
                <w:color w:val="auto"/>
              </w:rPr>
              <w:t>Item 1B.</w:t>
            </w:r>
          </w:p>
        </w:tc>
        <w:tc>
          <w:tcPr>
            <w:tcW w:w="7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vMerge w:val="continue"/>
          </w:tcPr>
          <w:p>
            <w:pPr>
              <w:spacing w:after="0"/>
              <w:rPr>
                <w:sz w:val="21"/>
                <w:szCs w:val="21"/>
                <w:color w:val="auto"/>
              </w:rPr>
            </w:pPr>
          </w:p>
        </w:tc>
        <w:tc>
          <w:tcPr>
            <w:tcW w:w="2060" w:type="dxa"/>
            <w:vAlign w:val="bottom"/>
            <w:gridSpan w:val="6"/>
          </w:tcPr>
          <w:p>
            <w:pPr>
              <w:spacing w:after="0"/>
              <w:rPr>
                <w:rFonts w:ascii="Arial" w:cs="Arial" w:eastAsia="Arial" w:hAnsi="Arial"/>
                <w:sz w:val="18"/>
                <w:szCs w:val="18"/>
                <w:color w:val="0000FF"/>
                <w:w w:val="90"/>
              </w:rPr>
            </w:pPr>
            <w:hyperlink w:anchor="page34">
              <w:r>
                <w:rPr>
                  <w:rFonts w:ascii="Arial" w:cs="Arial" w:eastAsia="Arial" w:hAnsi="Arial"/>
                  <w:sz w:val="18"/>
                  <w:szCs w:val="18"/>
                  <w:color w:val="0000FF"/>
                  <w:w w:val="90"/>
                </w:rPr>
                <w:t>Unresolved Staff Comments</w:t>
              </w:r>
            </w:hyperlink>
          </w:p>
        </w:tc>
        <w:tc>
          <w:tcPr>
            <w:tcW w:w="340" w:type="dxa"/>
            <w:vAlign w:val="bottom"/>
          </w:tcPr>
          <w:p>
            <w:pPr>
              <w:spacing w:after="0"/>
              <w:rPr>
                <w:sz w:val="21"/>
                <w:szCs w:val="21"/>
                <w:color w:val="auto"/>
              </w:rPr>
            </w:pPr>
          </w:p>
        </w:tc>
        <w:tc>
          <w:tcPr>
            <w:tcW w:w="8040" w:type="dxa"/>
            <w:vAlign w:val="bottom"/>
            <w:gridSpan w:val="5"/>
          </w:tcPr>
          <w:p>
            <w:pPr>
              <w:jc w:val="right"/>
              <w:spacing w:after="0"/>
              <w:rPr>
                <w:rFonts w:ascii="Arial" w:cs="Arial" w:eastAsia="Arial" w:hAnsi="Arial"/>
                <w:sz w:val="18"/>
                <w:szCs w:val="18"/>
                <w:color w:val="0000FF"/>
              </w:rPr>
            </w:pPr>
            <w:hyperlink w:anchor="page34">
              <w:r>
                <w:rPr>
                  <w:rFonts w:ascii="Arial" w:cs="Arial" w:eastAsia="Arial" w:hAnsi="Arial"/>
                  <w:sz w:val="18"/>
                  <w:szCs w:val="18"/>
                  <w:color w:val="0000FF"/>
                </w:rPr>
                <w:t>33</w:t>
              </w:r>
            </w:hyperlink>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Arial" w:cs="Arial" w:eastAsia="Arial" w:hAnsi="Arial"/>
                <w:sz w:val="18"/>
                <w:szCs w:val="18"/>
                <w:color w:val="auto"/>
              </w:rPr>
              <w:t>Item 2.</w:t>
            </w:r>
          </w:p>
        </w:tc>
        <w:tc>
          <w:tcPr>
            <w:tcW w:w="74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vMerge w:val="continue"/>
          </w:tcPr>
          <w:p>
            <w:pPr>
              <w:spacing w:after="0"/>
              <w:rPr>
                <w:sz w:val="21"/>
                <w:szCs w:val="21"/>
                <w:color w:val="auto"/>
              </w:rPr>
            </w:pPr>
          </w:p>
        </w:tc>
        <w:tc>
          <w:tcPr>
            <w:tcW w:w="740" w:type="dxa"/>
            <w:vAlign w:val="bottom"/>
            <w:gridSpan w:val="2"/>
          </w:tcPr>
          <w:p>
            <w:pPr>
              <w:spacing w:after="0"/>
              <w:rPr>
                <w:rFonts w:ascii="Arial" w:cs="Arial" w:eastAsia="Arial" w:hAnsi="Arial"/>
                <w:sz w:val="18"/>
                <w:szCs w:val="18"/>
                <w:color w:val="0000FF"/>
                <w:w w:val="87"/>
              </w:rPr>
            </w:pPr>
            <w:hyperlink w:anchor="page34">
              <w:r>
                <w:rPr>
                  <w:rFonts w:ascii="Arial" w:cs="Arial" w:eastAsia="Arial" w:hAnsi="Arial"/>
                  <w:sz w:val="18"/>
                  <w:szCs w:val="18"/>
                  <w:color w:val="0000FF"/>
                  <w:w w:val="87"/>
                </w:rPr>
                <w:t>Properties</w:t>
              </w:r>
            </w:hyperlink>
          </w:p>
        </w:tc>
        <w:tc>
          <w:tcPr>
            <w:tcW w:w="1320" w:type="dxa"/>
            <w:vAlign w:val="bottom"/>
            <w:gridSpan w:val="4"/>
          </w:tcPr>
          <w:p>
            <w:pPr>
              <w:spacing w:after="0"/>
              <w:rPr>
                <w:sz w:val="21"/>
                <w:szCs w:val="21"/>
                <w:color w:val="auto"/>
              </w:rPr>
            </w:pPr>
          </w:p>
        </w:tc>
        <w:tc>
          <w:tcPr>
            <w:tcW w:w="340" w:type="dxa"/>
            <w:vAlign w:val="bottom"/>
          </w:tcPr>
          <w:p>
            <w:pPr>
              <w:spacing w:after="0"/>
              <w:rPr>
                <w:sz w:val="21"/>
                <w:szCs w:val="21"/>
                <w:color w:val="auto"/>
              </w:rPr>
            </w:pPr>
          </w:p>
        </w:tc>
        <w:tc>
          <w:tcPr>
            <w:tcW w:w="8040" w:type="dxa"/>
            <w:vAlign w:val="bottom"/>
            <w:gridSpan w:val="5"/>
          </w:tcPr>
          <w:p>
            <w:pPr>
              <w:jc w:val="right"/>
              <w:spacing w:after="0"/>
              <w:rPr>
                <w:rFonts w:ascii="Arial" w:cs="Arial" w:eastAsia="Arial" w:hAnsi="Arial"/>
                <w:sz w:val="18"/>
                <w:szCs w:val="18"/>
                <w:color w:val="0000FF"/>
              </w:rPr>
            </w:pPr>
            <w:hyperlink w:anchor="page34">
              <w:r>
                <w:rPr>
                  <w:rFonts w:ascii="Arial" w:cs="Arial" w:eastAsia="Arial" w:hAnsi="Arial"/>
                  <w:sz w:val="18"/>
                  <w:szCs w:val="18"/>
                  <w:color w:val="0000FF"/>
                </w:rPr>
                <w:t>34</w:t>
              </w:r>
            </w:hyperlink>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Arial" w:cs="Arial" w:eastAsia="Arial" w:hAnsi="Arial"/>
                <w:sz w:val="18"/>
                <w:szCs w:val="18"/>
                <w:color w:val="auto"/>
              </w:rPr>
              <w:t>Item 3.</w:t>
            </w: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vMerge w:val="continue"/>
          </w:tcPr>
          <w:p>
            <w:pPr>
              <w:spacing w:after="0"/>
              <w:rPr>
                <w:sz w:val="21"/>
                <w:szCs w:val="21"/>
                <w:color w:val="auto"/>
              </w:rPr>
            </w:pPr>
          </w:p>
        </w:tc>
        <w:tc>
          <w:tcPr>
            <w:tcW w:w="1340" w:type="dxa"/>
            <w:vAlign w:val="bottom"/>
            <w:gridSpan w:val="4"/>
          </w:tcPr>
          <w:p>
            <w:pPr>
              <w:spacing w:after="0"/>
              <w:rPr>
                <w:rFonts w:ascii="Arial" w:cs="Arial" w:eastAsia="Arial" w:hAnsi="Arial"/>
                <w:sz w:val="18"/>
                <w:szCs w:val="18"/>
                <w:color w:val="0000FF"/>
                <w:w w:val="88"/>
              </w:rPr>
            </w:pPr>
            <w:hyperlink w:anchor="page35">
              <w:r>
                <w:rPr>
                  <w:rFonts w:ascii="Arial" w:cs="Arial" w:eastAsia="Arial" w:hAnsi="Arial"/>
                  <w:sz w:val="18"/>
                  <w:szCs w:val="18"/>
                  <w:color w:val="0000FF"/>
                  <w:w w:val="88"/>
                </w:rPr>
                <w:t>Legal Proceedings</w:t>
              </w:r>
            </w:hyperlink>
          </w:p>
        </w:tc>
        <w:tc>
          <w:tcPr>
            <w:tcW w:w="1060" w:type="dxa"/>
            <w:vAlign w:val="bottom"/>
            <w:gridSpan w:val="3"/>
          </w:tcPr>
          <w:p>
            <w:pPr>
              <w:spacing w:after="0"/>
              <w:rPr>
                <w:sz w:val="21"/>
                <w:szCs w:val="21"/>
                <w:color w:val="auto"/>
              </w:rPr>
            </w:pPr>
          </w:p>
        </w:tc>
        <w:tc>
          <w:tcPr>
            <w:tcW w:w="8040" w:type="dxa"/>
            <w:vAlign w:val="bottom"/>
            <w:gridSpan w:val="5"/>
          </w:tcPr>
          <w:p>
            <w:pPr>
              <w:jc w:val="right"/>
              <w:spacing w:after="0"/>
              <w:rPr>
                <w:rFonts w:ascii="Arial" w:cs="Arial" w:eastAsia="Arial" w:hAnsi="Arial"/>
                <w:sz w:val="18"/>
                <w:szCs w:val="18"/>
                <w:color w:val="0000FF"/>
              </w:rPr>
            </w:pPr>
            <w:hyperlink w:anchor="page35">
              <w:r>
                <w:rPr>
                  <w:rFonts w:ascii="Arial" w:cs="Arial" w:eastAsia="Arial" w:hAnsi="Arial"/>
                  <w:sz w:val="18"/>
                  <w:szCs w:val="18"/>
                  <w:color w:val="0000FF"/>
                </w:rPr>
                <w:t>34</w:t>
              </w:r>
            </w:hyperlink>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Arial" w:cs="Arial" w:eastAsia="Arial" w:hAnsi="Arial"/>
                <w:sz w:val="18"/>
                <w:szCs w:val="18"/>
                <w:color w:val="auto"/>
              </w:rPr>
              <w:t>Item 4.</w:t>
            </w:r>
          </w:p>
        </w:tc>
        <w:tc>
          <w:tcPr>
            <w:tcW w:w="1340" w:type="dxa"/>
            <w:vAlign w:val="bottom"/>
            <w:gridSpan w:val="4"/>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920" w:type="dxa"/>
            <w:vAlign w:val="bottom"/>
            <w:vMerge w:val="continue"/>
          </w:tcPr>
          <w:p>
            <w:pPr>
              <w:spacing w:after="0"/>
              <w:rPr>
                <w:sz w:val="23"/>
                <w:szCs w:val="23"/>
                <w:color w:val="auto"/>
              </w:rPr>
            </w:pPr>
          </w:p>
        </w:tc>
        <w:tc>
          <w:tcPr>
            <w:tcW w:w="1780" w:type="dxa"/>
            <w:vAlign w:val="bottom"/>
            <w:gridSpan w:val="5"/>
          </w:tcPr>
          <w:p>
            <w:pPr>
              <w:spacing w:after="0"/>
              <w:rPr>
                <w:rFonts w:ascii="Arial" w:cs="Arial" w:eastAsia="Arial" w:hAnsi="Arial"/>
                <w:sz w:val="18"/>
                <w:szCs w:val="18"/>
                <w:color w:val="0000FF"/>
                <w:w w:val="91"/>
              </w:rPr>
            </w:pPr>
            <w:hyperlink w:anchor="page35">
              <w:r>
                <w:rPr>
                  <w:rFonts w:ascii="Arial" w:cs="Arial" w:eastAsia="Arial" w:hAnsi="Arial"/>
                  <w:sz w:val="18"/>
                  <w:szCs w:val="18"/>
                  <w:color w:val="0000FF"/>
                  <w:w w:val="91"/>
                </w:rPr>
                <w:t>Mine Safety Disclosures</w:t>
              </w:r>
            </w:hyperlink>
          </w:p>
        </w:tc>
        <w:tc>
          <w:tcPr>
            <w:tcW w:w="620" w:type="dxa"/>
            <w:vAlign w:val="bottom"/>
            <w:gridSpan w:val="2"/>
          </w:tcPr>
          <w:p>
            <w:pPr>
              <w:spacing w:after="0"/>
              <w:rPr>
                <w:sz w:val="23"/>
                <w:szCs w:val="23"/>
                <w:color w:val="auto"/>
              </w:rPr>
            </w:pPr>
          </w:p>
        </w:tc>
        <w:tc>
          <w:tcPr>
            <w:tcW w:w="8040" w:type="dxa"/>
            <w:vAlign w:val="bottom"/>
            <w:gridSpan w:val="5"/>
          </w:tcPr>
          <w:p>
            <w:pPr>
              <w:jc w:val="right"/>
              <w:spacing w:after="0"/>
              <w:rPr>
                <w:rFonts w:ascii="Arial" w:cs="Arial" w:eastAsia="Arial" w:hAnsi="Arial"/>
                <w:sz w:val="18"/>
                <w:szCs w:val="18"/>
                <w:color w:val="0000FF"/>
              </w:rPr>
            </w:pPr>
            <w:hyperlink w:anchor="page35">
              <w:r>
                <w:rPr>
                  <w:rFonts w:ascii="Arial" w:cs="Arial" w:eastAsia="Arial" w:hAnsi="Arial"/>
                  <w:sz w:val="18"/>
                  <w:szCs w:val="18"/>
                  <w:color w:val="0000FF"/>
                </w:rPr>
                <w:t>34</w:t>
              </w:r>
            </w:hyperlink>
          </w:p>
        </w:tc>
        <w:tc>
          <w:tcPr>
            <w:tcW w:w="0" w:type="dxa"/>
            <w:vAlign w:val="bottom"/>
          </w:tcPr>
          <w:p>
            <w:pPr>
              <w:spacing w:after="0"/>
              <w:rPr>
                <w:sz w:val="1"/>
                <w:szCs w:val="1"/>
                <w:color w:val="auto"/>
              </w:rPr>
            </w:pPr>
          </w:p>
        </w:tc>
      </w:tr>
      <w:tr>
        <w:trPr>
          <w:trHeight w:val="190"/>
        </w:trPr>
        <w:tc>
          <w:tcPr>
            <w:tcW w:w="920" w:type="dxa"/>
            <w:vAlign w:val="bottom"/>
          </w:tcPr>
          <w:p>
            <w:pPr>
              <w:spacing w:after="0"/>
              <w:rPr>
                <w:sz w:val="16"/>
                <w:szCs w:val="16"/>
                <w:color w:val="auto"/>
              </w:rPr>
            </w:pPr>
          </w:p>
        </w:tc>
        <w:tc>
          <w:tcPr>
            <w:tcW w:w="64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440" w:type="dxa"/>
            <w:vAlign w:val="bottom"/>
            <w:tcBorders>
              <w:top w:val="single" w:sz="8" w:color="0000FF"/>
            </w:tcBorders>
          </w:tcPr>
          <w:p>
            <w:pPr>
              <w:spacing w:after="0"/>
              <w:rPr>
                <w:sz w:val="16"/>
                <w:szCs w:val="16"/>
                <w:color w:val="auto"/>
              </w:rPr>
            </w:pPr>
          </w:p>
        </w:tc>
        <w:tc>
          <w:tcPr>
            <w:tcW w:w="440" w:type="dxa"/>
            <w:vAlign w:val="bottom"/>
            <w:tcBorders>
              <w:top w:val="single" w:sz="8" w:color="0000FF"/>
            </w:tcBorders>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5800" w:type="dxa"/>
            <w:vAlign w:val="bottom"/>
            <w:gridSpan w:val="2"/>
          </w:tcPr>
          <w:p>
            <w:pPr>
              <w:jc w:val="center"/>
              <w:ind w:right="5180"/>
              <w:spacing w:after="0" w:line="189" w:lineRule="exact"/>
              <w:rPr>
                <w:rFonts w:ascii="Arial" w:cs="Arial" w:eastAsia="Arial" w:hAnsi="Arial"/>
                <w:sz w:val="18"/>
                <w:szCs w:val="18"/>
                <w:b w:val="1"/>
                <w:bCs w:val="1"/>
                <w:color w:val="0000FF"/>
                <w:w w:val="96"/>
              </w:rPr>
            </w:pPr>
            <w:hyperlink w:anchor="page35">
              <w:r>
                <w:rPr>
                  <w:rFonts w:ascii="Arial" w:cs="Arial" w:eastAsia="Arial" w:hAnsi="Arial"/>
                  <w:sz w:val="18"/>
                  <w:szCs w:val="18"/>
                  <w:b w:val="1"/>
                  <w:bCs w:val="1"/>
                  <w:color w:val="0000FF"/>
                  <w:w w:val="96"/>
                </w:rPr>
                <w:t>PART II</w:t>
              </w:r>
            </w:hyperlink>
          </w:p>
        </w:tc>
        <w:tc>
          <w:tcPr>
            <w:tcW w:w="180" w:type="dxa"/>
            <w:vAlign w:val="bottom"/>
            <w:tcBorders>
              <w:top w:val="single" w:sz="8" w:color="0000FF"/>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60" w:type="dxa"/>
            <w:vAlign w:val="bottom"/>
            <w:tcBorders>
              <w:right w:val="single" w:sz="8" w:color="0000FF"/>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sectPr>
          <w:pgSz w:w="11900" w:h="16838" w:orient="portrait"/>
          <w:cols w:equalWidth="0" w:num="1">
            <w:col w:w="11380"/>
          </w:cols>
          <w:pgMar w:left="240" w:top="121" w:right="279" w:bottom="1440" w:gutter="0" w:footer="0" w:header="0"/>
        </w:sectPr>
      </w:pPr>
    </w:p>
    <w:p>
      <w:pPr>
        <w:ind w:left="20"/>
        <w:spacing w:after="0"/>
        <w:rPr>
          <w:sz w:val="20"/>
          <w:szCs w:val="20"/>
          <w:color w:val="auto"/>
        </w:rPr>
      </w:pPr>
      <w:r>
        <w:rPr>
          <w:rFonts w:ascii="Arial" w:cs="Arial" w:eastAsia="Arial" w:hAnsi="Arial"/>
          <w:sz w:val="18"/>
          <w:szCs w:val="18"/>
          <w:color w:val="auto"/>
        </w:rPr>
        <w:t>Item 5.</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6.</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7.</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7A.</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8.</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9.</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9A.</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9B.</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10.</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11.</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12.</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13.</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14.</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15.</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16.</w:t>
      </w:r>
    </w:p>
    <w:p>
      <w:pPr>
        <w:spacing w:after="0" w:line="50" w:lineRule="exact"/>
        <w:rPr>
          <w:sz w:val="20"/>
          <w:szCs w:val="20"/>
          <w:color w:val="auto"/>
        </w:rPr>
      </w:pPr>
    </w:p>
    <w:p>
      <w:pPr>
        <w:ind w:left="20"/>
        <w:spacing w:after="0"/>
        <w:rPr>
          <w:rFonts w:ascii="Arial" w:cs="Arial" w:eastAsia="Arial" w:hAnsi="Arial"/>
          <w:sz w:val="15"/>
          <w:szCs w:val="15"/>
          <w:u w:val="single" w:color="auto"/>
          <w:color w:val="0000FF"/>
        </w:rPr>
      </w:pPr>
      <w:hyperlink w:anchor="page117">
        <w:r>
          <w:rPr>
            <w:rFonts w:ascii="Arial" w:cs="Arial" w:eastAsia="Arial" w:hAnsi="Arial"/>
            <w:sz w:val="15"/>
            <w:szCs w:val="15"/>
            <w:u w:val="single" w:color="auto"/>
            <w:color w:val="0000FF"/>
          </w:rPr>
          <w:t>Signatures</w:t>
        </w:r>
      </w:hyperlink>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0180" w:type="dxa"/>
            <w:vAlign w:val="bottom"/>
            <w:gridSpan w:val="19"/>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Market for Registrant’s Common Equity, Related Stockholder Matters and Issuer Purchases of Equity Securities</w:t>
              </w:r>
            </w:hyperlink>
          </w:p>
        </w:tc>
        <w:tc>
          <w:tcPr>
            <w:tcW w:w="260" w:type="dxa"/>
            <w:vAlign w:val="bottom"/>
            <w:gridSpan w:val="2"/>
          </w:tcPr>
          <w:p>
            <w:pPr>
              <w:jc w:val="right"/>
              <w:spacing w:after="0"/>
              <w:rPr>
                <w:rFonts w:ascii="Arial" w:cs="Arial" w:eastAsia="Arial" w:hAnsi="Arial"/>
                <w:sz w:val="18"/>
                <w:szCs w:val="18"/>
                <w:color w:val="0000FF"/>
              </w:rPr>
            </w:pPr>
            <w:hyperlink w:anchor="page35">
              <w:r>
                <w:rPr>
                  <w:rFonts w:ascii="Arial" w:cs="Arial" w:eastAsia="Arial" w:hAnsi="Arial"/>
                  <w:sz w:val="18"/>
                  <w:szCs w:val="18"/>
                  <w:color w:val="0000FF"/>
                </w:rPr>
                <w:t>35</w:t>
              </w:r>
            </w:hyperlink>
          </w:p>
        </w:tc>
        <w:tc>
          <w:tcPr>
            <w:tcW w:w="0" w:type="dxa"/>
            <w:vAlign w:val="bottom"/>
          </w:tcPr>
          <w:p>
            <w:pPr>
              <w:spacing w:after="0"/>
              <w:rPr>
                <w:sz w:val="1"/>
                <w:szCs w:val="1"/>
                <w:color w:val="auto"/>
              </w:rPr>
            </w:pPr>
          </w:p>
        </w:tc>
      </w:tr>
      <w:tr>
        <w:trPr>
          <w:trHeight w:val="20"/>
        </w:trPr>
        <w:tc>
          <w:tcPr>
            <w:tcW w:w="1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gridSpan w:val="3"/>
          </w:tcPr>
          <w:p>
            <w:pPr>
              <w:spacing w:after="0"/>
              <w:rPr>
                <w:rFonts w:ascii="Arial" w:cs="Arial" w:eastAsia="Arial" w:hAnsi="Arial"/>
                <w:sz w:val="18"/>
                <w:szCs w:val="18"/>
                <w:color w:val="0000FF"/>
                <w:w w:val="89"/>
              </w:rPr>
            </w:pPr>
            <w:hyperlink w:anchor="page37">
              <w:r>
                <w:rPr>
                  <w:rFonts w:ascii="Arial" w:cs="Arial" w:eastAsia="Arial" w:hAnsi="Arial"/>
                  <w:sz w:val="18"/>
                  <w:szCs w:val="18"/>
                  <w:color w:val="0000FF"/>
                  <w:w w:val="89"/>
                </w:rPr>
                <w:t>Selected Financial Data</w:t>
              </w:r>
            </w:hyperlink>
          </w:p>
        </w:tc>
        <w:tc>
          <w:tcPr>
            <w:tcW w:w="6360" w:type="dxa"/>
            <w:vAlign w:val="bottom"/>
            <w:gridSpan w:val="15"/>
          </w:tcPr>
          <w:p>
            <w:pPr>
              <w:spacing w:after="0"/>
              <w:rPr>
                <w:sz w:val="21"/>
                <w:szCs w:val="21"/>
                <w:color w:val="auto"/>
              </w:rPr>
            </w:pPr>
          </w:p>
        </w:tc>
        <w:tc>
          <w:tcPr>
            <w:tcW w:w="2100" w:type="dxa"/>
            <w:vAlign w:val="bottom"/>
          </w:tcPr>
          <w:p>
            <w:pPr>
              <w:spacing w:after="0"/>
              <w:rPr>
                <w:sz w:val="21"/>
                <w:szCs w:val="21"/>
                <w:color w:val="auto"/>
              </w:rPr>
            </w:pPr>
          </w:p>
        </w:tc>
        <w:tc>
          <w:tcPr>
            <w:tcW w:w="260" w:type="dxa"/>
            <w:vAlign w:val="bottom"/>
            <w:gridSpan w:val="2"/>
          </w:tcPr>
          <w:p>
            <w:pPr>
              <w:jc w:val="right"/>
              <w:spacing w:after="0"/>
              <w:rPr>
                <w:rFonts w:ascii="Arial" w:cs="Arial" w:eastAsia="Arial" w:hAnsi="Arial"/>
                <w:sz w:val="18"/>
                <w:szCs w:val="18"/>
                <w:color w:val="0000FF"/>
              </w:rPr>
            </w:pPr>
            <w:hyperlink w:anchor="page37">
              <w:r>
                <w:rPr>
                  <w:rFonts w:ascii="Arial" w:cs="Arial" w:eastAsia="Arial" w:hAnsi="Arial"/>
                  <w:sz w:val="18"/>
                  <w:szCs w:val="18"/>
                  <w:color w:val="0000FF"/>
                </w:rPr>
                <w:t>37</w:t>
              </w:r>
            </w:hyperlink>
          </w:p>
        </w:tc>
        <w:tc>
          <w:tcPr>
            <w:tcW w:w="0" w:type="dxa"/>
            <w:vAlign w:val="bottom"/>
          </w:tcPr>
          <w:p>
            <w:pPr>
              <w:spacing w:after="0"/>
              <w:rPr>
                <w:sz w:val="1"/>
                <w:szCs w:val="1"/>
                <w:color w:val="auto"/>
              </w:rPr>
            </w:pPr>
          </w:p>
        </w:tc>
      </w:tr>
      <w:tr>
        <w:trPr>
          <w:trHeight w:val="20"/>
        </w:trPr>
        <w:tc>
          <w:tcPr>
            <w:tcW w:w="1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180" w:type="dxa"/>
            <w:vAlign w:val="bottom"/>
            <w:gridSpan w:val="19"/>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Management’s Discussion and Analysis of Financial Condition and Results of Operations</w:t>
              </w:r>
            </w:hyperlink>
          </w:p>
        </w:tc>
        <w:tc>
          <w:tcPr>
            <w:tcW w:w="260" w:type="dxa"/>
            <w:vAlign w:val="bottom"/>
            <w:gridSpan w:val="2"/>
          </w:tcPr>
          <w:p>
            <w:pPr>
              <w:jc w:val="right"/>
              <w:spacing w:after="0"/>
              <w:rPr>
                <w:rFonts w:ascii="Arial" w:cs="Arial" w:eastAsia="Arial" w:hAnsi="Arial"/>
                <w:sz w:val="18"/>
                <w:szCs w:val="18"/>
                <w:color w:val="0000FF"/>
              </w:rPr>
            </w:pPr>
            <w:hyperlink w:anchor="page38">
              <w:r>
                <w:rPr>
                  <w:rFonts w:ascii="Arial" w:cs="Arial" w:eastAsia="Arial" w:hAnsi="Arial"/>
                  <w:sz w:val="18"/>
                  <w:szCs w:val="18"/>
                  <w:color w:val="0000FF"/>
                </w:rPr>
                <w:t>38</w:t>
              </w:r>
            </w:hyperlink>
          </w:p>
        </w:tc>
        <w:tc>
          <w:tcPr>
            <w:tcW w:w="0" w:type="dxa"/>
            <w:vAlign w:val="bottom"/>
          </w:tcPr>
          <w:p>
            <w:pPr>
              <w:spacing w:after="0"/>
              <w:rPr>
                <w:sz w:val="1"/>
                <w:szCs w:val="1"/>
                <w:color w:val="auto"/>
              </w:rPr>
            </w:pPr>
          </w:p>
        </w:tc>
      </w:tr>
      <w:tr>
        <w:trPr>
          <w:trHeight w:val="20"/>
        </w:trPr>
        <w:tc>
          <w:tcPr>
            <w:tcW w:w="1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460" w:type="dxa"/>
            <w:vAlign w:val="bottom"/>
            <w:gridSpan w:val="15"/>
          </w:tcPr>
          <w:p>
            <w:pPr>
              <w:spacing w:after="0"/>
              <w:rPr>
                <w:rFonts w:ascii="Arial" w:cs="Arial" w:eastAsia="Arial" w:hAnsi="Arial"/>
                <w:sz w:val="18"/>
                <w:szCs w:val="18"/>
                <w:color w:val="0000FF"/>
              </w:rPr>
            </w:pPr>
            <w:hyperlink w:anchor="page56">
              <w:r>
                <w:rPr>
                  <w:rFonts w:ascii="Arial" w:cs="Arial" w:eastAsia="Arial" w:hAnsi="Arial"/>
                  <w:sz w:val="18"/>
                  <w:szCs w:val="18"/>
                  <w:color w:val="0000FF"/>
                </w:rPr>
                <w:t>Quantitative and Qualitative Disclosures About Market Risk</w:t>
              </w:r>
            </w:hyperlink>
          </w:p>
        </w:tc>
        <w:tc>
          <w:tcPr>
            <w:tcW w:w="3720" w:type="dxa"/>
            <w:vAlign w:val="bottom"/>
            <w:gridSpan w:val="4"/>
          </w:tcPr>
          <w:p>
            <w:pPr>
              <w:spacing w:after="0"/>
              <w:rPr>
                <w:sz w:val="21"/>
                <w:szCs w:val="21"/>
                <w:color w:val="auto"/>
              </w:rPr>
            </w:pPr>
          </w:p>
        </w:tc>
        <w:tc>
          <w:tcPr>
            <w:tcW w:w="260" w:type="dxa"/>
            <w:vAlign w:val="bottom"/>
            <w:gridSpan w:val="2"/>
          </w:tcPr>
          <w:p>
            <w:pPr>
              <w:jc w:val="right"/>
              <w:spacing w:after="0"/>
              <w:rPr>
                <w:rFonts w:ascii="Arial" w:cs="Arial" w:eastAsia="Arial" w:hAnsi="Arial"/>
                <w:sz w:val="18"/>
                <w:szCs w:val="18"/>
                <w:color w:val="0000FF"/>
              </w:rPr>
            </w:pPr>
            <w:hyperlink w:anchor="page56">
              <w:r>
                <w:rPr>
                  <w:rFonts w:ascii="Arial" w:cs="Arial" w:eastAsia="Arial" w:hAnsi="Arial"/>
                  <w:sz w:val="18"/>
                  <w:szCs w:val="18"/>
                  <w:color w:val="0000FF"/>
                </w:rPr>
                <w:t>55</w:t>
              </w:r>
            </w:hyperlink>
          </w:p>
        </w:tc>
        <w:tc>
          <w:tcPr>
            <w:tcW w:w="0" w:type="dxa"/>
            <w:vAlign w:val="bottom"/>
          </w:tcPr>
          <w:p>
            <w:pPr>
              <w:spacing w:after="0"/>
              <w:rPr>
                <w:sz w:val="1"/>
                <w:szCs w:val="1"/>
                <w:color w:val="auto"/>
              </w:rPr>
            </w:pPr>
          </w:p>
        </w:tc>
      </w:tr>
      <w:tr>
        <w:trPr>
          <w:trHeight w:val="20"/>
        </w:trPr>
        <w:tc>
          <w:tcPr>
            <w:tcW w:w="1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gridSpan w:val="7"/>
          </w:tcPr>
          <w:p>
            <w:pPr>
              <w:spacing w:after="0"/>
              <w:rPr>
                <w:rFonts w:ascii="Arial" w:cs="Arial" w:eastAsia="Arial" w:hAnsi="Arial"/>
                <w:sz w:val="18"/>
                <w:szCs w:val="18"/>
                <w:color w:val="0000FF"/>
                <w:w w:val="89"/>
              </w:rPr>
            </w:pPr>
            <w:hyperlink w:anchor="page57">
              <w:r>
                <w:rPr>
                  <w:rFonts w:ascii="Arial" w:cs="Arial" w:eastAsia="Arial" w:hAnsi="Arial"/>
                  <w:sz w:val="18"/>
                  <w:szCs w:val="18"/>
                  <w:color w:val="0000FF"/>
                  <w:w w:val="89"/>
                </w:rPr>
                <w:t>Financial Statements and Supplementary Data</w:t>
              </w:r>
            </w:hyperlink>
          </w:p>
        </w:tc>
        <w:tc>
          <w:tcPr>
            <w:tcW w:w="1020" w:type="dxa"/>
            <w:vAlign w:val="bottom"/>
            <w:gridSpan w:val="2"/>
          </w:tcPr>
          <w:p>
            <w:pPr>
              <w:spacing w:after="0"/>
              <w:rPr>
                <w:sz w:val="21"/>
                <w:szCs w:val="21"/>
                <w:color w:val="auto"/>
              </w:rPr>
            </w:pPr>
          </w:p>
        </w:tc>
        <w:tc>
          <w:tcPr>
            <w:tcW w:w="5820" w:type="dxa"/>
            <w:vAlign w:val="bottom"/>
            <w:gridSpan w:val="10"/>
          </w:tcPr>
          <w:p>
            <w:pPr>
              <w:spacing w:after="0"/>
              <w:rPr>
                <w:sz w:val="21"/>
                <w:szCs w:val="21"/>
                <w:color w:val="auto"/>
              </w:rPr>
            </w:pPr>
          </w:p>
        </w:tc>
        <w:tc>
          <w:tcPr>
            <w:tcW w:w="260" w:type="dxa"/>
            <w:vAlign w:val="bottom"/>
            <w:gridSpan w:val="2"/>
          </w:tcPr>
          <w:p>
            <w:pPr>
              <w:jc w:val="right"/>
              <w:spacing w:after="0"/>
              <w:rPr>
                <w:rFonts w:ascii="Arial" w:cs="Arial" w:eastAsia="Arial" w:hAnsi="Arial"/>
                <w:sz w:val="18"/>
                <w:szCs w:val="18"/>
                <w:color w:val="0000FF"/>
              </w:rPr>
            </w:pPr>
            <w:hyperlink w:anchor="page57">
              <w:r>
                <w:rPr>
                  <w:rFonts w:ascii="Arial" w:cs="Arial" w:eastAsia="Arial" w:hAnsi="Arial"/>
                  <w:sz w:val="18"/>
                  <w:szCs w:val="18"/>
                  <w:color w:val="0000FF"/>
                </w:rPr>
                <w:t>57</w:t>
              </w:r>
            </w:hyperlink>
          </w:p>
        </w:tc>
        <w:tc>
          <w:tcPr>
            <w:tcW w:w="0" w:type="dxa"/>
            <w:vAlign w:val="bottom"/>
          </w:tcPr>
          <w:p>
            <w:pPr>
              <w:spacing w:after="0"/>
              <w:rPr>
                <w:sz w:val="1"/>
                <w:szCs w:val="1"/>
                <w:color w:val="auto"/>
              </w:rPr>
            </w:pPr>
          </w:p>
        </w:tc>
      </w:tr>
      <w:tr>
        <w:trPr>
          <w:trHeight w:val="20"/>
        </w:trPr>
        <w:tc>
          <w:tcPr>
            <w:tcW w:w="1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180" w:type="dxa"/>
            <w:vAlign w:val="bottom"/>
            <w:gridSpan w:val="19"/>
          </w:tcPr>
          <w:p>
            <w:pPr>
              <w:spacing w:after="0"/>
              <w:rPr>
                <w:rFonts w:ascii="Arial" w:cs="Arial" w:eastAsia="Arial" w:hAnsi="Arial"/>
                <w:sz w:val="18"/>
                <w:szCs w:val="18"/>
                <w:color w:val="0000FF"/>
              </w:rPr>
            </w:pPr>
            <w:hyperlink w:anchor="page111">
              <w:r>
                <w:rPr>
                  <w:rFonts w:ascii="Arial" w:cs="Arial" w:eastAsia="Arial" w:hAnsi="Arial"/>
                  <w:sz w:val="18"/>
                  <w:szCs w:val="18"/>
                  <w:color w:val="0000FF"/>
                </w:rPr>
                <w:t>Changes in and Disagreements with Accountants on Accounting and Financial Disclosure</w:t>
              </w:r>
            </w:hyperlink>
          </w:p>
        </w:tc>
        <w:tc>
          <w:tcPr>
            <w:tcW w:w="260" w:type="dxa"/>
            <w:vAlign w:val="bottom"/>
            <w:gridSpan w:val="2"/>
          </w:tcPr>
          <w:p>
            <w:pPr>
              <w:jc w:val="right"/>
              <w:spacing w:after="0"/>
              <w:rPr>
                <w:rFonts w:ascii="Arial" w:cs="Arial" w:eastAsia="Arial" w:hAnsi="Arial"/>
                <w:sz w:val="18"/>
                <w:szCs w:val="18"/>
                <w:color w:val="0000FF"/>
                <w:w w:val="79"/>
              </w:rPr>
            </w:pPr>
            <w:hyperlink w:anchor="page111">
              <w:r>
                <w:rPr>
                  <w:rFonts w:ascii="Arial" w:cs="Arial" w:eastAsia="Arial" w:hAnsi="Arial"/>
                  <w:sz w:val="18"/>
                  <w:szCs w:val="18"/>
                  <w:color w:val="0000FF"/>
                  <w:w w:val="79"/>
                </w:rPr>
                <w:t>111</w:t>
              </w:r>
            </w:hyperlink>
          </w:p>
        </w:tc>
        <w:tc>
          <w:tcPr>
            <w:tcW w:w="0" w:type="dxa"/>
            <w:vAlign w:val="bottom"/>
          </w:tcPr>
          <w:p>
            <w:pPr>
              <w:spacing w:after="0"/>
              <w:rPr>
                <w:sz w:val="1"/>
                <w:szCs w:val="1"/>
                <w:color w:val="auto"/>
              </w:rPr>
            </w:pPr>
          </w:p>
        </w:tc>
      </w:tr>
      <w:tr>
        <w:trPr>
          <w:trHeight w:val="250"/>
        </w:trPr>
        <w:tc>
          <w:tcPr>
            <w:tcW w:w="180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88"/>
              </w:rPr>
            </w:pPr>
            <w:hyperlink w:anchor="page112">
              <w:r>
                <w:rPr>
                  <w:rFonts w:ascii="Arial" w:cs="Arial" w:eastAsia="Arial" w:hAnsi="Arial"/>
                  <w:sz w:val="18"/>
                  <w:szCs w:val="18"/>
                  <w:color w:val="0000FF"/>
                  <w:w w:val="88"/>
                </w:rPr>
                <w:t>Controls and Procedures</w:t>
              </w:r>
            </w:hyperlink>
          </w:p>
        </w:tc>
        <w:tc>
          <w:tcPr>
            <w:tcW w:w="4680" w:type="dxa"/>
            <w:vAlign w:val="bottom"/>
            <w:tcBorders>
              <w:top w:val="single" w:sz="8" w:color="0000FF"/>
            </w:tcBorders>
            <w:gridSpan w:val="12"/>
          </w:tcPr>
          <w:p>
            <w:pPr>
              <w:spacing w:after="0"/>
              <w:rPr>
                <w:sz w:val="21"/>
                <w:szCs w:val="21"/>
                <w:color w:val="auto"/>
              </w:rPr>
            </w:pPr>
          </w:p>
        </w:tc>
        <w:tc>
          <w:tcPr>
            <w:tcW w:w="3700" w:type="dxa"/>
            <w:vAlign w:val="bottom"/>
            <w:gridSpan w:val="3"/>
          </w:tcPr>
          <w:p>
            <w:pPr>
              <w:spacing w:after="0"/>
              <w:rPr>
                <w:sz w:val="21"/>
                <w:szCs w:val="21"/>
                <w:color w:val="auto"/>
              </w:rPr>
            </w:pPr>
          </w:p>
        </w:tc>
        <w:tc>
          <w:tcPr>
            <w:tcW w:w="26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112">
              <w:r>
                <w:rPr>
                  <w:rFonts w:ascii="Arial" w:cs="Arial" w:eastAsia="Arial" w:hAnsi="Arial"/>
                  <w:sz w:val="18"/>
                  <w:szCs w:val="18"/>
                  <w:color w:val="0000FF"/>
                  <w:w w:val="79"/>
                </w:rPr>
                <w:t>111</w:t>
              </w:r>
            </w:hyperlink>
          </w:p>
        </w:tc>
        <w:tc>
          <w:tcPr>
            <w:tcW w:w="0" w:type="dxa"/>
            <w:vAlign w:val="bottom"/>
          </w:tcPr>
          <w:p>
            <w:pPr>
              <w:spacing w:after="0"/>
              <w:rPr>
                <w:sz w:val="1"/>
                <w:szCs w:val="1"/>
                <w:color w:val="auto"/>
              </w:rPr>
            </w:pPr>
          </w:p>
        </w:tc>
      </w:tr>
      <w:tr>
        <w:trPr>
          <w:trHeight w:val="250"/>
        </w:trPr>
        <w:tc>
          <w:tcPr>
            <w:tcW w:w="10180" w:type="dxa"/>
            <w:vAlign w:val="bottom"/>
            <w:gridSpan w:val="19"/>
          </w:tcPr>
          <w:p>
            <w:pPr>
              <w:spacing w:after="0"/>
              <w:rPr>
                <w:rFonts w:ascii="Arial" w:cs="Arial" w:eastAsia="Arial" w:hAnsi="Arial"/>
                <w:sz w:val="18"/>
                <w:szCs w:val="18"/>
                <w:color w:val="0000FF"/>
              </w:rPr>
            </w:pPr>
            <w:hyperlink w:anchor="page112">
              <w:r>
                <w:rPr>
                  <w:rFonts w:ascii="Arial" w:cs="Arial" w:eastAsia="Arial" w:hAnsi="Arial"/>
                  <w:sz w:val="18"/>
                  <w:szCs w:val="18"/>
                  <w:color w:val="0000FF"/>
                </w:rPr>
                <w:t>Other Information</w:t>
              </w:r>
            </w:hyperlink>
          </w:p>
        </w:tc>
        <w:tc>
          <w:tcPr>
            <w:tcW w:w="260" w:type="dxa"/>
            <w:vAlign w:val="bottom"/>
            <w:gridSpan w:val="2"/>
          </w:tcPr>
          <w:p>
            <w:pPr>
              <w:jc w:val="right"/>
              <w:spacing w:after="0"/>
              <w:rPr>
                <w:rFonts w:ascii="Arial" w:cs="Arial" w:eastAsia="Arial" w:hAnsi="Arial"/>
                <w:sz w:val="18"/>
                <w:szCs w:val="18"/>
                <w:color w:val="0000FF"/>
                <w:w w:val="79"/>
              </w:rPr>
            </w:pPr>
            <w:hyperlink w:anchor="page112">
              <w:r>
                <w:rPr>
                  <w:rFonts w:ascii="Arial" w:cs="Arial" w:eastAsia="Arial" w:hAnsi="Arial"/>
                  <w:sz w:val="18"/>
                  <w:szCs w:val="18"/>
                  <w:color w:val="0000FF"/>
                  <w:w w:val="79"/>
                </w:rPr>
                <w:t>111</w:t>
              </w:r>
            </w:hyperlink>
          </w:p>
        </w:tc>
        <w:tc>
          <w:tcPr>
            <w:tcW w:w="0" w:type="dxa"/>
            <w:vAlign w:val="bottom"/>
          </w:tcPr>
          <w:p>
            <w:pPr>
              <w:spacing w:after="0"/>
              <w:rPr>
                <w:sz w:val="1"/>
                <w:szCs w:val="1"/>
                <w:color w:val="auto"/>
              </w:rPr>
            </w:pPr>
          </w:p>
        </w:tc>
      </w:tr>
      <w:tr>
        <w:trPr>
          <w:trHeight w:val="250"/>
        </w:trPr>
        <w:tc>
          <w:tcPr>
            <w:tcW w:w="1320" w:type="dxa"/>
            <w:vAlign w:val="bottom"/>
            <w:tcBorders>
              <w:top w:val="single" w:sz="8" w:color="0000FF"/>
            </w:tcBorders>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Borders>
              <w:bottom w:val="single" w:sz="8" w:color="0000FF"/>
            </w:tcBorders>
            <w:gridSpan w:val="3"/>
          </w:tcPr>
          <w:p>
            <w:pPr>
              <w:spacing w:after="0"/>
              <w:rPr>
                <w:rFonts w:ascii="Arial" w:cs="Arial" w:eastAsia="Arial" w:hAnsi="Arial"/>
                <w:sz w:val="18"/>
                <w:szCs w:val="18"/>
                <w:b w:val="1"/>
                <w:bCs w:val="1"/>
                <w:color w:val="0000FF"/>
              </w:rPr>
            </w:pPr>
            <w:hyperlink w:anchor="page112">
              <w:r>
                <w:rPr>
                  <w:rFonts w:ascii="Arial" w:cs="Arial" w:eastAsia="Arial" w:hAnsi="Arial"/>
                  <w:sz w:val="18"/>
                  <w:szCs w:val="18"/>
                  <w:b w:val="1"/>
                  <w:bCs w:val="1"/>
                  <w:color w:val="0000FF"/>
                </w:rPr>
                <w:t>PART III</w:t>
              </w:r>
            </w:hyperlink>
          </w:p>
        </w:tc>
        <w:tc>
          <w:tcPr>
            <w:tcW w:w="5040" w:type="dxa"/>
            <w:vAlign w:val="bottom"/>
            <w:gridSpan w:val="6"/>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100" w:type="dxa"/>
            <w:vAlign w:val="bottom"/>
            <w:tcBorders>
              <w:bottom w:val="single" w:sz="8" w:color="0000FF"/>
            </w:tcBorders>
            <w:gridSpan w:val="8"/>
          </w:tcPr>
          <w:p>
            <w:pPr>
              <w:spacing w:after="0"/>
              <w:rPr>
                <w:rFonts w:ascii="Arial" w:cs="Arial" w:eastAsia="Arial" w:hAnsi="Arial"/>
                <w:sz w:val="18"/>
                <w:szCs w:val="18"/>
                <w:color w:val="0000FF"/>
                <w:w w:val="90"/>
              </w:rPr>
            </w:pPr>
            <w:hyperlink w:anchor="page113">
              <w:r>
                <w:rPr>
                  <w:rFonts w:ascii="Arial" w:cs="Arial" w:eastAsia="Arial" w:hAnsi="Arial"/>
                  <w:sz w:val="18"/>
                  <w:szCs w:val="18"/>
                  <w:color w:val="0000FF"/>
                  <w:w w:val="90"/>
                </w:rPr>
                <w:t>Directors, Executive Officers and Corporate Governance</w:t>
              </w:r>
            </w:hyperlink>
          </w:p>
        </w:tc>
        <w:tc>
          <w:tcPr>
            <w:tcW w:w="6080" w:type="dxa"/>
            <w:vAlign w:val="bottom"/>
            <w:gridSpan w:val="11"/>
          </w:tcPr>
          <w:p>
            <w:pPr>
              <w:spacing w:after="0"/>
              <w:rPr>
                <w:sz w:val="21"/>
                <w:szCs w:val="21"/>
                <w:color w:val="auto"/>
              </w:rPr>
            </w:pPr>
          </w:p>
        </w:tc>
        <w:tc>
          <w:tcPr>
            <w:tcW w:w="26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113">
              <w:r>
                <w:rPr>
                  <w:rFonts w:ascii="Arial" w:cs="Arial" w:eastAsia="Arial" w:hAnsi="Arial"/>
                  <w:sz w:val="18"/>
                  <w:szCs w:val="18"/>
                  <w:color w:val="0000FF"/>
                  <w:w w:val="79"/>
                </w:rPr>
                <w:t>112</w:t>
              </w:r>
            </w:hyperlink>
          </w:p>
        </w:tc>
        <w:tc>
          <w:tcPr>
            <w:tcW w:w="0" w:type="dxa"/>
            <w:vAlign w:val="bottom"/>
          </w:tcPr>
          <w:p>
            <w:pPr>
              <w:spacing w:after="0"/>
              <w:rPr>
                <w:sz w:val="1"/>
                <w:szCs w:val="1"/>
                <w:color w:val="auto"/>
              </w:rPr>
            </w:pPr>
          </w:p>
        </w:tc>
      </w:tr>
      <w:tr>
        <w:trPr>
          <w:trHeight w:val="250"/>
        </w:trPr>
        <w:tc>
          <w:tcPr>
            <w:tcW w:w="10180" w:type="dxa"/>
            <w:vAlign w:val="bottom"/>
            <w:gridSpan w:val="19"/>
          </w:tcPr>
          <w:p>
            <w:pPr>
              <w:spacing w:after="0"/>
              <w:rPr>
                <w:rFonts w:ascii="Arial" w:cs="Arial" w:eastAsia="Arial" w:hAnsi="Arial"/>
                <w:sz w:val="18"/>
                <w:szCs w:val="18"/>
                <w:color w:val="0000FF"/>
              </w:rPr>
            </w:pPr>
            <w:hyperlink w:anchor="page113">
              <w:r>
                <w:rPr>
                  <w:rFonts w:ascii="Arial" w:cs="Arial" w:eastAsia="Arial" w:hAnsi="Arial"/>
                  <w:sz w:val="18"/>
                  <w:szCs w:val="18"/>
                  <w:color w:val="0000FF"/>
                </w:rPr>
                <w:t>Executive Compensation</w:t>
              </w:r>
            </w:hyperlink>
          </w:p>
        </w:tc>
        <w:tc>
          <w:tcPr>
            <w:tcW w:w="260" w:type="dxa"/>
            <w:vAlign w:val="bottom"/>
            <w:gridSpan w:val="2"/>
          </w:tcPr>
          <w:p>
            <w:pPr>
              <w:jc w:val="right"/>
              <w:spacing w:after="0"/>
              <w:rPr>
                <w:rFonts w:ascii="Arial" w:cs="Arial" w:eastAsia="Arial" w:hAnsi="Arial"/>
                <w:sz w:val="18"/>
                <w:szCs w:val="18"/>
                <w:color w:val="0000FF"/>
                <w:w w:val="79"/>
              </w:rPr>
            </w:pPr>
            <w:hyperlink w:anchor="page113">
              <w:r>
                <w:rPr>
                  <w:rFonts w:ascii="Arial" w:cs="Arial" w:eastAsia="Arial" w:hAnsi="Arial"/>
                  <w:sz w:val="18"/>
                  <w:szCs w:val="18"/>
                  <w:color w:val="0000FF"/>
                  <w:w w:val="79"/>
                </w:rPr>
                <w:t>112</w:t>
              </w:r>
            </w:hyperlink>
          </w:p>
        </w:tc>
        <w:tc>
          <w:tcPr>
            <w:tcW w:w="0" w:type="dxa"/>
            <w:vAlign w:val="bottom"/>
          </w:tcPr>
          <w:p>
            <w:pPr>
              <w:spacing w:after="0"/>
              <w:rPr>
                <w:sz w:val="1"/>
                <w:szCs w:val="1"/>
                <w:color w:val="auto"/>
              </w:rPr>
            </w:pPr>
          </w:p>
        </w:tc>
      </w:tr>
      <w:tr>
        <w:trPr>
          <w:trHeight w:val="20"/>
        </w:trPr>
        <w:tc>
          <w:tcPr>
            <w:tcW w:w="1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300" w:type="dxa"/>
            <w:vAlign w:val="bottom"/>
            <w:tcBorders>
              <w:bottom w:val="single" w:sz="8" w:color="0000FF"/>
            </w:tcBorders>
            <w:gridSpan w:val="17"/>
          </w:tcPr>
          <w:p>
            <w:pPr>
              <w:spacing w:after="0"/>
              <w:rPr>
                <w:rFonts w:ascii="Arial" w:cs="Arial" w:eastAsia="Arial" w:hAnsi="Arial"/>
                <w:sz w:val="18"/>
                <w:szCs w:val="18"/>
                <w:color w:val="0000FF"/>
                <w:w w:val="90"/>
              </w:rPr>
            </w:pPr>
            <w:hyperlink w:anchor="page113">
              <w:r>
                <w:rPr>
                  <w:rFonts w:ascii="Arial" w:cs="Arial" w:eastAsia="Arial" w:hAnsi="Arial"/>
                  <w:sz w:val="18"/>
                  <w:szCs w:val="18"/>
                  <w:color w:val="0000FF"/>
                  <w:w w:val="90"/>
                </w:rPr>
                <w:t>Security Ownership of Certain Beneficial Owners and Management and Related Stockholder Matters</w:t>
              </w:r>
            </w:hyperlink>
          </w:p>
        </w:tc>
        <w:tc>
          <w:tcPr>
            <w:tcW w:w="2880" w:type="dxa"/>
            <w:vAlign w:val="bottom"/>
            <w:gridSpan w:val="2"/>
          </w:tcPr>
          <w:p>
            <w:pPr>
              <w:spacing w:after="0"/>
              <w:rPr>
                <w:sz w:val="21"/>
                <w:szCs w:val="21"/>
                <w:color w:val="auto"/>
              </w:rPr>
            </w:pPr>
          </w:p>
        </w:tc>
        <w:tc>
          <w:tcPr>
            <w:tcW w:w="26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113">
              <w:r>
                <w:rPr>
                  <w:rFonts w:ascii="Arial" w:cs="Arial" w:eastAsia="Arial" w:hAnsi="Arial"/>
                  <w:sz w:val="18"/>
                  <w:szCs w:val="18"/>
                  <w:color w:val="0000FF"/>
                  <w:w w:val="79"/>
                </w:rPr>
                <w:t>112</w:t>
              </w:r>
            </w:hyperlink>
          </w:p>
        </w:tc>
        <w:tc>
          <w:tcPr>
            <w:tcW w:w="0" w:type="dxa"/>
            <w:vAlign w:val="bottom"/>
          </w:tcPr>
          <w:p>
            <w:pPr>
              <w:spacing w:after="0"/>
              <w:rPr>
                <w:sz w:val="1"/>
                <w:szCs w:val="1"/>
                <w:color w:val="auto"/>
              </w:rPr>
            </w:pPr>
          </w:p>
        </w:tc>
      </w:tr>
      <w:tr>
        <w:trPr>
          <w:trHeight w:val="250"/>
        </w:trPr>
        <w:tc>
          <w:tcPr>
            <w:tcW w:w="5460" w:type="dxa"/>
            <w:vAlign w:val="bottom"/>
            <w:tcBorders>
              <w:bottom w:val="single" w:sz="8" w:color="0000FF"/>
            </w:tcBorders>
            <w:gridSpan w:val="14"/>
          </w:tcPr>
          <w:p>
            <w:pPr>
              <w:spacing w:after="0"/>
              <w:rPr>
                <w:rFonts w:ascii="Arial" w:cs="Arial" w:eastAsia="Arial" w:hAnsi="Arial"/>
                <w:sz w:val="18"/>
                <w:szCs w:val="18"/>
                <w:color w:val="0000FF"/>
                <w:w w:val="89"/>
              </w:rPr>
            </w:pPr>
            <w:hyperlink w:anchor="page113">
              <w:r>
                <w:rPr>
                  <w:rFonts w:ascii="Arial" w:cs="Arial" w:eastAsia="Arial" w:hAnsi="Arial"/>
                  <w:sz w:val="18"/>
                  <w:szCs w:val="18"/>
                  <w:color w:val="0000FF"/>
                  <w:w w:val="89"/>
                </w:rPr>
                <w:t>Certain Relationships and Related Transactions, and Director Independence</w:t>
              </w:r>
            </w:hyperlink>
          </w:p>
        </w:tc>
        <w:tc>
          <w:tcPr>
            <w:tcW w:w="4720" w:type="dxa"/>
            <w:vAlign w:val="bottom"/>
            <w:gridSpan w:val="5"/>
          </w:tcPr>
          <w:p>
            <w:pPr>
              <w:spacing w:after="0"/>
              <w:rPr>
                <w:sz w:val="21"/>
                <w:szCs w:val="21"/>
                <w:color w:val="auto"/>
              </w:rPr>
            </w:pPr>
          </w:p>
        </w:tc>
        <w:tc>
          <w:tcPr>
            <w:tcW w:w="26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113">
              <w:r>
                <w:rPr>
                  <w:rFonts w:ascii="Arial" w:cs="Arial" w:eastAsia="Arial" w:hAnsi="Arial"/>
                  <w:sz w:val="18"/>
                  <w:szCs w:val="18"/>
                  <w:color w:val="0000FF"/>
                  <w:w w:val="79"/>
                </w:rPr>
                <w:t>112</w:t>
              </w:r>
            </w:hyperlink>
          </w:p>
        </w:tc>
        <w:tc>
          <w:tcPr>
            <w:tcW w:w="0" w:type="dxa"/>
            <w:vAlign w:val="bottom"/>
          </w:tcPr>
          <w:p>
            <w:pPr>
              <w:spacing w:after="0"/>
              <w:rPr>
                <w:sz w:val="1"/>
                <w:szCs w:val="1"/>
                <w:color w:val="auto"/>
              </w:rPr>
            </w:pPr>
          </w:p>
        </w:tc>
      </w:tr>
      <w:tr>
        <w:trPr>
          <w:trHeight w:val="250"/>
        </w:trPr>
        <w:tc>
          <w:tcPr>
            <w:tcW w:w="10180" w:type="dxa"/>
            <w:vAlign w:val="bottom"/>
            <w:gridSpan w:val="19"/>
          </w:tcPr>
          <w:p>
            <w:pPr>
              <w:spacing w:after="0"/>
              <w:rPr>
                <w:rFonts w:ascii="Arial" w:cs="Arial" w:eastAsia="Arial" w:hAnsi="Arial"/>
                <w:sz w:val="18"/>
                <w:szCs w:val="18"/>
                <w:color w:val="0000FF"/>
              </w:rPr>
            </w:pPr>
            <w:hyperlink w:anchor="page113">
              <w:r>
                <w:rPr>
                  <w:rFonts w:ascii="Arial" w:cs="Arial" w:eastAsia="Arial" w:hAnsi="Arial"/>
                  <w:sz w:val="18"/>
                  <w:szCs w:val="18"/>
                  <w:color w:val="0000FF"/>
                </w:rPr>
                <w:t>Principal Accountant Fees and Services</w:t>
              </w:r>
            </w:hyperlink>
          </w:p>
        </w:tc>
        <w:tc>
          <w:tcPr>
            <w:tcW w:w="260" w:type="dxa"/>
            <w:vAlign w:val="bottom"/>
            <w:gridSpan w:val="2"/>
          </w:tcPr>
          <w:p>
            <w:pPr>
              <w:jc w:val="right"/>
              <w:spacing w:after="0"/>
              <w:rPr>
                <w:rFonts w:ascii="Arial" w:cs="Arial" w:eastAsia="Arial" w:hAnsi="Arial"/>
                <w:sz w:val="18"/>
                <w:szCs w:val="18"/>
                <w:color w:val="0000FF"/>
                <w:w w:val="79"/>
              </w:rPr>
            </w:pPr>
            <w:hyperlink w:anchor="page113">
              <w:r>
                <w:rPr>
                  <w:rFonts w:ascii="Arial" w:cs="Arial" w:eastAsia="Arial" w:hAnsi="Arial"/>
                  <w:sz w:val="18"/>
                  <w:szCs w:val="18"/>
                  <w:color w:val="0000FF"/>
                  <w:w w:val="79"/>
                </w:rPr>
                <w:t>112</w:t>
              </w:r>
            </w:hyperlink>
          </w:p>
        </w:tc>
        <w:tc>
          <w:tcPr>
            <w:tcW w:w="0" w:type="dxa"/>
            <w:vAlign w:val="bottom"/>
          </w:tcPr>
          <w:p>
            <w:pPr>
              <w:spacing w:after="0"/>
              <w:rPr>
                <w:sz w:val="1"/>
                <w:szCs w:val="1"/>
                <w:color w:val="auto"/>
              </w:rPr>
            </w:pPr>
          </w:p>
        </w:tc>
      </w:tr>
      <w:tr>
        <w:trPr>
          <w:trHeight w:val="210"/>
        </w:trPr>
        <w:tc>
          <w:tcPr>
            <w:tcW w:w="132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6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780" w:type="dxa"/>
            <w:vAlign w:val="bottom"/>
            <w:gridSpan w:val="9"/>
          </w:tcPr>
          <w:p>
            <w:pPr>
              <w:spacing w:after="0"/>
              <w:rPr>
                <w:rFonts w:ascii="Arial" w:cs="Arial" w:eastAsia="Arial" w:hAnsi="Arial"/>
                <w:sz w:val="18"/>
                <w:szCs w:val="18"/>
                <w:b w:val="1"/>
                <w:bCs w:val="1"/>
                <w:color w:val="0000FF"/>
              </w:rPr>
            </w:pPr>
            <w:hyperlink w:anchor="page113">
              <w:r>
                <w:rPr>
                  <w:rFonts w:ascii="Arial" w:cs="Arial" w:eastAsia="Arial" w:hAnsi="Arial"/>
                  <w:sz w:val="18"/>
                  <w:szCs w:val="18"/>
                  <w:b w:val="1"/>
                  <w:bCs w:val="1"/>
                  <w:color w:val="0000FF"/>
                </w:rPr>
                <w:t>PART IV</w:t>
              </w:r>
            </w:hyperlink>
          </w:p>
        </w:tc>
        <w:tc>
          <w:tcPr>
            <w:tcW w:w="8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420" w:type="dxa"/>
            <w:vAlign w:val="bottom"/>
            <w:gridSpan w:val="11"/>
          </w:tcPr>
          <w:p>
            <w:pPr>
              <w:spacing w:after="0"/>
              <w:rPr>
                <w:rFonts w:ascii="Arial" w:cs="Arial" w:eastAsia="Arial" w:hAnsi="Arial"/>
                <w:sz w:val="18"/>
                <w:szCs w:val="18"/>
                <w:color w:val="0000FF"/>
              </w:rPr>
            </w:pPr>
            <w:hyperlink w:anchor="page114">
              <w:r>
                <w:rPr>
                  <w:rFonts w:ascii="Arial" w:cs="Arial" w:eastAsia="Arial" w:hAnsi="Arial"/>
                  <w:sz w:val="18"/>
                  <w:szCs w:val="18"/>
                  <w:color w:val="0000FF"/>
                </w:rPr>
                <w:t>Exhibits, Financial Statement Schedules</w:t>
              </w:r>
            </w:hyperlink>
          </w:p>
        </w:tc>
        <w:tc>
          <w:tcPr>
            <w:tcW w:w="700" w:type="dxa"/>
            <w:vAlign w:val="bottom"/>
            <w:tcBorders>
              <w:top w:val="single" w:sz="8" w:color="0000FF"/>
            </w:tcBorders>
          </w:tcPr>
          <w:p>
            <w:pPr>
              <w:spacing w:after="0"/>
              <w:rPr>
                <w:sz w:val="21"/>
                <w:szCs w:val="21"/>
                <w:color w:val="auto"/>
              </w:rPr>
            </w:pPr>
          </w:p>
        </w:tc>
        <w:tc>
          <w:tcPr>
            <w:tcW w:w="5060" w:type="dxa"/>
            <w:vAlign w:val="bottom"/>
            <w:gridSpan w:val="7"/>
          </w:tcPr>
          <w:p>
            <w:pPr>
              <w:spacing w:after="0"/>
              <w:rPr>
                <w:sz w:val="21"/>
                <w:szCs w:val="21"/>
                <w:color w:val="auto"/>
              </w:rPr>
            </w:pPr>
          </w:p>
        </w:tc>
        <w:tc>
          <w:tcPr>
            <w:tcW w:w="260" w:type="dxa"/>
            <w:vAlign w:val="bottom"/>
            <w:gridSpan w:val="2"/>
          </w:tcPr>
          <w:p>
            <w:pPr>
              <w:jc w:val="right"/>
              <w:spacing w:after="0"/>
              <w:rPr>
                <w:rFonts w:ascii="Arial" w:cs="Arial" w:eastAsia="Arial" w:hAnsi="Arial"/>
                <w:sz w:val="18"/>
                <w:szCs w:val="18"/>
                <w:color w:val="0000FF"/>
                <w:w w:val="79"/>
              </w:rPr>
            </w:pPr>
            <w:hyperlink w:anchor="page114">
              <w:r>
                <w:rPr>
                  <w:rFonts w:ascii="Arial" w:cs="Arial" w:eastAsia="Arial" w:hAnsi="Arial"/>
                  <w:sz w:val="18"/>
                  <w:szCs w:val="18"/>
                  <w:color w:val="0000FF"/>
                  <w:w w:val="79"/>
                </w:rPr>
                <w:t>113</w:t>
              </w:r>
            </w:hyperlink>
          </w:p>
        </w:tc>
        <w:tc>
          <w:tcPr>
            <w:tcW w:w="0" w:type="dxa"/>
            <w:vAlign w:val="bottom"/>
          </w:tcPr>
          <w:p>
            <w:pPr>
              <w:spacing w:after="0"/>
              <w:rPr>
                <w:sz w:val="1"/>
                <w:szCs w:val="1"/>
                <w:color w:val="auto"/>
              </w:rPr>
            </w:pPr>
          </w:p>
        </w:tc>
      </w:tr>
      <w:tr>
        <w:trPr>
          <w:trHeight w:val="210"/>
        </w:trPr>
        <w:tc>
          <w:tcPr>
            <w:tcW w:w="156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2"/>
              </w:rPr>
            </w:pPr>
            <w:hyperlink w:anchor="page117">
              <w:r>
                <w:rPr>
                  <w:rFonts w:ascii="Arial" w:cs="Arial" w:eastAsia="Arial" w:hAnsi="Arial"/>
                  <w:sz w:val="18"/>
                  <w:szCs w:val="18"/>
                  <w:color w:val="0000FF"/>
                  <w:w w:val="92"/>
                </w:rPr>
                <w:t>Form 10-K Summary</w:t>
              </w:r>
            </w:hyperlink>
          </w:p>
        </w:tc>
        <w:tc>
          <w:tcPr>
            <w:tcW w:w="1340" w:type="dxa"/>
            <w:vAlign w:val="bottom"/>
            <w:tcBorders>
              <w:top w:val="single" w:sz="8" w:color="0000FF"/>
              <w:bottom w:val="single" w:sz="8" w:color="0000FF"/>
            </w:tcBorders>
            <w:gridSpan w:val="4"/>
            <w:vMerge w:val="restart"/>
          </w:tcPr>
          <w:p>
            <w:pPr>
              <w:spacing w:after="0"/>
              <w:rPr>
                <w:sz w:val="18"/>
                <w:szCs w:val="18"/>
                <w:color w:val="auto"/>
              </w:rPr>
            </w:pPr>
          </w:p>
        </w:tc>
        <w:tc>
          <w:tcPr>
            <w:tcW w:w="7280" w:type="dxa"/>
            <w:vAlign w:val="bottom"/>
            <w:gridSpan w:val="13"/>
            <w:vMerge w:val="restart"/>
          </w:tcPr>
          <w:p>
            <w:pPr>
              <w:spacing w:after="0"/>
              <w:rPr>
                <w:sz w:val="18"/>
                <w:szCs w:val="18"/>
                <w:color w:val="auto"/>
              </w:rPr>
            </w:pPr>
          </w:p>
        </w:tc>
        <w:tc>
          <w:tcPr>
            <w:tcW w:w="260" w:type="dxa"/>
            <w:vAlign w:val="bottom"/>
            <w:tcBorders>
              <w:top w:val="single" w:sz="8" w:color="0000FF"/>
              <w:bottom w:val="single" w:sz="8" w:color="0000FF"/>
            </w:tcBorders>
            <w:gridSpan w:val="2"/>
            <w:vMerge w:val="restart"/>
          </w:tcPr>
          <w:p>
            <w:pPr>
              <w:jc w:val="right"/>
              <w:spacing w:after="0"/>
              <w:rPr>
                <w:rFonts w:ascii="Arial" w:cs="Arial" w:eastAsia="Arial" w:hAnsi="Arial"/>
                <w:sz w:val="18"/>
                <w:szCs w:val="18"/>
                <w:color w:val="0000FF"/>
                <w:w w:val="79"/>
              </w:rPr>
            </w:pPr>
            <w:hyperlink w:anchor="page117">
              <w:r>
                <w:rPr>
                  <w:rFonts w:ascii="Arial" w:cs="Arial" w:eastAsia="Arial" w:hAnsi="Arial"/>
                  <w:sz w:val="18"/>
                  <w:szCs w:val="18"/>
                  <w:color w:val="0000FF"/>
                  <w:w w:val="79"/>
                </w:rPr>
                <w:t>116</w:t>
              </w:r>
            </w:hyperlink>
          </w:p>
        </w:tc>
        <w:tc>
          <w:tcPr>
            <w:tcW w:w="0" w:type="dxa"/>
            <w:vAlign w:val="bottom"/>
          </w:tcPr>
          <w:p>
            <w:pPr>
              <w:spacing w:after="0"/>
              <w:rPr>
                <w:sz w:val="1"/>
                <w:szCs w:val="1"/>
                <w:color w:val="auto"/>
              </w:rPr>
            </w:pPr>
          </w:p>
        </w:tc>
      </w:tr>
      <w:tr>
        <w:trPr>
          <w:trHeight w:val="21"/>
        </w:trPr>
        <w:tc>
          <w:tcPr>
            <w:tcW w:w="1560" w:type="dxa"/>
            <w:vAlign w:val="bottom"/>
            <w:gridSpan w:val="2"/>
          </w:tcPr>
          <w:p>
            <w:pPr>
              <w:spacing w:after="0" w:line="20" w:lineRule="exact"/>
              <w:rPr>
                <w:sz w:val="1"/>
                <w:szCs w:val="1"/>
                <w:color w:val="auto"/>
              </w:rPr>
            </w:pPr>
          </w:p>
        </w:tc>
        <w:tc>
          <w:tcPr>
            <w:tcW w:w="1340" w:type="dxa"/>
            <w:vAlign w:val="bottom"/>
            <w:gridSpan w:val="4"/>
            <w:vMerge w:val="continue"/>
          </w:tcPr>
          <w:p>
            <w:pPr>
              <w:spacing w:after="0" w:line="20" w:lineRule="exact"/>
              <w:rPr>
                <w:sz w:val="1"/>
                <w:szCs w:val="1"/>
                <w:color w:val="auto"/>
              </w:rPr>
            </w:pPr>
          </w:p>
        </w:tc>
        <w:tc>
          <w:tcPr>
            <w:tcW w:w="7280" w:type="dxa"/>
            <w:vAlign w:val="bottom"/>
            <w:gridSpan w:val="13"/>
            <w:vMerge w:val="continue"/>
          </w:tcPr>
          <w:p>
            <w:pPr>
              <w:spacing w:after="0" w:line="20" w:lineRule="exact"/>
              <w:rPr>
                <w:sz w:val="1"/>
                <w:szCs w:val="1"/>
                <w:color w:val="auto"/>
              </w:rPr>
            </w:pPr>
          </w:p>
        </w:tc>
        <w:tc>
          <w:tcPr>
            <w:tcW w:w="260" w:type="dxa"/>
            <w:vAlign w:val="bottom"/>
            <w:tcBorders>
              <w:bottom w:val="single" w:sz="8" w:color="0000FF"/>
            </w:tcBorders>
            <w:gridSpan w:val="2"/>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6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117">
              <w:r>
                <w:rPr>
                  <w:rFonts w:ascii="Arial" w:cs="Arial" w:eastAsia="Arial" w:hAnsi="Arial"/>
                  <w:sz w:val="18"/>
                  <w:szCs w:val="18"/>
                  <w:color w:val="0000FF"/>
                  <w:w w:val="79"/>
                </w:rPr>
                <w:t>117</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780" w:space="160"/>
            <w:col w:w="10440"/>
          </w:cols>
          <w:pgMar w:left="240" w:top="121" w:right="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type w:val="continuous"/>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256"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Wynn Resorts, Limited ("Wynn Resorts," or together with its subsidiaries, "we" or the "Company") is a preeminent designer, developer, and operator of integrated resorts featuring luxury hotel rooms, high-end retail space, an array of dining and entertainment options, meeting and convention facilities, and gaming, all supported by an unparalleled focus on our guests, our people, and our community. We believe that our extensive design and operational experience across numerous gaming jurisdictions provides us with a distinct advantage over other gaming enterprises.</w:t>
      </w:r>
    </w:p>
    <w:p>
      <w:pPr>
        <w:spacing w:after="0" w:line="198"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Through our approximately 72% ownership of Wynn Macau, Limited ("WML"), we operate two integrated resorts in the Macau Special Administrative Region of the People's Republic of China ("Macau"), Wynn Palace and Wynn Macau (collectively, our "Macau Operations"). In Las Vegas, Nevada, we operate and, with the exception of certain retail space, own 100% of Wynn Las Vegas and Encore at Wynn Las Vegas, which we also refer to as our Las Vegas Operations. On June 23, 2019, we opened Encore Boston Harbor, an integrated resort in Everett, Massachusetts.</w:t>
      </w:r>
    </w:p>
    <w:p>
      <w:pPr>
        <w:spacing w:after="0" w:line="198"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 xml:space="preserve">Wynn Resorts was incorporated in Nevada in 2002. Wynn Resorts files annual reports on Form 10-K, quarterly reports on Form 10-Q, current reports on Form 8-K and amendments of such reports with the Securities and Exchange Commission ("SEC"). Any document Wynn Resorts files may be inspected, without charge, at the SEC's website at </w:t>
      </w:r>
      <w:r>
        <w:rPr>
          <w:rFonts w:ascii="Arial" w:cs="Arial" w:eastAsia="Arial" w:hAnsi="Arial"/>
          <w:sz w:val="17"/>
          <w:szCs w:val="17"/>
          <w:u w:val="single" w:color="auto"/>
          <w:color w:val="auto"/>
        </w:rPr>
        <w:t>http://www.sec.gov</w:t>
      </w:r>
      <w:r>
        <w:rPr>
          <w:rFonts w:ascii="Arial" w:cs="Arial" w:eastAsia="Arial" w:hAnsi="Arial"/>
          <w:sz w:val="17"/>
          <w:szCs w:val="17"/>
          <w:color w:val="auto"/>
        </w:rPr>
        <w:t xml:space="preserve">. Information related to the operation of the SEC's public reference room may be obtained by calling the SEC at 1-800-SEC-0330. In addition, through our corporate website at </w:t>
      </w:r>
      <w:r>
        <w:rPr>
          <w:rFonts w:ascii="Arial" w:cs="Arial" w:eastAsia="Arial" w:hAnsi="Arial"/>
          <w:sz w:val="17"/>
          <w:szCs w:val="17"/>
          <w:u w:val="single" w:color="auto"/>
          <w:color w:val="auto"/>
        </w:rPr>
        <w:t>www.wynnresorts.com</w:t>
      </w:r>
      <w:r>
        <w:rPr>
          <w:rFonts w:ascii="Arial" w:cs="Arial" w:eastAsia="Arial" w:hAnsi="Arial"/>
          <w:sz w:val="17"/>
          <w:szCs w:val="17"/>
          <w:color w:val="auto"/>
        </w:rPr>
        <w:t>, Wynn Resorts provides a hyperlink to a third-party SEC filing website which posts these filings as soon as reasonably practicable, where they can be reviewed without charge. The information found on our website is not a part of this Annual Report on Form 10-K or any other report we file with or furnish to the SEC.</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5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conceptualize, design, build, and operate our resorts to create unforgettable customer experiences across a diverse set of gaming and non-gaming amenities that attract a wide range of customer segments and generate strong financial results.</w:t>
      </w:r>
    </w:p>
    <w:p>
      <w:pPr>
        <w:spacing w:after="0" w:line="197"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Central to our strategy is the construction of, and regular reinvestment in, world-class integrated resorts. These activities are led by our in-house design, development, and construction subsidiary and its senior management team, which has significant experience across all major design and construction disciplines. In addition, we believe superior customer service is the best marketing strategy to attract customers and drive repeat visitation to our resorts. Human resources and staff training are essential to ensuring our employees are prepared to provide the luxury service that our guests expect. We have been successful in attracting a wide range of premium guests both domestically and internationally. We leverage our international marketing team across branch offices located in Hong Kong SAR, Singapore, Japan, Taiwan, and Canada to connect with and build relationships with our international customers. We continually evaluate our offerings and service levels, and as a result, have made and expect to continue to make enhancements and refinements to our resorts.</w:t>
      </w:r>
    </w:p>
    <w:p>
      <w:pPr>
        <w:spacing w:after="0" w:line="19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plan to continue to seek out new opportunities to develop and operate world-class integrated resorts and related businesses around the world. Overall, we believe Wynn Resorts has a demonstrated track record of developing and operating integrated resorts that stimulate local and regional economic activity, by attracting a wide range of customers (including high-net-worth international tourists), driving international tourism, raising average hotel room rates in the region, extending the average length of stay per visitor, complementing existing convention and meeting business with five-star accommodations and appropriately scaled meeting amenities, elevating service levels with the execution of five-star customer service, and stimulating city-wide investment and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Our Values</w:t>
      </w:r>
    </w:p>
    <w:p>
      <w:pPr>
        <w:spacing w:after="0" w:line="252"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Wynn Resorts thrives in the luxury hospitality industry because of our employees, who exhibit our values at every level within the Company. Our values are embodied by the following concepts:</w:t>
      </w:r>
    </w:p>
    <w:p>
      <w:pPr>
        <w:spacing w:after="0" w:line="21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i w:val="1"/>
          <w:iCs w:val="1"/>
          <w:color w:val="auto"/>
        </w:rPr>
        <w:t>Service-Driven</w:t>
      </w:r>
      <w:r>
        <w:rPr>
          <w:rFonts w:ascii="Arial" w:cs="Arial" w:eastAsia="Arial" w:hAnsi="Arial"/>
          <w:sz w:val="18"/>
          <w:szCs w:val="18"/>
          <w:color w:val="auto"/>
        </w:rPr>
        <w:t>. We foster a culture of respect, gratitude and meticulous attention to detail that makes service to guests our life’s work.</w:t>
      </w:r>
    </w:p>
    <w:p>
      <w:pPr>
        <w:spacing w:after="0" w:line="15"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1"/>
          <w:szCs w:val="21"/>
          <w:color w:val="auto"/>
        </w:rPr>
      </w:pPr>
      <w:r>
        <w:rPr>
          <w:rFonts w:ascii="Arial" w:cs="Arial" w:eastAsia="Arial" w:hAnsi="Arial"/>
          <w:sz w:val="17"/>
          <w:szCs w:val="17"/>
          <w:i w:val="1"/>
          <w:iCs w:val="1"/>
          <w:color w:val="auto"/>
        </w:rPr>
        <w:t>Excellence</w:t>
      </w:r>
      <w:r>
        <w:rPr>
          <w:rFonts w:ascii="Arial" w:cs="Arial" w:eastAsia="Arial" w:hAnsi="Arial"/>
          <w:sz w:val="17"/>
          <w:szCs w:val="17"/>
          <w:color w:val="auto"/>
        </w:rPr>
        <w:t>. Our singular focus on being the best celebrates the inherent connection between employee and guest, company and community.</w:t>
      </w:r>
    </w:p>
    <w:p>
      <w:pPr>
        <w:spacing w:after="0" w:line="26" w:lineRule="exact"/>
        <w:rPr>
          <w:rFonts w:ascii="Arial" w:cs="Arial" w:eastAsia="Arial" w:hAnsi="Arial"/>
          <w:sz w:val="21"/>
          <w:szCs w:val="21"/>
          <w:color w:val="auto"/>
        </w:rPr>
      </w:pPr>
    </w:p>
    <w:p>
      <w:pPr>
        <w:ind w:left="660" w:hanging="328"/>
        <w:spacing w:after="0" w:line="232"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i w:val="1"/>
          <w:iCs w:val="1"/>
          <w:color w:val="auto"/>
        </w:rPr>
        <w:t>Artistry</w:t>
      </w:r>
      <w:r>
        <w:rPr>
          <w:rFonts w:ascii="Arial" w:cs="Arial" w:eastAsia="Arial" w:hAnsi="Arial"/>
          <w:sz w:val="18"/>
          <w:szCs w:val="18"/>
          <w:color w:val="auto"/>
        </w:rPr>
        <w:t>. We provide a collection of guest experiences that prize artistry and championship craftsmanship, resulting in Wynn Resorts being the</w:t>
      </w:r>
      <w:r>
        <w:rPr>
          <w:rFonts w:ascii="Arial" w:cs="Arial" w:eastAsia="Arial" w:hAnsi="Arial"/>
          <w:sz w:val="18"/>
          <w:szCs w:val="18"/>
          <w:i w:val="1"/>
          <w:iCs w:val="1"/>
          <w:color w:val="auto"/>
        </w:rPr>
        <w:t xml:space="preserve"> </w:t>
      </w:r>
      <w:r>
        <w:rPr>
          <w:rFonts w:ascii="Arial" w:cs="Arial" w:eastAsia="Arial" w:hAnsi="Arial"/>
          <w:sz w:val="18"/>
          <w:szCs w:val="18"/>
          <w:color w:val="auto"/>
        </w:rPr>
        <w:t>highest ranked hotel company in the world.</w:t>
      </w:r>
    </w:p>
    <w:p>
      <w:pPr>
        <w:spacing w:after="0" w:line="28"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19"/>
          <w:szCs w:val="19"/>
          <w:color w:val="auto"/>
        </w:rPr>
      </w:pPr>
      <w:r>
        <w:rPr>
          <w:rFonts w:ascii="Arial" w:cs="Arial" w:eastAsia="Arial" w:hAnsi="Arial"/>
          <w:sz w:val="16"/>
          <w:szCs w:val="16"/>
          <w:i w:val="1"/>
          <w:iCs w:val="1"/>
          <w:color w:val="auto"/>
        </w:rPr>
        <w:t>Progressive</w:t>
      </w:r>
      <w:r>
        <w:rPr>
          <w:rFonts w:ascii="Arial" w:cs="Arial" w:eastAsia="Arial" w:hAnsi="Arial"/>
          <w:sz w:val="16"/>
          <w:szCs w:val="16"/>
          <w:color w:val="auto"/>
        </w:rPr>
        <w:t>. Our commitment to innovation enables us to continue evolving what it means to create and operate world-class resort destinations.</w:t>
      </w:r>
    </w:p>
    <w:p>
      <w:pPr>
        <w:spacing w:after="0" w:line="24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Our Commitment to Corporate Social Responsibility and Sustainability</w:t>
      </w:r>
    </w:p>
    <w:p>
      <w:pPr>
        <w:spacing w:after="0" w:line="252" w:lineRule="exact"/>
        <w:rPr>
          <w:sz w:val="20"/>
          <w:szCs w:val="20"/>
          <w:color w:val="auto"/>
        </w:rPr>
      </w:pPr>
    </w:p>
    <w:p>
      <w:pPr>
        <w:ind w:firstLine="405"/>
        <w:spacing w:after="0" w:line="262" w:lineRule="auto"/>
        <w:rPr>
          <w:sz w:val="20"/>
          <w:szCs w:val="20"/>
          <w:color w:val="auto"/>
        </w:rPr>
      </w:pPr>
      <w:r>
        <w:rPr>
          <w:rFonts w:ascii="Arial" w:cs="Arial" w:eastAsia="Arial" w:hAnsi="Arial"/>
          <w:sz w:val="18"/>
          <w:szCs w:val="18"/>
          <w:color w:val="auto"/>
        </w:rPr>
        <w:t>We are committed to our people, our communities, and our planet. Executing on our commitment to corporate social responsibility and sustainability includes:</w:t>
      </w:r>
    </w:p>
    <w:p>
      <w:pPr>
        <w:spacing w:after="0" w:line="214" w:lineRule="exact"/>
        <w:rPr>
          <w:sz w:val="20"/>
          <w:szCs w:val="20"/>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Creating a five-star workplace.</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Fostering a diverse and inclusive workforce, and investing in our people.</w:t>
      </w:r>
    </w:p>
    <w:p>
      <w:pPr>
        <w:spacing w:after="0" w:line="11"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Furthering social impact initiatives in our communities.</w:t>
      </w:r>
    </w:p>
    <w:p>
      <w:pPr>
        <w:spacing w:after="0" w:line="27"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color w:val="auto"/>
        </w:rPr>
        <w:t>Minimizing the harm and maximizing the benefit that we have on our community and environment by utilizing and sourcing energy and materials responsibly.</w:t>
      </w:r>
    </w:p>
    <w:p>
      <w:pPr>
        <w:spacing w:after="0" w:line="5"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Elevating our corporate governance practices to ensure they appropriately support the long-term interests of our stakeholders.</w:t>
      </w:r>
    </w:p>
    <w:p>
      <w:pPr>
        <w:spacing w:after="0" w:line="229"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7"/>
          <w:szCs w:val="17"/>
          <w:color w:val="auto"/>
        </w:rPr>
        <w:t>In North America, we have taken a leading role in the hospitality industry's transition to clean and sustainable sources of energy. Our investments in alternative energy, including on-site solar arrays and notably, a 160-acre solar facility in Northern Nevada, have earned us an invitation to join the U.S. Environmental Protection Agency's Green Power Partnership and a top ranking among Fortune 500 companies that voluntarily use green power to reduce air pollution and other environmental impacts associated with electricity use. We encourage our employees to avail themselves of numerous leadership and development opportunities and use our resources to assist in the education and development of the next generation of employees and leaders. We are also fully committed to supporting our communities in the Las Vegas and Boston areas, through our corporate giving program and through the Wynn Employee Foundation, which fosters charitable giving and volunteerism among Wynn employees and community partners.</w:t>
      </w:r>
    </w:p>
    <w:p>
      <w:pPr>
        <w:spacing w:after="0" w:line="207"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7"/>
          <w:szCs w:val="17"/>
          <w:color w:val="auto"/>
        </w:rPr>
        <w:t>In Macau and across the Greater Bay Area, which is the region encompassing Macau, Hong Kong, and southern Guangdong Province, we strive to drive reinvestment in our community, encourage volunteerism, and promote responsible gaming through our Wynn Care program. Since launching this program, we have centralized our community-focused initiatives under one umbrella and meaningfully increased our involvement in various volunteer activities and community events in Macau, the Greater Bay Area, and beyond. We are also fully committed to the sustainable development of Macau and endeavor to provide our guests with a premium experience while remaining environmentally conscious by monitoring and reducing inefficient consumption and embracing technologies that help us to responsibly use our resources. In addition, we provide our employees in Macau with numerous professional development and training opportunities to elevate core and leadership skills.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Executing on Our Strategy</w:t>
      </w:r>
    </w:p>
    <w:p>
      <w:pPr>
        <w:spacing w:after="0" w:line="252"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Reflecting our strategic focus, our values, and our commitment to delivering world-class, five-star service within luxury integrated resorts, the Company has received the following recognition:</w:t>
      </w:r>
    </w:p>
    <w:p>
      <w:pPr>
        <w:spacing w:after="0" w:line="238" w:lineRule="exact"/>
        <w:rPr>
          <w:sz w:val="20"/>
          <w:szCs w:val="20"/>
          <w:color w:val="auto"/>
        </w:rPr>
      </w:pPr>
    </w:p>
    <w:p>
      <w:pPr>
        <w:ind w:left="660" w:hanging="328"/>
        <w:spacing w:after="0" w:line="270" w:lineRule="auto"/>
        <w:tabs>
          <w:tab w:leader="none" w:pos="655" w:val="left"/>
        </w:tabs>
        <w:numPr>
          <w:ilvl w:val="0"/>
          <w:numId w:val="5"/>
        </w:numPr>
        <w:rPr>
          <w:rFonts w:ascii="Arial" w:cs="Arial" w:eastAsia="Arial" w:hAnsi="Arial"/>
          <w:sz w:val="19"/>
          <w:szCs w:val="19"/>
          <w:color w:val="auto"/>
        </w:rPr>
      </w:pPr>
      <w:r>
        <w:rPr>
          <w:rFonts w:ascii="Arial" w:cs="Arial" w:eastAsia="Arial" w:hAnsi="Arial"/>
          <w:sz w:val="16"/>
          <w:szCs w:val="16"/>
          <w:color w:val="auto"/>
        </w:rPr>
        <w:t>Wynn Las Vegas and Encore have each earned Five-Star status on the 2020 Forbes Travel Guide ("FTG") Star Rating list and are now the largest and second largest FTG Five-Star resorts in the world respectively. Wynn Palace, originally earning FTG Five-Star status in 2018, is the third largest.</w:t>
      </w: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Collectively, Wynn Resorts earned more FTG Five-Star awards than any other independent hotel company in the world in 2020.</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Wynn Palace garnered seven individual FTG Five-Star awards in 2020.</w:t>
      </w:r>
    </w:p>
    <w:p>
      <w:pPr>
        <w:spacing w:after="0" w:line="11"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Wynn Macau continues to be the only resort in the world with eight individual FTG Five-Star awards in 2020.</w:t>
      </w:r>
    </w:p>
    <w:p>
      <w:pPr>
        <w:spacing w:after="0" w:line="11"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Wynn Macau and Wynn Palace are the most decorated integrated resort brands in Asia with fifteen FTG Five-Star awards combined.</w:t>
      </w:r>
    </w:p>
    <w:p>
      <w:pPr>
        <w:spacing w:after="0" w:line="27"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19"/>
          <w:szCs w:val="19"/>
          <w:color w:val="auto"/>
        </w:rPr>
      </w:pPr>
      <w:r>
        <w:rPr>
          <w:rFonts w:ascii="Arial" w:cs="Arial" w:eastAsia="Arial" w:hAnsi="Arial"/>
          <w:sz w:val="16"/>
          <w:szCs w:val="16"/>
          <w:color w:val="auto"/>
        </w:rPr>
        <w:t>Wynn Las Vegas and Encore added two new 2020 FTG Five-Star awards and now collectively hold seven, the most of any resorts in North America.</w:t>
      </w:r>
    </w:p>
    <w:p>
      <w:pPr>
        <w:spacing w:after="0" w:line="38" w:lineRule="exact"/>
        <w:rPr>
          <w:rFonts w:ascii="Arial" w:cs="Arial" w:eastAsia="Arial" w:hAnsi="Arial"/>
          <w:sz w:val="19"/>
          <w:szCs w:val="19"/>
          <w:color w:val="auto"/>
        </w:rPr>
      </w:pPr>
    </w:p>
    <w:p>
      <w:pPr>
        <w:ind w:left="660" w:hanging="328"/>
        <w:spacing w:after="0" w:line="245" w:lineRule="auto"/>
        <w:tabs>
          <w:tab w:leader="none" w:pos="655" w:val="left"/>
        </w:tabs>
        <w:numPr>
          <w:ilvl w:val="0"/>
          <w:numId w:val="5"/>
        </w:numPr>
        <w:rPr>
          <w:rFonts w:ascii="Arial" w:cs="Arial" w:eastAsia="Arial" w:hAnsi="Arial"/>
          <w:sz w:val="21"/>
          <w:szCs w:val="21"/>
          <w:color w:val="auto"/>
        </w:rPr>
      </w:pPr>
      <w:r>
        <w:rPr>
          <w:rFonts w:ascii="Arial" w:cs="Arial" w:eastAsia="Arial" w:hAnsi="Arial"/>
          <w:sz w:val="17"/>
          <w:szCs w:val="17"/>
          <w:color w:val="auto"/>
        </w:rPr>
        <w:t>Wynn Resorts was once again honored to be included on FORTUNE Magazine's 2020 World's Most Admired Companies list in the hotel, casino, and resort category and ranked first overall in the category of Quality of Products/ Services among all international hotel companies.</w:t>
      </w:r>
    </w:p>
    <w:p>
      <w:pPr>
        <w:ind w:left="660" w:hanging="328"/>
        <w:spacing w:after="0" w:line="230" w:lineRule="auto"/>
        <w:tabs>
          <w:tab w:leader="none" w:pos="660" w:val="left"/>
        </w:tabs>
        <w:numPr>
          <w:ilvl w:val="0"/>
          <w:numId w:val="5"/>
        </w:numPr>
        <w:rPr>
          <w:rFonts w:ascii="Arial" w:cs="Arial" w:eastAsia="Arial" w:hAnsi="Arial"/>
          <w:sz w:val="21"/>
          <w:szCs w:val="21"/>
          <w:color w:val="auto"/>
        </w:rPr>
      </w:pPr>
      <w:r>
        <w:rPr>
          <w:rFonts w:ascii="Arial" w:cs="Arial" w:eastAsia="Arial" w:hAnsi="Arial"/>
          <w:sz w:val="17"/>
          <w:szCs w:val="17"/>
          <w:color w:val="auto"/>
        </w:rPr>
        <w:t>Wynn Las Vegas was certified as the only casino resort in Las Vegas as a 'Great Workplace' by the analysts at Great Place to Work</w:t>
      </w:r>
      <w:r>
        <w:rPr>
          <w:rFonts w:ascii="Arial" w:cs="Arial" w:eastAsia="Arial" w:hAnsi="Arial"/>
          <w:sz w:val="27"/>
          <w:szCs w:val="27"/>
          <w:color w:val="auto"/>
          <w:vertAlign w:val="superscript"/>
        </w:rPr>
        <w:t>®</w:t>
      </w:r>
      <w:r>
        <w:rPr>
          <w:rFonts w:ascii="Arial" w:cs="Arial" w:eastAsia="Arial" w:hAnsi="Arial"/>
          <w:sz w:val="17"/>
          <w:szCs w:val="17"/>
          <w:color w:val="auto"/>
        </w:rPr>
        <w:t xml:space="preserve"> in 2019.</w:t>
      </w:r>
    </w:p>
    <w:p>
      <w:pPr>
        <w:spacing w:after="0" w:line="1" w:lineRule="exact"/>
        <w:rPr>
          <w:rFonts w:ascii="Arial" w:cs="Arial" w:eastAsia="Arial" w:hAnsi="Arial"/>
          <w:sz w:val="21"/>
          <w:szCs w:val="21"/>
          <w:color w:val="auto"/>
        </w:rPr>
      </w:pPr>
    </w:p>
    <w:p>
      <w:pPr>
        <w:ind w:left="660" w:hanging="328"/>
        <w:spacing w:after="0" w:line="224"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color w:val="auto"/>
        </w:rPr>
        <w:t>Wynn Las Vegas has received Four Green Globes, the highest certification for energy-efficient and sustainable buildings from the Green Building Initiative.</w:t>
      </w:r>
    </w:p>
    <w:p>
      <w:pPr>
        <w:spacing w:after="0" w:line="4"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Encore Boston Harbor has been certified LEED Platinum, the U.S. Green Building Council's highest level of 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Resorts</w:t>
      </w:r>
    </w:p>
    <w:p>
      <w:pPr>
        <w:spacing w:after="0" w:line="25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present the operating results of our four resorts in the following segments: Wynn Palace, Wynn Macau, Las Vegas Operations, and Encore Boston Harbor. We may experience fluctuations in revenues and cash flows from month to month, including from such factors as the timing of major conventions and holidays; however, we do not believe that our business is materially impacted by seasonality.</w:t>
      </w:r>
    </w:p>
    <w:p>
      <w:pPr>
        <w:spacing w:after="0" w:line="20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Wynn Palace</w:t>
      </w:r>
    </w:p>
    <w:p>
      <w:pPr>
        <w:spacing w:after="0" w:line="252"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We opened Wynn Palace in August 2016, on Macau's Cotai Strip, conveniently located minutes from both Macau International Airport and the Macau Taipa Ferry Terminal and directly adjacent to a stop serviced by Macau's light rail system, which recently commenced operations in Cotai. The property features approximately 424,000 square feet of casino space with 323 table games and 1,011 slot machines, as well as private gaming salons and sky casinos. Wynn Palace also features a luxury hotel tower with a total of 1,706 guest rooms, suites, and villas, offering a health club, spa, salon, and pool. In addition, Wynn Palace offers 14 food and beverage outlets, approximately 106,000 square feet of high-end, brand-name retail space, and approximately 37,000 square feet of meeting and convention space. The property's signature public attractions and entertainment offerings include a performance lake, a gondola ride offering convenient street-level access, and an exceptional display of Western and Asian art.</w:t>
      </w:r>
    </w:p>
    <w:p>
      <w:pPr>
        <w:spacing w:after="0" w:line="205"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We are in the preliminary planning and design stages of developing the Crystal Pavilion at Wynn Palace. We expect that the Crystal Pavilion will become a unique world-class cultural destination, incorporating art, theater and interactive installations, expansive food and beverage offerings, additional hotel rooms, and several signature entertainment features. We expect construction of the initial phase of the Crystal Pavilion will begin in late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Wynn Macau</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opened Wynn Macau in September 2006, and Encore, an expansion of Wynn Macau, in April 2010. Located in the heart of downtown Macau, the</w:t>
      </w:r>
    </w:p>
    <w:p>
      <w:pPr>
        <w:spacing w:after="0" w:line="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property features approximately 252,000 square feet of casino space with 322 table games and 838 slot machines, as well as private gaming salons, sky casinos, and a poker room. Wynn Macau also features two luxury hotel towers with a total of 1,010 guest rooms and suites, offering two health clubs, two spas, a salon and a pool. In addition, Wynn Macau offers 12 food and beverage outlets, approximately 59,000 square feet of high-end, brand-name retail space, and approximately 31,000 square feet of meeting and convention space. Wynn Macau's signature attractions include a rotunda show featuring a Chinese zodiac-inspired ceiling along with gold "tree of prosperity" and "dragon of fortune" features.</w:t>
      </w:r>
    </w:p>
    <w:p>
      <w:pPr>
        <w:spacing w:after="0" w:line="20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November 2019, we opened the first phase of our Lakeside Casino expansion at Wynn Macau which features 44 mass market table games and a refurbished high-limit slot area. We expect to open the second phase, which will include two new restaurants and approximately 7,000 square feet of additional retail space, in the first half of 2020.</w:t>
      </w:r>
    </w:p>
    <w:p>
      <w:pPr>
        <w:spacing w:after="0" w:line="20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Las Vegas Operations</w:t>
      </w:r>
    </w:p>
    <w:p>
      <w:pPr>
        <w:spacing w:after="0" w:line="252" w:lineRule="exact"/>
        <w:rPr>
          <w:sz w:val="20"/>
          <w:szCs w:val="20"/>
          <w:color w:val="auto"/>
        </w:rPr>
      </w:pPr>
    </w:p>
    <w:p>
      <w:pPr>
        <w:jc w:val="both"/>
        <w:ind w:firstLine="405"/>
        <w:spacing w:after="0" w:line="295" w:lineRule="auto"/>
        <w:rPr>
          <w:sz w:val="20"/>
          <w:szCs w:val="20"/>
          <w:color w:val="auto"/>
        </w:rPr>
      </w:pPr>
      <w:r>
        <w:rPr>
          <w:rFonts w:ascii="Arial" w:cs="Arial" w:eastAsia="Arial" w:hAnsi="Arial"/>
          <w:sz w:val="16"/>
          <w:szCs w:val="16"/>
          <w:color w:val="auto"/>
        </w:rPr>
        <w:t>We opened Wynn Las Vegas in April 2005 and Encore, an expansion of Wynn Las Vegas, in December 2008. Wynn Las Vegas is located at the intersection of the Las Vegas Strip and Sands Avenue, and occupies approximately 215 acres of land fronting the Las Vegas Strip. The property features approximately 194,000 square feet of casino space with 232 table games and 1,756 slot machines, as well as private gaming salons, a sky casino, a poker room, and a race and sports book. Wynn Las Vegas also features two luxury hotel towers with a total of 4,748 guest rooms, suites, and villas, which offers</w:t>
      </w:r>
    </w:p>
    <w:p>
      <w:pPr>
        <w:jc w:val="both"/>
        <w:spacing w:after="0" w:line="273" w:lineRule="auto"/>
        <w:rPr>
          <w:sz w:val="20"/>
          <w:szCs w:val="20"/>
          <w:color w:val="auto"/>
        </w:rPr>
      </w:pPr>
      <w:r>
        <w:rPr>
          <w:rFonts w:ascii="Arial" w:cs="Arial" w:eastAsia="Arial" w:hAnsi="Arial"/>
          <w:sz w:val="17"/>
          <w:szCs w:val="17"/>
          <w:color w:val="auto"/>
        </w:rPr>
        <w:t>swimming pools, private cabanas, two full service spas and salons, and a wedding chapel. In addition, Wynn Las Vegas offers 33 food and beverage outlets, approximately 160,000 square feet of high-end, brand-name retail space, and approximately 507,000 square feet of meeting and convention space (including the 217,000 square foot Meeting and Convention Expansion that opened in February 2020, as discussed below). Our nightlife and entertainment offerings at Wynn Las Vegas include two nightclubs and a beach club, and a specially designed theater presenting "Le Rêve—The Dream," a water-based theatrical production, and a theater presenting entertainment productions and various headliner entertainment acts. In October 2019, we reopened the newly reconfigured Wynn Las Vegas golf course, which had been closed since 2017.</w:t>
      </w:r>
    </w:p>
    <w:p>
      <w:pPr>
        <w:spacing w:after="0" w:line="20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In February 2020, we opened our meeting and convention expansion at Wynn Las Vegas (the "Meeting and Convention Expansion"). The space features approximately 217,000 square feet of incremental state-of-the-art meeting and convention space (430,000 square feet of gross space), which has nearly doubled our group footprint in Las Vegas. We estimate the total project budget, including the redesigned golf course that reopened in October 2019, to be approximately $425 million. As of December 31, 2019, we have incurred $351.3 million in total project costs.</w:t>
      </w:r>
    </w:p>
    <w:p>
      <w:pPr>
        <w:spacing w:after="0" w:line="19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Encore Boston Harbor</w:t>
      </w:r>
    </w:p>
    <w:p>
      <w:pPr>
        <w:spacing w:after="0" w:line="25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June 23, 2019, the Company opened Encore Boston Harbor, an integrated resort in Everett, Massachusetts, adjacent to Boston along the Mystic River. The property features approximately 210,000 square feet of casino space with 161 table games and 2,833 slot machines, private and high-limit gaming areas, and a poker room. Encore Boston Harbor also features a luxury hotel tower with a total of 671 guest rooms and suites, which offers a spa and salon. In addition, Encore Boston Harbor offers 16 food and beverage outlets and a nightclub, approximately 8,000 square feet of retail space, and approximately 71,000 square feet of meeting and convention space. Public attractions include a waterfront park, floral displays, and water shuttle service to downtown Boston.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Competition</w:t>
      </w:r>
    </w:p>
    <w:p>
      <w:pPr>
        <w:spacing w:after="0" w:line="25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casino resort industry is highly competitive. We compete with other high-quality resorts located near our properties on the basis of the range of amenities, level of service, price, location, entertainment, themes and size, among other factors. We seek to differentiate our integrated resorts by delivering superior design and customer service.</w:t>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Macau</w:t>
      </w:r>
    </w:p>
    <w:p>
      <w:pPr>
        <w:spacing w:after="0" w:line="256"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Macau, located in the Greater Bay Area, is governed as a special administrative region of China and is located approximately 37 miles southwest of Hong Kong. The journey between Macau and Hong Kong takes approximately 15 minutes by helicopter, 30 minutes by road since the opening of the Hong Kong-Zhuhai-Macau Bridge in October 2018 and one hour by jetfoil ferry. Macau, which has been a casino destination for more than 50 years, consists principally of a peninsula on mainland China and two neighboring islands, Taipa and Coloane, between which the Cotai area is located. In 2002, the government of Macau ended a 40-year monopoly on the conduct of gaming operations by conducting a competitive process that resulted in the issuance of gaming concessions to three concessionaires (including Wynn Resorts (Macau) S.A., ("Wynn Macau SA")) who in turn were permitted, subject to the approval of the government of Macau, to each grant one subconcession, resulting in a total of six gaming concessionaires and subconcessionaires. In addition to Wynn Macau SA, each of Sociedade de Jogos de Macau ("SJM") and Galaxy Entertainment Group Limited ("Galaxy") are primary concessionaires with Sands China Ltd. ("Sands"), Melco International Development Limited ("Melco") and MGM China Holdings Limited ("MGM China") operating under subconcessions. There is no limit to the number of casinos each concessionaire or subconcessionaire is permitted to operate, but each facility is subject to government approval. Currently, there are 41 casinos operating in Macau.</w:t>
      </w:r>
    </w:p>
    <w:p>
      <w:pPr>
        <w:spacing w:after="0" w:line="21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believe that the Macau region hosts one of the world's largest concentrations of potential gaming and tourism customers. Since the introduction of new casinos starting in 2004, the Macau market has experienced a significant increase in annual gaming revenue and has become the largest gaming market in the world. According to Macau Statistical Information, annual gaming revenues have grown from $2.9 billion in 2002 to $36.5 billion in 2019. In addition, we believe that Macau's stated goal of becoming a world-class tourism destination will drive additional visitation to the market and create future opportunities for us to invest and grow.</w:t>
      </w:r>
    </w:p>
    <w:p>
      <w:pPr>
        <w:spacing w:after="0" w:line="215"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Macau's gaming market is primarily dependent on tourists. Gaming customers traveling to Macau typically come from nearby destinations in Asia. According to the Macau Statistics and Census Service Monthly Bulletin of Statistics, over 90% of the visitors to Macau in 2019 came from mainland China, Hong Kong, and Taiwan. Travel to Macau by citizens of mainland China requires a visa.</w:t>
      </w:r>
    </w:p>
    <w:p>
      <w:pPr>
        <w:spacing w:after="0" w:line="208"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According to 2019 government statistics, Macau tourist arrivals increased 10.1%, to 39.4 million, from 35.8 million in 2018. Annual gaming revenues decreased to $36.5 billion in 2019, from $37.5 billion in 2018.</w:t>
      </w:r>
    </w:p>
    <w:p>
      <w:pPr>
        <w:spacing w:after="0" w:line="197" w:lineRule="exact"/>
        <w:rPr>
          <w:sz w:val="20"/>
          <w:szCs w:val="20"/>
          <w:color w:val="auto"/>
        </w:rPr>
      </w:pPr>
    </w:p>
    <w:p>
      <w:pPr>
        <w:jc w:val="both"/>
        <w:ind w:firstLine="446"/>
        <w:spacing w:after="0" w:line="276" w:lineRule="auto"/>
        <w:rPr>
          <w:sz w:val="20"/>
          <w:szCs w:val="20"/>
          <w:color w:val="auto"/>
        </w:rPr>
      </w:pPr>
      <w:r>
        <w:rPr>
          <w:rFonts w:ascii="Arial" w:cs="Arial" w:eastAsia="Arial" w:hAnsi="Arial"/>
          <w:sz w:val="17"/>
          <w:szCs w:val="17"/>
          <w:color w:val="auto"/>
        </w:rPr>
        <w:t>The Macau market has experienced tremendous growth in capacity since the opening of Wynn Macau in 2006. As of December 31, 2019, there were 38,300 hotel rooms, 6,739 table games and 17,009 slot machines in Macau, compared to 12,978 hotel rooms, 2,762 table games and 6,546 slot machines as of December 31, 2006. During 2016, we contributed to the new capacity in the market with the opening of Wynn Palace in the Cotai area. Several of the current concessionaires and subconcessionaires also opened additional facilities from 2016 through 2018 in the Cotai area and will open additional facilities over the next few years, which will further increase other gaming and non-gaming offerings in the Macau market.</w:t>
      </w:r>
    </w:p>
    <w:p>
      <w:pPr>
        <w:spacing w:after="0" w:line="200"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Our Macau Operations face competition primarily from the 39 other casinos located throughout Macau in addition to casinos located throughout the world, including Singapore, South Korea, the Philippines, Vietnam, Cambodia, Malaysia, Australia, Las Vegas, cruise ships in Asia that offer gaming, and other casinos throughout Asia. Additionally, certain other Asian countries and regions have legalized or in the future may legalize gaming, such as Japan, Taiwan and Thailand, which could increase competition for our Macau Operations.</w:t>
      </w:r>
    </w:p>
    <w:p>
      <w:pPr>
        <w:spacing w:after="0" w:line="21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Las Vegas</w:t>
      </w:r>
    </w:p>
    <w:p>
      <w:pPr>
        <w:spacing w:after="0" w:line="256"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Las Vegas is the largest gaming market in the United States. Although Las Vegas Strip gaming revenues remained relatively flat at $6.6 billion for each of the years ended December 31, 2019 and 2018, visitation and hotel room demand remained strong. Overall Las Vegas visitor volume was 42.5 million in 2019. Passenger traffic at McCarran International Airport increased 3.8% in 2019, following year-over-year increases of 5.8%, 4.5%, and 4.7% from 2016 to 2018, respectively. During 2019, the average daily room rate and revenue per available room on the Las Vegas Strip increased 3.2% and 4.3%,</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respectively. Occupancy on the Las Vegas Strip increased 0.9% to 90.4%, from 89.5% in 2018. Convention attendees increased 2.3% in 2019, following year-over-year increases of 13.4%, 7.1%, and 3.0% from 2016 to 2018, respectively.</w:t>
      </w:r>
    </w:p>
    <w:p>
      <w:pPr>
        <w:spacing w:after="0" w:line="19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Wynn Las Vegas is located on the Las Vegas Strip and competes with other high-quality resorts and hotel casinos in Las Vegas. Wynn Las Vegas also competes, to some extent, with other casino resorts throughout the United States and elsewhere in the world.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Massachusetts</w:t>
      </w:r>
    </w:p>
    <w:p>
      <w:pPr>
        <w:spacing w:after="0" w:line="256"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Massachusetts and its neighboring states of Connecticut and Rhode Island are host to a large, established casino market that generated over $2.5 billion of gross gaming revenue in 2019. The greater Boston metropolitan area is the largest population center in the region of New England, with a population of approximately 5 million residents. Encore Boston Harbor competes with both commercial and Native American casinos located in the northeastern United States, including two Native American casinos in Connecticut, two casinos in Rhode Island, and MGM Springfield in Massachusetts. Gaming in the New England region is characterized by a high degree of competition, based largely on location, product quality, service levels, and effectiveness in marketing to and establishing relationships with repeat visitors located in the area. Differences in regulatory landscapes across state borders may impact our ability to compete with other casinos in the region. For example, some casino operators in the region may pay lower gaming taxes, or may be permitted to offer gaming amenities we are currently unable to offer at Encore Boston Harbor. We also face competition, to a lesser degree, from operations in the region which offer other forms of legalized gaming and related recreation and leisure facilities, such as state lotteries, horse racing, online gaming, and sports betting.</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and Licensing</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Macau</w:t>
      </w:r>
    </w:p>
    <w:p>
      <w:pPr>
        <w:spacing w:after="0" w:line="256"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As a casino concessionaire, Wynn Macau SA is subject to the regulatory control of the government of Macau. The government has adopted Laws and Administrative Regulations governing the operation of casinos in Macau. Only concessionaires or subconcessionaires are permitted to operate casinos. Subconcessions may be awarded subject to the approval of the Macau government and each concessionaire has issued one subconcession. Each concessionaire was required to enter into a concession agreement with the Macau government which, together with the Law and Administrative Regulations, form the framework for the regulation of the activities of the concessionaire.</w:t>
      </w:r>
    </w:p>
    <w:p>
      <w:pPr>
        <w:spacing w:after="0" w:line="215" w:lineRule="exact"/>
        <w:rPr>
          <w:sz w:val="20"/>
          <w:szCs w:val="20"/>
          <w:color w:val="auto"/>
        </w:rPr>
      </w:pPr>
    </w:p>
    <w:p>
      <w:pPr>
        <w:jc w:val="both"/>
        <w:ind w:firstLine="446"/>
        <w:spacing w:after="0" w:line="272" w:lineRule="auto"/>
        <w:rPr>
          <w:sz w:val="20"/>
          <w:szCs w:val="20"/>
          <w:color w:val="auto"/>
        </w:rPr>
      </w:pPr>
      <w:r>
        <w:rPr>
          <w:rFonts w:ascii="Arial" w:cs="Arial" w:eastAsia="Arial" w:hAnsi="Arial"/>
          <w:sz w:val="17"/>
          <w:szCs w:val="17"/>
          <w:color w:val="auto"/>
        </w:rPr>
        <w:t>Under the Law and Administrative Regulations, concessionaires are subject to suitability requirements relating to background, associations and reputation, as are stockholders of 5% or more of a concessionaire's equity securities, officers, directors and key employees. The same requirements apply to any entity engaged by a concessionaire to manage casino operations. Concessionaires are required to satisfy minimum capitalization requirements, demonstrate and maintain adequate financial capacity to operate the concession and submit to continuous monitoring of their casino operations by the Macau government. Concessionaires also are subject to periodic financial reporting requirements and reporting obligations with respect to, among other things, certain contracts, financing activities and transactions with directors, financiers and key employees. Transfers or the encumbering of interests in concessionaires must be reported to the Macau government and are ineffective without government approval.</w:t>
      </w:r>
    </w:p>
    <w:p>
      <w:pPr>
        <w:spacing w:after="0" w:line="205"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Each concessionaire is required to engage an executive director who must be a permanent resident of Macau and the holder of at least 10% of the capital stock of the concessionaire. The appointment of the executive director and of any successor is ineffective without the approval of the Macau government. All contracts placing the management of a concessionaire's casino operations with a third party also are ineffective without the approval of the Macau government.</w:t>
      </w:r>
    </w:p>
    <w:p>
      <w:pPr>
        <w:spacing w:after="0" w:line="214"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Concessionaires are subject to a special gaming tax of 35% of gross gaming revenue, and must also make an annual contribution of up to 4% of gross gaming revenue for the promotion of public interests, social security, infrastructure and tourism. Concessionaires are obligated to withhold applicable taxes, according to the rate in effect as set by the government, from any commissions paid to gaming promoters. The withholding rate may be adjusted from time to time.</w:t>
      </w:r>
    </w:p>
    <w:p>
      <w:pPr>
        <w:spacing w:after="0" w:line="214"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The concession agreement between Wynn Macau SA and the Macau government required Wynn Macau SA to construct and operate one or more casino gaming properties in Macau, including, at a minimum, one full-service casino resort by the end of December 2006, and to invest not less than a total of 4 billion Macau patacas (approximately $500.0 million) in Macau-related projects by June 2009. These obligations were satisfied upon the opening of Wynn Macau in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Wynn Macau SA was also obligated to obtain, and did obtain, a 700.0 million Macau pataca (approximately $87.0 million) bank guarantee from Banco National Ultramarino, S.A. ("BNU") that was effective until March 31, 2007. The amount of this guarantee was reduced to 300 million Macau patacas (approximately $37.3 million) for the period from April 1, 2007 until 180 days after the end of the term of the concession agreement. This guarantee, which is for the benefit of the Macau government, assures Wynn Macau SA's performance under the casino concession agreement, including the payment of premiums, fines and indemnity for any material failure to perform the concession agreement. Wynn Macau SA is obligated, upon demand by BNU, to promptly repay any claim made on the guarantee by the Macau government. BNU is currently paid an annual fee by Wynn Macau SA for the guarantee of approximately 2.3 million patacas (approximately $0.3 million).</w:t>
      </w:r>
    </w:p>
    <w:p>
      <w:pPr>
        <w:spacing w:after="0" w:line="216"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Effective June 24, 2017, the government of Macau may redeem the concession and in such event, Wynn Macau SA will be entitled to fair compensation or indemnity. The amount of such compensation or indemnity will be determined based on the amount of gaming and non-gaming revenue generated during the tax year prior to the redemption multiplied by the remaining years before expiration of the concession.</w:t>
      </w:r>
    </w:p>
    <w:p>
      <w:pPr>
        <w:spacing w:after="0" w:line="208"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The government of Macau may unilaterally rescind the concession if Wynn Macau SA fails to fulfill its fundamental obligations under the concession agreement. The concession agreement expressly provides that the government of Macau may unilaterally rescind the concession agreement if Wynn Macau SA:</w:t>
      </w:r>
    </w:p>
    <w:p>
      <w:pPr>
        <w:spacing w:after="0" w:line="208"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conducts unauthorized games or activities that are excluded from its corporate purpose;</w:t>
      </w:r>
    </w:p>
    <w:p>
      <w:pPr>
        <w:spacing w:after="0" w:line="23" w:lineRule="exact"/>
        <w:rPr>
          <w:rFonts w:ascii="Arial" w:cs="Arial" w:eastAsia="Arial" w:hAnsi="Arial"/>
          <w:sz w:val="18"/>
          <w:szCs w:val="18"/>
          <w:color w:val="auto"/>
        </w:rPr>
      </w:pPr>
    </w:p>
    <w:p>
      <w:pPr>
        <w:ind w:left="1300" w:hanging="644"/>
        <w:spacing w:after="0" w:line="250" w:lineRule="auto"/>
        <w:tabs>
          <w:tab w:leader="none" w:pos="1295" w:val="left"/>
        </w:tabs>
        <w:numPr>
          <w:ilvl w:val="0"/>
          <w:numId w:val="6"/>
        </w:numPr>
        <w:rPr>
          <w:rFonts w:ascii="Arial" w:cs="Arial" w:eastAsia="Arial" w:hAnsi="Arial"/>
          <w:sz w:val="18"/>
          <w:szCs w:val="18"/>
          <w:color w:val="auto"/>
        </w:rPr>
      </w:pPr>
      <w:r>
        <w:rPr>
          <w:rFonts w:ascii="Arial" w:cs="Arial" w:eastAsia="Arial" w:hAnsi="Arial"/>
          <w:sz w:val="18"/>
          <w:szCs w:val="18"/>
          <w:color w:val="auto"/>
        </w:rPr>
        <w:t>abandons or suspends gaming operations in Macau for more than seven consecutive days (or more than 14 days in a civil year) without justification;</w:t>
      </w: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defaults in payment of taxes, premiums, contributions or other required amounts;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does not comply with government inspections or supervision;</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systematically fails to observe its obligations under the concession system;</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fails to maintain bank guarantees or bonds satisfactory to the government;</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is the subject of bankruptcy proceedings or becomes insolvent;</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engages in serious fraudulent activity, damaging to the public interest; or</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repeatedly and seriously violates applicable gaming laws.</w:t>
      </w:r>
    </w:p>
    <w:p>
      <w:pPr>
        <w:spacing w:after="0" w:line="238" w:lineRule="exact"/>
        <w:rPr>
          <w:sz w:val="20"/>
          <w:szCs w:val="20"/>
          <w:color w:val="auto"/>
        </w:rPr>
      </w:pPr>
    </w:p>
    <w:p>
      <w:pPr>
        <w:jc w:val="both"/>
        <w:ind w:firstLine="446"/>
        <w:spacing w:after="0" w:line="302" w:lineRule="auto"/>
        <w:rPr>
          <w:sz w:val="20"/>
          <w:szCs w:val="20"/>
          <w:color w:val="auto"/>
        </w:rPr>
      </w:pPr>
      <w:r>
        <w:rPr>
          <w:rFonts w:ascii="Arial" w:cs="Arial" w:eastAsia="Arial" w:hAnsi="Arial"/>
          <w:sz w:val="16"/>
          <w:szCs w:val="16"/>
          <w:color w:val="auto"/>
        </w:rPr>
        <w:t>If the government of Macau unilaterally rescinds the concession agreement for one of the reasons stated above, Wynn Macau SA will be required to compensate the government in accordance with applicable law, and the areas defined as casino under Macau law and all of the gaming equipment pertaining to the gaming operations of Wynn Macau SA will be transferred to the government without compensation. In addition, the government of Macau may, in the public interest, unilaterally terminate the concession at any time, in which case Wynn Macau SA would be entitled to reasonable compensation.</w:t>
      </w:r>
    </w:p>
    <w:p>
      <w:pPr>
        <w:spacing w:after="0" w:line="181"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The government of Macau may assume temporary custody and control over the operation of a concession in certain circumstances. During any such period, the costs of operations must be borne by the concessionaire. The government of Macau also may redeem a concession starting at an established date after the entering into effect of a concession.</w:t>
      </w:r>
    </w:p>
    <w:p>
      <w:pPr>
        <w:spacing w:after="0" w:line="208"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The Macau government has publicly commented that it is studying the process by which gaming concessions and subconcessions may be extended, renewed or issued. The current term of our gaming concession ends on June 26, 2022. The gaming concession or subconcession held by each of SJM, MGM China, Galaxy, Sands, and Melco also end on June 26, 2022.</w:t>
      </w:r>
    </w:p>
    <w:p>
      <w:pPr>
        <w:spacing w:after="0" w:line="208" w:lineRule="exact"/>
        <w:rPr>
          <w:sz w:val="20"/>
          <w:szCs w:val="20"/>
          <w:color w:val="auto"/>
        </w:rPr>
      </w:pPr>
    </w:p>
    <w:p>
      <w:pPr>
        <w:jc w:val="both"/>
        <w:ind w:firstLine="446"/>
        <w:spacing w:after="0" w:line="288" w:lineRule="auto"/>
        <w:rPr>
          <w:sz w:val="20"/>
          <w:szCs w:val="20"/>
          <w:color w:val="auto"/>
        </w:rPr>
      </w:pPr>
      <w:r>
        <w:rPr>
          <w:rFonts w:ascii="Arial" w:cs="Arial" w:eastAsia="Arial" w:hAnsi="Arial"/>
          <w:sz w:val="16"/>
          <w:szCs w:val="16"/>
          <w:color w:val="auto"/>
        </w:rPr>
        <w:t>A gaming promoter, also known as a junket representative, is a person or entity who, for the purpose of promoting casino gaming activity, arranges customer transportation and accommodations, and provides credit in their sole discretion, food and beverage services and entertainment in exchange for commissions or other compensation from a concessionaire. Macau law provides that gaming promoters must be licensed by the Macau government in order to do business with and receive compensation from concessionaires. For a license to be obtained, direct and indirect owners of 5% or more of a gaming promoter (regardless of its corporate form or sole proprietor status), its directors and its key employees must be found suitable. Applicants are required to pay the cost of license investigations, and are required to maintain suitability standards during the period of licensure. The term of a gaming promoter's license is one calendar year, and licenses can be renewed for additional periods upon the submission of renewal applications. Natural person junket representative licensees are subject to a suitability verification process every three years and business entity licensees are subject to the same requirement every six years. Macau's Gaming Inspection and Coordination Bureau (the "DICJ") implemented certain instructions in 2009, which have the force of law, relating to commissions paid to, and by, gaming promoters. Such instructions also impose certain financial reporting and audit requirements on gaming promoters.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firstLine="446"/>
        <w:spacing w:after="0" w:line="253" w:lineRule="auto"/>
        <w:rPr>
          <w:sz w:val="20"/>
          <w:szCs w:val="20"/>
          <w:color w:val="auto"/>
        </w:rPr>
      </w:pPr>
      <w:r>
        <w:rPr>
          <w:rFonts w:ascii="Arial" w:cs="Arial" w:eastAsia="Arial" w:hAnsi="Arial"/>
          <w:sz w:val="18"/>
          <w:szCs w:val="18"/>
          <w:color w:val="auto"/>
        </w:rPr>
        <w:t>Under Macau law, licensed gaming promoters must identify outside contractors who assist them in their promotion activities, and these contractors are subject to approval of the Macau government. Changes in the management structure of business entity gaming promoters' licensees must be reported to the Macau government and any transfer or the encumbering of interests in such licensees is ineffective without prior government approval. To conduct gaming promotion activities, licensees must be registered with one or more concessionaires and must have written contracts with such concessionaires, copies of which must be submitted to the Macau government.</w:t>
      </w:r>
    </w:p>
    <w:p>
      <w:pPr>
        <w:spacing w:after="0" w:line="4" w:lineRule="exact"/>
        <w:rPr>
          <w:sz w:val="20"/>
          <w:szCs w:val="20"/>
          <w:color w:val="auto"/>
        </w:rPr>
      </w:pPr>
    </w:p>
    <w:p>
      <w:pPr>
        <w:ind w:firstLine="446"/>
        <w:spacing w:after="0" w:line="252" w:lineRule="auto"/>
        <w:rPr>
          <w:sz w:val="20"/>
          <w:szCs w:val="20"/>
          <w:color w:val="auto"/>
        </w:rPr>
      </w:pPr>
      <w:r>
        <w:rPr>
          <w:rFonts w:ascii="Arial" w:cs="Arial" w:eastAsia="Arial" w:hAnsi="Arial"/>
          <w:sz w:val="18"/>
          <w:szCs w:val="18"/>
          <w:color w:val="auto"/>
        </w:rPr>
        <w:t>Macau law further provides that concessionaires are jointly responsible with their gaming promoters for the gaming activities of such representatives and their directors and contractors in the concessionaire's casinos, and for their compliance with applicable laws and regulations. Concessionaires must submit annual lists of their gaming promoters, and must update such lists on a quarterly basis. The Macau government may designate a maximum number of gaming promoters and specify the number of gaming promoters a concessionaire is permitted to engage. Concessionaires are subject to periodic reporting requirements with respect to commissions paid to their gaming promoters' representatives and are required to oversee their activities and report instances of unlawful activity.</w:t>
      </w:r>
    </w:p>
    <w:p>
      <w:pPr>
        <w:spacing w:after="0" w:line="221"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In late 2015, the Macau government implemented enhanced accounting and financial procedures and requirements to be followed by gaming promoters. These enhanced procedures require gaming promoters to disclose more detailed financial and accounting information to the DICJ, including the disclosure of certain financial information on a monthly basis. Gaming promoters also must identify and nominate senior financial or accounting representatives to be available to the DICJ for any follow-up matters the DICJ may require.</w:t>
      </w:r>
    </w:p>
    <w:p>
      <w:pPr>
        <w:spacing w:after="0" w:line="21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Nevada</w:t>
      </w:r>
    </w:p>
    <w:p>
      <w:pPr>
        <w:spacing w:after="0" w:line="256"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The ownership and operation of casino gaming facilities in Nevada are subject to the Nevada Gaming Control Act and the regulations made thereunder (collectively, the "Nevada Act"), as well as to various local ordinances. Our Las Vegas Operations are subject to the licensing and regulatory control of the Nevada Gaming Commission ("NGC"), the Nevada Gaming Control Board ("NGCB") and the Clark County Liquor and Gaming Licensing Board ("CCLGLB"). The NGC and NGCB are referred to herein collectively as the "Nevada Gaming Authorities."</w:t>
      </w:r>
    </w:p>
    <w:p>
      <w:pPr>
        <w:spacing w:after="0" w:line="214"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The laws, regulations and supervisory procedures of the Nevada Gaming Authorities are based upon declarations of public policy. Such public policy concerns include, among other things:</w:t>
      </w:r>
    </w:p>
    <w:p>
      <w:pPr>
        <w:spacing w:after="0" w:line="197"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preventing unsavory or unsuitable persons from being directly or indirectly involved with gaming at any time or in any capacity;</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establishing and maintaining responsible accounting practices and procedures;</w:t>
      </w:r>
    </w:p>
    <w:p>
      <w:pPr>
        <w:spacing w:after="0" w:line="9" w:lineRule="exact"/>
        <w:rPr>
          <w:rFonts w:ascii="Arial" w:cs="Arial" w:eastAsia="Arial" w:hAnsi="Arial"/>
          <w:sz w:val="18"/>
          <w:szCs w:val="18"/>
          <w:color w:val="auto"/>
        </w:rPr>
      </w:pPr>
    </w:p>
    <w:p>
      <w:pPr>
        <w:jc w:val="both"/>
        <w:ind w:left="1300" w:hanging="644"/>
        <w:spacing w:after="0" w:line="250" w:lineRule="auto"/>
        <w:tabs>
          <w:tab w:leader="none" w:pos="1295"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maintaining effective controls over the financial practices of licensees, including establishing minimum procedures for internal fiscal affairs and safeguarding assets and revenue, providing reliable recordkeeping and requiring the filing of periodic reports with the Nevada Gaming Authorities;</w:t>
      </w:r>
    </w:p>
    <w:p>
      <w:pPr>
        <w:spacing w:after="0" w:line="1"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preventing cheating and fraudulent practices;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providing a source of state and local revenue through taxation and licensing fees.</w:t>
      </w:r>
    </w:p>
    <w:p>
      <w:pPr>
        <w:spacing w:after="0" w:line="238" w:lineRule="exact"/>
        <w:rPr>
          <w:sz w:val="20"/>
          <w:szCs w:val="20"/>
          <w:color w:val="auto"/>
        </w:rPr>
      </w:pPr>
    </w:p>
    <w:p>
      <w:pPr>
        <w:jc w:val="both"/>
        <w:ind w:right="20" w:firstLine="446"/>
        <w:spacing w:after="0" w:line="277" w:lineRule="auto"/>
        <w:rPr>
          <w:sz w:val="20"/>
          <w:szCs w:val="20"/>
          <w:color w:val="auto"/>
        </w:rPr>
      </w:pPr>
      <w:r>
        <w:rPr>
          <w:rFonts w:ascii="Arial" w:cs="Arial" w:eastAsia="Arial" w:hAnsi="Arial"/>
          <w:sz w:val="18"/>
          <w:szCs w:val="18"/>
          <w:color w:val="auto"/>
        </w:rPr>
        <w:t>Any changes in applicable laws, regulations and procedures could have an adverse effect on our Las Vegas gaming operations and our financial condition and results of operations.</w:t>
      </w:r>
    </w:p>
    <w:p>
      <w:pPr>
        <w:spacing w:after="0" w:line="197"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Our subsidiary, Wynn Las Vegas, LLC, the owner and operator of Wynn Las Vegas, is licensed by the Nevada Gaming Authorities to conduct casino gaming operations, including a race book and sports pool, pari-mutuel wagering and the operation of gaming salons. It is also licensed as a manufacturer and distributor. These gaming licenses are not transferable.</w:t>
      </w:r>
    </w:p>
    <w:p>
      <w:pPr>
        <w:spacing w:after="0" w:line="235" w:lineRule="exact"/>
        <w:rPr>
          <w:sz w:val="20"/>
          <w:szCs w:val="20"/>
          <w:color w:val="auto"/>
        </w:rPr>
      </w:pPr>
    </w:p>
    <w:p>
      <w:pPr>
        <w:jc w:val="both"/>
        <w:ind w:firstLine="446"/>
        <w:spacing w:after="0" w:line="275" w:lineRule="auto"/>
        <w:rPr>
          <w:sz w:val="20"/>
          <w:szCs w:val="20"/>
          <w:color w:val="auto"/>
        </w:rPr>
      </w:pPr>
      <w:r>
        <w:rPr>
          <w:rFonts w:ascii="Arial" w:cs="Arial" w:eastAsia="Arial" w:hAnsi="Arial"/>
          <w:sz w:val="17"/>
          <w:szCs w:val="17"/>
          <w:color w:val="auto"/>
        </w:rPr>
        <w:t>We are required to be registered as a publicly traded corporation (a "registered public company") and to be found suitable by the NGC to own the equity interests of Wynn Resorts Holdings, LLC ("Wynn Resorts Holdings"). Wynn Resorts Holdings is required to be registered as an intermediary company and to be found suitable to own the equity interests of Wynn Resorts Finance, LLC ("Wynn Resorts Finance") (f/k/a Wynn America, LLC). Wynn Resorts Finance, LLC is required to be registered as an intermediary company and to be found suitable by the NGC to own the equity interests of Wynn Las Vegas Holdings, LLC ("Wynn Las Vegas Holdings"). Wynn Las Vegas Holdings is required to be registered as an intermediary company and to be found suitable by the NGC to own the equity interests of Wynn Las Vegas, LLC. Wynn Resorts Holdings, Wynn Resorts Finance, and Wynn Las Vegas Holdings are referred to individually as a "registered intermediary subsidiary" and collectively</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the "registered intermediary subsidiaries." We and the registered intermediary subsidiaries hold all the various registrations, approvals, permits and licenses required for Wynn Las Vegas, LLC to engage in gaming activities in Nevada.</w:t>
      </w:r>
    </w:p>
    <w:p>
      <w:pPr>
        <w:spacing w:after="0" w:line="196" w:lineRule="exact"/>
        <w:rPr>
          <w:sz w:val="20"/>
          <w:szCs w:val="20"/>
          <w:color w:val="auto"/>
        </w:rPr>
      </w:pPr>
    </w:p>
    <w:p>
      <w:pPr>
        <w:jc w:val="both"/>
        <w:ind w:firstLine="446"/>
        <w:spacing w:after="0" w:line="253" w:lineRule="auto"/>
        <w:rPr>
          <w:sz w:val="20"/>
          <w:szCs w:val="20"/>
          <w:color w:val="auto"/>
        </w:rPr>
      </w:pPr>
      <w:r>
        <w:rPr>
          <w:rFonts w:ascii="Arial" w:cs="Arial" w:eastAsia="Arial" w:hAnsi="Arial"/>
          <w:sz w:val="17"/>
          <w:szCs w:val="17"/>
          <w:color w:val="auto"/>
        </w:rPr>
        <w:t>No person may become a member of or receive profits from Wynn Las Vegas, LLC or the registered intermediary subsidiaries without first registering (for equity ownership of 5% or less), or obtaining licenses and approvals from the Nevada Gaming Authorities. The Nevada Gaming Authorities may investigate any individual who has a material relationship to or material involvement with us to determine whether the individual is suitable or should be licensed as a business associate of a gaming licensee. Officers, directors and certain key employees of Wynn Las Vegas, LLC and the registered intermediary subsidiaries and our officers and directors who are actively and directly involved in the gaming activities of Wynn Las Vegas, LLC may be required to be licensed or found suitable by the Nevada Gaming Authorities. The Nevada Gaming Authorities may require additional applications and may also deny an application for licensing for any reason which they deem appropriate. A finding of suitability is comparable to licensing, and both require submission of detailed personal and financial information followed by a thorough investigation. An applicant for licensing or an applicant for a finding of suitability must pay or must cause to be paid all the costs of the investigation. Changes in licensed positions must be reported to the Nevada Gaming Authorities and, in addition to their authority to deny an application for a finding of suitability or licensing, the Nevada Gaming Authorities have the jurisdiction to disapprove a change in a corporate position.</w:t>
      </w:r>
    </w:p>
    <w:p>
      <w:pPr>
        <w:spacing w:after="0" w:line="205" w:lineRule="exact"/>
        <w:rPr>
          <w:sz w:val="20"/>
          <w:szCs w:val="20"/>
          <w:color w:val="auto"/>
        </w:rPr>
      </w:pPr>
    </w:p>
    <w:p>
      <w:pPr>
        <w:jc w:val="both"/>
        <w:ind w:firstLine="446"/>
        <w:spacing w:after="0" w:line="290" w:lineRule="auto"/>
        <w:rPr>
          <w:sz w:val="20"/>
          <w:szCs w:val="20"/>
          <w:color w:val="auto"/>
        </w:rPr>
      </w:pPr>
      <w:r>
        <w:rPr>
          <w:rFonts w:ascii="Arial" w:cs="Arial" w:eastAsia="Arial" w:hAnsi="Arial"/>
          <w:sz w:val="17"/>
          <w:szCs w:val="17"/>
          <w:color w:val="auto"/>
        </w:rPr>
        <w:t>If the Nevada Gaming Authorities were to find an officer, director, or key employee unsuitable for licensing or to continue having a relationship with Wynn Las Vegas, LLC, the registered intermediary subsidiaries, or us, we would have to sever all relationships with the person. In addition, the Nevada Gaming Authorities may require Wynn Las Vegas, LLC, the registered intermediary subsidiaries, or us to terminate the employment of any person who refuses to file appropriate applications. Determinations of suitability are not subject to judicial review.</w:t>
      </w:r>
    </w:p>
    <w:p>
      <w:pPr>
        <w:spacing w:after="0" w:line="190" w:lineRule="exact"/>
        <w:rPr>
          <w:sz w:val="20"/>
          <w:szCs w:val="20"/>
          <w:color w:val="auto"/>
        </w:rPr>
      </w:pPr>
    </w:p>
    <w:p>
      <w:pPr>
        <w:jc w:val="both"/>
        <w:ind w:firstLine="446"/>
        <w:spacing w:after="0" w:line="293" w:lineRule="auto"/>
        <w:rPr>
          <w:sz w:val="20"/>
          <w:szCs w:val="20"/>
          <w:color w:val="auto"/>
        </w:rPr>
      </w:pPr>
      <w:r>
        <w:rPr>
          <w:rFonts w:ascii="Arial" w:cs="Arial" w:eastAsia="Arial" w:hAnsi="Arial"/>
          <w:sz w:val="16"/>
          <w:szCs w:val="16"/>
          <w:color w:val="auto"/>
        </w:rPr>
        <w:t>If the NGC determines that we, Wynn Las Vegas, LLC, or a registered intermediary subsidiary have violated the Nevada Act, it could limit, condition, suspend or revoke our and our intermediary subsidiary registrations and Wynn Las Vegas, LLC's gaming license. In addition, we and the persons involved could be subject to substantial fines for each separate violation of the Nevada Act at the discretion of the NGC. Further, the NGC could appoint a supervisor to operate Wynn Las Vegas and, under specified circumstances, earnings generated during the supervisor's appointment (except for the reasonable rental value of the premises) could be forfeited to Nevada. The limitation, conditioning or suspension of any of our gaming licenses and the appointment of a supervisor could, and revocation of any gaming license would, have a significant negative effect on our gaming operations.</w:t>
      </w:r>
    </w:p>
    <w:p>
      <w:pPr>
        <w:spacing w:after="0" w:line="192" w:lineRule="exact"/>
        <w:rPr>
          <w:sz w:val="20"/>
          <w:szCs w:val="20"/>
          <w:color w:val="auto"/>
        </w:rPr>
      </w:pPr>
    </w:p>
    <w:p>
      <w:pPr>
        <w:jc w:val="both"/>
        <w:ind w:right="20" w:firstLine="446"/>
        <w:spacing w:after="0" w:line="342" w:lineRule="auto"/>
        <w:rPr>
          <w:sz w:val="20"/>
          <w:szCs w:val="20"/>
          <w:color w:val="auto"/>
        </w:rPr>
      </w:pPr>
      <w:r>
        <w:rPr>
          <w:rFonts w:ascii="Arial" w:cs="Arial" w:eastAsia="Arial" w:hAnsi="Arial"/>
          <w:sz w:val="16"/>
          <w:szCs w:val="16"/>
          <w:color w:val="auto"/>
        </w:rPr>
        <w:t>Periodically, we are required to submit detailed financial and operating reports to the NGC and provide any other information that the NGC may require. Substantially all of our material loans, leases, sales of securities and similar financing transactions must be reported to, and/or approved by, the NGC.</w:t>
      </w:r>
    </w:p>
    <w:p>
      <w:pPr>
        <w:spacing w:after="0" w:line="151"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Any beneficial owner of our voting or nonvoting securities, regardless of the number of shares owned, may be required to file an application, be investigated and have that person's suitability as a beneficial owner of voting securities determined if the NGC has reason to believe that the ownership would be inconsistent with Nevada's declared public policies. If the beneficial owner of the voting or nonvoting securities of Wynn Resorts who must be found suitable is a corporation, partnership, limited partnership, limited liability company or trust, it must submit detailed business and financial information, including a list of its beneficial owners. The applicant must pay all costs of the investigation incurred by the Nevada Gaming Authorities in conducting any investigation.</w:t>
      </w:r>
    </w:p>
    <w:p>
      <w:pPr>
        <w:spacing w:after="0" w:line="220"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7"/>
          <w:szCs w:val="17"/>
          <w:color w:val="auto"/>
        </w:rPr>
        <w:t>The Nevada Act requires any person who acquires more than 5% of our voting securities to report the acquisition to the NGC. The Nevada Act requires beneficial owners of more than 10% of a registered company's voting securities to apply to the NGC for a finding of suitability within 30 days after the Chair of the NGCB mails the written notice requiring such filing. Under certain circumstances, an "institutional investor" as defined in the Nevada Act which acquires more than 10%, but not more than 25%, of a registered company's voting securities may apply to the NGC for a waiver of a finding of suitability if the institutional investor holds the voting securities for investment purposes only. An institutional investor that has obtained a waiver may hold more than 25% but not more than 29% of a registered company's voting securities may, in certain circumstances, own up to 29% of the voting securities of a registered company for a limited period of time and maintain the waiver.</w:t>
      </w:r>
    </w:p>
    <w:p>
      <w:pPr>
        <w:spacing w:after="0" w:line="207"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An institutional investor will not be deemed to hold voting securities for investment purposes unless the voting securities were acquired and are held in the ordinary course of business as an institutional investor and not for the purpose of causing, directly or indirectly, the election of a majority of the members of the Board of Directors of the registered company, a change in the corporate charter, bylaws, management, policies or operations of the registered company, or any of its gaming affiliates, or</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any other action which the NGC finds to be inconsistent with holding the registered company's voting securities for investment purposes only. Activities which are not deemed to be inconsistent with holding voting securities for investment purposes only include:</w:t>
      </w:r>
    </w:p>
    <w:p>
      <w:pPr>
        <w:spacing w:after="0" w:line="197"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voting on all matters voted on by stockholders or interest holders;</w:t>
      </w:r>
    </w:p>
    <w:p>
      <w:pPr>
        <w:spacing w:after="0" w:line="23" w:lineRule="exact"/>
        <w:rPr>
          <w:rFonts w:ascii="Arial" w:cs="Arial" w:eastAsia="Arial" w:hAnsi="Arial"/>
          <w:sz w:val="18"/>
          <w:szCs w:val="18"/>
          <w:color w:val="auto"/>
        </w:rPr>
      </w:pPr>
    </w:p>
    <w:p>
      <w:pPr>
        <w:ind w:left="1300" w:hanging="644"/>
        <w:spacing w:after="0" w:line="250" w:lineRule="auto"/>
        <w:tabs>
          <w:tab w:leader="none" w:pos="1295" w:val="left"/>
        </w:tabs>
        <w:numPr>
          <w:ilvl w:val="0"/>
          <w:numId w:val="8"/>
        </w:numPr>
        <w:rPr>
          <w:rFonts w:ascii="Arial" w:cs="Arial" w:eastAsia="Arial" w:hAnsi="Arial"/>
          <w:sz w:val="18"/>
          <w:szCs w:val="18"/>
          <w:color w:val="auto"/>
        </w:rPr>
      </w:pPr>
      <w:r>
        <w:rPr>
          <w:rFonts w:ascii="Arial" w:cs="Arial" w:eastAsia="Arial" w:hAnsi="Arial"/>
          <w:sz w:val="18"/>
          <w:szCs w:val="18"/>
          <w:color w:val="auto"/>
        </w:rPr>
        <w:t>making financial and other inquiries of management of the type normally made by securities analysts for informational purposes and not to cause a change in management, policies or operations; and</w:t>
      </w: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activities that the NGC may determine to be consistent with such investment intent.</w:t>
      </w:r>
    </w:p>
    <w:p>
      <w:pPr>
        <w:spacing w:after="0" w:line="238" w:lineRule="exact"/>
        <w:rPr>
          <w:sz w:val="20"/>
          <w:szCs w:val="20"/>
          <w:color w:val="auto"/>
        </w:rPr>
      </w:pPr>
    </w:p>
    <w:p>
      <w:pPr>
        <w:jc w:val="both"/>
        <w:ind w:firstLine="446"/>
        <w:spacing w:after="0" w:line="272" w:lineRule="auto"/>
        <w:rPr>
          <w:sz w:val="20"/>
          <w:szCs w:val="20"/>
          <w:color w:val="auto"/>
        </w:rPr>
      </w:pPr>
      <w:r>
        <w:rPr>
          <w:rFonts w:ascii="Arial" w:cs="Arial" w:eastAsia="Arial" w:hAnsi="Arial"/>
          <w:sz w:val="17"/>
          <w:szCs w:val="17"/>
          <w:color w:val="auto"/>
        </w:rPr>
        <w:t>We are required to maintain a current stock ledger in Nevada which may be examined by the Nevada Gaming Authorities at any time. If any securities are held in trust by an agent or by a nominee, the record holder may be required to disclose the identity of the beneficial owner to the Nevada Gaming Authorities. A failure to make the disclosure may be grounds for finding the record holder unsuitable. We are required to provide maximum assistance in determining the identity of the beneficial owner of any of our voting securities. The NGC has the power to require the stock certificates of any registered company to bear a legend indicating that the securities are subject to the Nevada Act. The certificates representing shares of Wynn Resorts' common stock note that the shares are subject to a right of redemption and other restrictions set forth in Wynn Resorts' articles of incorporation and bylaws and that the shares are, or may become, subject to restrictions imposed by applicable gaming laws.</w:t>
      </w:r>
    </w:p>
    <w:p>
      <w:pPr>
        <w:spacing w:after="0" w:line="205" w:lineRule="exact"/>
        <w:rPr>
          <w:sz w:val="20"/>
          <w:szCs w:val="20"/>
          <w:color w:val="auto"/>
        </w:rPr>
      </w:pPr>
    </w:p>
    <w:p>
      <w:pPr>
        <w:jc w:val="both"/>
        <w:ind w:firstLine="446"/>
        <w:spacing w:after="0" w:line="273" w:lineRule="auto"/>
        <w:rPr>
          <w:sz w:val="20"/>
          <w:szCs w:val="20"/>
          <w:color w:val="auto"/>
        </w:rPr>
      </w:pPr>
      <w:r>
        <w:rPr>
          <w:rFonts w:ascii="Arial" w:cs="Arial" w:eastAsia="Arial" w:hAnsi="Arial"/>
          <w:sz w:val="17"/>
          <w:szCs w:val="17"/>
          <w:color w:val="auto"/>
        </w:rPr>
        <w:t>Any person who fails or refuses to apply for a finding of suitability or a license within 30 days after being ordered to do so by the NGC or by the Chair of the NGCB, or who refuses or fails to pay the investigative costs incurred by the Nevada Gaming Authorities in connection with the investigation of its application may be found unsuitable. The same restrictions apply to a record owner if the record owner, after request, fails to identify the beneficial owner. Any person found unsuitable and who holds, directly or indirectly, any beneficial ownership of any voting security or debt security of a registered company beyond the period of time as may be prescribed by the NGC may be guilty of a criminal offense. We will be subject to disciplinary action if, after we receive notice that a person is unsuitable to hold an equity interest or to have any other relationship with us, we:</w:t>
      </w:r>
    </w:p>
    <w:p>
      <w:pPr>
        <w:spacing w:after="0" w:line="205"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pay that person any dividend or interest upon any voting securities;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allow that person to exercise, directly or indirectly, any voting right held by that person relating to Wynn Resorts;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pay remuneration in any form to that person for services rendered or otherwise; or</w:t>
      </w:r>
    </w:p>
    <w:p>
      <w:pPr>
        <w:spacing w:after="0" w:line="9" w:lineRule="exact"/>
        <w:rPr>
          <w:rFonts w:ascii="Arial" w:cs="Arial" w:eastAsia="Arial" w:hAnsi="Arial"/>
          <w:sz w:val="18"/>
          <w:szCs w:val="18"/>
          <w:color w:val="auto"/>
        </w:rPr>
      </w:pPr>
    </w:p>
    <w:p>
      <w:pPr>
        <w:ind w:left="1300" w:hanging="644"/>
        <w:spacing w:after="0" w:line="261" w:lineRule="auto"/>
        <w:tabs>
          <w:tab w:leader="none" w:pos="1295"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 to pursue all lawful efforts to require the unsuitable person to relinquish such person's voting securities, including, if necessary, the immediate purchase of the voting securities for cash at fair market value.</w:t>
      </w:r>
    </w:p>
    <w:p>
      <w:pPr>
        <w:spacing w:after="0" w:line="21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NGC may, in its discretion, require the owner of any debt or similar securities of a registered public company, to file applications, be investigated and be found suitable to own the debt or other securities of the registered company if the NGC has reason to believe that such ownership would otherwise be inconsistent with Nevada's declared public policies. If the NGC decides that a person is unsuitable to own the securities, then under the Nevada Act, the registered public company can be sanctioned, including the loss of its approvals if, without the prior approval of the NGC, it</w:t>
      </w:r>
    </w:p>
    <w:p>
      <w:pPr>
        <w:spacing w:after="0" w:line="198"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pays to the unsuitable person any dividend, interest or any distribution whatsoever;</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recognizes any voting right by the unsuitable person in connection with the securities;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pays the unsuitable person remuneration in any form; or</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makes any payment to the unsuitable person by way of principal, redemption, conversion, exchange, liquidation or similar transaction.</w:t>
      </w:r>
    </w:p>
    <w:p>
      <w:pPr>
        <w:spacing w:after="0" w:line="24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may not make a public offering (debt or equity) without the prior approval of the NGC if the proceeds from the offering are intended to be used to construct, acquire or finance gaming facilities in Nevada, or to retire or extend obligations incurred for those purposes or for similar transactions. On March 28, 2019, the NGC granted Wynn Resorts prior approval, subject to certain conditions, to make public offerings for a period of three years (the "Shelf Approval"). The Shelf Approval may be rescinded for good cause without prior notice upon the issuance of an interlocutory stop order by the Chair of the NGCB.</w:t>
      </w:r>
    </w:p>
    <w:p>
      <w:pPr>
        <w:spacing w:after="0" w:line="21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Changes in control of Wynn Resorts through merger, consolidation, stock or asset acquisitions, management or consulting agreements, or any act or</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conduct by a person whereby the person obtains control may not occur without the prior approval of the NGC. Entities seeking to acquire control of a registered public company must satisfy the NGCB and the NGC concerning a variety of stringent standards prior to assuming control of the registered public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NGC may also require controlling stockholders, officers, directors and other persons having a material relationship or involvement with the entity proposing to acquire control to be investigated and licensed as part of the approval process relating to the transaction.</w:t>
      </w:r>
    </w:p>
    <w:p>
      <w:pPr>
        <w:spacing w:after="0" w:line="197"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The Nevada legislature has declared that some corporate acquisitions opposed by management, repurchases of voting securities and corporate defense tactics affecting Nevada gaming licensees and registered public companies that are affiliated with the operations of Nevada gaming licensees may be harmful to stable and productive corporate gaming. The NGC has established a regulatory scheme to reduce the potential adverse effects of these business practices upon Nevada's gaming industry and to further Nevada's policy in order to:</w:t>
      </w:r>
    </w:p>
    <w:p>
      <w:pPr>
        <w:spacing w:after="0" w:line="214"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assure the financial stability of corporate gaming licensees and their affiliated companies;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preserve the beneficial aspects of conducting business in the corporate form;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promote a neutral environment for the orderly governance of corporate affairs.</w:t>
      </w:r>
    </w:p>
    <w:p>
      <w:pPr>
        <w:spacing w:after="0" w:line="238"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Approvals are, in certain circumstances, required from the NGC before we can make exceptional repurchases of voting securities above its current market price and before a corporate acquisition opposed by management can be consummated. The Nevada Act also requires prior approval of a plan of recapitalization proposed by a registered company's board of directors in response to a tender offer made directly to its stockholders for the purpose of acquiring control.</w:t>
      </w:r>
    </w:p>
    <w:p>
      <w:pPr>
        <w:spacing w:after="0" w:line="214" w:lineRule="exact"/>
        <w:rPr>
          <w:sz w:val="20"/>
          <w:szCs w:val="20"/>
          <w:color w:val="auto"/>
        </w:rPr>
      </w:pPr>
    </w:p>
    <w:p>
      <w:pPr>
        <w:jc w:val="both"/>
        <w:ind w:firstLine="446"/>
        <w:spacing w:after="0" w:line="273" w:lineRule="auto"/>
        <w:rPr>
          <w:sz w:val="20"/>
          <w:szCs w:val="20"/>
          <w:color w:val="auto"/>
        </w:rPr>
      </w:pPr>
      <w:r>
        <w:rPr>
          <w:rFonts w:ascii="Arial" w:cs="Arial" w:eastAsia="Arial" w:hAnsi="Arial"/>
          <w:sz w:val="17"/>
          <w:szCs w:val="17"/>
          <w:color w:val="auto"/>
        </w:rPr>
        <w:t>The Nevada Act requires any person who individually or in association with others, acquires or holds any amount of any class of voting securities, or each plan sponsor of a pension or employee benefit plan that acquires or holds any amount of any class of voting securities in a registered public company with the intent to engage in an activity that necessitates an amendment to a corporate charter, bylaws, management, policies or operation of a registered public company, to engage in an activity that materially influences or affects the affairs of a registered public company, or to engage any other activity that the NGC determines is inconsistent with holding voting securities for investment purposes to, within 2 days after possession of that intent, notify the NGCB Chair and apply to the NGC for a finding of suitability within 30 days after notification to the NGCB Chair.</w:t>
      </w:r>
    </w:p>
    <w:p>
      <w:pPr>
        <w:spacing w:after="0" w:line="205" w:lineRule="exact"/>
        <w:rPr>
          <w:sz w:val="20"/>
          <w:szCs w:val="20"/>
          <w:color w:val="auto"/>
        </w:rPr>
      </w:pPr>
    </w:p>
    <w:p>
      <w:pPr>
        <w:jc w:val="both"/>
        <w:ind w:firstLine="446"/>
        <w:spacing w:after="0" w:line="302" w:lineRule="auto"/>
        <w:rPr>
          <w:sz w:val="20"/>
          <w:szCs w:val="20"/>
          <w:color w:val="auto"/>
        </w:rPr>
      </w:pPr>
      <w:r>
        <w:rPr>
          <w:rFonts w:ascii="Arial" w:cs="Arial" w:eastAsia="Arial" w:hAnsi="Arial"/>
          <w:sz w:val="16"/>
          <w:szCs w:val="16"/>
          <w:color w:val="auto"/>
        </w:rPr>
        <w:t>License fees and taxes, computed in various ways depending on the type of gaming or activity involved, are payable to the State of Nevada and to the counties and cities in which the licensed subsidiaries' respective operations are conducted. Depending upon the particular fee or tax involved, these fees and taxes are payable monthly, quarterly or annually and are based upon a percentage of the gross revenue received; the number of gaming devices operated; or the number of table games operated. A live entertainment tax also is imposed on admission charges where live entertainment is furnished.</w:t>
      </w:r>
    </w:p>
    <w:p>
      <w:pPr>
        <w:spacing w:after="0" w:line="181"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Because we are involved in gaming ventures outside of Nevada, we are required to deposit with the NGCB, and thereafter maintain, a revolving fund in the amount of $10,000 to pay the expenses of investigation of the NGCB of our participation in such foreign gaming. The revolving fund is subject to increase or decrease at the discretion of the NGC. Thereafter, we are also required to comply with certain reporting requirements imposed by the Nevada Act. A licensee or registrant is also subject to disciplinary action by the NGC if it:</w:t>
      </w:r>
    </w:p>
    <w:p>
      <w:pPr>
        <w:spacing w:after="0" w:line="214"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knowingly violates any laws of the foreign jurisdiction pertaining to the foreign gaming operation;</w:t>
      </w:r>
    </w:p>
    <w:p>
      <w:pPr>
        <w:spacing w:after="0" w:line="23" w:lineRule="exact"/>
        <w:rPr>
          <w:rFonts w:ascii="Arial" w:cs="Arial" w:eastAsia="Arial" w:hAnsi="Arial"/>
          <w:sz w:val="18"/>
          <w:szCs w:val="18"/>
          <w:color w:val="auto"/>
        </w:rPr>
      </w:pPr>
    </w:p>
    <w:p>
      <w:pPr>
        <w:ind w:left="1300" w:hanging="644"/>
        <w:spacing w:after="0" w:line="250" w:lineRule="auto"/>
        <w:tabs>
          <w:tab w:leader="none" w:pos="12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fails to conduct the foreign gaming operation in accordance with the standards of honesty and integrity required of Nevada gaming operations;</w:t>
      </w:r>
    </w:p>
    <w:p>
      <w:pPr>
        <w:jc w:val="both"/>
        <w:ind w:left="1300" w:hanging="644"/>
        <w:spacing w:after="0" w:line="250" w:lineRule="auto"/>
        <w:tabs>
          <w:tab w:leader="none" w:pos="12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engages in any activity or enters into any association that is unsuitable because it poses an unreasonable threat to the control of gaming in Nevada, reflects or tends to reflect, discredit or disrepute upon the State of Nevada or gaming in Nevada, or is contrary to the gaming policies of Nevada;</w:t>
      </w:r>
    </w:p>
    <w:p>
      <w:pPr>
        <w:spacing w:after="0" w:line="1"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engages in activities or enters into associations that are harmful to the State of Nevada or its ability to collect gaming taxes and fees; or</w:t>
      </w:r>
    </w:p>
    <w:p>
      <w:pPr>
        <w:spacing w:after="0" w:line="32" w:lineRule="exact"/>
        <w:rPr>
          <w:rFonts w:ascii="Arial" w:cs="Arial" w:eastAsia="Arial" w:hAnsi="Arial"/>
          <w:sz w:val="16"/>
          <w:szCs w:val="16"/>
          <w:color w:val="auto"/>
        </w:rPr>
      </w:pPr>
    </w:p>
    <w:p>
      <w:pPr>
        <w:ind w:left="1300" w:hanging="644"/>
        <w:spacing w:after="0" w:line="261" w:lineRule="auto"/>
        <w:tabs>
          <w:tab w:leader="none" w:pos="12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employs, contracts with or associates with a person in the foreign operation who has been denied a license or finding of suitability in Nevada on the ground of unsuitability.</w:t>
      </w:r>
    </w:p>
    <w:p>
      <w:pPr>
        <w:spacing w:after="0" w:line="211"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The conduct of gaming activities and the service and sale of alcoholic beverages at Wynn Las Vegas are subject to licensing, control and regulation by the CCLGLB, which has granted Wynn Las Vegas, LLC licenses for such purposes. In addition to approving Wynn Las Vegas, LLC, the CCLGLB has the authority to approve all persons owning or controlling the equity of any entity controlling a gaming license. Certain of our officers, directors and key employees have been or may be required to file applications with the CCLGLB. Clark County gaming and liquor licenses are not transferable. The County has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full power to limit, condition, suspend or revoke any license. Any disciplinary action could, and revocation would, have a substantial negative impact on our operations.</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Massachusetts</w:t>
      </w:r>
    </w:p>
    <w:p>
      <w:pPr>
        <w:spacing w:after="0" w:line="25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Massachusetts Expanded Gaming Act and the regulations promulgated thereunder (collectively the "Massachusetts Act") subjects the owners and operators of gaming establishments to extensive state licensing and regulatory requirements. We are subject to the Massachusetts Act through our ownership interest in Wynn MA, LLC, ("Wynn MA") which operates Encore Boston Harbor.</w:t>
      </w:r>
    </w:p>
    <w:p>
      <w:pPr>
        <w:spacing w:after="0" w:line="20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Massachusetts Gaming Commission ("MGC") is responsible for issuing licenses under the Massachusetts Act and assuring that licenses are not issued or held by unqualified, disqualified or unsuitable persons. The MGC, in particular its Investigations and Enforcement Bureau ("IEB"), which is a bureau within the MGC, has extensive authority to conduct background investigations of applicants and licensees, and for generally enforcing the Massachusetts Act. The MGC has the authority to award up to three Category 1 licenses (table games and slot machines), and one Category 2 license (slot machines only), within the Commonwealth of Massachusetts to qualified applicants.</w:t>
      </w:r>
    </w:p>
    <w:p>
      <w:pPr>
        <w:spacing w:after="0" w:line="21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On September 17, 2014, the MGC designated Wynn MA the award winner of the Category 1 Greater Boston gaming license effective November 7, 2014. We, our relevant subsidiaries, and individual qualifiers required to be qualified have been found suitable by the MGC. Additional entities and key employees have been and will be required to file applications with the MGC and are or may be required to be licensed or found suitable by the MGC. A finding of suitability is comparable to licensing, and both require submission of detailed personal and financial information followed by a thorough investigation. Changes in licensed positions must be reported to the MGC.</w:t>
      </w:r>
    </w:p>
    <w:p>
      <w:pPr>
        <w:spacing w:after="0" w:line="21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If the MGC were to find an officer, director or key employee unsuitable for licensing or unsuitable to continue having a relationship with us, we would have to sever all relationships with that person. In addition, the MGC may require us to terminate the employment of any person who refuses to file appropriate applications.</w:t>
      </w:r>
    </w:p>
    <w:p>
      <w:pPr>
        <w:spacing w:after="0" w:line="20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initial license term is for 15 years, which commenced upon the MGC’s confirmation of its approval of the commencement of the operation of the gaming establishment on June 27, 2019. Wynn MA's gaming license is conditioned upon Wynn MA continuing to meet applicable licensing, registration, qualification and other regulatory requirements. The initial license fee for Category 1 licenses is $85,000,000, which Wynn MA has paid. All Category 1 and Category 2 gaming licenses are also subject to additional annual fees under the Massachusetts Act. The Commonwealth of Massachusetts also receives 25% of gross gaming revenues for Category 1 licensees.</w:t>
      </w:r>
    </w:p>
    <w:p>
      <w:pPr>
        <w:spacing w:after="0" w:line="21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MGC has responsibility for the continuing regulation and licensing of the licensee and its officers, directors, employees and other designated persons. The MGC retains the authority to suspend, revoke or condition a Category 1 license, or any other license issued under the Massachusetts Act, and the IEB may levy civil penalties for regulatory and other violations. All licenses issued under the Massachusetts Act are expressly deemed a revocable privilege, conditioned on the licensee's fulfillment of all conditions of licensure, compliance with applicable laws and regulations, and the licensee's continuing qualification and suitability. Among other things, the MGC is also responsible for the collection of application, license and other fees, conducting investigations of and monitoring applicants and licensees, and reviewing and ruling on complaints, and may conduct inspections of the gaming establishment premises or the licensee's records and equipment.</w:t>
      </w:r>
    </w:p>
    <w:p>
      <w:pPr>
        <w:spacing w:after="0" w:line="216"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Pursuant to the Massachusetts Act, the MGC may grant a gaming beverage license for the sale and distribution of alcoholic beverages for a gaming establishment. The division of gaming liquor enforcement of the Alcoholic Beverage Control Commission has the authority to enforce, regulate and control the distribution of alcoholic beverages in a gaming establishment. The MGC may revoke, suspend, refuse to renew or refuse to transfer a gaming beverage license for violations of the Massachusetts Act that pertain to the sale and distribution of alcohol consumed on the premises and the regulations adopted by the MGC. The MGC has adopted regulations for the issuance of gaming beverage licenses. These regulations and any changes in applicable laws, regulations and procedures could have significant negative effects on our future Massachusetts gaming operations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Regulations</w:t>
      </w:r>
    </w:p>
    <w:p>
      <w:pPr>
        <w:spacing w:after="0" w:line="25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addition to gaming regulations, we are subject to extensive local, state, federal and foreign laws and regulations in the jurisdictions in which we operate. These include, but are not limited to, laws and regulations relating to alcoholic beverages, environmental matters, employment and immigration, currency and other transactions, taxation, zoning and building codes, marketing and advertising, lending, debt collection, privacy, telemarketing, money laundering, laws and regulations administered by the Office of Foreign Assets Control, and anti-bribery laws, including the Foreign Corrupt Practices Act (the "FCPA"). Such laws and regulations could change or could be interpreted differently in the future, or new laws and regulations could be enacted. Any material changes, new laws or regulations, or material differences in interpretations by courts or governmental authorities could adversely affect our business and operating results.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As of December 31, 2019, we had approximately 30,200 employees (including approximately 13,800 in Macau and 16,400 in the United States).</w:t>
      </w:r>
    </w:p>
    <w:p>
      <w:pPr>
        <w:spacing w:after="0" w:line="264"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Our collective bargaining agreement with the Culinary Workers Union, Local 226, and Bartenders Union, Local 165, which covers approximately 5,500 employees at Wynn Las Vegas, expires in July 2021. Our collective bargaining agreement with the Transport Workers Union, Local 721, which covers approximately 400 of our table games dealers at Wynn Las Vegas, was rendered null and void by the union's disclaimer of interest in March 2019. Subsequently, in March 2019, the table games dealers at Wynn Las Vegas voted to be represented by the United Auto Workers Union. Wynn Las Vegas is in the process of negotiating a new collective bargaining agreement. In December 2018, employees in the horticulture and transportation departments at Wynn Las Vegas voted to be represented by the International Brotherhood of Teamsters, and Wynn Las Vegas is in the process of negotiating a collective bargaining agreement which would cover approximately 190 employees.</w:t>
      </w:r>
    </w:p>
    <w:p>
      <w:pPr>
        <w:spacing w:after="0" w:line="20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April 2019, Encore Boston Harbor entered into a memorandum of agreement with UNITE HERE, Local 26, for certain of the non-gaming service positions at the facility. Encore Boston Harbor is in the process of negotiating an initial collective bargaining agreement with the union, which will cover a majority of employees at the facility.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56" w:lineRule="exact"/>
        <w:rPr>
          <w:sz w:val="20"/>
          <w:szCs w:val="20"/>
          <w:color w:val="auto"/>
        </w:rPr>
      </w:pPr>
    </w:p>
    <w:p>
      <w:pPr>
        <w:jc w:val="both"/>
        <w:ind w:right="20" w:firstLine="446"/>
        <w:spacing w:after="0" w:line="308" w:lineRule="auto"/>
        <w:rPr>
          <w:sz w:val="20"/>
          <w:szCs w:val="20"/>
          <w:color w:val="auto"/>
        </w:rPr>
      </w:pPr>
      <w:r>
        <w:rPr>
          <w:rFonts w:ascii="Arial" w:cs="Arial" w:eastAsia="Arial" w:hAnsi="Arial"/>
          <w:sz w:val="17"/>
          <w:szCs w:val="17"/>
          <w:color w:val="auto"/>
        </w:rPr>
        <w:t>Among our most important marks are our trademarks and service marks that use the name "WYNN." Wynn Resorts has registered with the U.S. Patent and Trademark Office ("PTO") a variety of WYNN-related trademarks and service marks in connection with a variety of goods and services.</w:t>
      </w:r>
    </w:p>
    <w:p>
      <w:pPr>
        <w:spacing w:after="0" w:line="174"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We have also filed applications with various foreign patent and trademark registries, including in Macau, China, Singapore, Hong Kong, Taiwan, Japan, certain European countries and various other jurisdictions throughout the world, to register a variety of WYNN-related trademarks and service marks in connection with a variety of goods and services.</w:t>
      </w:r>
    </w:p>
    <w:p>
      <w:pPr>
        <w:spacing w:after="0" w:line="208"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We recognize that our intellectual property assets, including the word and logo version of "WYNN," are among our most valuable assets. As a result, and in connection with expansion of our resorts and gaming activities outside the United States, we have undertaken a program to register our trademarks and other intellectual property rights in relevant jurisdictions. We have retained counsel and intend to take all steps necessary to protect our intellectual property rights against unauthorized use throughout the world.</w:t>
      </w:r>
    </w:p>
    <w:p>
      <w:pPr>
        <w:spacing w:after="0" w:line="21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Pursuant to the Surname Rights Agreement, dated August 6, 2004, Stephen A. Wynn ("Mr. Wynn") granted us our exclusive, fully paid-up, perpetual, worldwide license to use, and to own and register trademarks and service marks incorporating the "Wynn" surname for casino resorts and related businesses, together with the right to sublicense the name and marks to its affiliates. Pursuant to a separation agreement, dated February 15, 2018, by and between Mr. Wynn and the Company, if we cease to use the "Wynn" surname and trademark, we will assign all of our right, title, and interest in the "Wynn" trademark to Mr. Wynn and terminate the Surname Rights Agreement.</w:t>
      </w:r>
    </w:p>
    <w:p>
      <w:pPr>
        <w:spacing w:after="0" w:line="215" w:lineRule="exact"/>
        <w:rPr>
          <w:sz w:val="20"/>
          <w:szCs w:val="20"/>
          <w:color w:val="auto"/>
        </w:rPr>
      </w:pPr>
    </w:p>
    <w:p>
      <w:pPr>
        <w:jc w:val="both"/>
        <w:ind w:firstLine="446"/>
        <w:spacing w:after="0" w:line="312" w:lineRule="auto"/>
        <w:rPr>
          <w:sz w:val="20"/>
          <w:szCs w:val="20"/>
          <w:color w:val="auto"/>
        </w:rPr>
      </w:pPr>
      <w:r>
        <w:rPr>
          <w:rFonts w:ascii="Arial" w:cs="Arial" w:eastAsia="Arial" w:hAnsi="Arial"/>
          <w:sz w:val="16"/>
          <w:szCs w:val="16"/>
          <w:color w:val="auto"/>
        </w:rPr>
        <w:t>We have also registered various domain names with various domain registrars around the world. Our domain registrations extend to various foreign jurisdictions such as ".com.cn" and ".com.hk." We pursue domain related infringement on a case by case basis depending on the infringing domain in question. The information found on these websites is not a part of this Annual Report on Form 10-K or any other report we file or furnish to the SEC.</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more information regarding the Company's intellectual property matters, see Item 1A—"Risk Factors."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make forward-looking statements in this Annual Report on Form 10-K based upon the beliefs and assumptions of our management and on information currently available to us. Forward-looking statements include, but are not limited to, information about our business strategy, development activities, competition and possible or assumed future results of operations, throughout this report and are often preceded by, followed by or include the words "may," "will," "should," "would," "could," "believe," "expect," "anticipate," "estimate," "intend," "plan," "continue" or the negative of these terms or similar expressions.</w:t>
      </w:r>
    </w:p>
    <w:p>
      <w:pPr>
        <w:spacing w:after="0" w:line="21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Forward-looking statements are subject to a number of risks and uncertainties that could cause actual results to differ materially from those we express in these forward-looking statements, including the risks and uncertainties in Item 1A—"Risk Factors" and other factors we describe from time to time in our periodic filings with the SEC, such as:</w:t>
      </w:r>
    </w:p>
    <w:p>
      <w:pPr>
        <w:spacing w:after="0" w:line="208"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extensive regulation of our business and the cost of compliance or failure to comply with applicable laws and regulations;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pending or future claims and legal proceedings, regulatory or enforcement actions or probity investigations;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maintain our gaming licenses and concessions;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dependence on key employees;</w:t>
      </w:r>
    </w:p>
    <w:p>
      <w:pPr>
        <w:spacing w:after="0" w:line="9" w:lineRule="exact"/>
        <w:rPr>
          <w:rFonts w:ascii="Arial" w:cs="Arial" w:eastAsia="Arial" w:hAnsi="Arial"/>
          <w:sz w:val="18"/>
          <w:szCs w:val="18"/>
          <w:color w:val="auto"/>
        </w:rPr>
      </w:pPr>
    </w:p>
    <w:p>
      <w:pPr>
        <w:ind w:left="1300" w:hanging="644"/>
        <w:spacing w:after="0" w:line="250" w:lineRule="auto"/>
        <w:tabs>
          <w:tab w:leader="none" w:pos="12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global political and economic conditions, in the U.S. and China (including the Chinese government's ongoing anti-corruption campaign), which may impact levels of travel, leisure, and consumer spending;</w:t>
      </w: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restrictions or conditions on visitation by citizens of mainland China to Macau;</w:t>
      </w:r>
    </w:p>
    <w:p>
      <w:pPr>
        <w:spacing w:after="0" w:line="9" w:lineRule="exact"/>
        <w:rPr>
          <w:rFonts w:ascii="Arial" w:cs="Arial" w:eastAsia="Arial" w:hAnsi="Arial"/>
          <w:sz w:val="18"/>
          <w:szCs w:val="18"/>
          <w:color w:val="auto"/>
        </w:rPr>
      </w:pPr>
    </w:p>
    <w:p>
      <w:pPr>
        <w:jc w:val="both"/>
        <w:ind w:left="1300" w:hanging="644"/>
        <w:spacing w:after="0" w:line="250" w:lineRule="auto"/>
        <w:tabs>
          <w:tab w:leader="none" w:pos="12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on the travel and leisure industry from factors such as an outbreak of an infectious disease, public incidents of violence, riots, demonstrations, extreme weather patterns or natural disasters, military conflicts, civil unrest, and any future security alerts and/or terrorist attacks;</w:t>
      </w:r>
    </w:p>
    <w:p>
      <w:pPr>
        <w:spacing w:after="0" w:line="1"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doing business in foreign locations such as Macau;</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maintain our customer relationships and collect and enforce gaming receivables;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relationships with Macau gaming promoters;</w:t>
      </w:r>
    </w:p>
    <w:p>
      <w:pPr>
        <w:spacing w:after="0" w:line="9" w:lineRule="exact"/>
        <w:rPr>
          <w:rFonts w:ascii="Arial" w:cs="Arial" w:eastAsia="Arial" w:hAnsi="Arial"/>
          <w:sz w:val="18"/>
          <w:szCs w:val="18"/>
          <w:color w:val="auto"/>
        </w:rPr>
      </w:pPr>
    </w:p>
    <w:p>
      <w:pPr>
        <w:ind w:left="1300" w:hanging="644"/>
        <w:spacing w:after="0" w:line="250" w:lineRule="auto"/>
        <w:tabs>
          <w:tab w:leader="none" w:pos="12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dependence on a limited number of resorts and locations for all of our cash flow and our subsidiaries' ability to pay us dividends and distributions;</w:t>
      </w:r>
    </w:p>
    <w:p>
      <w:pPr>
        <w:ind w:left="1300" w:right="20" w:hanging="644"/>
        <w:spacing w:after="0" w:line="250" w:lineRule="auto"/>
        <w:tabs>
          <w:tab w:leader="none" w:pos="12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competition in the casino/hotel and resort industries and actions taken by our competitors, including new development and construction activities of competitors;</w:t>
      </w:r>
    </w:p>
    <w:p>
      <w:pPr>
        <w:jc w:val="both"/>
        <w:ind w:left="1300" w:hanging="644"/>
        <w:spacing w:after="0" w:line="250" w:lineRule="auto"/>
        <w:tabs>
          <w:tab w:leader="none" w:pos="12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factors affecting the development and success of new gaming and resort properties (including limited labor resources, government labor and gaming policies and transportation infrastructure in Macau; and cost increases, environmental regulation, and our ability to secure necessary permits and approvals in Everett, Massachusetts);</w:t>
      </w:r>
    </w:p>
    <w:p>
      <w:pPr>
        <w:spacing w:after="0" w:line="1" w:lineRule="exact"/>
        <w:rPr>
          <w:rFonts w:ascii="Arial" w:cs="Arial" w:eastAsia="Arial" w:hAnsi="Arial"/>
          <w:sz w:val="18"/>
          <w:szCs w:val="18"/>
          <w:color w:val="auto"/>
        </w:rPr>
      </w:pPr>
    </w:p>
    <w:p>
      <w:pPr>
        <w:ind w:left="1300" w:hanging="644"/>
        <w:spacing w:after="0" w:line="250" w:lineRule="auto"/>
        <w:tabs>
          <w:tab w:leader="none" w:pos="12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construction risks (including disputes with and defaults by contractors and subcontractors; construction, equipment or staffing problems; shortages of materials or skilled labor; environment, health and safety issues; and unanticipated cost increases);</w:t>
      </w: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legalization and growth of gaming in other jurisdictions;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violations by us of the anti-money laundering laws or Foreign Corrupt Practices Act;</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adverse incidents or adverse publicity concerning our resorts or our corporate responsibilities;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gaming laws or regulations;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federal, foreign, or state tax laws or the administration of such laws;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continued compliance with all provisions in our debt agreements;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conditions precedent to funding under our credit facilities;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9" w:lineRule="exact"/>
        <w:rPr>
          <w:rFonts w:ascii="Arial" w:cs="Arial" w:eastAsia="Arial" w:hAnsi="Arial"/>
          <w:sz w:val="18"/>
          <w:szCs w:val="18"/>
          <w:color w:val="auto"/>
        </w:rPr>
      </w:pPr>
    </w:p>
    <w:p>
      <w:pPr>
        <w:ind w:left="1300" w:hanging="644"/>
        <w:spacing w:after="0" w:line="250" w:lineRule="auto"/>
        <w:tabs>
          <w:tab w:leader="none" w:pos="12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cybersecurity risk, including cyber and physical security breaches, system failure, computer viruses, and negligent or intentional misuse by customers, company employees, or employees of third-party vendors;</w:t>
      </w: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current and future insurance coverage levels.</w:t>
      </w:r>
    </w:p>
    <w:p>
      <w:pPr>
        <w:spacing w:after="0" w:line="23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available to us at the time this statement is made. We undertake no obligation to update or revise any forward-looking statement, whether as a result of new information, future developments or otherwise.</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You should carefully consider the risk factors set forth below, as well as the other information contained in this Annual Report on Form 10-K, regarding matters that could have an adverse effect, including a material one, on our business, financial condition, results of operations and cash flows. Additional risks and uncertainties not currently known to us or that we currently deem to be immaterial may also have a material adverse effect on our business, financial condition, results of operations and cash flows.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outbreak of the novel coronavirus ("Coronavirus") has had and will have an adverse effect on our results of operations.</w:t>
      </w:r>
    </w:p>
    <w:p>
      <w:pPr>
        <w:spacing w:after="0" w:line="252"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In January 2020, an outbreak of a new strain of coronavirus, COVID-19, was identified in Wuhan, China. Currently, no fully effective vaccines have been developed and there can be no assurance that an effective vaccine can be discovered in time to protect against a potential pandemic.</w:t>
      </w:r>
    </w:p>
    <w:p>
      <w:pPr>
        <w:spacing w:after="0" w:line="174"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 response, on February 4, 2020, the Macau government announced the closure of all casino operations in Macau, including those at Wynn Palace and Wynn Macau, for a period of 15 days. On February 20, 2020, our casino operations at Wynn Palace and Wynn Macau reopened on a reduced basis, and are expected to fully reopen by March 20, 2020 (the deadline set by the Macau government for Macau casinos to fully reopen). Since reopening, all casinos in Macau are subject to a number of government procedures which address the health and safety of staff and patrons, including limitations on the spacing of open tables and slot machines to ensure adequate distance between people, stopping patrons from congregating together, limiting the number of players and spectators at a table to three to four, temperature checks, mask protection, and health declarations.</w:t>
      </w:r>
    </w:p>
    <w:p>
      <w:pPr>
        <w:spacing w:after="0" w:line="20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Visitation to Macau has fallen precipitously since the outbreak of Coronavirus, driven by the Chinese government’s suspension of its visa and group tour schemes that allow mainland Chinese residents to travel to Macau, quarantines in certain cities in mainland China, and the suspension by the Hong Kong government of ferry service from Hong Kong to Macau until further notice.</w:t>
      </w:r>
    </w:p>
    <w:p>
      <w:pPr>
        <w:spacing w:after="0" w:line="20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US government has put in place restrictions on travel to the US from mainland China, and could expand the restrictions. A significant portion of our US business relies on the willingness and ability of premium international customers to travel to the US, including from mainland China. As such, our Las Vegas Operations and operations at Encore Boston Harbor may also be adversely impacted.</w:t>
      </w:r>
    </w:p>
    <w:p>
      <w:pPr>
        <w:spacing w:after="0" w:line="20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Coronavirus outbreak has had and will have an adverse effect on our results of operations. Given the uncertainty around the extent and timing of the potential future spread or mitigation of the Coronavirus and around the imposition or relaxation of protective measures, we cannot reasonably estimate the impact to our future results of operations, cash flows, or financial condition.</w:t>
      </w:r>
    </w:p>
    <w:p>
      <w:pPr>
        <w:spacing w:after="0" w:line="208"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b w:val="1"/>
          <w:bCs w:val="1"/>
          <w:i w:val="1"/>
          <w:iCs w:val="1"/>
          <w:color w:val="auto"/>
        </w:rPr>
        <w:t>We are subject to extensive state and local regulation, and licensing and gaming authorities have significant control over our operations. The cost of compliance or failure to comply with such regulations and authorities could have a negative effect on our business.</w:t>
      </w:r>
    </w:p>
    <w:p>
      <w:pPr>
        <w:spacing w:after="0" w:line="17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operations of our resorts are contingent upon our obtaining and maintaining all necessary licenses, permits, approvals, registrations, findings of suitability, orders and authorizations in the jurisdictions in which our resorts are located. The laws, regulations and ordinances requiring these licenses, permits and other approvals generally relate to the responsibility, financial stability and character of the owners and managers of gaming operations, as well as persons financially interested or involved in gaming operations. The NGC may require the holder of any debt or securities that we or Wynn Las Vegas, LLC issue to file applications, be investigated and be found suitable to own Wynn Resorts' securities if it has reason to believe that the security ownership would be inconsistent with the declared policies of the State of Nevada.</w:t>
      </w:r>
    </w:p>
    <w:p>
      <w:pPr>
        <w:spacing w:after="0" w:line="22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Company's articles of incorporation provide that, to the extent required by the gaming authority making the determination of unsuitability or to the extent the Board of Directors determines, in its sole discretion, that a person is likely to jeopardize the Company's or any affiliate's application for, receipt of, approval for, right to the use of, or entitlement to, any gaming license, shares of Wynn Resorts' capital stock that are owned or controlled by such unsuitable person or its affiliates are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subject to redemption by Wynn Resorts. The redemption price may be paid in cash, by promissory note, or both, as required, and pursuant to the terms established by the applicable gaming authority and, if not, as Wynn Resorts elects.</w:t>
      </w:r>
    </w:p>
    <w:p>
      <w:pPr>
        <w:spacing w:after="0" w:line="197"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Nevada and Massachusetts regulatory authorities have broad powers to request detailed financial and other information, to limit, condition, suspend or revoke a registration, gaming license or related approvals; approve changes in our operations; and levy fines or require forfeiture of assets for violations of gaming laws or regulations. Complying with gaming laws, regulations and license requirements is costly. Any change in the Nevada and Massachusetts laws, regulations or licenses applicable to our business or a violation of any current or future laws or regulations applicable to our business or gaming licenses could require us to make substantial expenditures and forfeit assets, and would negatively affect our gaming operations.</w:t>
      </w:r>
    </w:p>
    <w:p>
      <w:pPr>
        <w:spacing w:after="0" w:line="200"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Our Macau Operations are subject to unique risks. Failure to adhere to the regulatory and gaming environment in Macau could result in the revocation of our Macau Operations' concession or otherwise negatively affect its operations in Macau. Moreover, we are subject to the risk that U.S. regulators could determine that Macau's gaming regulatory framework has not developed in a way that would permit us to conduct operations in Macau in a manner consistent with the way in which we intend, or the applicable U.S. gaming authorities require us, to conduct our operations in the United States.</w:t>
      </w:r>
    </w:p>
    <w:p>
      <w:pPr>
        <w:spacing w:after="0" w:line="18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Each of these regulatory authorities has extensive power to license and oversee the operations of our casino resorts and has taken action and could take action against the Company and its related licensees, including actions that could affect the ability or terms upon which our subsidiaries hold their gaming licenses and concessions, and the suitability of the Company to continue as a stockholder of those affiliates.</w:t>
      </w:r>
    </w:p>
    <w:p>
      <w:pPr>
        <w:spacing w:after="0" w:line="208"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b w:val="1"/>
          <w:bCs w:val="1"/>
          <w:i w:val="1"/>
          <w:iCs w:val="1"/>
          <w:color w:val="auto"/>
        </w:rPr>
        <w:t>Ongoing investigations, litigation and other disputes could distract management and result in negative publicity and additional scrutiny from regulators.</w:t>
      </w:r>
    </w:p>
    <w:p>
      <w:pPr>
        <w:spacing w:after="0" w:line="197"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As discussed in Item 3—"Legal Proceedings" and Item 8—"Financial Statements and Supplementary Data," Note 17, "Commitments and Contingencies," the Company is subject to various claims related to our operations. These foregoing investigations, litigation and other disputes and any additional such matters that may arise in the future, can be expensive and may divert management's attention from the operations of our businesses. The investigations, litigation and other disputes may also lead to additional scrutiny from regulators, which could lead to investigations relating to, and possibly a negative impact on, the Company's gaming licenses and the Company's ability to bid successfully for new gaming market opportunities. In addition, the actions, litigation and publicity could negatively impact our business, reputation and competitive position and could reduce demand for shares of Wynn Resorts and WML and thereby have a negative impact on the trading prices of their respective shares.</w:t>
      </w:r>
    </w:p>
    <w:p>
      <w:pPr>
        <w:spacing w:after="0" w:line="205"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b w:val="1"/>
          <w:bCs w:val="1"/>
          <w:i w:val="1"/>
          <w:iCs w:val="1"/>
          <w:color w:val="auto"/>
        </w:rPr>
        <w:t>We depend on the continued services of key managers and employees. If we do not retain our key personnel or attract and retain other highly skilled employees, our business will suffer.</w:t>
      </w:r>
    </w:p>
    <w:p>
      <w:pPr>
        <w:spacing w:after="0" w:line="197"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Our ability to maintain our competitive position is dependent to a large degree on the services of our senior management team. Our success depends upon our ability to attract, hire, and retain qualified operating, marketing, financial, and technical personnel in the future. Given the intense competition for qualified management personnel in our industry, we may not be able to hire or retain the required personnel. The loss of key management and operating personnel would likely have a material adverse effect on our business, prospects, financial condition, and results of operations.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Our business is particularly sensitive to reductions in discretionary consumer and corporate spending as a result of global economic conditions.</w:t>
      </w:r>
    </w:p>
    <w:p>
      <w:pPr>
        <w:spacing w:after="0" w:line="275"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Consumer demand for casino/hotel resorts, trade shows and conventions and for the type of luxury amenities that we offer is particularly sensitive to changes in the global economy, which adversely impact discretionary spending on leisure activities. Changes in discretionary consumer spending or consumer preferences brought about by factors such as perceived or actual general global economic conditions, high unemployment, weakness in housing or oil markets, perceived or actual changes in disposable consumer income and wealth, an economic recession and changes in consumer confidence in the global economy, perceived or actual health risks related to outbreaks of infectious disease, or fears of war and future acts of terrorism have in the past and could in the future reduce customer demand for the luxury amenities and leisure activities we offer, and may have a significant negative impact on our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Also, consumer demographics and preferences may evolve over time, which, for example, has resulted in growth in consumer demand for non-gaming offerings. Our success depends in part on our ability to anticipate the preferences of consumers and react to those trends and any failure to do so may negatively impact our operating results.</w:t>
      </w:r>
    </w:p>
    <w:p>
      <w:pPr>
        <w:spacing w:after="0" w:line="20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b w:val="1"/>
          <w:bCs w:val="1"/>
          <w:i w:val="1"/>
          <w:iCs w:val="1"/>
          <w:color w:val="auto"/>
        </w:rPr>
        <w:t>Demand for our products and services in Macau and Las Vegas may be negatively impacted by international relations, economic disruptions in mainland China, visa restrictions placed on citizens of mainland China, the anti-corruption campaign, restrictions on international money transfers or similar campaigns.</w:t>
      </w:r>
    </w:p>
    <w:p>
      <w:pPr>
        <w:spacing w:after="0" w:line="208"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A significant amount of our gaming revenues in Macau and Las Vegas come from customers from mainland China. Economic disruption, international relations, contraction and uncertainty in China could impact the number of patrons visiting our Macau and Las Vegas properties or the amount they spend. In addition, policies adopted from time to time by governments, including any travel restrictions imposed on Chinese citizens such as restrictions imposed on exit visas or restrictions on United States visitor visas, could disrupt the number of visitors from mainland China to our properties. It is not known when, or if, policies restricting visitation by mainland Chinese citizens will be put in place and such policies may be adjusted, without notice, in the future. Furthermore, the Chinese government's continuing anti-corruption campaign has influenced the behavior of Chinese consumers and their spending patterns both domestically and abroad. That campaign, as well as mainland Chinese and Macau monetary outflow policies have specifically led to tighter monetary transfer regulations, real-time monitoring of certain financial channels, limitations on cash withdrawals from ATM machines by mainland China citizens, reduction of annual withdrawal limits from bank accounts while the account holder is outside of mainland China, and "know your client" protocols implemented on ATM machines. These policies may affect and impact the number of visitors and the amount of money they spend. The overall effect of the campaign and monetary transfer restrictions may negatively affect our revenues and results of operations.</w:t>
      </w:r>
    </w:p>
    <w:p>
      <w:pPr>
        <w:spacing w:after="0" w:line="200"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b w:val="1"/>
          <w:bCs w:val="1"/>
          <w:i w:val="1"/>
          <w:iCs w:val="1"/>
          <w:color w:val="auto"/>
        </w:rPr>
        <w:t>Our business is particularly sensitive to the willingness of our customers to travel to and spend time at our resorts. Acts or the threat of acts of terrorism, outbreak of infectious disease, regional political events and developments in certain countries could cause severe disruptions in air and other travel and may otherwise negatively impact tourists' willingness to visit our resorts. Such events or developments could reduce the number of visitors to our facilities, resulting in a material adverse effect on our business and financial condition, results of operations or cash flows.</w:t>
      </w:r>
    </w:p>
    <w:p>
      <w:pPr>
        <w:spacing w:after="0" w:line="181" w:lineRule="exact"/>
        <w:rPr>
          <w:sz w:val="20"/>
          <w:szCs w:val="20"/>
          <w:color w:val="auto"/>
        </w:rPr>
      </w:pPr>
    </w:p>
    <w:p>
      <w:pPr>
        <w:jc w:val="both"/>
        <w:ind w:firstLine="405"/>
        <w:spacing w:after="0" w:line="274" w:lineRule="auto"/>
        <w:rPr>
          <w:sz w:val="20"/>
          <w:szCs w:val="20"/>
          <w:color w:val="auto"/>
        </w:rPr>
      </w:pPr>
      <w:r>
        <w:rPr>
          <w:rFonts w:ascii="Arial" w:cs="Arial" w:eastAsia="Arial" w:hAnsi="Arial"/>
          <w:sz w:val="16"/>
          <w:szCs w:val="16"/>
          <w:color w:val="auto"/>
        </w:rPr>
        <w:t>We are dependent on the willingness of our customers to travel. Only a small amount of our business is and will be generated by local residents. Most of our customers travel to reach our Las Vegas and Macau properties. Acts of terrorism or concerns over the possibility of such acts may severely disrupt domestic and international travel, which would result in a decrease in customer visits to Las Vegas and Macau, including our properties. Regional conflicts could have a similar effect on domestic and international travel. Disruptions in air or other forms of travel as a result of any terrorist act, outbreak of hostilities, escalation of war or worldwide infectious disease outbreak would have an adverse effect on our business and financial condition, results of operations and cash flows. In addition, governmental action and uncertainty resulting from U.S. and global political trends and policies, including potential barriers to travel, trade and immigration can reduce demand for hospitality products and services, including visitation to our resorts.</w:t>
      </w:r>
    </w:p>
    <w:p>
      <w:pPr>
        <w:spacing w:after="0" w:line="191"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Furthermore, the attack in Las Vegas on October 1, 2017 underscores the possibility that large public facilities could become the target of mass shootings or other attacks in the future. The occurrence or the possibility of attacks could cause all or portions of affected properties to be shut down for prolonged periods, resulting in a loss of income; generally reduce travel to affected areas for tourism and business or adversely affect the willingness of customers to stay in or avail themselves of the services of the affected properties; expose us to a risk of monetary claims arising from death, injury or damage to property caused by any such attack; and result in higher costs for security and insurance premiums, all of which could adversely affect our results.</w:t>
      </w:r>
    </w:p>
    <w:p>
      <w:pPr>
        <w:spacing w:after="0" w:line="18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continued success depends on our ability to maintain the reputation of our resorts.</w:t>
      </w:r>
    </w:p>
    <w:p>
      <w:pPr>
        <w:spacing w:after="0" w:line="25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strategy and integrated resort business model rely on positive perceptions of our resorts and the level of service we provide. Any deterioration in our reputation could have a material adverse effect on our business, results of operations and cash flows. Our reputation could be negatively impacted by our failure to deliver the superior design and customer service for which we are known or by events that are beyond our control. Our reputation may also suffer as a result of negative publicity regarding the Company or our resorts, including as a result of social media reports, regardless of the accuracy of such publicity. The continued expansion of media and social media formats has compounded the potential scope of negative publicity and has made it more difficult to control and effectively manage negative publicity.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40" w:firstLine="243"/>
        <w:spacing w:after="0" w:line="277" w:lineRule="auto"/>
        <w:rPr>
          <w:sz w:val="20"/>
          <w:szCs w:val="20"/>
          <w:color w:val="auto"/>
        </w:rPr>
      </w:pPr>
      <w:r>
        <w:rPr>
          <w:rFonts w:ascii="Arial" w:cs="Arial" w:eastAsia="Arial" w:hAnsi="Arial"/>
          <w:sz w:val="18"/>
          <w:szCs w:val="18"/>
          <w:b w:val="1"/>
          <w:bCs w:val="1"/>
          <w:i w:val="1"/>
          <w:iCs w:val="1"/>
          <w:color w:val="auto"/>
        </w:rPr>
        <w:t>We are entirely dependent on a limited number of resorts for all of our cash flow, which subjects us to greater risks than a gaming company with more operating properties.</w:t>
      </w:r>
    </w:p>
    <w:p>
      <w:pPr>
        <w:spacing w:after="0" w:line="19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are currently entirely dependent upon our Macau Operations, Las Vegas Operations and Encore Boston Harbor for all of our operating cash flow. As a result, we are subject to a greater degree of risk than a gaming company with more operating properties or greater geographic diversification. The risks to which we have a greater degree of exposure include the following:</w:t>
      </w:r>
    </w:p>
    <w:p>
      <w:pPr>
        <w:spacing w:after="0" w:line="208"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local economic and competitive conditions;</w:t>
      </w:r>
    </w:p>
    <w:p>
      <w:pPr>
        <w:spacing w:after="0" w:line="23" w:lineRule="exact"/>
        <w:rPr>
          <w:rFonts w:ascii="Arial" w:cs="Arial" w:eastAsia="Arial" w:hAnsi="Arial"/>
          <w:sz w:val="18"/>
          <w:szCs w:val="18"/>
          <w:color w:val="auto"/>
        </w:rPr>
      </w:pPr>
    </w:p>
    <w:p>
      <w:pPr>
        <w:ind w:left="1300" w:right="20" w:hanging="644"/>
        <w:spacing w:after="0" w:line="250" w:lineRule="auto"/>
        <w:tabs>
          <w:tab w:leader="none" w:pos="12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local and state governmental laws and regulations, including gaming laws and regulations, and the way in which those laws and regulations are applied;</w:t>
      </w: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natural and other disasters, including the outbreak of infectious diseases;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increase in the cost of maintaining our properties;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decline in the number of visitors to Las Vegas, Macau or Boston;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decrease in gaming and non-casino activities at our resorts.</w:t>
      </w:r>
    </w:p>
    <w:p>
      <w:pPr>
        <w:spacing w:after="0" w:line="238"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Any of the factors outlined above could negatively affect our results of operations and our ability to generate sufficient cash flow to make payments or maintain our covenants with respect to our debt.</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are a parent company and our primary source of cash is and will be distributions from our subsidiaries.</w:t>
      </w:r>
    </w:p>
    <w:p>
      <w:pPr>
        <w:spacing w:after="0" w:line="252" w:lineRule="exact"/>
        <w:rPr>
          <w:sz w:val="20"/>
          <w:szCs w:val="20"/>
          <w:color w:val="auto"/>
        </w:rPr>
      </w:pPr>
    </w:p>
    <w:p>
      <w:pPr>
        <w:jc w:val="both"/>
        <w:ind w:firstLine="405"/>
        <w:spacing w:after="0"/>
        <w:rPr>
          <w:sz w:val="20"/>
          <w:szCs w:val="20"/>
          <w:color w:val="auto"/>
        </w:rPr>
      </w:pPr>
      <w:r>
        <w:rPr>
          <w:rFonts w:ascii="Arial" w:cs="Arial" w:eastAsia="Arial" w:hAnsi="Arial"/>
          <w:sz w:val="18"/>
          <w:szCs w:val="18"/>
          <w:color w:val="auto"/>
        </w:rPr>
        <w:t>We are a parent company with limited business operations of our own. Our main asset is the capital stock of our subsidiaries. We conduct most of our business operations through our direct and indirect subsidiaries. Accordingly, our primary sources of cash are dividends and distributions with respect to our ownership interests in our subsidiaries that are derived from the earnings and cash flow generated by our operating properties. Our subsidiaries might not generate sufficient earnings and cash flow to pay dividends or distributions in the future. For example, if the Coronavirus outbreak continues to interrupt our gaming operations or visitation to Macau or if the outbreak escalates, it may have a material adverse effect on our subsidiaries' results of operations and their ability to pay dividends or distributions to us.</w:t>
      </w:r>
    </w:p>
    <w:p>
      <w:pPr>
        <w:spacing w:after="0" w:line="2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subsidiaries' payments to us will be contingent upon their earnings and upon other business considerations. In addition, our subsidiaries' debt instruments and other agreements limit or prohibit certain payments of dividends or other distributions to us. We expect that future debt instruments for the financing of our other developments will contain similar restrictions. An inability of our subsidiaries to pay us dividends and distributions would have a significant negative effect on our liquidity.</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casino, hotel, convention and other facilities face intense competition, which may increase in the future.</w:t>
      </w:r>
    </w:p>
    <w:p>
      <w:pPr>
        <w:spacing w:after="0" w:line="252"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The casino/hotel industry is highly competitive. We hold a concession under one of only three gaming concessions and three subconcessions authorized by the Macau government to operate casinos in Macau. The Macau government has had the ability to grant additional gaming concessions since April 2009. If the Macau government were to allow additional competitors to operate in Macau through the grant of additional concessions or subconcessions, we would face additional competition, which could have a material adverse effect on our business, financial condition, results of operations and cash flows. Several of the current concessionaires and subconcessionaires have opened facilities in the Cotai area over the past few years, which has significantly increased gaming and non-gaming offerings in Macau, with continued development and further openings in Cotai expected in the near future.</w:t>
      </w:r>
    </w:p>
    <w:p>
      <w:pPr>
        <w:spacing w:after="0" w:line="19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Macau Operations face competition from casinos located in Singapore, South Korea, the Philippines, Vietnam, Cambodia, and Malaysia. We also encounter competition from other major gaming centers located around the world, including Australia and Las Vegas, cruise ships in Asia that offer gaming, and other casinos throughout Asia. Additionally, certain other Asian countries and regions have legalized or in the future may legalize gaming, such as Japan, Taiwan and Thailand, which could increase competition for our Macau Operations.</w:t>
      </w:r>
    </w:p>
    <w:p>
      <w:pPr>
        <w:spacing w:after="0" w:line="214"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Our Las Vegas Operations compete with other Las Vegas Strip hotels and with other hotel casinos in Las Vegas on the basis of overall atmosphere, range of amenities, level of service, price, location, entertainment, theme and size, among other factors. Wynn Las Vegas also competes with other casino/hotel facilities in other cities. The proliferation of gaming activities in other areas could significantly harm our business as well. In particular, the legalization or expansion of casino gaming in or near metropolitan areas from which we attract customers could have a negative effect on our business. In addition, new or renovated casinos in Macau or elsewhere in Asia could draw Asian gaming customers away from Wynn Las Vegas.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Encore Boston Harbor competes with other casinos in the northeastern United States. Additional competition in the northeast region as a result of the upgrading or expansion of facilities by existing market participants, the entrance of new gaming participants into a market or legislative changes may harm our business. As competing properties and new markets are opened, our operating results may be negatively impacted.</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Increased competition could result in a loss of customers, which may negatively affect our cash flows and results of operations.</w:t>
      </w:r>
    </w:p>
    <w:p>
      <w:pPr>
        <w:spacing w:after="0" w:line="25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b w:val="1"/>
          <w:bCs w:val="1"/>
          <w:i w:val="1"/>
          <w:iCs w:val="1"/>
          <w:color w:val="auto"/>
        </w:rPr>
        <w:t>Our business relies on premium, international customers. We often extend credit, and we may not be able to collect gaming receivables from our credit players or credit play may decrease.</w:t>
      </w:r>
    </w:p>
    <w:p>
      <w:pPr>
        <w:spacing w:after="0" w:line="19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A significant portion of our table games revenue at our resorts is attributable to the play of a limited number of premium international</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The loss or a reduction in the play of the most significant of these customers could have a material adverse effect on our business, financial condition, results of operations and cash flows. A downturn in economic conditions in the countries in which these customers reside could cause a reduction in the frequency of visits by and revenue generated from these customers.</w:t>
      </w:r>
    </w:p>
    <w:p>
      <w:pPr>
        <w:spacing w:after="0" w:line="21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conduct our gaming activities on a credit as well as a cash basis. The casino credit we extend is generally unsecured and due on demand. We will extend casino credit to those customers whose level of play and financial resources, in the opinion of management, warrant such an extension. The collectability of receivables from international customers could be negatively affected by future business or economic trends or by significant events in the countries in which these customers reside.</w:t>
      </w:r>
    </w:p>
    <w:p>
      <w:pPr>
        <w:spacing w:after="0" w:line="21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auto"/>
        </w:rPr>
        <w:t xml:space="preserve">Macau Operations. </w:t>
      </w:r>
      <w:r>
        <w:rPr>
          <w:rFonts w:ascii="Arial" w:cs="Arial" w:eastAsia="Arial" w:hAnsi="Arial"/>
          <w:sz w:val="18"/>
          <w:szCs w:val="18"/>
          <w:color w:val="auto"/>
        </w:rPr>
        <w:t>Although the law in Macau permits casino operators to extend credit to gaming customers, our Macau Operations may not be able to</w:t>
      </w:r>
      <w:r>
        <w:rPr>
          <w:rFonts w:ascii="Arial" w:cs="Arial" w:eastAsia="Arial" w:hAnsi="Arial"/>
          <w:sz w:val="18"/>
          <w:szCs w:val="18"/>
          <w:i w:val="1"/>
          <w:iCs w:val="1"/>
          <w:color w:val="auto"/>
        </w:rPr>
        <w:t xml:space="preserve"> </w:t>
      </w:r>
      <w:r>
        <w:rPr>
          <w:rFonts w:ascii="Arial" w:cs="Arial" w:eastAsia="Arial" w:hAnsi="Arial"/>
          <w:sz w:val="18"/>
          <w:szCs w:val="18"/>
          <w:color w:val="auto"/>
        </w:rPr>
        <w:t>collect all of its gaming receivables from its credit players. We expect that our Macau Operations will be able to enforce these obligations only in a limited number of jurisdictions, including Macau. To the extent our gaming customers are visitors from other jurisdictions, we may not have access to a forum in which we will be able to collect all of our gaming receivables because, among other reasons, courts of many jurisdictions do not enforce gaming debts and we may encounter forums that will refuse to enforce such debts. Our inability to collect gaming debts could have a significant negative impact on our operating results.</w:t>
      </w:r>
    </w:p>
    <w:p>
      <w:pPr>
        <w:spacing w:after="0" w:line="22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Currently, the gaming tax in Macau is calculated as a percentage of gross gaming revenue, including the face value of credit instruments issued. As a result, if we extend credit to our customers in Macau and are unable to collect on the related receivables from them, we remain obligated to pay taxes on the full amount of the credit instrument.</w:t>
      </w:r>
    </w:p>
    <w:p>
      <w:pPr>
        <w:spacing w:after="0" w:line="208"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i w:val="1"/>
          <w:iCs w:val="1"/>
          <w:color w:val="auto"/>
        </w:rPr>
        <w:t xml:space="preserve">Las Vegas Operations and Encore Boston Harbor. </w:t>
      </w:r>
      <w:r>
        <w:rPr>
          <w:rFonts w:ascii="Arial" w:cs="Arial" w:eastAsia="Arial" w:hAnsi="Arial"/>
          <w:sz w:val="17"/>
          <w:szCs w:val="17"/>
          <w:color w:val="auto"/>
        </w:rPr>
        <w:t>While gaming debts evidenced by a credit instrument, including what is commonly referred to as a</w:t>
      </w:r>
      <w:r>
        <w:rPr>
          <w:rFonts w:ascii="Arial" w:cs="Arial" w:eastAsia="Arial" w:hAnsi="Arial"/>
          <w:sz w:val="17"/>
          <w:szCs w:val="17"/>
          <w:i w:val="1"/>
          <w:iCs w:val="1"/>
          <w:color w:val="auto"/>
        </w:rPr>
        <w:t xml:space="preserve"> </w:t>
      </w:r>
      <w:r>
        <w:rPr>
          <w:rFonts w:ascii="Arial" w:cs="Arial" w:eastAsia="Arial" w:hAnsi="Arial"/>
          <w:sz w:val="17"/>
          <w:szCs w:val="17"/>
          <w:color w:val="auto"/>
        </w:rPr>
        <w:t>"marker," are enforceable under the current laws of Nevada and Massachusetts, and judgments on gaming debts are enforceable in all states of the United States under the Full Faith and Credit Clause of the United States Constitution, other jurisdictions may determine that direct or indirect enforcement of gaming debts is against public policy. Although courts of some foreign nations will enforce gaming debts directly and the assets in the United States of foreign debtors may be used to satisfy a judgment, judgments on gaming debts from U.S. courts are not binding on the courts of many foreign nations. We cannot assure that we will be able to collect the full amount of gaming debts owed to us, even in jurisdictions that enforce them. Changes in economic conditions may make it more difficult to assess creditworthiness and more difficult to collect the full amount of any gaming debt owed to us. Our inability to collect gaming debts could have a significant negative impact on our operating results.</w:t>
      </w:r>
    </w:p>
    <w:p>
      <w:pPr>
        <w:spacing w:after="0" w:line="20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Win rates for our gaming operations depend on a variety of factors, some of which are beyond our control.</w:t>
      </w:r>
    </w:p>
    <w:p>
      <w:pPr>
        <w:spacing w:after="0" w:line="25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gaming industry is characterized by an element of chance. In addition to the element of chance, win rates are also affected by other factors, including players' skill and experience, the mix of games played, the financial resources of players, the spread of table limits, the volume of bets played, the amount of time played and undiscovered acts of fraud or cheating. Our gross gaming revenues are mainly derived from the difference between our casino winnings and the casino winnings of our gaming customers. Since there is an inherent element of chance in the gaming industry, we do not have full control over our winnings or the winnings of our gaming customers.</w:t>
      </w:r>
    </w:p>
    <w:p>
      <w:pPr>
        <w:spacing w:after="0" w:line="21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Acts of fraud or cheating through the use of counterfeit chips, covert schemes and other tactics, possibly in collusion with our employees, may be attempted or committed by our gaming customers with the aim of increasing their winnings. Our</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gaming customers, visitors and employees may also commit crimes such as theft in order to obtain chips not belonging to them. We have taken measures to safeguard our interests including the implementation of systems, processes and technologies to mitigate against these risks, extensive employee training, surveillance, security and investigation operations and adoption of appropriate security features on our chips such as embedded radio frequency identification tags. Despite our efforts, we may not be successful in preventing or detecting such culpable behavior and schemes in a timely manner and the relevant insurance we have obtained may not be sufficient to cover our losses depending on the incident, which could result in losses to our gaming operations and generate negative publicity, both of which could have an adverse effect on our reputation, business, results of operations and cash flows.</w:t>
      </w:r>
    </w:p>
    <w:p>
      <w:pPr>
        <w:spacing w:after="0" w:line="19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addition, premium gaming is more volatile than other forms of gaming, and variances in win-loss results attributable to high-end gaming may have a positive or negative impact on cash flow and earnings in a particular quarter.</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new projects may not be successful.</w:t>
      </w:r>
    </w:p>
    <w:p>
      <w:pPr>
        <w:spacing w:after="0" w:line="252"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In addition to the construction and regulatory risks associated with our current and future construction projects, we cannot assure you that the level of consumer demand for our casino resorts or for the type of luxury amenities that we will offer will meet our expectations. The operating results of our new projects may be materially different than the operating results of our current integrated resorts due to, among other reasons, differences in consumer and corporate spending and preferences in new geographic areas, increased competition from other markets or other developments that may be beyond our control. In addition, our new projects may be more sensitive to certain risks, including risks associated with downturns in the economy, than the resorts we currently operate. The demands imposed by new developments on our managerial, operational and other resources may impact our operation of our existing resorts. If any of these issues were to occur, it could adversely affect our prospects, financial condition, or results of operations.</w:t>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could encounter higher than expected cost increases in the development of our projects.</w:t>
      </w:r>
    </w:p>
    <w:p>
      <w:pPr>
        <w:spacing w:after="0" w:line="25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projected development costs for our projects reflect our best estimates and the actual development costs may be higher than expected. Contingencies that have been set aside by us to cover potential cost overruns or potential delays may be insufficient to cover the full amount of such overruns or delays. If these contingencies are not sufficient to cover these costs, or if we are not able to recover damages for these delays and contingencies, we may not have the funds required to pay the excess costs and this project may not be completed. Failure to complete this project may negatively affect our financial condition, our results of operations and our ability to pay our debt.</w:t>
      </w:r>
    </w:p>
    <w:p>
      <w:pPr>
        <w:spacing w:after="0" w:line="21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b w:val="1"/>
          <w:bCs w:val="1"/>
          <w:i w:val="1"/>
          <w:iCs w:val="1"/>
          <w:color w:val="auto"/>
        </w:rPr>
        <w:t>Construction projects will be subject to development and construction risks, which could have an adverse effect on our financial condition, results of operations or cash flows.</w:t>
      </w:r>
    </w:p>
    <w:p>
      <w:pPr>
        <w:spacing w:after="0" w:line="19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Major construction projects of the scope and scale of our resorts entail significant risks, including:</w:t>
      </w:r>
    </w:p>
    <w:p>
      <w:pPr>
        <w:spacing w:after="0" w:line="252"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unanticipated cost increases;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shortages of, and price increases in, materials or skilled labor;</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to plans and specifications;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obtaining or inability to obtain requisite licenses, permits and authorizations from regulatory authorities;</w:t>
      </w:r>
    </w:p>
    <w:p>
      <w:pPr>
        <w:spacing w:after="0" w:line="9" w:lineRule="exact"/>
        <w:rPr>
          <w:rFonts w:ascii="Arial" w:cs="Arial" w:eastAsia="Arial" w:hAnsi="Arial"/>
          <w:sz w:val="18"/>
          <w:szCs w:val="18"/>
          <w:color w:val="auto"/>
        </w:rPr>
      </w:pPr>
    </w:p>
    <w:p>
      <w:pPr>
        <w:ind w:left="1300" w:right="20" w:hanging="644"/>
        <w:spacing w:after="0" w:line="250" w:lineRule="auto"/>
        <w:tabs>
          <w:tab w:leader="none" w:pos="12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laws and regulations, or in the interpretation and enforcement of laws and regulations, applicable to gaming, leisure, real estate development or construction projects;</w:t>
      </w: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unforeseen engineering, environmental and/or geological problems;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labor disputes or work stoppages;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disputes with and defaults by contractors and subcontractors;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personal injuries to workers and other persons;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environment, health and safety issues, including site accidents;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or interference from severe weather or natural disasters;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geological, construction, excavation, regulatory and equipment problems;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unavailability of construction equipment.</w:t>
      </w:r>
    </w:p>
    <w:p>
      <w:pPr>
        <w:spacing w:after="0" w:line="238" w:lineRule="exact"/>
        <w:rPr>
          <w:sz w:val="20"/>
          <w:szCs w:val="20"/>
          <w:color w:val="auto"/>
        </w:rPr>
      </w:pPr>
    </w:p>
    <w:p>
      <w:pPr>
        <w:ind w:firstLine="405"/>
        <w:spacing w:after="0" w:line="308" w:lineRule="auto"/>
        <w:rPr>
          <w:sz w:val="20"/>
          <w:szCs w:val="20"/>
          <w:color w:val="auto"/>
        </w:rPr>
      </w:pPr>
      <w:r>
        <w:rPr>
          <w:rFonts w:ascii="Arial" w:cs="Arial" w:eastAsia="Arial" w:hAnsi="Arial"/>
          <w:sz w:val="17"/>
          <w:szCs w:val="17"/>
          <w:color w:val="auto"/>
        </w:rPr>
        <w:t>Construction, equipment or staffing problems or difficulties in obtaining any of the requisite licenses, permits and authorizations from regulatory authorities could increase the total cost, delay or prevent the construction or opening or otherwise affect the design and features of our projects.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We anticipate that only some of the subcontractors engaged for these projects will post bonds guaranteeing timely completion of the subcontractor's work and payment for all of that subcontractor's labor and materials. These bonds may not be adequate to ensure completion of the work.</w:t>
      </w:r>
    </w:p>
    <w:p>
      <w:pPr>
        <w:spacing w:after="0" w:line="15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Our facilities currently under development may not commence operations on schedule and construction costs for the projects may exceed budgeted amounts. Failure to complete the projects on schedule or within budget may have a significant negative effect on us and on our ability to make payments on our debt.</w:t>
      </w:r>
    </w:p>
    <w:p>
      <w:pPr>
        <w:spacing w:after="0" w:line="208"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b w:val="1"/>
          <w:bCs w:val="1"/>
          <w:i w:val="1"/>
          <w:iCs w:val="1"/>
          <w:color w:val="auto"/>
        </w:rPr>
        <w:t>Any violation of applicable Anti-Money Laundering laws, regulations or the Foreign Corrupt Practices Act or sanctions could adversely affect our business, performance, prospects, value, financial condition, and results of operations.</w:t>
      </w:r>
    </w:p>
    <w:p>
      <w:pPr>
        <w:spacing w:after="0" w:line="19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deal with significant amounts of cash in our operations and are subject to various jurisdictions' reporting and anti-money laundering laws and regulations. Both U.S. and Macau governmental authorities focus heavily on the gaming industry and compliance with anti-money laundering laws and regulations. From time to time, the Company receives governmental and regulatory inquiries about compliance with such laws and regulations. The Company cooperates with all such inquiries. Any violation of anti-money laundering laws or regulations could adversely affect our business, performance, prospects, value, financial condition, and results of operations.</w:t>
      </w:r>
    </w:p>
    <w:p>
      <w:pPr>
        <w:spacing w:after="0" w:line="21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Further, we have operations, and a significant portion of our revenue is derived outside of the United States. We are therefore subject to regulations imposed by the FCPA and other anti-corruption laws that generally prohibit U.S. companies and their intermediaries from offering, promising, authorizing or making improper payments to foreign government officials for the purpose of obtaining or retaining business. Violations of the FCPA and other anti-corruption laws may result in severe criminal and civil sanctions as well as other penalties, and the SEC and U.S. Department of Justice have increased their enforcement activities with respect to such laws and regulations. The Office of Foreign Assets Control and the Commerce Department administer and enforce economic and trade sanctions based on U.S. foreign policy and national security goals against targeted foreign states, organizations, and individuals. Failure to comply with these laws and regulations could increase our cost of operations, reduce our profits, or otherwise adversely affect our business, financial condition, and results of operations.</w:t>
      </w:r>
    </w:p>
    <w:p>
      <w:pPr>
        <w:spacing w:after="0" w:line="21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Internal control policies and procedures and employee training and compliance programs that we have implemented to deter prohibited practices may not be effective in prohibiting our directors, employees, contractors or agents from violating or circumventing our policies and the law. If we or our directors, employees or agents fail to comply with applicable laws or Company policies governing our operations, the Company may face investigations, prosecutions and other legal proceedings and actions, which could result in civil penalties, administrative remedies and criminal sanctions. Any such government investigations, prosecutions or other legal proceedings or actions could adversely affect our business, performance, prospects, value, financial condition, and results of operations.</w:t>
      </w:r>
    </w:p>
    <w:p>
      <w:pPr>
        <w:spacing w:after="0" w:line="220"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b w:val="1"/>
          <w:bCs w:val="1"/>
          <w:i w:val="1"/>
          <w:iCs w:val="1"/>
          <w:color w:val="auto"/>
        </w:rPr>
        <w:t>Because we own real property, we are subject to extensive environmental regulation, which creates uncertainty regarding future environmental expenditures and liabilities.</w:t>
      </w:r>
    </w:p>
    <w:p>
      <w:pPr>
        <w:spacing w:after="0" w:line="19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have incurred costs to comply with environmental requirements, such as those relating to discharges into the air, water and land, the handling and disposal of solid and hazardous waste and the cleanup of properties affected by hazardous substances. Under these and other environmental requirements we may be required to investigate and clean up hazardous or toxic substances or chemical releases at our property. As an owner or operator, we could also be held responsible to a governmental entity or third parties for property damage, personal injury and investigation and cleanup costs incurred by them in connection with any contamination.</w:t>
      </w:r>
    </w:p>
    <w:p>
      <w:pPr>
        <w:spacing w:after="0" w:line="21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These laws typically impose cleanup responsibility and liability without regard to whether the owner or operator knew of or caused the presence of the contaminants. The liability under those laws has been interpreted to be joint and several unless the harm is divisible and there is a reasonable basis for allocation of the responsibility. The costs of investigation, remediation or removal of those substances may be substantial, and the presence of those substances, or the failure to remediate a property properly, may impair our ability to use our property.</w:t>
      </w:r>
    </w:p>
    <w:p>
      <w:pPr>
        <w:spacing w:after="0" w:line="21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Contamination has been identified at and in the vicinity of our site in Everett, Massachusetts. The ultimate cost of remediating contaminated sites is difficult to accurately predict and we exceeded our initial estimates. We may be required to conduct additional investigations and remediation with respect to this site. As a result, we also could incur material costs in excess of our estimates as a result of additional cleanup obligations imposed or contamination identified in the future. However,</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environmental laws under which we operate are complicated and often increasingly more stringent, and may be applied retroactively. Although our proposed expenditures related to environmental matters are not currently expected to have a material adverse effect on our business, financial condition or results of operations, we may be required to make additional expenditures to remain in, or to achieve compliance with, environmental laws in the future.</w:t>
      </w:r>
    </w:p>
    <w:p>
      <w:pPr>
        <w:spacing w:after="0" w:line="174"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b w:val="1"/>
          <w:bCs w:val="1"/>
          <w:i w:val="1"/>
          <w:iCs w:val="1"/>
          <w:color w:val="auto"/>
        </w:rPr>
        <w:t>Adverse incidents or adverse publicity concerning our resorts or our corporate responsibilities could harm our brand and reputation and negatively impact our financial results.</w:t>
      </w:r>
    </w:p>
    <w:p>
      <w:pPr>
        <w:spacing w:after="0" w:line="197"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Our reputation and the value of our brand, including the perception held by our customers, business partners, other key stakeholders and the communities in which we do business, are important assets. Our business faces increasing scrutiny related to environmental, social and governance activities, and risk of damage to our reputation and the value of our brands if we fail to act responsibly in a number of areas, such as diversity and inclusion, environmental stewardship, supply chain management, sustainability, workplace conduct, human rights, philanthropy, and support for local communities. Any harm to our reputation could have a material adverse effect on our business, results of operations, and cash flows.</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Compliance with changing laws and regulations may result in additional expenses and compliance risks.</w:t>
      </w:r>
    </w:p>
    <w:p>
      <w:pPr>
        <w:spacing w:after="0" w:line="25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Changing laws and regulations are creating uncertainty for gaming companies. These changing laws and regulations are subject to varying interpretations in many cases due to their lack of specificity, recent issuance and/or lack of guidance. As a result, their application in practice may evolve over time as new guidance is provided by regulatory and governing bodies. In addition, further regulation of casinos, financial institutions and public companies is possible. This could result in continuing uncertainty and higher costs regarding compliance matters. Due to our commitment to maintain high standards of compliance with laws and public disclosure, our efforts to comply with evolving laws, regulations and standards have resulted in and are likely to continue to result in increased general and administrative expense. In addition, we are subject to different parties' interpretation of our compliance with these new and changing laws and regulations.</w:t>
      </w:r>
    </w:p>
    <w:p>
      <w:pPr>
        <w:spacing w:after="0" w:line="21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are subject to taxation by various governments and agencies. The rate of taxation could change.</w:t>
      </w:r>
    </w:p>
    <w:p>
      <w:pPr>
        <w:spacing w:after="0" w:line="25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are subject to taxation by various governments and agencies, both in the U.S. and in Macau. Changes in the laws and regulations related to taxation, including changes in the rates of taxation, the amount of taxes we owe and the time when income is subject to taxation, our ability to claim U.S. foreign tax credits, failure to renew our Macau dividend agreement and Macau income tax exemption on gaming profits and the imposition of foreign withholding taxes could change our overall effective rate of taxation.</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System failure, information leakage and the cost of maintaining sufficient cybersecurity could adversely affect our business.</w:t>
      </w:r>
    </w:p>
    <w:p>
      <w:pPr>
        <w:spacing w:after="0" w:line="252"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We rely on information technology and other systems (including those maintained by third parties with whom we contract to provide data services) to maintain and transmit large volumes of customer financial information, credit card settlements, credit card funds transmissions, mailing lists and reservations information and other personally identifiable information. We also maintain important internal company data such as personally identifiable information about our employees and information relating to our operations. The systems and processes we have implemented to protect customers, employees and company information are subject to the ever-changing risk of compromised security. These risks include cyber and physical security breaches, system failure, computer viruses, and negligent or intentional misuse by customers, company employees, or employees of third-party vendors. The steps we take to deter and mitigate these risks may not be successful and our insurance coverage for protecting against cybersecurity risks may not be sufficient. Our third-party information system service providers face risks relating to cybersecurity similar to ours, and we do not directly control any of such parties' information security operations.</w:t>
      </w:r>
    </w:p>
    <w:p>
      <w:pPr>
        <w:spacing w:after="0" w:line="22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Despite the security measures we currently have in place, our facilities and systems and those of our third-party service providers may be vulnerable to security breaches, acts of vandalism, phishing attacks, computer viruses, misplaced or lost data, programming or human errors and other events. Cyber-attacks are becoming increasingly more difficult to anticipate and prevent due to their rapidly evolving nature and, as a result, the technology we use to protect our systems from being breached or compromised could become outdated due to advances in computer capabilities or other technological developments.</w:t>
      </w:r>
    </w:p>
    <w:p>
      <w:pPr>
        <w:spacing w:after="0" w:line="21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Any perceived or actual electronic or physical security breach involving the misappropriation, loss, or other unauthorized disclosure of confidential or personally identifiable information, including penetration of our network security, whether by us or</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by a third party, could disrupt our business, damage our reputation and our relationships with our customers or employees, expose us to risks of litigation, significant fines and penalties and liability, result in the deterioration of our customers' and employees' confidence in us, and adversely affect our business, results of operations and financial condition. Since we do not control third-party service providers and cannot guarantee that no electronic or physical computer break-ins and security breaches will occur in the future, any perceived or actual unauthorized disclosure of personally identifiable information regarding our employees, customers or website visitors could harm our reputation and credibility and reduce our ability to attract and retain employees and customers. As these threats develop and grow, we may find it necessary to make significant further investments to protect data and our infrastructure, including the implementation of new computer systems or upgrades to existing systems, deployment of additional personnel and protection-related technologies, engagement of third-party consultants, and training of employees. The occurrence of any of the cyber incidents described above could have a material adverse effect on our business, results of operations and cash flows.</w:t>
      </w:r>
    </w:p>
    <w:p>
      <w:pPr>
        <w:spacing w:after="0" w:line="20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b w:val="1"/>
          <w:bCs w:val="1"/>
          <w:i w:val="1"/>
          <w:iCs w:val="1"/>
          <w:color w:val="auto"/>
        </w:rPr>
        <w:t>The failure to protect the integrity and security of company employee and customer information could result in damage to reputation and/or subject us to fines, payment of damages, lawsuits or restrictions on our use or transfer of data.</w:t>
      </w:r>
    </w:p>
    <w:p>
      <w:pPr>
        <w:spacing w:after="0" w:line="197"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Our business uses and transmits large volumes of employee and customer data, including credit card numbers and other personal information in various information systems that we maintain in areas such as human resources outsourcing, website hosting, and various forms of electronic communications. Our customers and employees have a high expectation that we will adequately protect their personal information. Our collection and use of personal data are governed by privacy laws and regulations, and privacy law is an area that changes often and varies significantly by jurisdiction. For example, the European Union (EU)'s General Data Protection Regulation ("GDPR"), which became effective in May 2018 and replaced the old data protection laws of each EU member state, requires companies to meet new and more stringent requirements regarding the handling of personal data. The GDPR captures data processing by non-EU firms with no EU establishment as long as firms' processing relates to "offering goods or services" or the "monitoring" of individuals in the EU. In addition to governmental regulations, there are credit card industry standards or other applicable data security standards we must comply with as well. Compliance with applicable privacy regulations may increase our operating costs and/or adversely impact our ability to market our products, properties and services to our guests. In addition, non-compliance with applicable privacy regulations by us (or in some circumstances non-compliance by third parties engaged by us) or a breach of security on systems storing our data may result in damage of reputation and/or subject us to fines, payment of damages, lawsuits or restrictions on our use or transfer of data. For example, failure to meet the GDPR requirements could result in penalties of up to four percent of worldwide revenue. Any misappropriation of confidential or personally identifiable information gathered, stored or used by us, be it intentional or accidental, could have a material impact on the operation of our business, including severely damaging our reputation and our relationships with our customers, employees and investors.</w:t>
      </w:r>
    </w:p>
    <w:p>
      <w:pPr>
        <w:spacing w:after="0" w:line="2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business could suffer if our computer systems and websites are disrupted or cease to operate effectively.</w:t>
      </w:r>
    </w:p>
    <w:p>
      <w:pPr>
        <w:spacing w:after="0" w:line="22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We are dependent on our computer systems to record and process transactions and manage and operate our business, including processing payments, accounting for and reporting financial results, and managing our employees and employee benefit programs. Given the complexity of our business, it is imperative that we maintain uninterrupted operation of our computer hardware and software systems. Despite our preventative efforts, our systems are vulnerable to damage or interruption from, among other things, security breaches, computer viruses, technical malfunctions, inadequate system capacity, power outages, natural disasters, and usage errors by our employees or third-party consultants. If our information technology systems become damaged or otherwise cease to function properly, we may have to make significant investments to repair or replace them. Additionally, confidential or sensitive data related to our customers or employees could be lost or compromised. Any material disruptions in our information technology systems could have a material adverse effect on our business, results of operations, and financial condition.</w:t>
      </w:r>
    </w:p>
    <w:p>
      <w:pPr>
        <w:spacing w:after="0" w:line="206"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b w:val="1"/>
          <w:bCs w:val="1"/>
          <w:i w:val="1"/>
          <w:iCs w:val="1"/>
          <w:color w:val="auto"/>
        </w:rPr>
        <w:t>If a third party successfully challenges our ownership of, or right to use, the Wynn-related trademarks and/or service marks, our business or results of operations could be harmed.</w:t>
      </w:r>
    </w:p>
    <w:p>
      <w:pPr>
        <w:spacing w:after="0" w:line="19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intellectual property assets, especially the logo version of "Wynn," are among our most valuable assets. We have filed applications with the PTO and with various foreign patent and trademark registries including registries in Macau, China, Hong Kong, Singapore, Taiwan, Japan, certain European countries and various other jurisdictions throughout the world, to register a variety of WYNN-related trademarks and service marks in connection with a variety of goods and services. These marks include "WYNN RESORTS," "WYNN DESIGN AND DEVELOPMENT," "WYNN LAS VEGAS," "WYNN MACAU," "WYNN PALACE," "ENCORE," and "ENCORE BOSTON HARBOR." Some of the applications are based upon ongoing use and others are based upon a bona fide intent to use the marks in the future.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A common element of most of these marks is the use of the surname "WYNN." As a general rule, a surname (or the portion of a mark primarily constituting a surname) is not eligible for registration unless the surname has acquired "secondary meaning." To date, we have been successful in demonstrating to the PTO such secondary meaning for the Wynn name, in certain of the applications, based upon factors including Mr. Wynn's historical prominence as a resort developer, but we cannot assure you that we will be successful with the other pending applications.</w:t>
      </w:r>
    </w:p>
    <w:p>
      <w:pPr>
        <w:spacing w:after="0" w:line="198"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Federal registrations are not completely dispositive of the right to such marks. Third parties who claim prior rights with respect to similar marks may nonetheless challenge our right to obtain registrations or our use of the marks and seek to overcome the presumptions afforded by such registrations.</w:t>
      </w:r>
    </w:p>
    <w:p>
      <w:pPr>
        <w:spacing w:after="0" w:line="151"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Furthermore, due to the increased use of technology in computerized gaming machines and in business operations generally, other forms of intellectual property rights (such as patents and copyrights) are becoming of increased relevance. It is possible that, in the future, third parties might assert superior intellectual property rights or allege that their intellectual property rights cover some aspect of our operations. The defense of such allegations may result in substantial expenses, and, if such claims are successfully prosecuted, may have a material impact on our business. There has been an increase in the international operation of fraudulent online gambling and investment websites attempting to scam and defraud members of the public. We do not offer online gambling or investment accounts. Websites offering these or similar activities and opportunities that use our names or similar names or images in likeness to ours, are doing so without our authorization and possibly unlawfully and with criminal intent. If our efforts to cause these sites to be shut down through civil action and by reporting these sites to the appropriate authorities (where applicable) are unsuccessful or not timely completed, these unauthorized activities may continue and harm our reputation and negatively affect our business. Efforts we take to acquire and protect our intellectual property rights against unauthorized use throughout the world, which may include retaining counsel and commencing litigation in various jurisdictions, may be costly and may not be successful in protecting and preserving the status and value of our intellectual property assets.</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Labor actions and other labor problems could negatively impact our operations.</w:t>
      </w:r>
    </w:p>
    <w:p>
      <w:pPr>
        <w:spacing w:after="0" w:line="25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Some of our employees are represented by labor unions. From time to time, we have experienced attempts by labor organizations to organize certain of our non-union employees. These efforts have achieved some success to date. We cannot provide any assurance that we will not experience additional and successful union activity in the future. The impact of any union activity is undetermined and could have a material adverse effect on our business, financial condition, results of operations and cash flows.</w:t>
      </w:r>
    </w:p>
    <w:p>
      <w:pPr>
        <w:spacing w:after="0" w:line="214"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b w:val="1"/>
          <w:bCs w:val="1"/>
          <w:i w:val="1"/>
          <w:iCs w:val="1"/>
          <w:color w:val="auto"/>
        </w:rPr>
        <w:t>Our insurance coverage may not be adequate to cover all possible losses that we could suffer, including losses resulting from terrorism, and our insurance costs may increase.</w:t>
      </w:r>
    </w:p>
    <w:p>
      <w:pPr>
        <w:spacing w:after="0" w:line="19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have comprehensive property and liability insurance policies for our properties with coverage features and insured limits that we believe are customary in their breadth and scope. However, in the event of a substantial loss, the insurance coverage we carry may not be sufficient to pay the full market value or replacement cost of our lost investment or could result in certain losses being totally uninsured. As a result, we could lose some or all of the capital we have invested in a property, as well as the anticipated future revenue from the property, and we could remain obligated for debt or other financial obligations related to the property.</w:t>
      </w:r>
    </w:p>
    <w:p>
      <w:pPr>
        <w:spacing w:after="0" w:line="21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Market forces beyond our control may limit the scope of the insurance coverage we can obtain in the future or our ability to obtain coverage at reasonable rates. Certain catastrophic losses may be uninsurable or too expensive to justify obtaining insurance. As a result, if we suffer such a catastrophic loss, we may not be successful in obtaining future insurance without increases in cost or decreases in coverage levels. Furthermore, our debt instruments and other material agreements require us to maintain a certain minimum level of insurance. Failure to satisfy these requirements could result in an event of default under these debt instruments or material agreements, which would negatively affect our business and financial condition.</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Associated with our Macau Operations</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Macau Operations may be affected by adverse political and economic conditions.</w:t>
      </w:r>
    </w:p>
    <w:p>
      <w:pPr>
        <w:spacing w:after="0" w:line="25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Macau Operations are subject to significant political, economic and social risks inherent in doing business in an emerging market. The future success of our Macau Operations will depend on political and economic conditions in Macau and mainland China. For example, fiscal decline, international relations, and civil, domestic or international unrest in Macau, China or the surrounding region could significantly harm our business, not only by reducing customer demand for casino resorts, but also by increasing the risk of imposition of taxes and exchange controls or other governmental restrictions, laws or regulations that might impede our Macau Operations or our ability to repatriate funds.</w:t>
      </w:r>
    </w:p>
    <w:p>
      <w:pPr>
        <w:spacing w:after="0" w:line="215" w:lineRule="exact"/>
        <w:rPr>
          <w:sz w:val="20"/>
          <w:szCs w:val="20"/>
          <w:color w:val="auto"/>
        </w:rPr>
      </w:pPr>
    </w:p>
    <w:p>
      <w:pPr>
        <w:ind w:right="200" w:firstLine="243"/>
        <w:spacing w:after="0" w:line="277" w:lineRule="auto"/>
        <w:rPr>
          <w:sz w:val="20"/>
          <w:szCs w:val="20"/>
          <w:color w:val="auto"/>
        </w:rPr>
      </w:pPr>
      <w:r>
        <w:rPr>
          <w:rFonts w:ascii="Arial" w:cs="Arial" w:eastAsia="Arial" w:hAnsi="Arial"/>
          <w:sz w:val="18"/>
          <w:szCs w:val="18"/>
          <w:b w:val="1"/>
          <w:bCs w:val="1"/>
          <w:i w:val="1"/>
          <w:iCs w:val="1"/>
          <w:color w:val="auto"/>
        </w:rPr>
        <w:t>Revenues from our Macau gaming operations will end if we cannot secure an extension or renewal of our concession, or a new concession, by June 26, 2022, or if the Macau government exercises its redemption right.</w:t>
      </w:r>
    </w:p>
    <w:p>
      <w:pPr>
        <w:spacing w:after="0" w:line="197"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The term of our concession agreement with the Macau government ends on June 26, 2022. Unless the term of our concession agreement is extended or our concession is renewed, subject to any separate arrangement with the Macau government, all of our gaming operations and related equipment in Macau will be automatically transferred to the Macau government without compensation to us and we will cease to generate any revenues from these operations at the end of the term of our concession agreement. The Macau government has publicly commented that it is studying the process by which concessions and subconcessions may be renewed, extended or issued. Effective June 2017, the Macau government may redeem our concession agreement by providing us at least one year's prior notice. In the event the Macau government exercises this redemption right, we are entitled to fair compensation or indemnity. The amount of such compensation or indemnity will be determined based on the amount of revenue generated during the tax year prior to the redemption multiplied by the remaining years under our concession. We are considering various options to place us in a good position for the renewal, extension or application process; however, we may not be able to extend our concession agreement or renew our concession or obtain a new concession on terms favorable to us or at all. If our concession is redeemed, the compensation paid to us may not be adequate to compensate us for the loss of future revenues. The redemption of or failure to extend or renew our concession or obtain a new concession would have a material adverse effect on our results of operations.</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We compete for limited labor resources in Macau and Macau government policies may also affect our ability to employ imported labor.</w:t>
      </w:r>
    </w:p>
    <w:p>
      <w:pPr>
        <w:spacing w:after="0" w:line="264"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The success of our operations in Macau will be affected by our success in hiring and retaining employees. We compete with a large number of casino resorts in Macau for a limited number of qualified employees. In addition, the Macau government requires that we only hire Macau residents as dealers in our casinos. Competition for these individuals in Macau has increased and will continue to increase as other competitors expand their operations. We have to seek employees from outside Macau to adequately staff our resorts and certain Macau government policies affect our ability to import labor in certain job classifications. Despite our coordination with the Macau labor and immigration authorities to assure that our labor needs are satisfied, we may not be able to recruit and retain a sufficient number of qualified employees for our operations or obtain required work permits for those employees. If we are unable to obtain, attract, retain and train skilled employees, our ability to adequately manage and staff our existing and planned casino and resort properties in Macau could be impaired, which could have a material adverse effect on our business, financial condition, results of operations and cash flows.</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The smoking control legislation in Macau could have an adverse effect on our business, financial condition, results of operations and cash flows.</w:t>
      </w:r>
    </w:p>
    <w:p>
      <w:pPr>
        <w:spacing w:after="0" w:line="27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Under the Macau Smoking Prevention and Tobacco Control Law, as of January 1, 2019, smoking on casino premises is only permitted in authorized segregated smoking lounges with no gaming activities and such smoking lounges are required to comply with the conditions set out in the regulations. The existing smoking legislation, and any smoking legislation intended to fully ban all smoking in casinos, may deter potential gaming customers who are smokers from frequenting casinos in Macau and disrupt the number of patrons visiting or the amount of time visiting patrons spend at our property, which could have a material adverse effect on our business,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Macau may not have adequate transportation services, infrastructure and related facilities to accommodate the demand of visitors to Macau.</w:t>
      </w:r>
    </w:p>
    <w:p>
      <w:pPr>
        <w:spacing w:after="0" w:line="275"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Transportation services, infrastructure and related facilities within Macau and between Macau, Hong Kong and mainland China may need to be expanded to accommodate the increased visitation to Macau driven by additional casino projects and attractions that are under construction and to be developed in the future as well as the opening of the Hong Kong-Zhuhai-Macau Bridge which may further strain existing transportation infrastructure. If transportation facilities to and from Macau are inadequate to meet the demands of an increased volume of gaming customers visiting Macau, the desirability of Macau as a gaming destination, as well as the results of operations of our Macau Operations, could be negatively impacted. Furthermore, construction of current and future casino and infrastructure projects, adjacent to our properties could impede access to our properties during construction and development. This may negatively impact the results of our Macau Operations.</w:t>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Extreme weather conditions may have an adverse impact on our Macau Operations.</w:t>
      </w:r>
    </w:p>
    <w:p>
      <w:pPr>
        <w:spacing w:after="0" w:line="25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Macau's subtropical climate and location on the South China Sea are subject to extreme weather conditions including typhoons and heavy rainstorms, such as Typhoon Mangkhut in 2018 and Typhoon Hato in 2017. Unfavorable weather conditions could negatively affect the profitability of our resorts and prevent or discourage guests from traveling to Macau. The occurrence and timing of such events cannot be predicted or controlled by us and may have a material adverse effect on our business, financial condition, results of operations, and cash flows.</w:t>
      </w:r>
    </w:p>
    <w:p>
      <w:pPr>
        <w:spacing w:after="0" w:line="214"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b w:val="1"/>
          <w:bCs w:val="1"/>
          <w:i w:val="1"/>
          <w:iCs w:val="1"/>
          <w:color w:val="auto"/>
        </w:rPr>
        <w:t>If our Macau Operations fail to comply with the concession agreement, the Macau government can terminate our concession without compensation to us, which would have a material adverse effect on our business and financial condition.</w:t>
      </w:r>
    </w:p>
    <w:p>
      <w:pPr>
        <w:spacing w:after="0" w:line="19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Macau government has the right to unilaterally terminate our concession in the event of our material non-compliance with the basic obligations under the concession and applicable Macau laws. The concession agreement expressly provides that the government of Macau may unilaterally rescind the concession agreement of our Macau Operations if it:</w:t>
      </w:r>
    </w:p>
    <w:p>
      <w:pPr>
        <w:spacing w:after="0" w:line="208"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conducts unauthorized games or activities that are excluded from its corporate purpose;</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suspends gaming operations in Macau for more than seven consecutive days (or more than 14 days in a civil year) without justification;</w:t>
      </w:r>
    </w:p>
    <w:p>
      <w:pPr>
        <w:spacing w:after="0" w:line="32" w:lineRule="exact"/>
        <w:rPr>
          <w:rFonts w:ascii="Arial" w:cs="Arial" w:eastAsia="Arial" w:hAnsi="Arial"/>
          <w:sz w:val="16"/>
          <w:szCs w:val="16"/>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defaults in payment of taxes, premiums, contributions or other required amounts;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does not comply with government inspections or supervision;</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systematically fails to observe its obligations under the concession system;</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fails to maintain bank guarantees or bonds satisfactory to the government;</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 the subject of bankruptcy proceedings or becomes insolvent;</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engages in serious fraudulent activity, damaging to the public interest; or</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repeatedly violates applicable gaming laws.</w:t>
      </w:r>
    </w:p>
    <w:p>
      <w:pPr>
        <w:spacing w:after="0" w:line="23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If the government of Macau unilaterally rescinds the concession agreement, our Macau Operations will be required to compensate the government in accordance with applicable law, and the areas defined as casino space under Macau law and all of the gaming equipment pertaining to our gaming operations will be transferred to the government without compensation. The loss of our concession would prohibit us from conducting gaming operations in Macau, which would have a material adverse effect on our business and financial condition.</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Certain Nevada gaming laws apply to our Macau Operations' gaming activities and associations.</w:t>
      </w:r>
    </w:p>
    <w:p>
      <w:pPr>
        <w:spacing w:after="0" w:line="25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Certain Nevada gaming laws also apply to gaming activities and associations in jurisdictions outside the State of Nevada. With respect to our Macau Operations, we and our subsidiaries that must be licensed to conduct gaming operations in Nevada are required to comply with certain reporting requirements concerning gaming activities and associations in Macau conducted by our Macau-related subsidiaries. We and our licensed Nevada subsidiaries also will be subject to disciplinary action by the NGC if our Macau-related subsidiaries:</w:t>
      </w:r>
    </w:p>
    <w:p>
      <w:pPr>
        <w:spacing w:after="0" w:line="214" w:lineRule="exact"/>
        <w:rPr>
          <w:sz w:val="20"/>
          <w:szCs w:val="20"/>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knowingly violate any Macau laws relating to their Macau gaming operations;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fail to conduct our Macau Operations in accordance with the standards of honesty and integrity required of Nevada gaming operations;</w:t>
      </w:r>
    </w:p>
    <w:p>
      <w:pPr>
        <w:spacing w:after="0" w:line="20" w:lineRule="exact"/>
        <w:rPr>
          <w:rFonts w:ascii="Arial" w:cs="Arial" w:eastAsia="Arial" w:hAnsi="Arial"/>
          <w:sz w:val="17"/>
          <w:szCs w:val="17"/>
          <w:color w:val="auto"/>
        </w:rPr>
      </w:pPr>
    </w:p>
    <w:p>
      <w:pPr>
        <w:ind w:left="1300" w:hanging="644"/>
        <w:spacing w:after="0" w:line="261" w:lineRule="auto"/>
        <w:tabs>
          <w:tab w:leader="none" w:pos="12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engage in any activity or enter into any association that is unsuitable for us because it poses an unreasonable threat to the control of gaming in Nevada, reflects or tends to reflect discredit or disrepute upon the State of</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Nevada or gaming in Nevada, or is contrary to Nevada gaming policies;</w:t>
      </w:r>
    </w:p>
    <w:p>
      <w:pPr>
        <w:spacing w:after="0" w:line="23" w:lineRule="exact"/>
        <w:rPr>
          <w:sz w:val="20"/>
          <w:szCs w:val="20"/>
          <w:color w:val="auto"/>
        </w:rPr>
      </w:pPr>
    </w:p>
    <w:p>
      <w:pPr>
        <w:ind w:left="1300" w:hanging="644"/>
        <w:spacing w:after="0"/>
        <w:tabs>
          <w:tab w:leader="none" w:pos="1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engage in any activity or enter into any association that interferes with the ability of the State of Nevada to collect gaming taxes and fees; or</w:t>
      </w:r>
    </w:p>
    <w:p>
      <w:pPr>
        <w:spacing w:after="0" w:line="32" w:lineRule="exact"/>
        <w:rPr>
          <w:rFonts w:ascii="Arial" w:cs="Arial" w:eastAsia="Arial" w:hAnsi="Arial"/>
          <w:sz w:val="16"/>
          <w:szCs w:val="16"/>
          <w:color w:val="auto"/>
        </w:rPr>
      </w:pPr>
    </w:p>
    <w:p>
      <w:pPr>
        <w:ind w:left="1300" w:hanging="644"/>
        <w:spacing w:after="0" w:line="261" w:lineRule="auto"/>
        <w:tabs>
          <w:tab w:leader="none" w:pos="12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employ, contract with or associate with any person in the foreign gaming operation who has been denied a license or a finding of suitability in Nevada on the ground of unsuitability, or who has been found guilty of cheating at gambling.</w:t>
      </w:r>
    </w:p>
    <w:p>
      <w:pPr>
        <w:spacing w:after="0" w:line="21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Such disciplinary action could include suspension, conditioning, limitation or revocation of the registration, licenses or approvals held by us and our licensed Nevada subsidiaries, including Wynn Las Vegas, LLC, and the imposition of substantial fines.</w:t>
      </w:r>
    </w:p>
    <w:p>
      <w:pPr>
        <w:spacing w:after="0" w:line="19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addition, if the Nevada Gaming Control Board determines that any actual or intended activities or associations of our Macau-related subsidiaries may be prohibited pursuant to one or more of the standards described above, the Nevada Gaming Control Board can require us and our licensed Nevada subsidiaries to file an application with the NGC for a finding of suitability of the activity or association. If the NGC finds that the activity or association in Macau is unsuitable or prohibited, our Macau-related subsidiaries will either be required to terminate the activity or association, or will be prohibited from undertaking the activity or association. Consequently, should the NGC find that our Macau-related subsidiary's gaming activities or associations in Macau are unsuitable, those subsidiaries may be prohibited from undertaking their planned gaming activities or associations in Macau, or be required to divest their investment in Macau, possibly on unfavorable terms.</w:t>
      </w:r>
    </w:p>
    <w:p>
      <w:pPr>
        <w:spacing w:after="0" w:line="216"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b w:val="1"/>
          <w:bCs w:val="1"/>
          <w:i w:val="1"/>
          <w:iCs w:val="1"/>
          <w:color w:val="auto"/>
        </w:rPr>
        <w:t>We depend upon gaming promoters for a significant portion of our gaming revenue. If we are unable to maintain, or develop additional, successful relationships with reputable gaming promoters, our ability to maintain or grow our gaming revenues could be adversely affected.</w:t>
      </w:r>
    </w:p>
    <w:p>
      <w:pPr>
        <w:spacing w:after="0" w:line="17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may lose the clientele of our gaming promoters, who generate a significant portion of our gaming revenue. There is intense competition among casino operators in Macau for services provided by gaming promoters, which has intensified as additional casinos open in Macau. If we are unable to maintain, or develop additional, successful relationships with reputable gaming promoters, or lose a significant number of our gaming promoters to our competitors, our ability to maintain or grow our gaming revenues will be adversely affected and we will have to seek alternative ways of developing relationships with VIP customers. In addition, if our gaming promoters are unable to develop or maintain relationships with our VIP customers, our ability to maintain or grow our gaming revenues will be hampered.</w:t>
      </w:r>
    </w:p>
    <w:p>
      <w:pPr>
        <w:spacing w:after="0" w:line="220"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b w:val="1"/>
          <w:bCs w:val="1"/>
          <w:i w:val="1"/>
          <w:iCs w:val="1"/>
          <w:color w:val="auto"/>
        </w:rPr>
        <w:t>The financial resources of our gaming promoters may be insufficient to allow them to continue doing business in Macau which could adversely affect our business and financial condition. Our gaming promoters may experience difficulty in attracting patrons.</w:t>
      </w:r>
    </w:p>
    <w:p>
      <w:pPr>
        <w:spacing w:after="0" w:line="197"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Economic and political factors in the region may cause our gaming promoters to experience difficulties in their Macau operations, including intensified competition in attracting patrons to come to Macau. Further, gaming promoters may face a decrease in liquidity, limiting their ability to grant credit to their patrons, and difficulties in collecting credit they extended previously. The inability to attract sufficient patrons, grant credit and collect amounts due in a timely manner may negatively affect our gaming promoters' operations, causing gaming promoters to wind up or liquidate their operations or resulting in some of our gaming promoters leaving Macau. Current and any future difficulties could have an adverse impact on our results of operations.</w:t>
      </w:r>
    </w:p>
    <w:p>
      <w:pPr>
        <w:spacing w:after="0" w:line="185"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Increased competition for the services of gaming promoters may require us to pay increased commission rates to gaming promoters.</w:t>
      </w:r>
    </w:p>
    <w:p>
      <w:pPr>
        <w:spacing w:after="0" w:line="26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Certain gaming promoters have significant leverage and bargaining strength in negotiating operational agreements with casino operators. This leverage could result in gaming promoters negotiating changes to our operational agreements, including higher commissions, or the loss of business to a competitor or the loss of certain relationships with gaming promoters. If we need to increase our commission rates or otherwise change our practices with respect to gaming promoters due to competitive forces, our results of operations could be adversely affected.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60" w:firstLine="243"/>
        <w:spacing w:after="0" w:line="308" w:lineRule="auto"/>
        <w:rPr>
          <w:sz w:val="20"/>
          <w:szCs w:val="20"/>
          <w:color w:val="auto"/>
        </w:rPr>
      </w:pPr>
      <w:r>
        <w:rPr>
          <w:rFonts w:ascii="Arial" w:cs="Arial" w:eastAsia="Arial" w:hAnsi="Arial"/>
          <w:sz w:val="17"/>
          <w:szCs w:val="17"/>
          <w:b w:val="1"/>
          <w:bCs w:val="1"/>
          <w:i w:val="1"/>
          <w:iCs w:val="1"/>
          <w:color w:val="auto"/>
        </w:rPr>
        <w:t>Failure by the gaming promoters with whom we work to comply with Macau gaming laws and high standards of probity and integrity might affect our reputation and ability to comply with the requirements of our concession, Macau gaming laws and other gaming licenses.</w:t>
      </w:r>
    </w:p>
    <w:p>
      <w:pPr>
        <w:spacing w:after="0" w:line="174"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The reputations and probity of the gaming promoters with whom we work are important to our own reputation and to our ability to operate in compliance with our concession, Macau gaming laws and other gaming licenses. We conduct periodic reviews of the probity and compliance programs of our gaming promoters. However, we are not able to control our gaming promoters' compliance with these high standards of probity and integrity, and our gaming promoters may violate provisions in their contracts with us designed to ensure such compliance. In addition, if we enter into a new business relationship with a gaming promoter whose probity is in doubt, this may be considered by regulators or investors to reflect negatively on our own probity. If our gaming promoters are unable to maintain required standards of probity and integrity, we may face consequences from gaming regulators with authority over our operations. Furthermore, if any of our gaming promoters violate the Macau gaming laws while on our premises, the Macau government may, in its discretion, take enforcement action against us, the gaming promoter, or each concurrently, and we may be sanctioned and our reputation could be harmed.</w:t>
      </w:r>
    </w:p>
    <w:p>
      <w:pPr>
        <w:spacing w:after="0" w:line="193" w:lineRule="exact"/>
        <w:rPr>
          <w:sz w:val="20"/>
          <w:szCs w:val="20"/>
          <w:color w:val="auto"/>
        </w:rPr>
      </w:pPr>
    </w:p>
    <w:p>
      <w:pPr>
        <w:ind w:right="620" w:firstLine="243"/>
        <w:spacing w:after="0" w:line="277" w:lineRule="auto"/>
        <w:rPr>
          <w:sz w:val="20"/>
          <w:szCs w:val="20"/>
          <w:color w:val="auto"/>
        </w:rPr>
      </w:pPr>
      <w:r>
        <w:rPr>
          <w:rFonts w:ascii="Arial" w:cs="Arial" w:eastAsia="Arial" w:hAnsi="Arial"/>
          <w:sz w:val="18"/>
          <w:szCs w:val="18"/>
          <w:b w:val="1"/>
          <w:bCs w:val="1"/>
          <w:i w:val="1"/>
          <w:iCs w:val="1"/>
          <w:color w:val="auto"/>
        </w:rPr>
        <w:t>Unfavorable changes in currency exchange rates may increase our Macau Operations' obligations under the concession agreement and cause fluctuations in the value of our investment in Macau.</w:t>
      </w:r>
    </w:p>
    <w:p>
      <w:pPr>
        <w:spacing w:after="0" w:line="19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currency delineated in our Macau Operations' concession agreement with the government of Macau is the Macau pataca. The Macau pataca is linked to the Hong Kong dollar, and the two are often used interchangeably in Macau. The Hong Kong dollar is linked to the U.S. dollar and the exchange rate between these two currencies has remained relatively stable over the past several years. However, the exchange linkages of the Hong Kong dollar and the Macau pataca, and the Hong Kong dollar and the U.S. dollar, are subject to potential changes due to changes in Chinese governmental policies and international economic and political developments.</w:t>
      </w:r>
    </w:p>
    <w:p>
      <w:pPr>
        <w:spacing w:after="0" w:line="21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If the Hong Kong dollar and the Macau pataca are no longer linked to the U.S. dollar, the exchange rate for these currencies may severely fluctuate. The current rate of exchange fixed by the applicable monetary authorities for these currencies may also change.</w:t>
      </w:r>
    </w:p>
    <w:p>
      <w:pPr>
        <w:spacing w:after="0" w:line="19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Because many of our Macau Operations' payment and expenditure obligations are in Macau patacas, in the event of unfavorable Macau pataca or Hong Kong dollar rate changes, our Macau Operations' obligations, as denominated in U.S. dollars, would increase. In addition, because we expect that most of the revenues for any casino that we operate in Macau will be in Hong Kong dollars, we are subject to foreign exchange risk with respect to the exchange rate between the Hong Kong dollar and the U.S. dollar. Also, if any of our Macau-related entities incur U.S. dollar-denominated debt, fluctuations in the exchange rates of the Macau pataca or the Hong Kong dollar, in relation to the U.S. dollar, could have adverse effects on our results of operations, financial condition and ability to service our debt.</w:t>
      </w:r>
    </w:p>
    <w:p>
      <w:pPr>
        <w:spacing w:after="0" w:line="22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Currency exchange controls and currency export restrictions could negatively impact our Macau Operations.</w:t>
      </w:r>
    </w:p>
    <w:p>
      <w:pPr>
        <w:spacing w:after="0" w:line="25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Currency exchange controls and restrictions on the export of currency by certain countries may negatively impact the success of our Macau Operations. For example, there are currently existing currency exchange controls and restrictions on the export of the renminbi, the currency of China. Restrictions on the export of the renminbi may impede the flow of gaming customers from China to Macau, inhibit the growth of gaming in Macau and negatively impact our Macau Operations.</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Macau subsidiaries' indebtedness is secured by a substantial portion of their assets.</w:t>
      </w:r>
    </w:p>
    <w:p>
      <w:pPr>
        <w:spacing w:after="0" w:line="25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Subject to applicable laws, including gaming laws, and certain agreed upon exceptions, our Macau subsidiaries' debt is secured by liens on substantially all of their assets. In the event of a default by such subsidiaries under their financing documents, or if such subsidiaries experience insolvency, liquidation, dissolution or reorganization, the holders of such secured debt would first be entitled to payment from their collateral security, and then would the holders of our Macau subsidiaries' unsecured debt be entitled to payment from their remaining assets, and only then would we, as a holder of capital stock, be entitled to distribution of any remaining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Conflicts of interest may arise because certain of our directors and officers are also directors of Wynn Macau, Limited.</w:t>
      </w:r>
    </w:p>
    <w:p>
      <w:pPr>
        <w:spacing w:after="0" w:line="25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Wynn Macau, Limited, an indirect majority owned subsidiary of Wynn Resorts and the developer, owner and operator of Wynn Macau and Wynn Palace, listed its ordinary shares of common stock on The Stock Exchange of Hong Kong Limited in October 2009. As of December 31, 2019, Wynn Resorts owns approximately 72% of Wynn Macau, Limited's ordinary shares of common stock. As a result of Wynn Macau, Limited having stockholders who are not affiliated with us, we and certain of our officers and directors who also serve as officers and/or directors of Wynn Macau, Limited may have conflicting fiduciary obligations to our stockholders and to the minority stockholders of Wynn Macau, Limited. Decisions that could have different implications for Wynn Resorts and Wynn Macau, Limited, including contractual arrangements that we have entered into or may in the future enter into with Wynn Macau, Limited, may give rise to the appearance of a potential conflict of interest.</w:t>
      </w:r>
    </w:p>
    <w:p>
      <w:pPr>
        <w:spacing w:after="0" w:line="216"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b w:val="1"/>
          <w:bCs w:val="1"/>
          <w:i w:val="1"/>
          <w:iCs w:val="1"/>
          <w:color w:val="auto"/>
        </w:rPr>
        <w:t>The Macau government has established a maximum number of gaming tables that can be operated in Macau and has limited the number of new gaming tables at new gaming areas in Macau.</w:t>
      </w:r>
    </w:p>
    <w:p>
      <w:pPr>
        <w:spacing w:after="0" w:line="197"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In connection with the opening of Wynn Palace, the DICJ authorized 100 new table games for operation at Wynn Palace, with 25 additional table games authorized for operation on January 1, 2017, and a further 25 new table games for operation on January 1, 2018, for a total of 150 new table games in the aggregate. In addition, we have and will continue to transfer table games between Wynn Palace and Wynn Macau, subject to the aggregate cap. As of December 31, 2019, we had a total of 323 table games at Wynn Palace and 322 at Wynn Macau. The mix of table games in operation at Wynn Palace and Wynn Macau changes from time to time as a result of marketing and operating strategies in response to changing market demand and industry competition. Failure to shift the mix of our table games in anticipation of market demands and industry trends may negatively impact our operating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Share Ownership and Stockholder Matters</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largest stockholders are able to exert significant influence over our operations and future direction.</w:t>
      </w:r>
    </w:p>
    <w:p>
      <w:pPr>
        <w:spacing w:after="0" w:line="25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As of December 31, 2019, Elaine P. Wynn was our fourth largest shareholder and owned 9,539,077 shares, or approximately 9%, of our outstanding common stock. As a result, Elaine P. Wynn may be able to exert significant influence over all matters requiring our stockholders' approval, including the approval of significant corporate transactions.</w:t>
      </w:r>
    </w:p>
    <w:p>
      <w:pPr>
        <w:spacing w:after="0" w:line="208"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On August 3, 2018, we entered into a Cooperation Agreement (the "Cooperation Agreement") with Elaine P. Wynn regarding the composition of the Company's Board of Directors and certain other matters, including, among other things, the appointment of Mr. Philip G. Satre to the Company's Board of Directors, standstill restrictions, releases, non-disparagement and reimbursement of expenses. The term of the Cooperation Agreement expires on the later of</w:t>
      </w:r>
    </w:p>
    <w:p>
      <w:pPr>
        <w:ind w:firstLine="8"/>
        <w:spacing w:after="0" w:line="261" w:lineRule="auto"/>
        <w:tabs>
          <w:tab w:leader="none" w:pos="24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date that Phil Satre no longer serves as Chair of the Board and (ii) the day after the conclusion of the 2020 annual meeting of the Company's stockholders, unless earlier terminated pursuant to the circumstances described in the Cooperation Agreement.</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stock price may be volatile.</w:t>
      </w:r>
    </w:p>
    <w:p>
      <w:pPr>
        <w:spacing w:after="0" w:line="252"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trading price of our common stock has been and may continue to be subject to wide fluctuations. Our stock price may fluctuate in response to a number of events and factors, such as general United States, China, and world economic and financial conditions, our own quarterly variations in operating results, increased competition, changes in financial estimates and recommendations by securities analysts, changes in applicable laws or regulations, and changes affecting the travel industry, and other events impacting our business. The stock market in general, and prices for companies in our industry in particular, has experienced extreme volatility that may be unrelated to the operating performance of a particular company. These broad market and industry fluctuations may adversely affect the price of our common stock, regardless of our operating performance.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Indebtedness</w:t>
      </w:r>
    </w:p>
    <w:p>
      <w:pPr>
        <w:spacing w:after="0" w:line="256"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b w:val="1"/>
          <w:bCs w:val="1"/>
          <w:i w:val="1"/>
          <w:iCs w:val="1"/>
          <w:color w:val="auto"/>
        </w:rPr>
        <w:t>We are highly leveraged and future cash flow may not be sufficient for us to meet our obligations, and we might have difficulty obtaining more financing.</w:t>
      </w:r>
    </w:p>
    <w:p>
      <w:pPr>
        <w:spacing w:after="0" w:line="19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have a substantial amount of consolidated debt in relation to our equity. As of December 31, 2019, we had total outstanding debt of approximately $10.52 billion, which includes a portion of the funds we expect to need for the development and construction of our current projects. We may, however, incur additional indebtedness in connection with the construction of these projects. See Item 1—Business "Our Resorts." In addition, we are permitted to incur additional indebtedness if certain conditions are met, including conditions under our Wynn Macau Credit Facilities, our WRF Credit Facilities, and our indentures in connection with other future potential development plans.</w:t>
      </w:r>
    </w:p>
    <w:p>
      <w:pPr>
        <w:spacing w:after="0" w:line="2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indebtedness could have important consequences. For example:</w:t>
      </w:r>
    </w:p>
    <w:p>
      <w:pPr>
        <w:spacing w:after="0" w:line="252" w:lineRule="exact"/>
        <w:rPr>
          <w:sz w:val="20"/>
          <w:szCs w:val="20"/>
          <w:color w:val="auto"/>
        </w:rPr>
      </w:pPr>
    </w:p>
    <w:p>
      <w:pPr>
        <w:ind w:left="1300" w:hanging="644"/>
        <w:spacing w:after="0" w:line="258" w:lineRule="auto"/>
        <w:tabs>
          <w:tab w:leader="none" w:pos="12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meet our payment obligations or other obligations could result in acceleration of our indebtedness, foreclosure upon our assets that serve as collateral or bankruptcy and trigger cross defaults under other agreements;</w:t>
      </w:r>
    </w:p>
    <w:p>
      <w:pPr>
        <w:spacing w:after="0" w:line="1" w:lineRule="exact"/>
        <w:rPr>
          <w:rFonts w:ascii="Arial" w:cs="Arial" w:eastAsia="Arial" w:hAnsi="Arial"/>
          <w:sz w:val="18"/>
          <w:szCs w:val="18"/>
          <w:color w:val="auto"/>
        </w:rPr>
      </w:pPr>
    </w:p>
    <w:p>
      <w:pPr>
        <w:ind w:left="1300" w:right="20" w:hanging="644"/>
        <w:spacing w:after="0" w:line="250" w:lineRule="auto"/>
        <w:tabs>
          <w:tab w:leader="none" w:pos="12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servicing our indebtedness requires a substantial portion of our cash flow from our operations and reduces the amount of available cash, if any, to fund working capital and other cash requirements or pay for other capital expenditures;</w:t>
      </w: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not be able to obtain additional financing, if needed; and</w:t>
      </w:r>
    </w:p>
    <w:p>
      <w:pPr>
        <w:spacing w:after="0" w:line="9" w:lineRule="exact"/>
        <w:rPr>
          <w:rFonts w:ascii="Arial" w:cs="Arial" w:eastAsia="Arial" w:hAnsi="Arial"/>
          <w:sz w:val="18"/>
          <w:szCs w:val="18"/>
          <w:color w:val="auto"/>
        </w:rPr>
      </w:pPr>
    </w:p>
    <w:p>
      <w:pPr>
        <w:ind w:left="1300" w:hanging="644"/>
        <w:spacing w:after="0" w:line="261" w:lineRule="auto"/>
        <w:tabs>
          <w:tab w:leader="none" w:pos="12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rates with respect to a portion of the interest we pay will fluctuate with market rates and, accordingly, our interest expense will increase if market interest rates increase.</w:t>
      </w:r>
    </w:p>
    <w:p>
      <w:pPr>
        <w:spacing w:after="0" w:line="211"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The interest rates of certain of our credit agreements are tied to the London Interbank Offered Rate, or LIBOR. In July 2017, the head of the United Kingdom Financial Conduct Authority announced the desire to phase out the use of LIBOR by the end of 2021. In addition, the U.S. Federal Reserve, in conjunction with the Alternative Reference Rates Committee, a steering committee comprised of large US financial institutions, is considering replacing U.S. dollar LIBOR with the Secured Overnight Financing Rate, or SOFR, a new index calculated by short-term repurchase agreements, backed by Treasury securities. Although there have been a few issuances utilizing SOFR or the Sterling Over Night Index Average, an alternative reference rate that is based on transactions, it is unknown whether these alternative reference rates will attain market acceptance as replacements for LIBOR. If LIBOR ceases to exist, we may need to renegotiate any of our credit agreements extending beyond 2021 that utilize LIBOR as a factor in determining the interest rate to replace LIBOR with the new standard that is established. There is currently no definitive information regarding the future utilization of LIBOR or of any particular replacement rate. As such, the potential effect of any such event could have on our business and financial condition cannot yet be determined.</w:t>
      </w:r>
    </w:p>
    <w:p>
      <w:pPr>
        <w:spacing w:after="0" w:line="19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Under the terms of the documents governing our debt facilities, subject to certain limitations, we are permitted to incur indebtedness. If we incur additional indebtedness, the risks described above will be exacerbated.</w:t>
      </w:r>
    </w:p>
    <w:p>
      <w:pPr>
        <w:spacing w:after="0" w:line="19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b w:val="1"/>
          <w:bCs w:val="1"/>
          <w:i w:val="1"/>
          <w:iCs w:val="1"/>
          <w:color w:val="auto"/>
        </w:rPr>
        <w:t>The agreements governing our debt facilities contain certain covenants that restrict our ability to engage in certain transactions and may impair our ability to respond to changing business and economic conditions.</w:t>
      </w:r>
    </w:p>
    <w:p>
      <w:pPr>
        <w:spacing w:after="0" w:line="19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Some of our debt facilities require us to satisfy various financial covenants, which include requirements for minimum interest coverage ratios and leverage ratios pertaining to total debt to earnings before interest, tax, depreciation and amortization and a minimum earnings before interest, tax, depreciation and amortization. For more information on financial covenants we are subject to under our debt facilities, see Item 8—"Financial Statements and Supplementary Data," Note 7, "Long-Term Debt." Future indebtedness or other contracts could contain covenants more restrictive than those contained in our existing debt facilities.</w:t>
      </w:r>
    </w:p>
    <w:p>
      <w:pPr>
        <w:spacing w:after="0" w:line="21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agreements governing our debt facilities also contain restrictions on our ability to engage in certain transactions and may limit our ability to respond to changing business and economic conditions. These restrictions include, among other things, limitations on our ability and the ability of our restricted subsidiaries to:</w:t>
      </w:r>
    </w:p>
    <w:p>
      <w:pPr>
        <w:spacing w:after="0" w:line="208" w:lineRule="exact"/>
        <w:rPr>
          <w:sz w:val="20"/>
          <w:szCs w:val="20"/>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pay dividends or distributions or repurchase equity;</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create liens on assets to secure debt;</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issue stock of, or member's interests in, subsidiaries;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engage in other businesses;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merge or consolidate with another company;</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undergo a change of control;</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transfer, sell or otherwise dispose of assets;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issue disqualified stock;</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create dividend and other payment restrictions affecting subsidiaries;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designate restricted and unrestricted subsidiaries.</w:t>
      </w:r>
    </w:p>
    <w:p>
      <w:pPr>
        <w:spacing w:after="0" w:line="23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ability to comply with the terms of our outstanding facilities may be affected by general economic conditions, industry conditions and other events outside of our control. As a result, we may not be able to maintain compliance with these covenants. If our properties' operations fail to generate adequate cash flow, we may violate those covenants, causing a default under our agreements, which would materially and adversely affect our operating results and our financial condition or result in our lenders or holders of our debt taking action to enforce their security interests in our various assets or cause all outstanding amounts to be due and payable immediately.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56"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table presents our significant land holdings. We own or have obtained the right to use these properties. We also own or lease various other improved and unimproved properties associated with our development projects.</w:t>
      </w:r>
    </w:p>
    <w:p>
      <w:pPr>
        <w:spacing w:after="0" w:line="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2"/>
              </w:rPr>
              <w:t>Approximate</w:t>
            </w:r>
          </w:p>
        </w:tc>
        <w:tc>
          <w:tcPr>
            <w:tcW w:w="120" w:type="dxa"/>
            <w:vAlign w:val="bottom"/>
          </w:tcPr>
          <w:p>
            <w:pPr>
              <w:spacing w:after="0"/>
              <w:rPr>
                <w:sz w:val="18"/>
                <w:szCs w:val="18"/>
                <w:color w:val="auto"/>
              </w:rPr>
            </w:pPr>
          </w:p>
        </w:tc>
        <w:tc>
          <w:tcPr>
            <w:tcW w:w="7080" w:type="dxa"/>
            <w:vAlign w:val="bottom"/>
          </w:tcPr>
          <w:p>
            <w:pPr>
              <w:spacing w:after="0"/>
              <w:rPr>
                <w:sz w:val="18"/>
                <w:szCs w:val="18"/>
                <w:color w:val="auto"/>
              </w:rPr>
            </w:pPr>
          </w:p>
        </w:tc>
      </w:tr>
      <w:tr>
        <w:trPr>
          <w:trHeight w:val="234"/>
        </w:trPr>
        <w:tc>
          <w:tcPr>
            <w:tcW w:w="2760" w:type="dxa"/>
            <w:vAlign w:val="bottom"/>
            <w:gridSpan w:val="2"/>
          </w:tcPr>
          <w:p>
            <w:pPr>
              <w:ind w:left="20"/>
              <w:spacing w:after="0"/>
              <w:rPr>
                <w:sz w:val="20"/>
                <w:szCs w:val="20"/>
                <w:color w:val="auto"/>
              </w:rPr>
            </w:pPr>
            <w:r>
              <w:rPr>
                <w:rFonts w:ascii="Arial" w:cs="Arial" w:eastAsia="Arial" w:hAnsi="Arial"/>
                <w:sz w:val="18"/>
                <w:szCs w:val="18"/>
                <w:b w:val="1"/>
                <w:bCs w:val="1"/>
                <w:color w:val="auto"/>
              </w:rPr>
              <w:t>Property</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7"/>
              </w:rPr>
              <w:t>Acres</w:t>
            </w:r>
          </w:p>
        </w:tc>
        <w:tc>
          <w:tcPr>
            <w:tcW w:w="120" w:type="dxa"/>
            <w:vAlign w:val="bottom"/>
          </w:tcPr>
          <w:p>
            <w:pPr>
              <w:spacing w:after="0"/>
              <w:rPr>
                <w:sz w:val="20"/>
                <w:szCs w:val="20"/>
                <w:color w:val="auto"/>
              </w:rPr>
            </w:pPr>
          </w:p>
        </w:tc>
        <w:tc>
          <w:tcPr>
            <w:tcW w:w="7080" w:type="dxa"/>
            <w:vAlign w:val="bottom"/>
          </w:tcPr>
          <w:p>
            <w:pPr>
              <w:ind w:left="3200"/>
              <w:spacing w:after="0"/>
              <w:rPr>
                <w:sz w:val="20"/>
                <w:szCs w:val="20"/>
                <w:color w:val="auto"/>
              </w:rPr>
            </w:pPr>
            <w:r>
              <w:rPr>
                <w:rFonts w:ascii="Arial" w:cs="Arial" w:eastAsia="Arial" w:hAnsi="Arial"/>
                <w:sz w:val="18"/>
                <w:szCs w:val="18"/>
                <w:b w:val="1"/>
                <w:bCs w:val="1"/>
                <w:color w:val="auto"/>
              </w:rPr>
              <w:t>Location</w:t>
            </w:r>
          </w:p>
        </w:tc>
      </w:tr>
      <w:tr>
        <w:trPr>
          <w:trHeight w:val="27"/>
        </w:trPr>
        <w:tc>
          <w:tcPr>
            <w:tcW w:w="2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80" w:type="dxa"/>
            <w:vAlign w:val="bottom"/>
            <w:tcBorders>
              <w:bottom w:val="single" w:sz="8" w:color="auto"/>
            </w:tcBorders>
          </w:tcPr>
          <w:p>
            <w:pPr>
              <w:spacing w:after="0"/>
              <w:rPr>
                <w:sz w:val="2"/>
                <w:szCs w:val="2"/>
                <w:color w:val="auto"/>
              </w:rPr>
            </w:pPr>
          </w:p>
        </w:tc>
      </w:tr>
      <w:tr>
        <w:trPr>
          <w:trHeight w:val="250"/>
        </w:trPr>
        <w:tc>
          <w:tcPr>
            <w:tcW w:w="2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80" w:type="dxa"/>
            <w:vAlign w:val="bottom"/>
          </w:tcPr>
          <w:p>
            <w:pPr>
              <w:spacing w:after="0"/>
              <w:rPr>
                <w:sz w:val="21"/>
                <w:szCs w:val="21"/>
                <w:color w:val="auto"/>
              </w:rPr>
            </w:pPr>
          </w:p>
        </w:tc>
      </w:tr>
      <w:tr>
        <w:trPr>
          <w:trHeight w:val="230"/>
        </w:trPr>
        <w:tc>
          <w:tcPr>
            <w:tcW w:w="27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Macau Operations </w:t>
            </w:r>
            <w:r>
              <w:rPr>
                <w:rFonts w:ascii="Arial" w:cs="Arial" w:eastAsia="Arial" w:hAnsi="Arial"/>
                <w:sz w:val="14"/>
                <w:szCs w:val="14"/>
                <w:b w:val="1"/>
                <w:bCs w:val="1"/>
                <w:color w:val="auto"/>
              </w:rPr>
              <w:t>(1)</w:t>
            </w: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80" w:type="dxa"/>
            <w:vAlign w:val="bottom"/>
            <w:shd w:val="clear" w:color="auto" w:fill="CCEEFF"/>
          </w:tcPr>
          <w:p>
            <w:pPr>
              <w:spacing w:after="0"/>
              <w:rPr>
                <w:sz w:val="19"/>
                <w:szCs w:val="19"/>
                <w:color w:val="auto"/>
              </w:rPr>
            </w:pPr>
          </w:p>
        </w:tc>
      </w:tr>
      <w:tr>
        <w:trPr>
          <w:trHeight w:val="243"/>
        </w:trPr>
        <w:tc>
          <w:tcPr>
            <w:tcW w:w="2760" w:type="dxa"/>
            <w:vAlign w:val="bottom"/>
            <w:gridSpan w:val="2"/>
          </w:tcPr>
          <w:p>
            <w:pPr>
              <w:ind w:left="120"/>
              <w:spacing w:after="0"/>
              <w:rPr>
                <w:sz w:val="20"/>
                <w:szCs w:val="20"/>
                <w:color w:val="auto"/>
              </w:rPr>
            </w:pPr>
            <w:r>
              <w:rPr>
                <w:rFonts w:ascii="Arial" w:cs="Arial" w:eastAsia="Arial" w:hAnsi="Arial"/>
                <w:sz w:val="18"/>
                <w:szCs w:val="18"/>
                <w:color w:val="auto"/>
              </w:rPr>
              <w:t>Wynn Palace</w:t>
            </w:r>
          </w:p>
        </w:tc>
        <w:tc>
          <w:tcPr>
            <w:tcW w:w="1400" w:type="dxa"/>
            <w:vAlign w:val="bottom"/>
          </w:tcPr>
          <w:p>
            <w:pPr>
              <w:jc w:val="center"/>
              <w:ind w:right="50"/>
              <w:spacing w:after="0"/>
              <w:rPr>
                <w:sz w:val="20"/>
                <w:szCs w:val="20"/>
                <w:color w:val="auto"/>
              </w:rPr>
            </w:pPr>
            <w:r>
              <w:rPr>
                <w:rFonts w:ascii="Arial" w:cs="Arial" w:eastAsia="Arial" w:hAnsi="Arial"/>
                <w:sz w:val="18"/>
                <w:szCs w:val="18"/>
                <w:color w:val="auto"/>
                <w:w w:val="89"/>
              </w:rPr>
              <w:t>51</w:t>
            </w:r>
          </w:p>
        </w:tc>
        <w:tc>
          <w:tcPr>
            <w:tcW w:w="120" w:type="dxa"/>
            <w:vAlign w:val="bottom"/>
          </w:tcPr>
          <w:p>
            <w:pPr>
              <w:spacing w:after="0"/>
              <w:rPr>
                <w:sz w:val="21"/>
                <w:szCs w:val="21"/>
                <w:color w:val="auto"/>
              </w:rPr>
            </w:pPr>
          </w:p>
        </w:tc>
        <w:tc>
          <w:tcPr>
            <w:tcW w:w="7080" w:type="dxa"/>
            <w:vAlign w:val="bottom"/>
          </w:tcPr>
          <w:p>
            <w:pPr>
              <w:ind w:left="20"/>
              <w:spacing w:after="0"/>
              <w:rPr>
                <w:sz w:val="20"/>
                <w:szCs w:val="20"/>
                <w:color w:val="auto"/>
              </w:rPr>
            </w:pPr>
            <w:r>
              <w:rPr>
                <w:rFonts w:ascii="Arial" w:cs="Arial" w:eastAsia="Arial" w:hAnsi="Arial"/>
                <w:sz w:val="18"/>
                <w:szCs w:val="18"/>
                <w:color w:val="auto"/>
              </w:rPr>
              <w:t>Located in the Cotai area of Macau.</w:t>
            </w:r>
          </w:p>
        </w:tc>
      </w:tr>
      <w:tr>
        <w:trPr>
          <w:trHeight w:val="27"/>
        </w:trPr>
        <w:tc>
          <w:tcPr>
            <w:tcW w:w="2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80" w:type="dxa"/>
            <w:vAlign w:val="bottom"/>
          </w:tcPr>
          <w:p>
            <w:pPr>
              <w:spacing w:after="0"/>
              <w:rPr>
                <w:sz w:val="2"/>
                <w:szCs w:val="2"/>
                <w:color w:val="auto"/>
              </w:rPr>
            </w:pPr>
          </w:p>
        </w:tc>
      </w:tr>
      <w:tr>
        <w:trPr>
          <w:trHeight w:val="270"/>
        </w:trPr>
        <w:tc>
          <w:tcPr>
            <w:tcW w:w="27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Wynn Macau</w:t>
            </w:r>
          </w:p>
        </w:tc>
        <w:tc>
          <w:tcPr>
            <w:tcW w:w="140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89"/>
              </w:rPr>
              <w:t>16</w:t>
            </w:r>
          </w:p>
        </w:tc>
        <w:tc>
          <w:tcPr>
            <w:tcW w:w="120" w:type="dxa"/>
            <w:vAlign w:val="bottom"/>
            <w:tcBorders>
              <w:bottom w:val="single" w:sz="8" w:color="CCEEFF"/>
            </w:tcBorders>
            <w:shd w:val="clear" w:color="auto" w:fill="CCEEFF"/>
          </w:tcPr>
          <w:p>
            <w:pPr>
              <w:spacing w:after="0"/>
              <w:rPr>
                <w:sz w:val="23"/>
                <w:szCs w:val="23"/>
                <w:color w:val="auto"/>
              </w:rPr>
            </w:pPr>
          </w:p>
        </w:tc>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Located in downtown Macau's inner harbor.</w:t>
            </w:r>
          </w:p>
        </w:tc>
      </w:tr>
      <w:tr>
        <w:trPr>
          <w:trHeight w:val="237"/>
        </w:trPr>
        <w:tc>
          <w:tcPr>
            <w:tcW w:w="2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color w:val="auto"/>
                <w:w w:val="89"/>
              </w:rPr>
              <w:t>67</w:t>
            </w:r>
          </w:p>
        </w:tc>
        <w:tc>
          <w:tcPr>
            <w:tcW w:w="120" w:type="dxa"/>
            <w:vAlign w:val="bottom"/>
          </w:tcPr>
          <w:p>
            <w:pPr>
              <w:spacing w:after="0"/>
              <w:rPr>
                <w:sz w:val="20"/>
                <w:szCs w:val="20"/>
                <w:color w:val="auto"/>
              </w:rPr>
            </w:pPr>
          </w:p>
        </w:tc>
        <w:tc>
          <w:tcPr>
            <w:tcW w:w="7080" w:type="dxa"/>
            <w:vAlign w:val="bottom"/>
          </w:tcPr>
          <w:p>
            <w:pPr>
              <w:spacing w:after="0"/>
              <w:rPr>
                <w:sz w:val="20"/>
                <w:szCs w:val="20"/>
                <w:color w:val="auto"/>
              </w:rPr>
            </w:pPr>
          </w:p>
        </w:tc>
      </w:tr>
      <w:tr>
        <w:trPr>
          <w:trHeight w:val="27"/>
        </w:trPr>
        <w:tc>
          <w:tcPr>
            <w:tcW w:w="2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80" w:type="dxa"/>
            <w:vAlign w:val="bottom"/>
          </w:tcPr>
          <w:p>
            <w:pPr>
              <w:spacing w:after="0"/>
              <w:rPr>
                <w:sz w:val="2"/>
                <w:szCs w:val="2"/>
                <w:color w:val="auto"/>
              </w:rPr>
            </w:pPr>
          </w:p>
        </w:tc>
      </w:tr>
      <w:tr>
        <w:trPr>
          <w:trHeight w:val="270"/>
        </w:trPr>
        <w:tc>
          <w:tcPr>
            <w:tcW w:w="2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80" w:type="dxa"/>
            <w:vAlign w:val="bottom"/>
            <w:shd w:val="clear" w:color="auto" w:fill="CCEEFF"/>
          </w:tcPr>
          <w:p>
            <w:pPr>
              <w:spacing w:after="0"/>
              <w:rPr>
                <w:sz w:val="23"/>
                <w:szCs w:val="23"/>
                <w:color w:val="auto"/>
              </w:rPr>
            </w:pPr>
          </w:p>
        </w:tc>
      </w:tr>
      <w:tr>
        <w:trPr>
          <w:trHeight w:val="243"/>
        </w:trPr>
        <w:tc>
          <w:tcPr>
            <w:tcW w:w="2760" w:type="dxa"/>
            <w:vAlign w:val="bottom"/>
            <w:gridSpan w:val="2"/>
          </w:tcPr>
          <w:p>
            <w:pPr>
              <w:ind w:left="20"/>
              <w:spacing w:after="0"/>
              <w:rPr>
                <w:sz w:val="20"/>
                <w:szCs w:val="20"/>
                <w:color w:val="auto"/>
              </w:rPr>
            </w:pPr>
            <w:r>
              <w:rPr>
                <w:rFonts w:ascii="Arial" w:cs="Arial" w:eastAsia="Arial" w:hAnsi="Arial"/>
                <w:sz w:val="18"/>
                <w:szCs w:val="18"/>
                <w:b w:val="1"/>
                <w:bCs w:val="1"/>
                <w:color w:val="auto"/>
              </w:rPr>
              <w:t>Las Vegas Operations</w:t>
            </w: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80" w:type="dxa"/>
            <w:vAlign w:val="bottom"/>
          </w:tcPr>
          <w:p>
            <w:pPr>
              <w:spacing w:after="0"/>
              <w:rPr>
                <w:sz w:val="21"/>
                <w:szCs w:val="21"/>
                <w:color w:val="auto"/>
              </w:rPr>
            </w:pPr>
          </w:p>
        </w:tc>
      </w:tr>
      <w:tr>
        <w:trPr>
          <w:trHeight w:val="27"/>
        </w:trPr>
        <w:tc>
          <w:tcPr>
            <w:tcW w:w="2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80" w:type="dxa"/>
            <w:vAlign w:val="bottom"/>
          </w:tcPr>
          <w:p>
            <w:pPr>
              <w:spacing w:after="0"/>
              <w:rPr>
                <w:sz w:val="2"/>
                <w:szCs w:val="2"/>
                <w:color w:val="auto"/>
              </w:rPr>
            </w:pPr>
          </w:p>
        </w:tc>
      </w:tr>
      <w:tr>
        <w:trPr>
          <w:trHeight w:val="250"/>
        </w:trPr>
        <w:tc>
          <w:tcPr>
            <w:tcW w:w="27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Wynn Las Vegas (main parcel)</w:t>
            </w:r>
          </w:p>
        </w:tc>
        <w:tc>
          <w:tcPr>
            <w:tcW w:w="140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89"/>
              </w:rPr>
              <w:t>75</w:t>
            </w:r>
          </w:p>
        </w:tc>
        <w:tc>
          <w:tcPr>
            <w:tcW w:w="120" w:type="dxa"/>
            <w:vAlign w:val="bottom"/>
            <w:tcBorders>
              <w:bottom w:val="single" w:sz="8" w:color="CCEEFF"/>
            </w:tcBorders>
            <w:shd w:val="clear" w:color="auto" w:fill="CCEEFF"/>
          </w:tcPr>
          <w:p>
            <w:pPr>
              <w:spacing w:after="0"/>
              <w:rPr>
                <w:sz w:val="21"/>
                <w:szCs w:val="21"/>
                <w:color w:val="auto"/>
              </w:rPr>
            </w:pPr>
          </w:p>
        </w:tc>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Located at the intersection of Las Vegas Boulevard and Sands Avenue.</w:t>
            </w:r>
          </w:p>
        </w:tc>
      </w:tr>
      <w:tr>
        <w:trPr>
          <w:trHeight w:val="270"/>
        </w:trPr>
        <w:tc>
          <w:tcPr>
            <w:tcW w:w="2760" w:type="dxa"/>
            <w:vAlign w:val="bottom"/>
            <w:gridSpan w:val="2"/>
          </w:tcPr>
          <w:p>
            <w:pPr>
              <w:ind w:left="140"/>
              <w:spacing w:after="0"/>
              <w:rPr>
                <w:sz w:val="20"/>
                <w:szCs w:val="20"/>
                <w:color w:val="auto"/>
              </w:rPr>
            </w:pPr>
            <w:r>
              <w:rPr>
                <w:rFonts w:ascii="Arial" w:cs="Arial" w:eastAsia="Arial" w:hAnsi="Arial"/>
                <w:sz w:val="18"/>
                <w:szCs w:val="18"/>
                <w:color w:val="auto"/>
              </w:rPr>
              <w:t xml:space="preserve">Golf course land </w:t>
            </w:r>
            <w:r>
              <w:rPr>
                <w:rFonts w:ascii="Arial" w:cs="Arial" w:eastAsia="Arial" w:hAnsi="Arial"/>
                <w:sz w:val="14"/>
                <w:szCs w:val="14"/>
                <w:color w:val="auto"/>
              </w:rPr>
              <w:t>(2)</w:t>
            </w:r>
          </w:p>
        </w:tc>
        <w:tc>
          <w:tcPr>
            <w:tcW w:w="1400" w:type="dxa"/>
            <w:vAlign w:val="bottom"/>
          </w:tcPr>
          <w:p>
            <w:pPr>
              <w:jc w:val="center"/>
              <w:ind w:right="30"/>
              <w:spacing w:after="0"/>
              <w:rPr>
                <w:sz w:val="20"/>
                <w:szCs w:val="20"/>
                <w:color w:val="auto"/>
              </w:rPr>
            </w:pPr>
            <w:r>
              <w:rPr>
                <w:rFonts w:ascii="Arial" w:cs="Arial" w:eastAsia="Arial" w:hAnsi="Arial"/>
                <w:sz w:val="18"/>
                <w:szCs w:val="18"/>
                <w:color w:val="auto"/>
                <w:w w:val="93"/>
              </w:rPr>
              <w:t>128</w:t>
            </w:r>
          </w:p>
        </w:tc>
        <w:tc>
          <w:tcPr>
            <w:tcW w:w="120" w:type="dxa"/>
            <w:vAlign w:val="bottom"/>
          </w:tcPr>
          <w:p>
            <w:pPr>
              <w:spacing w:after="0"/>
              <w:rPr>
                <w:sz w:val="23"/>
                <w:szCs w:val="23"/>
                <w:color w:val="auto"/>
              </w:rPr>
            </w:pPr>
          </w:p>
        </w:tc>
        <w:tc>
          <w:tcPr>
            <w:tcW w:w="7080" w:type="dxa"/>
            <w:vAlign w:val="bottom"/>
          </w:tcPr>
          <w:p>
            <w:pPr>
              <w:ind w:left="20"/>
              <w:spacing w:after="0"/>
              <w:rPr>
                <w:sz w:val="20"/>
                <w:szCs w:val="20"/>
                <w:color w:val="auto"/>
              </w:rPr>
            </w:pPr>
            <w:r>
              <w:rPr>
                <w:rFonts w:ascii="Arial" w:cs="Arial" w:eastAsia="Arial" w:hAnsi="Arial"/>
                <w:sz w:val="18"/>
                <w:szCs w:val="18"/>
                <w:color w:val="auto"/>
              </w:rPr>
              <w:t>Located adjacent to Wynn Las Vegas.</w:t>
            </w:r>
          </w:p>
        </w:tc>
      </w:tr>
      <w:tr>
        <w:trPr>
          <w:trHeight w:val="229"/>
        </w:trPr>
        <w:tc>
          <w:tcPr>
            <w:tcW w:w="2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Meeting and Convention</w:t>
            </w: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80" w:type="dxa"/>
            <w:vAlign w:val="bottom"/>
            <w:shd w:val="clear" w:color="auto" w:fill="CCEEFF"/>
          </w:tcPr>
          <w:p>
            <w:pPr>
              <w:spacing w:after="0"/>
              <w:rPr>
                <w:sz w:val="19"/>
                <w:szCs w:val="19"/>
                <w:color w:val="auto"/>
              </w:rPr>
            </w:pPr>
          </w:p>
        </w:tc>
      </w:tr>
      <w:tr>
        <w:trPr>
          <w:trHeight w:val="237"/>
        </w:trPr>
        <w:tc>
          <w:tcPr>
            <w:tcW w:w="27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Expansion</w:t>
            </w:r>
          </w:p>
        </w:tc>
        <w:tc>
          <w:tcPr>
            <w:tcW w:w="140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89"/>
              </w:rPr>
              <w:t>12</w:t>
            </w:r>
          </w:p>
        </w:tc>
        <w:tc>
          <w:tcPr>
            <w:tcW w:w="120" w:type="dxa"/>
            <w:vAlign w:val="bottom"/>
            <w:tcBorders>
              <w:bottom w:val="single" w:sz="8" w:color="CCEEFF"/>
            </w:tcBorders>
            <w:shd w:val="clear" w:color="auto" w:fill="CCEEFF"/>
          </w:tcPr>
          <w:p>
            <w:pPr>
              <w:spacing w:after="0"/>
              <w:rPr>
                <w:sz w:val="20"/>
                <w:szCs w:val="20"/>
                <w:color w:val="auto"/>
              </w:rPr>
            </w:pPr>
          </w:p>
        </w:tc>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Located adjacent to Wynn Las Vegas.</w:t>
            </w:r>
          </w:p>
        </w:tc>
      </w:tr>
      <w:tr>
        <w:trPr>
          <w:trHeight w:val="229"/>
        </w:trPr>
        <w:tc>
          <w:tcPr>
            <w:tcW w:w="2760" w:type="dxa"/>
            <w:vAlign w:val="bottom"/>
            <w:gridSpan w:val="2"/>
          </w:tcPr>
          <w:p>
            <w:pPr>
              <w:ind w:left="120"/>
              <w:spacing w:after="0"/>
              <w:rPr>
                <w:sz w:val="20"/>
                <w:szCs w:val="20"/>
                <w:color w:val="auto"/>
              </w:rPr>
            </w:pPr>
            <w:r>
              <w:rPr>
                <w:rFonts w:ascii="Arial" w:cs="Arial" w:eastAsia="Arial" w:hAnsi="Arial"/>
                <w:sz w:val="18"/>
                <w:szCs w:val="18"/>
                <w:color w:val="auto"/>
              </w:rPr>
              <w:t>Employee parking lot and office</w:t>
            </w: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80" w:type="dxa"/>
            <w:vAlign w:val="bottom"/>
          </w:tcPr>
          <w:p>
            <w:pPr>
              <w:spacing w:after="0"/>
              <w:rPr>
                <w:sz w:val="19"/>
                <w:szCs w:val="19"/>
                <w:color w:val="auto"/>
              </w:rPr>
            </w:pPr>
          </w:p>
        </w:tc>
      </w:tr>
      <w:tr>
        <w:trPr>
          <w:trHeight w:val="230"/>
        </w:trPr>
        <w:tc>
          <w:tcPr>
            <w:tcW w:w="2760" w:type="dxa"/>
            <w:vAlign w:val="bottom"/>
            <w:gridSpan w:val="2"/>
          </w:tcPr>
          <w:p>
            <w:pPr>
              <w:ind w:left="120"/>
              <w:spacing w:after="0"/>
              <w:rPr>
                <w:sz w:val="20"/>
                <w:szCs w:val="20"/>
                <w:color w:val="auto"/>
              </w:rPr>
            </w:pPr>
            <w:r>
              <w:rPr>
                <w:rFonts w:ascii="Arial" w:cs="Arial" w:eastAsia="Arial" w:hAnsi="Arial"/>
                <w:sz w:val="18"/>
                <w:szCs w:val="18"/>
                <w:color w:val="auto"/>
              </w:rPr>
              <w:t>building</w:t>
            </w:r>
          </w:p>
        </w:tc>
        <w:tc>
          <w:tcPr>
            <w:tcW w:w="1400" w:type="dxa"/>
            <w:vAlign w:val="bottom"/>
          </w:tcPr>
          <w:p>
            <w:pPr>
              <w:jc w:val="center"/>
              <w:ind w:right="50"/>
              <w:spacing w:after="0"/>
              <w:rPr>
                <w:sz w:val="20"/>
                <w:szCs w:val="20"/>
                <w:color w:val="auto"/>
              </w:rPr>
            </w:pPr>
            <w:r>
              <w:rPr>
                <w:rFonts w:ascii="Arial" w:cs="Arial" w:eastAsia="Arial" w:hAnsi="Arial"/>
                <w:sz w:val="18"/>
                <w:szCs w:val="18"/>
                <w:color w:val="auto"/>
                <w:w w:val="89"/>
              </w:rPr>
              <w:t>18</w:t>
            </w:r>
          </w:p>
        </w:tc>
        <w:tc>
          <w:tcPr>
            <w:tcW w:w="120" w:type="dxa"/>
            <w:vAlign w:val="bottom"/>
          </w:tcPr>
          <w:p>
            <w:pPr>
              <w:spacing w:after="0"/>
              <w:rPr>
                <w:sz w:val="20"/>
                <w:szCs w:val="20"/>
                <w:color w:val="auto"/>
              </w:rPr>
            </w:pPr>
          </w:p>
        </w:tc>
        <w:tc>
          <w:tcPr>
            <w:tcW w:w="7080" w:type="dxa"/>
            <w:vAlign w:val="bottom"/>
          </w:tcPr>
          <w:p>
            <w:pPr>
              <w:ind w:left="20"/>
              <w:spacing w:after="0"/>
              <w:rPr>
                <w:sz w:val="20"/>
                <w:szCs w:val="20"/>
                <w:color w:val="auto"/>
              </w:rPr>
            </w:pPr>
            <w:r>
              <w:rPr>
                <w:rFonts w:ascii="Arial" w:cs="Arial" w:eastAsia="Arial" w:hAnsi="Arial"/>
                <w:sz w:val="18"/>
                <w:szCs w:val="18"/>
                <w:color w:val="auto"/>
              </w:rPr>
              <w:t>Located across Sands Avenue.</w:t>
            </w:r>
          </w:p>
        </w:tc>
      </w:tr>
      <w:tr>
        <w:trPr>
          <w:trHeight w:val="27"/>
        </w:trPr>
        <w:tc>
          <w:tcPr>
            <w:tcW w:w="2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80" w:type="dxa"/>
            <w:vAlign w:val="bottom"/>
          </w:tcPr>
          <w:p>
            <w:pPr>
              <w:spacing w:after="0"/>
              <w:rPr>
                <w:sz w:val="2"/>
                <w:szCs w:val="2"/>
                <w:color w:val="auto"/>
              </w:rPr>
            </w:pPr>
          </w:p>
        </w:tc>
      </w:tr>
      <w:tr>
        <w:trPr>
          <w:trHeight w:val="270"/>
        </w:trPr>
        <w:tc>
          <w:tcPr>
            <w:tcW w:w="27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Office building</w:t>
            </w:r>
          </w:p>
        </w:tc>
        <w:tc>
          <w:tcPr>
            <w:tcW w:w="140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color w:val="auto"/>
                <w:w w:val="79"/>
              </w:rPr>
              <w:t>5</w:t>
            </w:r>
          </w:p>
        </w:tc>
        <w:tc>
          <w:tcPr>
            <w:tcW w:w="120" w:type="dxa"/>
            <w:vAlign w:val="bottom"/>
            <w:tcBorders>
              <w:bottom w:val="single" w:sz="8" w:color="CCEEFF"/>
            </w:tcBorders>
            <w:shd w:val="clear" w:color="auto" w:fill="CCEEFF"/>
          </w:tcPr>
          <w:p>
            <w:pPr>
              <w:spacing w:after="0"/>
              <w:rPr>
                <w:sz w:val="23"/>
                <w:szCs w:val="23"/>
                <w:color w:val="auto"/>
              </w:rPr>
            </w:pPr>
          </w:p>
        </w:tc>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Located adjacent to golf course land.</w:t>
            </w:r>
          </w:p>
        </w:tc>
      </w:tr>
      <w:tr>
        <w:trPr>
          <w:trHeight w:val="237"/>
        </w:trPr>
        <w:tc>
          <w:tcPr>
            <w:tcW w:w="2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color w:val="auto"/>
                <w:w w:val="93"/>
              </w:rPr>
              <w:t>238</w:t>
            </w:r>
          </w:p>
        </w:tc>
        <w:tc>
          <w:tcPr>
            <w:tcW w:w="120" w:type="dxa"/>
            <w:vAlign w:val="bottom"/>
          </w:tcPr>
          <w:p>
            <w:pPr>
              <w:spacing w:after="0"/>
              <w:rPr>
                <w:sz w:val="20"/>
                <w:szCs w:val="20"/>
                <w:color w:val="auto"/>
              </w:rPr>
            </w:pPr>
          </w:p>
        </w:tc>
        <w:tc>
          <w:tcPr>
            <w:tcW w:w="7080" w:type="dxa"/>
            <w:vAlign w:val="bottom"/>
          </w:tcPr>
          <w:p>
            <w:pPr>
              <w:spacing w:after="0"/>
              <w:rPr>
                <w:sz w:val="20"/>
                <w:szCs w:val="20"/>
                <w:color w:val="auto"/>
              </w:rPr>
            </w:pPr>
          </w:p>
        </w:tc>
      </w:tr>
      <w:tr>
        <w:trPr>
          <w:trHeight w:val="27"/>
        </w:trPr>
        <w:tc>
          <w:tcPr>
            <w:tcW w:w="2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80" w:type="dxa"/>
            <w:vAlign w:val="bottom"/>
          </w:tcPr>
          <w:p>
            <w:pPr>
              <w:spacing w:after="0"/>
              <w:rPr>
                <w:sz w:val="2"/>
                <w:szCs w:val="2"/>
                <w:color w:val="auto"/>
              </w:rPr>
            </w:pPr>
          </w:p>
        </w:tc>
      </w:tr>
      <w:tr>
        <w:trPr>
          <w:trHeight w:val="270"/>
        </w:trPr>
        <w:tc>
          <w:tcPr>
            <w:tcW w:w="2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80" w:type="dxa"/>
            <w:vAlign w:val="bottom"/>
            <w:shd w:val="clear" w:color="auto" w:fill="CCEEFF"/>
          </w:tcPr>
          <w:p>
            <w:pPr>
              <w:spacing w:after="0"/>
              <w:rPr>
                <w:sz w:val="23"/>
                <w:szCs w:val="23"/>
                <w:color w:val="auto"/>
              </w:rPr>
            </w:pPr>
          </w:p>
        </w:tc>
      </w:tr>
      <w:tr>
        <w:trPr>
          <w:trHeight w:val="243"/>
        </w:trPr>
        <w:tc>
          <w:tcPr>
            <w:tcW w:w="2760" w:type="dxa"/>
            <w:vAlign w:val="bottom"/>
            <w:gridSpan w:val="2"/>
          </w:tcPr>
          <w:p>
            <w:pPr>
              <w:ind w:left="20"/>
              <w:spacing w:after="0"/>
              <w:rPr>
                <w:sz w:val="20"/>
                <w:szCs w:val="20"/>
                <w:color w:val="auto"/>
              </w:rPr>
            </w:pPr>
            <w:r>
              <w:rPr>
                <w:rFonts w:ascii="Arial" w:cs="Arial" w:eastAsia="Arial" w:hAnsi="Arial"/>
                <w:sz w:val="18"/>
                <w:szCs w:val="18"/>
                <w:b w:val="1"/>
                <w:bCs w:val="1"/>
                <w:color w:val="auto"/>
              </w:rPr>
              <w:t>Encore Boston Harbor</w:t>
            </w:r>
          </w:p>
        </w:tc>
        <w:tc>
          <w:tcPr>
            <w:tcW w:w="1400" w:type="dxa"/>
            <w:vAlign w:val="bottom"/>
          </w:tcPr>
          <w:p>
            <w:pPr>
              <w:jc w:val="center"/>
              <w:ind w:right="50"/>
              <w:spacing w:after="0"/>
              <w:rPr>
                <w:sz w:val="20"/>
                <w:szCs w:val="20"/>
                <w:color w:val="auto"/>
              </w:rPr>
            </w:pPr>
            <w:r>
              <w:rPr>
                <w:rFonts w:ascii="Arial" w:cs="Arial" w:eastAsia="Arial" w:hAnsi="Arial"/>
                <w:sz w:val="18"/>
                <w:szCs w:val="18"/>
                <w:color w:val="auto"/>
                <w:w w:val="89"/>
              </w:rPr>
              <w:t>34</w:t>
            </w:r>
          </w:p>
        </w:tc>
        <w:tc>
          <w:tcPr>
            <w:tcW w:w="120" w:type="dxa"/>
            <w:vAlign w:val="bottom"/>
          </w:tcPr>
          <w:p>
            <w:pPr>
              <w:spacing w:after="0"/>
              <w:rPr>
                <w:sz w:val="21"/>
                <w:szCs w:val="21"/>
                <w:color w:val="auto"/>
              </w:rPr>
            </w:pPr>
          </w:p>
        </w:tc>
        <w:tc>
          <w:tcPr>
            <w:tcW w:w="7080" w:type="dxa"/>
            <w:vAlign w:val="bottom"/>
          </w:tcPr>
          <w:p>
            <w:pPr>
              <w:ind w:left="20"/>
              <w:spacing w:after="0"/>
              <w:rPr>
                <w:sz w:val="20"/>
                <w:szCs w:val="20"/>
                <w:color w:val="auto"/>
              </w:rPr>
            </w:pPr>
            <w:r>
              <w:rPr>
                <w:rFonts w:ascii="Arial" w:cs="Arial" w:eastAsia="Arial" w:hAnsi="Arial"/>
                <w:sz w:val="18"/>
                <w:szCs w:val="18"/>
                <w:color w:val="auto"/>
              </w:rPr>
              <w:t>Located in Everett, Massachusetts, adjacent to Boston along the Mystic River.</w:t>
            </w:r>
          </w:p>
        </w:tc>
      </w:tr>
      <w:tr>
        <w:trPr>
          <w:trHeight w:val="27"/>
        </w:trPr>
        <w:tc>
          <w:tcPr>
            <w:tcW w:w="2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80" w:type="dxa"/>
            <w:vAlign w:val="bottom"/>
          </w:tcPr>
          <w:p>
            <w:pPr>
              <w:spacing w:after="0"/>
              <w:rPr>
                <w:sz w:val="2"/>
                <w:szCs w:val="2"/>
                <w:color w:val="auto"/>
              </w:rPr>
            </w:pPr>
          </w:p>
        </w:tc>
      </w:tr>
      <w:tr>
        <w:trPr>
          <w:trHeight w:val="270"/>
        </w:trPr>
        <w:tc>
          <w:tcPr>
            <w:tcW w:w="2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80" w:type="dxa"/>
            <w:vAlign w:val="bottom"/>
            <w:shd w:val="clear" w:color="auto" w:fill="CCEEFF"/>
          </w:tcPr>
          <w:p>
            <w:pPr>
              <w:spacing w:after="0"/>
              <w:rPr>
                <w:sz w:val="23"/>
                <w:szCs w:val="23"/>
                <w:color w:val="auto"/>
              </w:rPr>
            </w:pPr>
          </w:p>
        </w:tc>
      </w:tr>
      <w:tr>
        <w:trPr>
          <w:trHeight w:val="270"/>
        </w:trPr>
        <w:tc>
          <w:tcPr>
            <w:tcW w:w="2760" w:type="dxa"/>
            <w:vAlign w:val="bottom"/>
            <w:gridSpan w:val="2"/>
          </w:tcPr>
          <w:p>
            <w:pPr>
              <w:ind w:left="20"/>
              <w:spacing w:after="0"/>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4"/>
                <w:szCs w:val="14"/>
                <w:b w:val="1"/>
                <w:bCs w:val="1"/>
                <w:color w:val="auto"/>
              </w:rPr>
              <w:t>(3)</w:t>
            </w:r>
          </w:p>
        </w:tc>
        <w:tc>
          <w:tcPr>
            <w:tcW w:w="1400" w:type="dxa"/>
            <w:vAlign w:val="bottom"/>
          </w:tcPr>
          <w:p>
            <w:pPr>
              <w:jc w:val="center"/>
              <w:ind w:right="50"/>
              <w:spacing w:after="0"/>
              <w:rPr>
                <w:sz w:val="20"/>
                <w:szCs w:val="20"/>
                <w:color w:val="auto"/>
              </w:rPr>
            </w:pPr>
            <w:r>
              <w:rPr>
                <w:rFonts w:ascii="Arial" w:cs="Arial" w:eastAsia="Arial" w:hAnsi="Arial"/>
                <w:sz w:val="18"/>
                <w:szCs w:val="18"/>
                <w:color w:val="auto"/>
                <w:w w:val="89"/>
              </w:rPr>
              <w:t>38</w:t>
            </w:r>
          </w:p>
        </w:tc>
        <w:tc>
          <w:tcPr>
            <w:tcW w:w="120" w:type="dxa"/>
            <w:vAlign w:val="bottom"/>
          </w:tcPr>
          <w:p>
            <w:pPr>
              <w:spacing w:after="0"/>
              <w:rPr>
                <w:sz w:val="23"/>
                <w:szCs w:val="23"/>
                <w:color w:val="auto"/>
              </w:rPr>
            </w:pPr>
          </w:p>
        </w:tc>
        <w:tc>
          <w:tcPr>
            <w:tcW w:w="7080" w:type="dxa"/>
            <w:vAlign w:val="bottom"/>
          </w:tcPr>
          <w:p>
            <w:pPr>
              <w:ind w:left="20"/>
              <w:spacing w:after="0"/>
              <w:rPr>
                <w:sz w:val="20"/>
                <w:szCs w:val="20"/>
                <w:color w:val="auto"/>
              </w:rPr>
            </w:pPr>
            <w:r>
              <w:rPr>
                <w:rFonts w:ascii="Arial" w:cs="Arial" w:eastAsia="Arial" w:hAnsi="Arial"/>
                <w:sz w:val="18"/>
                <w:szCs w:val="18"/>
                <w:color w:val="auto"/>
              </w:rPr>
              <w:t>Located on the Las Vegas Strip directly across from Wynn Las Vegas.</w:t>
            </w:r>
          </w:p>
        </w:tc>
      </w:tr>
    </w:tbl>
    <w:p>
      <w:pPr>
        <w:spacing w:after="0" w:line="332" w:lineRule="exact"/>
        <w:rPr>
          <w:sz w:val="20"/>
          <w:szCs w:val="20"/>
          <w:color w:val="auto"/>
        </w:rPr>
      </w:pPr>
    </w:p>
    <w:p>
      <w:pPr>
        <w:jc w:val="both"/>
        <w:ind w:left="260" w:hanging="252"/>
        <w:spacing w:after="0" w:line="247" w:lineRule="auto"/>
        <w:tabs>
          <w:tab w:leader="none" w:pos="2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government of Macau owns most of the land in Macau. In most cases, private interests in real property located in Macau are obtained through long-term leases known as concessions and other grants of rights to use land from the government. Wynn Palace and Wynn Macau are built on land leased under land concession contracts each with terms of 25 years from May 2012 and August 2004, respectively, which may be renewed with government approval for successive periods.</w:t>
      </w:r>
    </w:p>
    <w:p>
      <w:pPr>
        <w:spacing w:after="0" w:line="1" w:lineRule="exact"/>
        <w:rPr>
          <w:rFonts w:ascii="Arial" w:cs="Arial" w:eastAsia="Arial" w:hAnsi="Arial"/>
          <w:sz w:val="14"/>
          <w:szCs w:val="14"/>
          <w:color w:val="auto"/>
        </w:rPr>
      </w:pPr>
    </w:p>
    <w:p>
      <w:pPr>
        <w:ind w:left="260" w:hanging="252"/>
        <w:spacing w:after="0" w:line="241" w:lineRule="auto"/>
        <w:tabs>
          <w:tab w:leader="none" w:pos="2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We own approximately 834 acre-feet of permitted and certificated water rights, which we use to irrigate the golf course. We also own approximately 151.5 acre-feet of permitted and certificated water rights for commercial use. There are significant cost savings and conservation benefits associated with using water supplied pursuant to our water rights.</w:t>
      </w:r>
    </w:p>
    <w:p>
      <w:pPr>
        <w:ind w:left="260" w:right="20" w:hanging="252"/>
        <w:spacing w:after="0" w:line="255" w:lineRule="auto"/>
        <w:tabs>
          <w:tab w:leader="none" w:pos="2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During the first quarter of 2018, we acquired approximately 38 acres of land, of which approximately 16 acres are subject to a ground lease that expires in July 2097. As part of this acquisition, we acquired approximately 24 acre-feet of permitted and certificated water rights. We expect to use this land for future development.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56"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We are occasionally party to lawsuits. As with all litigation, no assurance can be provided as to the outcome of such matters and we note that litigation inherently involves significant costs. For information regarding the Company's legal proceedings see Item 8—"Financial Statements and Supplementary Data," Note 17, "Commitments and Contingencies—Litigation" in this Annual Report on Form 10-K, which is incorporated herein by reference, and Item 1A —"Risk Factors" in this Annual Report on Form 10-K.</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outstanding common stock trades on the Nasdaq Global Select Market under the symbol "WYNN."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approximately 145 holders of record of our common stock as of February 14, 2020.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summarizes the shares repurchased in satisfaction of tax withholding obligations on vested restricted stock during the quarter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w:t>
      </w:r>
    </w:p>
    <w:p>
      <w:pPr>
        <w:spacing w:after="0" w:line="28"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Number of Shares</w:t>
            </w:r>
          </w:p>
        </w:tc>
        <w:tc>
          <w:tcPr>
            <w:tcW w:w="140" w:type="dxa"/>
            <w:vAlign w:val="bottom"/>
          </w:tcPr>
          <w:p>
            <w:pPr>
              <w:spacing w:after="0"/>
              <w:rPr>
                <w:sz w:val="14"/>
                <w:szCs w:val="14"/>
                <w:color w:val="auto"/>
              </w:rPr>
            </w:pPr>
          </w:p>
        </w:tc>
        <w:tc>
          <w:tcPr>
            <w:tcW w:w="1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Weighted Average Price</w:t>
            </w:r>
          </w:p>
        </w:tc>
        <w:tc>
          <w:tcPr>
            <w:tcW w:w="1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Approximate Dollar Value</w:t>
            </w:r>
          </w:p>
        </w:tc>
        <w:tc>
          <w:tcPr>
            <w:tcW w:w="0" w:type="dxa"/>
            <w:vAlign w:val="bottom"/>
          </w:tcPr>
          <w:p>
            <w:pPr>
              <w:spacing w:after="0"/>
              <w:rPr>
                <w:sz w:val="1"/>
                <w:szCs w:val="1"/>
                <w:color w:val="auto"/>
              </w:rPr>
            </w:pPr>
          </w:p>
        </w:tc>
      </w:tr>
      <w:tr>
        <w:trPr>
          <w:trHeight w:val="149"/>
        </w:trPr>
        <w:tc>
          <w:tcPr>
            <w:tcW w:w="5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For the Month Ended</w:t>
            </w:r>
          </w:p>
        </w:tc>
        <w:tc>
          <w:tcPr>
            <w:tcW w:w="120" w:type="dxa"/>
            <w:vAlign w:val="bottom"/>
            <w:vMerge w:val="restart"/>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89"/>
              </w:rPr>
              <w:t>of Repurchased Shares</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8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Repurchased</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Paid Per Share</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October 31, 2019</w:t>
            </w:r>
          </w:p>
        </w:tc>
        <w:tc>
          <w:tcPr>
            <w:tcW w:w="17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6,777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117.05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43"/>
        </w:trPr>
        <w:tc>
          <w:tcPr>
            <w:tcW w:w="5280" w:type="dxa"/>
            <w:vAlign w:val="bottom"/>
            <w:gridSpan w:val="2"/>
          </w:tcPr>
          <w:p>
            <w:pPr>
              <w:ind w:left="120"/>
              <w:spacing w:after="0"/>
              <w:rPr>
                <w:sz w:val="20"/>
                <w:szCs w:val="20"/>
                <w:color w:val="auto"/>
              </w:rPr>
            </w:pPr>
            <w:r>
              <w:rPr>
                <w:rFonts w:ascii="Arial" w:cs="Arial" w:eastAsia="Arial" w:hAnsi="Arial"/>
                <w:sz w:val="18"/>
                <w:szCs w:val="18"/>
                <w:color w:val="auto"/>
              </w:rPr>
              <w:t>November 30, 2019</w:t>
            </w:r>
          </w:p>
        </w:tc>
        <w:tc>
          <w:tcPr>
            <w:tcW w:w="1780" w:type="dxa"/>
            <w:vAlign w:val="bottom"/>
          </w:tcPr>
          <w:p>
            <w:pPr>
              <w:jc w:val="right"/>
              <w:ind w:right="57"/>
              <w:spacing w:after="0"/>
              <w:rPr>
                <w:sz w:val="20"/>
                <w:szCs w:val="20"/>
                <w:color w:val="auto"/>
              </w:rPr>
            </w:pPr>
            <w:r>
              <w:rPr>
                <w:rFonts w:ascii="Arial" w:cs="Arial" w:eastAsia="Arial" w:hAnsi="Arial"/>
                <w:sz w:val="18"/>
                <w:szCs w:val="18"/>
                <w:color w:val="auto"/>
              </w:rPr>
              <w:t>718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ind w:right="57"/>
              <w:spacing w:after="0"/>
              <w:rPr>
                <w:sz w:val="20"/>
                <w:szCs w:val="20"/>
                <w:color w:val="auto"/>
              </w:rPr>
            </w:pPr>
            <w:r>
              <w:rPr>
                <w:rFonts w:ascii="Arial" w:cs="Arial" w:eastAsia="Arial" w:hAnsi="Arial"/>
                <w:sz w:val="18"/>
                <w:szCs w:val="18"/>
                <w:color w:val="auto"/>
              </w:rPr>
              <w:t>125.94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ind w:right="57"/>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December 31, 2019</w:t>
            </w:r>
          </w:p>
        </w:tc>
        <w:tc>
          <w:tcPr>
            <w:tcW w:w="17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2,863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138.71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7"/>
        </w:trPr>
        <w:tc>
          <w:tcPr>
            <w:tcW w:w="5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None of the foregoing repurchases that occurred during the three months ended December 31, 2019 were part of the Company's publicly announced repurchase program. As of December 31, 2019, we had $800.1 million in repurchase authority under the program.</w:t>
      </w:r>
    </w:p>
    <w:p>
      <w:pPr>
        <w:spacing w:after="0" w:line="197"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For more information on the Company's publicly announced repurchase program, see Item 8—"Financial Statements and Supplementary Data," Note 8, "Stockholders' Equity."</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6" w:name="page37"/>
    <w:bookmarkEnd w:id="3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56"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The graph below compares the five-year cumulative total return on our common stock to the cumulative total return of the Standard &amp; Poor's 500 Stock Index ("S&amp;P 500") and the Dow Jones US Gambling Index. The performance graph assumes that $100 was invested on December 31, 2014 in each of the Company's common stock, the S&amp;P 500 and the Dow Jones US Gambling Index, and that all dividends were reinvested. The stock price performance shown in this graph is neither necessarily indicative of, nor intended to suggest,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289560</wp:posOffset>
            </wp:positionV>
            <wp:extent cx="6062980" cy="50514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62980" cy="505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56"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The following financial information as of and for each of the five years ended December 31, 2019, 2018, 2017, 2016, and 2015 has been derived from our consolidated financial statements. This selected consolidated financial data should be read together with Item 7—"Management's Discussion and Analysis of Financial Condition and Results of Operations," our consolidated financial statements and related notes and other information contained in this Annual Report on Form 10-K. Operating results for the periods presented are not necessarily indicative of the results that may be expected for future years.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96"/>
        </w:trPr>
        <w:tc>
          <w:tcPr>
            <w:tcW w:w="37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2019 (4) (5)</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2018 (1) (4)</w:t>
            </w:r>
          </w:p>
        </w:tc>
        <w:tc>
          <w:tcPr>
            <w:tcW w:w="3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 (2) (4)</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2016 (3) (4)</w:t>
            </w:r>
          </w:p>
        </w:tc>
        <w:tc>
          <w:tcPr>
            <w:tcW w:w="4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 (4)</w:t>
            </w:r>
          </w:p>
        </w:tc>
      </w:tr>
      <w:tr>
        <w:trPr>
          <w:trHeight w:val="196"/>
        </w:trPr>
        <w:tc>
          <w:tcPr>
            <w:tcW w:w="3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300" w:type="dxa"/>
            <w:vAlign w:val="bottom"/>
            <w:gridSpan w:val="5"/>
          </w:tcPr>
          <w:p>
            <w:pPr>
              <w:jc w:val="center"/>
              <w:ind w:right="172"/>
              <w:spacing w:after="0"/>
              <w:rPr>
                <w:sz w:val="20"/>
                <w:szCs w:val="20"/>
                <w:color w:val="auto"/>
              </w:rPr>
            </w:pPr>
            <w:r>
              <w:rPr>
                <w:rFonts w:ascii="Arial" w:cs="Arial" w:eastAsia="Arial" w:hAnsi="Arial"/>
                <w:sz w:val="14"/>
                <w:szCs w:val="14"/>
                <w:b w:val="1"/>
                <w:bCs w:val="1"/>
                <w:color w:val="auto"/>
                <w:w w:val="90"/>
              </w:rPr>
              <w:t>(in thousands, except per share amounts)</w:t>
            </w:r>
          </w:p>
        </w:tc>
        <w:tc>
          <w:tcPr>
            <w:tcW w:w="4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56"/>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Statements of Income Data:</w:t>
            </w:r>
          </w:p>
        </w:tc>
        <w:tc>
          <w:tcPr>
            <w:tcW w:w="2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Operating revenues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6,611,099</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6,717,660</w:t>
            </w:r>
          </w:p>
        </w:tc>
        <w:tc>
          <w:tcPr>
            <w:tcW w:w="3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73"/>
              <w:spacing w:after="0"/>
              <w:rPr>
                <w:sz w:val="20"/>
                <w:szCs w:val="20"/>
                <w:color w:val="auto"/>
              </w:rPr>
            </w:pPr>
            <w:r>
              <w:rPr>
                <w:rFonts w:ascii="Arial" w:cs="Arial" w:eastAsia="Arial" w:hAnsi="Arial"/>
                <w:sz w:val="18"/>
                <w:szCs w:val="18"/>
                <w:color w:val="auto"/>
              </w:rPr>
              <w:t>6,070,160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4,345,797</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4,075,883</w:t>
            </w:r>
          </w:p>
        </w:tc>
      </w:tr>
      <w:tr>
        <w:trPr>
          <w:trHeight w:val="27"/>
        </w:trPr>
        <w:tc>
          <w:tcPr>
            <w:tcW w:w="3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Pre-opening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102,009</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53,490</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26,692</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154,717</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77,623</w:t>
            </w: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878,305</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735,544</w:t>
            </w:r>
          </w:p>
        </w:tc>
        <w:tc>
          <w:tcPr>
            <w:tcW w:w="360" w:type="dxa"/>
            <w:vAlign w:val="bottom"/>
          </w:tcPr>
          <w:p>
            <w:pPr>
              <w:spacing w:after="0"/>
              <w:rPr>
                <w:sz w:val="21"/>
                <w:szCs w:val="21"/>
                <w:color w:val="auto"/>
              </w:rPr>
            </w:pPr>
          </w:p>
        </w:tc>
        <w:tc>
          <w:tcPr>
            <w:tcW w:w="1360" w:type="dxa"/>
            <w:vAlign w:val="bottom"/>
          </w:tcPr>
          <w:p>
            <w:pPr>
              <w:jc w:val="right"/>
              <w:ind w:right="173"/>
              <w:spacing w:after="0"/>
              <w:rPr>
                <w:sz w:val="20"/>
                <w:szCs w:val="20"/>
                <w:color w:val="auto"/>
              </w:rPr>
            </w:pPr>
            <w:r>
              <w:rPr>
                <w:rFonts w:ascii="Arial" w:cs="Arial" w:eastAsia="Arial" w:hAnsi="Arial"/>
                <w:sz w:val="18"/>
                <w:szCs w:val="18"/>
                <w:color w:val="auto"/>
              </w:rPr>
              <w:t>1,055,565</w:t>
            </w:r>
          </w:p>
        </w:tc>
        <w:tc>
          <w:tcPr>
            <w:tcW w:w="24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521,662</w:t>
            </w:r>
          </w:p>
        </w:tc>
        <w:tc>
          <w:tcPr>
            <w:tcW w:w="40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658,814</w:t>
            </w:r>
          </w:p>
        </w:tc>
      </w:tr>
      <w:tr>
        <w:trPr>
          <w:trHeight w:val="27"/>
        </w:trPr>
        <w:tc>
          <w:tcPr>
            <w:tcW w:w="3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311,378</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803,084</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889,254</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302,469</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281,524</w:t>
            </w:r>
          </w:p>
        </w:tc>
      </w:tr>
      <w:tr>
        <w:trPr>
          <w:trHeight w:val="229"/>
        </w:trPr>
        <w:tc>
          <w:tcPr>
            <w:tcW w:w="3740" w:type="dxa"/>
            <w:vAlign w:val="bottom"/>
          </w:tcPr>
          <w:p>
            <w:pPr>
              <w:ind w:left="20"/>
              <w:spacing w:after="0"/>
              <w:rPr>
                <w:sz w:val="20"/>
                <w:szCs w:val="20"/>
                <w:color w:val="auto"/>
              </w:rPr>
            </w:pPr>
            <w:r>
              <w:rPr>
                <w:rFonts w:ascii="Arial" w:cs="Arial" w:eastAsia="Arial" w:hAnsi="Arial"/>
                <w:sz w:val="18"/>
                <w:szCs w:val="18"/>
                <w:color w:val="auto"/>
              </w:rPr>
              <w:t>Less: net income attributable to noncontrolling</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3740" w:type="dxa"/>
            <w:vAlign w:val="bottom"/>
          </w:tcPr>
          <w:p>
            <w:pPr>
              <w:ind w:left="20"/>
              <w:spacing w:after="0"/>
              <w:rPr>
                <w:sz w:val="20"/>
                <w:szCs w:val="20"/>
                <w:color w:val="auto"/>
              </w:rPr>
            </w:pPr>
            <w:r>
              <w:rPr>
                <w:rFonts w:ascii="Arial" w:cs="Arial" w:eastAsia="Arial" w:hAnsi="Arial"/>
                <w:sz w:val="18"/>
                <w:szCs w:val="18"/>
                <w:color w:val="auto"/>
              </w:rPr>
              <w:t>interests</w:t>
            </w:r>
          </w:p>
        </w:tc>
        <w:tc>
          <w:tcPr>
            <w:tcW w:w="24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(188,393)</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(230,654)</w:t>
            </w:r>
          </w:p>
        </w:tc>
        <w:tc>
          <w:tcPr>
            <w:tcW w:w="360" w:type="dxa"/>
            <w:vAlign w:val="bottom"/>
          </w:tcPr>
          <w:p>
            <w:pPr>
              <w:spacing w:after="0"/>
              <w:rPr>
                <w:sz w:val="20"/>
                <w:szCs w:val="20"/>
                <w:color w:val="auto"/>
              </w:rPr>
            </w:pPr>
          </w:p>
        </w:tc>
        <w:tc>
          <w:tcPr>
            <w:tcW w:w="1360" w:type="dxa"/>
            <w:vAlign w:val="bottom"/>
          </w:tcPr>
          <w:p>
            <w:pPr>
              <w:jc w:val="right"/>
              <w:ind w:right="133"/>
              <w:spacing w:after="0"/>
              <w:rPr>
                <w:sz w:val="20"/>
                <w:szCs w:val="20"/>
                <w:color w:val="auto"/>
              </w:rPr>
            </w:pPr>
            <w:r>
              <w:rPr>
                <w:rFonts w:ascii="Arial" w:cs="Arial" w:eastAsia="Arial" w:hAnsi="Arial"/>
                <w:sz w:val="18"/>
                <w:szCs w:val="18"/>
                <w:color w:val="auto"/>
              </w:rPr>
              <w:t>(142,073)</w:t>
            </w:r>
          </w:p>
        </w:tc>
        <w:tc>
          <w:tcPr>
            <w:tcW w:w="24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(60,494)</w:t>
            </w:r>
          </w:p>
        </w:tc>
        <w:tc>
          <w:tcPr>
            <w:tcW w:w="400" w:type="dxa"/>
            <w:vAlign w:val="bottom"/>
          </w:tcPr>
          <w:p>
            <w:pPr>
              <w:spacing w:after="0"/>
              <w:rPr>
                <w:sz w:val="20"/>
                <w:szCs w:val="20"/>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(86,234)</w:t>
            </w:r>
          </w:p>
        </w:tc>
      </w:tr>
      <w:tr>
        <w:trPr>
          <w:trHeight w:val="27"/>
        </w:trPr>
        <w:tc>
          <w:tcPr>
            <w:tcW w:w="3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Net income attributable to Wynn Resorts, Limited</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122,985</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572,430</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747,181</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241,975</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195,290</w:t>
            </w: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Basic income per share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1.15</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5.37</w:t>
            </w:r>
          </w:p>
        </w:tc>
        <w:tc>
          <w:tcPr>
            <w:tcW w:w="3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73"/>
              <w:spacing w:after="0"/>
              <w:rPr>
                <w:sz w:val="20"/>
                <w:szCs w:val="20"/>
                <w:color w:val="auto"/>
              </w:rPr>
            </w:pPr>
            <w:r>
              <w:rPr>
                <w:rFonts w:ascii="Arial" w:cs="Arial" w:eastAsia="Arial" w:hAnsi="Arial"/>
                <w:sz w:val="18"/>
                <w:szCs w:val="18"/>
                <w:color w:val="auto"/>
              </w:rPr>
              <w:t>7.32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2.39</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1.93</w:t>
            </w:r>
          </w:p>
        </w:tc>
      </w:tr>
      <w:tr>
        <w:trPr>
          <w:trHeight w:val="27"/>
        </w:trPr>
        <w:tc>
          <w:tcPr>
            <w:tcW w:w="3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income per share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1.15</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5.35</w:t>
            </w:r>
          </w:p>
        </w:tc>
        <w:tc>
          <w:tcPr>
            <w:tcW w:w="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7.28</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2.38</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1.92</w:t>
            </w:r>
          </w:p>
        </w:tc>
      </w:tr>
      <w:tr>
        <w:trPr>
          <w:trHeight w:val="575"/>
        </w:trPr>
        <w:tc>
          <w:tcPr>
            <w:tcW w:w="37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center"/>
              <w:ind w:right="233"/>
              <w:spacing w:after="0"/>
              <w:rPr>
                <w:sz w:val="20"/>
                <w:szCs w:val="20"/>
                <w:color w:val="auto"/>
              </w:rPr>
            </w:pPr>
            <w:r>
              <w:rPr>
                <w:rFonts w:ascii="Arial" w:cs="Arial" w:eastAsia="Arial" w:hAnsi="Arial"/>
                <w:sz w:val="14"/>
                <w:szCs w:val="14"/>
                <w:b w:val="1"/>
                <w:bCs w:val="1"/>
                <w:color w:val="auto"/>
                <w:w w:val="92"/>
              </w:rPr>
              <w:t>December 31,</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196"/>
        </w:trPr>
        <w:tc>
          <w:tcPr>
            <w:tcW w:w="37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2015</w:t>
            </w:r>
          </w:p>
        </w:tc>
      </w:tr>
      <w:tr>
        <w:trPr>
          <w:trHeight w:val="196"/>
        </w:trPr>
        <w:tc>
          <w:tcPr>
            <w:tcW w:w="3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300" w:type="dxa"/>
            <w:vAlign w:val="bottom"/>
            <w:gridSpan w:val="5"/>
          </w:tcPr>
          <w:p>
            <w:pPr>
              <w:jc w:val="center"/>
              <w:ind w:right="172"/>
              <w:spacing w:after="0"/>
              <w:rPr>
                <w:sz w:val="20"/>
                <w:szCs w:val="20"/>
                <w:color w:val="auto"/>
              </w:rPr>
            </w:pPr>
            <w:r>
              <w:rPr>
                <w:rFonts w:ascii="Arial" w:cs="Arial" w:eastAsia="Arial" w:hAnsi="Arial"/>
                <w:sz w:val="14"/>
                <w:szCs w:val="14"/>
                <w:b w:val="1"/>
                <w:bCs w:val="1"/>
                <w:color w:val="auto"/>
                <w:w w:val="90"/>
              </w:rPr>
              <w:t>(in thousands, except per share amounts)</w:t>
            </w:r>
          </w:p>
        </w:tc>
        <w:tc>
          <w:tcPr>
            <w:tcW w:w="4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56"/>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Balance Sheets Data:</w:t>
            </w:r>
          </w:p>
        </w:tc>
        <w:tc>
          <w:tcPr>
            <w:tcW w:w="2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2,351,904</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2,215,001</w:t>
            </w:r>
          </w:p>
        </w:tc>
        <w:tc>
          <w:tcPr>
            <w:tcW w:w="3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73"/>
              <w:spacing w:after="0"/>
              <w:rPr>
                <w:sz w:val="20"/>
                <w:szCs w:val="20"/>
                <w:color w:val="auto"/>
              </w:rPr>
            </w:pPr>
            <w:r>
              <w:rPr>
                <w:rFonts w:ascii="Arial" w:cs="Arial" w:eastAsia="Arial" w:hAnsi="Arial"/>
                <w:sz w:val="18"/>
                <w:szCs w:val="18"/>
                <w:color w:val="auto"/>
              </w:rPr>
              <w:t>2,804,474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2,453,122</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2,080,089</w:t>
            </w:r>
          </w:p>
        </w:tc>
      </w:tr>
      <w:tr>
        <w:trPr>
          <w:trHeight w:val="27"/>
        </w:trPr>
        <w:tc>
          <w:tcPr>
            <w:tcW w:w="3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477,333</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1,912,801</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1,016,207</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299,686</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3,217,117</w:t>
            </w: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13,871,281</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13,216,269</w:t>
            </w:r>
          </w:p>
        </w:tc>
        <w:tc>
          <w:tcPr>
            <w:tcW w:w="360" w:type="dxa"/>
            <w:vAlign w:val="bottom"/>
          </w:tcPr>
          <w:p>
            <w:pPr>
              <w:spacing w:after="0"/>
              <w:rPr>
                <w:sz w:val="21"/>
                <w:szCs w:val="21"/>
                <w:color w:val="auto"/>
              </w:rPr>
            </w:pPr>
          </w:p>
        </w:tc>
        <w:tc>
          <w:tcPr>
            <w:tcW w:w="1360" w:type="dxa"/>
            <w:vAlign w:val="bottom"/>
          </w:tcPr>
          <w:p>
            <w:pPr>
              <w:jc w:val="right"/>
              <w:ind w:right="173"/>
              <w:spacing w:after="0"/>
              <w:rPr>
                <w:sz w:val="20"/>
                <w:szCs w:val="20"/>
                <w:color w:val="auto"/>
              </w:rPr>
            </w:pPr>
            <w:r>
              <w:rPr>
                <w:rFonts w:ascii="Arial" w:cs="Arial" w:eastAsia="Arial" w:hAnsi="Arial"/>
                <w:sz w:val="18"/>
                <w:szCs w:val="18"/>
                <w:color w:val="auto"/>
              </w:rPr>
              <w:t>12,681,739</w:t>
            </w:r>
          </w:p>
        </w:tc>
        <w:tc>
          <w:tcPr>
            <w:tcW w:w="24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11,953,557</w:t>
            </w:r>
          </w:p>
        </w:tc>
        <w:tc>
          <w:tcPr>
            <w:tcW w:w="40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10,459,159</w:t>
            </w:r>
          </w:p>
        </w:tc>
      </w:tr>
      <w:tr>
        <w:trPr>
          <w:trHeight w:val="27"/>
        </w:trPr>
        <w:tc>
          <w:tcPr>
            <w:tcW w:w="3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Total long-term obligations </w:t>
            </w:r>
            <w:r>
              <w:rPr>
                <w:rFonts w:ascii="Arial" w:cs="Arial" w:eastAsia="Arial" w:hAnsi="Arial"/>
                <w:sz w:val="14"/>
                <w:szCs w:val="14"/>
                <w:color w:val="auto"/>
              </w:rPr>
              <w:t>(6)</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10,346,925</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9,519,417</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9,673,099</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10,279,375</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9,327,143</w:t>
            </w: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1,541,472</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1,814,789</w:t>
            </w:r>
          </w:p>
        </w:tc>
        <w:tc>
          <w:tcPr>
            <w:tcW w:w="360" w:type="dxa"/>
            <w:vAlign w:val="bottom"/>
          </w:tcPr>
          <w:p>
            <w:pPr>
              <w:spacing w:after="0"/>
              <w:rPr>
                <w:sz w:val="21"/>
                <w:szCs w:val="21"/>
                <w:color w:val="auto"/>
              </w:rPr>
            </w:pPr>
          </w:p>
        </w:tc>
        <w:tc>
          <w:tcPr>
            <w:tcW w:w="1360" w:type="dxa"/>
            <w:vAlign w:val="bottom"/>
          </w:tcPr>
          <w:p>
            <w:pPr>
              <w:jc w:val="right"/>
              <w:ind w:right="173"/>
              <w:spacing w:after="0"/>
              <w:rPr>
                <w:sz w:val="20"/>
                <w:szCs w:val="20"/>
                <w:color w:val="auto"/>
              </w:rPr>
            </w:pPr>
            <w:r>
              <w:rPr>
                <w:rFonts w:ascii="Arial" w:cs="Arial" w:eastAsia="Arial" w:hAnsi="Arial"/>
                <w:sz w:val="18"/>
                <w:szCs w:val="18"/>
                <w:color w:val="auto"/>
              </w:rPr>
              <w:t>1,078,350</w:t>
            </w:r>
          </w:p>
        </w:tc>
        <w:tc>
          <w:tcPr>
            <w:tcW w:w="24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257,881</w:t>
            </w:r>
          </w:p>
        </w:tc>
        <w:tc>
          <w:tcPr>
            <w:tcW w:w="40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21,845</w:t>
            </w:r>
          </w:p>
        </w:tc>
      </w:tr>
      <w:tr>
        <w:trPr>
          <w:trHeight w:val="27"/>
        </w:trPr>
        <w:tc>
          <w:tcPr>
            <w:tcW w:w="3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dividends declared per common share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3.75</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2.75</w:t>
            </w:r>
          </w:p>
        </w:tc>
        <w:tc>
          <w:tcPr>
            <w:tcW w:w="3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2.00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2.00</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3.00</w:t>
            </w:r>
          </w:p>
        </w:tc>
      </w:tr>
      <w:tr>
        <w:trPr>
          <w:trHeight w:val="27"/>
        </w:trPr>
        <w:tc>
          <w:tcPr>
            <w:tcW w:w="37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332" w:lineRule="exact"/>
        <w:rPr>
          <w:sz w:val="20"/>
          <w:szCs w:val="20"/>
          <w:color w:val="auto"/>
        </w:rPr>
      </w:pPr>
    </w:p>
    <w:p>
      <w:pPr>
        <w:jc w:val="both"/>
        <w:ind w:left="660" w:hanging="328"/>
        <w:spacing w:after="0" w:line="246" w:lineRule="auto"/>
        <w:tabs>
          <w:tab w:leader="none" w:pos="652" w:val="left"/>
        </w:tabs>
        <w:numPr>
          <w:ilvl w:val="0"/>
          <w:numId w:val="24"/>
        </w:numPr>
        <w:rPr>
          <w:rFonts w:ascii="Arial" w:cs="Arial" w:eastAsia="Arial" w:hAnsi="Arial"/>
          <w:sz w:val="14"/>
          <w:szCs w:val="14"/>
          <w:color w:val="auto"/>
        </w:rPr>
      </w:pPr>
      <w:r>
        <w:rPr>
          <w:rFonts w:ascii="Arial" w:cs="Arial" w:eastAsia="Arial" w:hAnsi="Arial"/>
          <w:sz w:val="14"/>
          <w:szCs w:val="14"/>
          <w:color w:val="auto"/>
        </w:rPr>
        <w:t>During the fourth quarter of 2018, we recorded a tax benefit of $390.9 million related to clarified U.S. tax reform guidance issued by the Internal Revenue Service in the fourth quarter of 2018, which was incremental to the provisional tax benefit recorded during the fourth quarter of 2017. See Item 8—"Financial Statements and Supplementary Data," Note 13, "Income Taxes." Additionally, the Company incurred a litigation settlement expense totaling $463.6 million in 2018. See Item 8—"Financial Statements and Supplementary Data," Note 7, "Long-Term Debt."</w:t>
      </w:r>
    </w:p>
    <w:p>
      <w:pPr>
        <w:ind w:left="660" w:right="20" w:hanging="328"/>
        <w:spacing w:after="0" w:line="241" w:lineRule="auto"/>
        <w:tabs>
          <w:tab w:leader="none" w:pos="652" w:val="left"/>
        </w:tabs>
        <w:numPr>
          <w:ilvl w:val="0"/>
          <w:numId w:val="24"/>
        </w:numPr>
        <w:rPr>
          <w:rFonts w:ascii="Arial" w:cs="Arial" w:eastAsia="Arial" w:hAnsi="Arial"/>
          <w:sz w:val="14"/>
          <w:szCs w:val="14"/>
          <w:color w:val="auto"/>
        </w:rPr>
      </w:pPr>
      <w:r>
        <w:rPr>
          <w:rFonts w:ascii="Arial" w:cs="Arial" w:eastAsia="Arial" w:hAnsi="Arial"/>
          <w:sz w:val="14"/>
          <w:szCs w:val="14"/>
          <w:color w:val="auto"/>
        </w:rPr>
        <w:t>During the fourth quarter of 2017, we recorded a provisional income tax benefit of $339.9 million related to the enactment of U.S. tax reform. See Item 8—"Financial Statements and Supplementary Data," Note 13, "Income Taxes."</w:t>
      </w:r>
    </w:p>
    <w:p>
      <w:pPr>
        <w:ind w:left="640" w:hanging="308"/>
        <w:spacing w:after="0"/>
        <w:tabs>
          <w:tab w:leader="none" w:pos="6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Wynn Palace opened on August 22, 2016.</w:t>
      </w:r>
    </w:p>
    <w:p>
      <w:pPr>
        <w:spacing w:after="0" w:line="1" w:lineRule="exact"/>
        <w:rPr>
          <w:rFonts w:ascii="Arial" w:cs="Arial" w:eastAsia="Arial" w:hAnsi="Arial"/>
          <w:sz w:val="14"/>
          <w:szCs w:val="14"/>
          <w:color w:val="auto"/>
        </w:rPr>
      </w:pPr>
    </w:p>
    <w:p>
      <w:pPr>
        <w:jc w:val="both"/>
        <w:ind w:left="660" w:hanging="328"/>
        <w:spacing w:after="0" w:line="241" w:lineRule="auto"/>
        <w:tabs>
          <w:tab w:leader="none" w:pos="652" w:val="left"/>
        </w:tabs>
        <w:numPr>
          <w:ilvl w:val="0"/>
          <w:numId w:val="24"/>
        </w:numPr>
        <w:rPr>
          <w:rFonts w:ascii="Arial" w:cs="Arial" w:eastAsia="Arial" w:hAnsi="Arial"/>
          <w:sz w:val="14"/>
          <w:szCs w:val="14"/>
          <w:color w:val="auto"/>
        </w:rPr>
      </w:pPr>
      <w:r>
        <w:rPr>
          <w:rFonts w:ascii="Arial" w:cs="Arial" w:eastAsia="Arial" w:hAnsi="Arial"/>
          <w:sz w:val="14"/>
          <w:szCs w:val="14"/>
          <w:color w:val="auto"/>
        </w:rPr>
        <w:t xml:space="preserve">The results presented reflect the Company's adoption of ASU 2014-09, </w:t>
      </w:r>
      <w:r>
        <w:rPr>
          <w:rFonts w:ascii="Arial" w:cs="Arial" w:eastAsia="Arial" w:hAnsi="Arial"/>
          <w:sz w:val="14"/>
          <w:szCs w:val="14"/>
          <w:i w:val="1"/>
          <w:iCs w:val="1"/>
          <w:color w:val="auto"/>
        </w:rPr>
        <w:t>Revenue from Contracts with Customers (Topic 606)</w:t>
      </w:r>
      <w:r>
        <w:rPr>
          <w:rFonts w:ascii="Arial" w:cs="Arial" w:eastAsia="Arial" w:hAnsi="Arial"/>
          <w:sz w:val="14"/>
          <w:szCs w:val="14"/>
          <w:color w:val="auto"/>
        </w:rPr>
        <w:t xml:space="preserve"> ("ASC 606"), effective January 1, 2018. 2017 and 2016 operating revenues have been adjusted to reflect the full retrospective adoption of ASC 606, with no impact to operating income or net income. 2015 operating revenues were not recast for the adoption of ASC 606 and, as a result, are not comparable to 2016, 2017, 2018 and 2019 operating revenues. See Item 8—"Financial Statements and Supplementary Data," Note 2, "Basis of Presentation and Significant Accounting Policies."</w:t>
      </w:r>
    </w:p>
    <w:p>
      <w:pPr>
        <w:spacing w:after="0" w:line="1" w:lineRule="exact"/>
        <w:rPr>
          <w:rFonts w:ascii="Arial" w:cs="Arial" w:eastAsia="Arial" w:hAnsi="Arial"/>
          <w:sz w:val="14"/>
          <w:szCs w:val="14"/>
          <w:color w:val="auto"/>
        </w:rPr>
      </w:pPr>
    </w:p>
    <w:p>
      <w:pPr>
        <w:ind w:left="640" w:hanging="308"/>
        <w:spacing w:after="0"/>
        <w:tabs>
          <w:tab w:leader="none" w:pos="6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Encore Boston Harbor opened on June 23, 2019.</w:t>
      </w:r>
    </w:p>
    <w:p>
      <w:pPr>
        <w:spacing w:after="0" w:line="1" w:lineRule="exact"/>
        <w:rPr>
          <w:rFonts w:ascii="Arial" w:cs="Arial" w:eastAsia="Arial" w:hAnsi="Arial"/>
          <w:sz w:val="14"/>
          <w:szCs w:val="14"/>
          <w:color w:val="auto"/>
        </w:rPr>
      </w:pPr>
    </w:p>
    <w:p>
      <w:pPr>
        <w:ind w:left="660" w:hanging="328"/>
        <w:spacing w:after="0" w:line="255" w:lineRule="auto"/>
        <w:tabs>
          <w:tab w:leader="none" w:pos="652"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Includes long-term debt, other long-term liabilities, and deferred income tax liabilities, net. In addition, December 31, 2019 includes long-term operating lease liabilities recorded in connection with the adoption of ASC 842 and, as a result, is not comparable to December 31, 2018, 2017, 2016, and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56"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The following discussion should be read in conjunction with, and is qualified in its entirety by, the consolidated financial statements and the notes thereto included elsewhere in this Annual Report on Form 10-K.</w:t>
      </w:r>
    </w:p>
    <w:p>
      <w:pPr>
        <w:spacing w:after="0" w:line="197"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Discussion of 2017 items and year-to-year comparisons between 2018 and 2017 that are not included in this Form 10-K can be found in "Management’s Discussion and Analysis of Financial Condition and Results of Operations" in Part II, Item 7 of the Company's Annual Report on Form 10-K for the fiscal year ended December 31, 2018.</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are a designer, developer, and operator of integrated resorts featuring luxury hotel rooms, high-end retail space, an array of dining and entertainment options, meeting and convention facilities, and gaming, all supported by an unparalleled focus on our guests, our people, and our community. Through our approximately 72% ownership of WML, we operate two integrated resorts in the Macau Special Administrative Region of the People's Republic of China ("Macau"), Wynn Palace and Wynn Macau (collectively, our "Macau Operations"). In Las Vegas, Nevada, we operate and, with the exception of certain retail space, own 100% of Wynn Las Vegas, which we also refer to as our Las Vegas Operations. On June 23, 2019, we opened Encore Boston Harbor, an integrated resort in Everett, Massachusetts.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Developments</w:t>
      </w:r>
    </w:p>
    <w:p>
      <w:pPr>
        <w:spacing w:after="0" w:line="252"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In January 2020, an outbreak of a new strain of coronavirus, COVID-19, was identified in Wuhan, China. Currently, no fully effective vaccines have been developed and there can be no assurance that an effective vaccine can be discovered in time to protect against a potential pandemic.</w:t>
      </w:r>
    </w:p>
    <w:p>
      <w:pPr>
        <w:spacing w:after="0" w:line="174"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 response, on February 4, 2020, the Macau government announced the closure of all casino operations in Macau, including those at Wynn Palace and Wynn Macau, for a period of 15 days. On February 20, 2020, our casino operations at Wynn Palace and Wynn Macau reopened on a reduced basis, and are expected to fully reopen by March 20, 2020 (the deadline set by the Macau government for Macau casinos to fully reopen). Since reopening, all casinos in Macau are subject to a number of government procedures which address the health and safety of staff and patrons, including limitations on the spacing of open tables and slot machines to ensure adequate distance between people, stopping patrons from congregating together, limiting the number of players and spectators at a table to three to four, temperature checks, mask protection, and health declarations.</w:t>
      </w:r>
    </w:p>
    <w:p>
      <w:pPr>
        <w:spacing w:after="0" w:line="20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Visitation to Macau has fallen precipitously since the outbreak of Coronavirus, driven by the Chinese government’s suspension of its visa and group tour schemes that allow mainland Chinese residents to travel to Macau, quarantines in certain cities in mainland China, and the suspension by the Hong Kong government of ferry service from Hong Kong to Macau until further notice.</w:t>
      </w:r>
    </w:p>
    <w:p>
      <w:pPr>
        <w:spacing w:after="0" w:line="20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US government has put in place restrictions on travel to the US from mainland China, and could expand the restrictions. A significant portion of our US business relies on the willingness and ability of premium international customers to travel to the US, including from mainland China. As such, our Las Vegas Operations and operations at Encore Boston Harbor may also be adversely impacted.</w:t>
      </w:r>
    </w:p>
    <w:p>
      <w:pPr>
        <w:spacing w:after="0" w:line="20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Coronavirus outbreak has had and will have an adverse effect on our results of operations. Given the uncertainty around the extent and timing of the potential future spread or mitigation of the Coronavirus and around the imposition or relaxation of protective measures, we cannot reasonably estimate the impact to our future results of operations, cash flows, or financial condition.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Measures</w:t>
      </w:r>
    </w:p>
    <w:p>
      <w:pPr>
        <w:spacing w:after="0" w:line="256" w:lineRule="exact"/>
        <w:rPr>
          <w:sz w:val="20"/>
          <w:szCs w:val="20"/>
          <w:color w:val="auto"/>
        </w:rPr>
      </w:pPr>
    </w:p>
    <w:p>
      <w:pPr>
        <w:jc w:val="both"/>
        <w:ind w:firstLine="405"/>
        <w:spacing w:after="0" w:line="243" w:lineRule="auto"/>
        <w:rPr>
          <w:sz w:val="20"/>
          <w:szCs w:val="20"/>
          <w:color w:val="auto"/>
        </w:rPr>
      </w:pPr>
      <w:r>
        <w:rPr>
          <w:rFonts w:ascii="Arial" w:cs="Arial" w:eastAsia="Arial" w:hAnsi="Arial"/>
          <w:sz w:val="18"/>
          <w:szCs w:val="18"/>
          <w:color w:val="auto"/>
        </w:rPr>
        <w:t>Certain key operating measures specific to the gaming industry are included in our discussion of our operational performance for the periods for which the Consolidated Statements of Income are presented. These key operating measures are presented as supplemental disclosures because management and/or certain investors use these measures to better understand period-over-period fluctuations in our casino and hotel operating revenues. These key operating measures are defined below:</w:t>
      </w:r>
    </w:p>
    <w:p>
      <w:pPr>
        <w:spacing w:after="0" w:line="215" w:lineRule="exact"/>
        <w:rPr>
          <w:sz w:val="20"/>
          <w:szCs w:val="20"/>
          <w:color w:val="auto"/>
        </w:rPr>
      </w:pPr>
    </w:p>
    <w:p>
      <w:pPr>
        <w:ind w:left="1300" w:hanging="644"/>
        <w:spacing w:after="0" w:line="277" w:lineRule="auto"/>
        <w:tabs>
          <w:tab w:leader="none" w:pos="12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Table drop in mass market for our Macau Operations is the amount of cash that is deposited in a gaming table's drop box plus cash chips purchased at the casino cage.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300" w:hanging="644"/>
        <w:spacing w:after="0"/>
        <w:tabs>
          <w:tab w:leader="none" w:pos="13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Table drop for our Las Vegas Operations is the amount of cash and net markers issued that are deposited in a gaming table's drop box.</w:t>
      </w:r>
    </w:p>
    <w:p>
      <w:pPr>
        <w:spacing w:after="0" w:line="46" w:lineRule="exact"/>
        <w:rPr>
          <w:rFonts w:ascii="Arial" w:cs="Arial" w:eastAsia="Arial" w:hAnsi="Arial"/>
          <w:sz w:val="16"/>
          <w:szCs w:val="16"/>
          <w:color w:val="auto"/>
        </w:rPr>
      </w:pPr>
    </w:p>
    <w:p>
      <w:pPr>
        <w:ind w:left="1300" w:hanging="644"/>
        <w:spacing w:after="0"/>
        <w:tabs>
          <w:tab w:leader="none" w:pos="13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Table drop for Encore Boston Harbor is the amount of cash and gross markers issued that are deposited in a gaming table's drop box.</w:t>
      </w:r>
    </w:p>
    <w:p>
      <w:pPr>
        <w:spacing w:after="0" w:line="20" w:lineRule="exact"/>
        <w:rPr>
          <w:rFonts w:ascii="Arial" w:cs="Arial" w:eastAsia="Arial" w:hAnsi="Arial"/>
          <w:sz w:val="17"/>
          <w:szCs w:val="17"/>
          <w:color w:val="auto"/>
        </w:rPr>
      </w:pPr>
    </w:p>
    <w:p>
      <w:pPr>
        <w:ind w:left="1300" w:hanging="644"/>
        <w:spacing w:after="0" w:line="250" w:lineRule="auto"/>
        <w:tabs>
          <w:tab w:leader="none" w:pos="12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Rolling chips are non-negotiable identifiable chips that are used to track turnover for purposes of calculating incentives within our Macau Operations' VIP program.</w:t>
      </w: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Turnover is the sum of all losing rolling chip wagers within our Macau Operations' VIP program.</w:t>
      </w:r>
    </w:p>
    <w:p>
      <w:pPr>
        <w:spacing w:after="0" w:line="9" w:lineRule="exact"/>
        <w:rPr>
          <w:rFonts w:ascii="Arial" w:cs="Arial" w:eastAsia="Arial" w:hAnsi="Arial"/>
          <w:sz w:val="18"/>
          <w:szCs w:val="18"/>
          <w:color w:val="auto"/>
        </w:rPr>
      </w:pPr>
    </w:p>
    <w:p>
      <w:pPr>
        <w:jc w:val="both"/>
        <w:ind w:left="1300" w:hanging="644"/>
        <w:spacing w:after="0" w:line="250" w:lineRule="auto"/>
        <w:tabs>
          <w:tab w:leader="none" w:pos="12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Table games win is the amount of table drop or turnover that is retained and recorded as casino revenues. Table games win is before discounts, commissions and the allocation of casino revenues to rooms, food and beverage and other revenues for services provided to casino customers on a complimentary basis. Table games win does not include poker rake.</w:t>
      </w:r>
    </w:p>
    <w:p>
      <w:pPr>
        <w:spacing w:after="0" w:line="1" w:lineRule="exact"/>
        <w:rPr>
          <w:rFonts w:ascii="Arial" w:cs="Arial" w:eastAsia="Arial" w:hAnsi="Arial"/>
          <w:sz w:val="18"/>
          <w:szCs w:val="18"/>
          <w:color w:val="auto"/>
        </w:rPr>
      </w:pPr>
    </w:p>
    <w:p>
      <w:pPr>
        <w:jc w:val="both"/>
        <w:ind w:left="1300" w:hanging="644"/>
        <w:spacing w:after="0" w:line="281" w:lineRule="auto"/>
        <w:tabs>
          <w:tab w:leader="none" w:pos="1295" w:val="left"/>
        </w:tabs>
        <w:numPr>
          <w:ilvl w:val="0"/>
          <w:numId w:val="26"/>
        </w:numPr>
        <w:rPr>
          <w:rFonts w:ascii="Arial" w:cs="Arial" w:eastAsia="Arial" w:hAnsi="Arial"/>
          <w:sz w:val="16"/>
          <w:szCs w:val="16"/>
          <w:color w:val="auto"/>
        </w:rPr>
      </w:pPr>
      <w:r>
        <w:rPr>
          <w:rFonts w:ascii="Arial" w:cs="Arial" w:eastAsia="Arial" w:hAnsi="Arial"/>
          <w:sz w:val="16"/>
          <w:szCs w:val="16"/>
          <w:color w:val="auto"/>
        </w:rPr>
        <w:t>Slot machine win is the amount of handle (representing the total amount wagered) that is retained by us and is recorded as casino revenues. Slot machine win is after adjustment for progressive accruals and free play, but before discounts and the allocation of casino revenues to rooms, food and beverage and other revenues for services provided to casino customers on a complimentary basis.</w:t>
      </w:r>
    </w:p>
    <w:p>
      <w:pPr>
        <w:spacing w:after="0" w:line="2" w:lineRule="exact"/>
        <w:rPr>
          <w:rFonts w:ascii="Arial" w:cs="Arial" w:eastAsia="Arial" w:hAnsi="Arial"/>
          <w:sz w:val="16"/>
          <w:szCs w:val="16"/>
          <w:color w:val="auto"/>
        </w:rPr>
      </w:pPr>
    </w:p>
    <w:p>
      <w:pPr>
        <w:jc w:val="both"/>
        <w:ind w:left="1300" w:hanging="644"/>
        <w:spacing w:after="0" w:line="281" w:lineRule="auto"/>
        <w:tabs>
          <w:tab w:leader="none" w:pos="1295" w:val="left"/>
        </w:tabs>
        <w:numPr>
          <w:ilvl w:val="0"/>
          <w:numId w:val="26"/>
        </w:numPr>
        <w:rPr>
          <w:rFonts w:ascii="Arial" w:cs="Arial" w:eastAsia="Arial" w:hAnsi="Arial"/>
          <w:sz w:val="16"/>
          <w:szCs w:val="16"/>
          <w:color w:val="auto"/>
        </w:rPr>
      </w:pPr>
      <w:r>
        <w:rPr>
          <w:rFonts w:ascii="Arial" w:cs="Arial" w:eastAsia="Arial" w:hAnsi="Arial"/>
          <w:sz w:val="16"/>
          <w:szCs w:val="16"/>
          <w:color w:val="auto"/>
        </w:rPr>
        <w:t>Poker rake is the portion of cash wagered by patrons in our poker rooms that is retained by the casino as a service fee, after adjustment for progressive accruals, but before the allocation of casino revenues to rooms, food and beverage and other revenues for services provided to casino customers on a complimentary basis. Poker tables are not included in our measure of average number of table games.</w:t>
      </w:r>
    </w:p>
    <w:p>
      <w:pPr>
        <w:spacing w:after="0" w:line="2" w:lineRule="exact"/>
        <w:rPr>
          <w:rFonts w:ascii="Arial" w:cs="Arial" w:eastAsia="Arial" w:hAnsi="Arial"/>
          <w:sz w:val="16"/>
          <w:szCs w:val="16"/>
          <w:color w:val="auto"/>
        </w:rPr>
      </w:pPr>
    </w:p>
    <w:p>
      <w:pPr>
        <w:ind w:left="1300" w:right="20" w:hanging="644"/>
        <w:spacing w:after="0" w:line="250" w:lineRule="auto"/>
        <w:tabs>
          <w:tab w:leader="none" w:pos="12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revenues, including complimentaries (less service charges, if any), by total rooms occupied.</w:t>
      </w:r>
    </w:p>
    <w:p>
      <w:pPr>
        <w:ind w:left="1300" w:hanging="644"/>
        <w:spacing w:after="0" w:line="250" w:lineRule="auto"/>
        <w:tabs>
          <w:tab w:leader="none" w:pos="12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Revenue per available room ("REVPAR") is calculated by dividing total room revenues, including complimentaries (less service charges, if any), by total rooms available.</w:t>
      </w: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Occupancy is calculated by dividing total occupied rooms, including complimentary rooms, by the total rooms available.</w:t>
      </w:r>
    </w:p>
    <w:p>
      <w:pPr>
        <w:spacing w:after="0" w:line="23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Below is a discussion of the methodologies used to calculate win percentages at our resorts.</w:t>
      </w:r>
    </w:p>
    <w:p>
      <w:pPr>
        <w:spacing w:after="0" w:line="25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our VIP operations in Macau, customers primarily purchase rolling chips from the casino cage and can only use them to make wagers. Winning wagers are paid in cash chips. The loss of the rolling chips in the VIP operations is recorded as turnover and provides a base for calculating VIP win percentage. It is customary in Macau to measure VIP play using this rolling chip method. We expect our win as a percentage of turnover from these operations to be within the range of 2.7% to 3.0%.</w:t>
      </w:r>
    </w:p>
    <w:p>
      <w:pPr>
        <w:spacing w:after="0" w:line="214"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In our mass market operations in Macau, customers may purchase cash chips at either the gaming tables or at the casino cage. The measurements from our VIP and mass market operations are not comparable as the measurement method used in our mass market operations tracks the initial purchase of chips at the table and at the casino cage, while the measurement method from our VIP operations tracks the sum of all losing wagers. Accordingly, the base measurement from the VIP operations is much larger than the base measurement from the mass market operations. As a result, the expected win percentage with the same amount of gaming win is lower in the VIP operations when compared to the mass market operations.</w:t>
      </w:r>
    </w:p>
    <w:p>
      <w:pPr>
        <w:spacing w:after="0" w:line="18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Las Vegas, customers purchase chips at the gaming tables in exchange for cash and markers. Customers may then redeem markers at the gaming tables or at the casino cage. The cash and markers, net of redemptions, used to purchase chips are deposited in the gaming table's drop box. This is the base of measurement that we use for calculating win percentage. Each type of table game has its own theoretical win percentage. Our expected table games win percentage is 22% to 26%.</w:t>
      </w:r>
    </w:p>
    <w:p>
      <w:pPr>
        <w:spacing w:after="0" w:line="214"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At Encore Boston Harbor, customers purchase chips at the gaming tables in exchange for cash and markers. Customers may then redeem markers only at the casino cage. The cash and gross markers used to purchase chips are deposited in the gaming table's drop box. This is the base of measurement that we use for calculating win percentage. Each type of table game has its own theoretical win percentage. Our expected table games win percentage is 16% to 20%.</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annual results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summarizes our financial results for the periods presented (in thousands, except per share data):</w:t>
      </w:r>
    </w:p>
    <w:p>
      <w:pPr>
        <w:spacing w:after="0" w:line="298" w:lineRule="exact"/>
        <w:rPr>
          <w:sz w:val="20"/>
          <w:szCs w:val="20"/>
          <w:color w:val="auto"/>
        </w:rPr>
      </w:pPr>
    </w:p>
    <w:tbl>
      <w:tblPr>
        <w:tblLayout w:type="fixed"/>
        <w:tblInd w:w="14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5"/>
          </w:tcPr>
          <w:p>
            <w:pPr>
              <w:ind w:left="320"/>
              <w:spacing w:after="0"/>
              <w:rPr>
                <w:sz w:val="20"/>
                <w:szCs w:val="20"/>
                <w:color w:val="auto"/>
              </w:rPr>
            </w:pPr>
            <w:r>
              <w:rPr>
                <w:rFonts w:ascii="Arial" w:cs="Arial" w:eastAsia="Arial" w:hAnsi="Arial"/>
                <w:sz w:val="14"/>
                <w:szCs w:val="14"/>
                <w:b w:val="1"/>
                <w:bCs w:val="1"/>
                <w:color w:val="auto"/>
              </w:rPr>
              <w:t>Years Ended December 31,</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5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vMerge w:val="restart"/>
          </w:tcPr>
          <w:p>
            <w:pPr>
              <w:jc w:val="right"/>
              <w:ind w:right="49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vMerge w:val="restart"/>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center"/>
              <w:ind w:right="320"/>
              <w:spacing w:after="0" w:line="139" w:lineRule="exact"/>
              <w:rPr>
                <w:sz w:val="20"/>
                <w:szCs w:val="20"/>
                <w:color w:val="auto"/>
              </w:rPr>
            </w:pPr>
            <w:r>
              <w:rPr>
                <w:rFonts w:ascii="Arial" w:cs="Arial" w:eastAsia="Arial" w:hAnsi="Arial"/>
                <w:sz w:val="14"/>
                <w:szCs w:val="14"/>
                <w:b w:val="1"/>
                <w:bCs w:val="1"/>
                <w:color w:val="auto"/>
                <w:w w:val="92"/>
              </w:rPr>
              <w:t>Increase/</w:t>
            </w:r>
          </w:p>
        </w:tc>
        <w:tc>
          <w:tcPr>
            <w:tcW w:w="120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92"/>
        </w:trPr>
        <w:tc>
          <w:tcPr>
            <w:tcW w:w="5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(Decrease)</w:t>
            </w: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34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6,611,099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6,717,660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(106,561)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Arial" w:cs="Arial" w:eastAsia="Arial" w:hAnsi="Arial"/>
                <w:sz w:val="18"/>
                <w:szCs w:val="18"/>
                <w:color w:val="auto"/>
              </w:rPr>
              <w:t>Net income attributable to Wynn Resorts, Limited</w:t>
            </w:r>
          </w:p>
        </w:tc>
        <w:tc>
          <w:tcPr>
            <w:tcW w:w="340" w:type="dxa"/>
            <w:vAlign w:val="bottom"/>
          </w:tcPr>
          <w:p>
            <w:pPr>
              <w:spacing w:after="0"/>
              <w:rPr>
                <w:sz w:val="21"/>
                <w:szCs w:val="21"/>
                <w:color w:val="auto"/>
              </w:rPr>
            </w:pPr>
          </w:p>
        </w:tc>
        <w:tc>
          <w:tcPr>
            <w:tcW w:w="1100" w:type="dxa"/>
            <w:vAlign w:val="bottom"/>
          </w:tcPr>
          <w:p>
            <w:pPr>
              <w:jc w:val="right"/>
              <w:ind w:right="76"/>
              <w:spacing w:after="0"/>
              <w:rPr>
                <w:sz w:val="20"/>
                <w:szCs w:val="20"/>
                <w:color w:val="auto"/>
              </w:rPr>
            </w:pPr>
            <w:r>
              <w:rPr>
                <w:rFonts w:ascii="Arial" w:cs="Arial" w:eastAsia="Arial" w:hAnsi="Arial"/>
                <w:sz w:val="18"/>
                <w:szCs w:val="18"/>
                <w:color w:val="auto"/>
              </w:rPr>
              <w:t>122,985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572,430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(449,445)</w:t>
            </w:r>
          </w:p>
        </w:tc>
        <w:tc>
          <w:tcPr>
            <w:tcW w:w="1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net income per share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Arial" w:cs="Arial" w:eastAsia="Arial" w:hAnsi="Arial"/>
                <w:sz w:val="18"/>
                <w:szCs w:val="18"/>
                <w:color w:val="auto"/>
              </w:rPr>
              <w:t xml:space="preserve">Adjusted Property EBITDA </w:t>
            </w:r>
            <w:r>
              <w:rPr>
                <w:rFonts w:ascii="Arial" w:cs="Arial" w:eastAsia="Arial" w:hAnsi="Arial"/>
                <w:sz w:val="14"/>
                <w:szCs w:val="14"/>
                <w:color w:val="auto"/>
              </w:rPr>
              <w:t>(1)</w:t>
            </w:r>
          </w:p>
        </w:tc>
        <w:tc>
          <w:tcPr>
            <w:tcW w:w="340" w:type="dxa"/>
            <w:vAlign w:val="bottom"/>
          </w:tcPr>
          <w:p>
            <w:pPr>
              <w:spacing w:after="0"/>
              <w:rPr>
                <w:sz w:val="21"/>
                <w:szCs w:val="21"/>
                <w:color w:val="auto"/>
              </w:rPr>
            </w:pPr>
          </w:p>
        </w:tc>
        <w:tc>
          <w:tcPr>
            <w:tcW w:w="1100" w:type="dxa"/>
            <w:vAlign w:val="bottom"/>
          </w:tcPr>
          <w:p>
            <w:pPr>
              <w:jc w:val="right"/>
              <w:ind w:right="76"/>
              <w:spacing w:after="0"/>
              <w:rPr>
                <w:sz w:val="20"/>
                <w:szCs w:val="20"/>
                <w:color w:val="auto"/>
              </w:rPr>
            </w:pPr>
            <w:r>
              <w:rPr>
                <w:rFonts w:ascii="Arial" w:cs="Arial" w:eastAsia="Arial" w:hAnsi="Arial"/>
                <w:sz w:val="18"/>
                <w:szCs w:val="18"/>
                <w:color w:val="auto"/>
              </w:rPr>
              <w:t>1,815,408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2,044,413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(229,005)</w:t>
            </w:r>
          </w:p>
        </w:tc>
        <w:tc>
          <w:tcPr>
            <w:tcW w:w="1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340" w:hanging="332"/>
        <w:spacing w:after="0" w:line="273" w:lineRule="auto"/>
        <w:tabs>
          <w:tab w:leader="none" w:pos="219" w:val="left"/>
        </w:tabs>
        <w:numPr>
          <w:ilvl w:val="0"/>
          <w:numId w:val="27"/>
        </w:numPr>
        <w:rPr>
          <w:rFonts w:ascii="Arial" w:cs="Arial" w:eastAsia="Arial" w:hAnsi="Arial"/>
          <w:sz w:val="14"/>
          <w:szCs w:val="14"/>
          <w:color w:val="auto"/>
        </w:rPr>
      </w:pPr>
      <w:r>
        <w:rPr>
          <w:rFonts w:ascii="Arial" w:cs="Arial" w:eastAsia="Arial" w:hAnsi="Arial"/>
          <w:sz w:val="14"/>
          <w:szCs w:val="14"/>
          <w:color w:val="auto"/>
        </w:rPr>
        <w:t>See Item 8—"Financial Statements and Supplemental Data," Note 19, "Segment Information," for a reconciliation of Adjusted Property EBITDA to net income attributable to Wynn Resorts, Limited.</w:t>
      </w:r>
    </w:p>
    <w:p>
      <w:pPr>
        <w:spacing w:after="0" w:line="20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decrease in operating revenues for the year ended December 31, 2019 was primarily driven by decreases of $213.9 million, $224.5 million, and $32.1 million from Wynn Palace, Wynn Macau, and our Las Vegas Operations, respectively. Operating revenues from Encore Boston Harbor were $363.9 million.</w:t>
      </w:r>
    </w:p>
    <w:p>
      <w:pPr>
        <w:spacing w:after="0" w:line="20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decrease in net income attributable to Wynn Resorts, Limited for the year ended December 31, 2019 was principally due to a tax provision of $176.8 million recorded in 2019, largely related to an increase in the valuation allowance on our deferred tax assets, compared to a net tax benefit of $497.3 million recorded during the year ended December 31, 2018 primarily in connection with U.S. tax reform.</w:t>
      </w:r>
    </w:p>
    <w:p>
      <w:pPr>
        <w:spacing w:after="0" w:line="20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decrease in Adjusted Property EBITDA for the year ended December 31, 2019 was driven by decreases of $114.4 million, $84.4 million, and $53.4 million from Wynn Palace, Wynn Macau, and our Las Vegas Operations, respectively. Adjusted Property EBITDA from Encore Boston Harbor was $23.2 million.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year ended December 31, 2019 compared to the year ended December 31,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revenues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operating revenues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5"/>
          </w:tcPr>
          <w:p>
            <w:pPr>
              <w:ind w:left="320"/>
              <w:spacing w:after="0"/>
              <w:rPr>
                <w:sz w:val="20"/>
                <w:szCs w:val="20"/>
                <w:color w:val="auto"/>
              </w:rPr>
            </w:pPr>
            <w:r>
              <w:rPr>
                <w:rFonts w:ascii="Arial" w:cs="Arial" w:eastAsia="Arial" w:hAnsi="Arial"/>
                <w:sz w:val="14"/>
                <w:szCs w:val="14"/>
                <w:b w:val="1"/>
                <w:bCs w:val="1"/>
                <w:color w:val="auto"/>
              </w:rPr>
              <w:t>Years Ended December 31,</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5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vMerge w:val="restart"/>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vMerge w:val="restart"/>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right"/>
              <w:ind w:right="234"/>
              <w:spacing w:after="0" w:line="139" w:lineRule="exact"/>
              <w:rPr>
                <w:sz w:val="20"/>
                <w:szCs w:val="20"/>
                <w:color w:val="auto"/>
              </w:rPr>
            </w:pPr>
            <w:r>
              <w:rPr>
                <w:rFonts w:ascii="Arial" w:cs="Arial" w:eastAsia="Arial" w:hAnsi="Arial"/>
                <w:sz w:val="14"/>
                <w:szCs w:val="14"/>
                <w:b w:val="1"/>
                <w:bCs w:val="1"/>
                <w:color w:val="auto"/>
              </w:rPr>
              <w:t>Increase/</w:t>
            </w:r>
          </w:p>
        </w:tc>
        <w:tc>
          <w:tcPr>
            <w:tcW w:w="100" w:type="dxa"/>
            <w:vAlign w:val="bottom"/>
          </w:tcPr>
          <w:p>
            <w:pPr>
              <w:spacing w:after="0"/>
              <w:rPr>
                <w:sz w:val="12"/>
                <w:szCs w:val="12"/>
                <w:color w:val="auto"/>
              </w:rPr>
            </w:pPr>
          </w:p>
        </w:tc>
        <w:tc>
          <w:tcPr>
            <w:tcW w:w="120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92"/>
        </w:trPr>
        <w:tc>
          <w:tcPr>
            <w:tcW w:w="55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(Decrease)</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Macau Operations: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Wynn Palace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2,543,694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2,757,566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(213,872)</w:t>
            </w:r>
          </w:p>
        </w:tc>
        <w:tc>
          <w:tcPr>
            <w:tcW w:w="130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43"/>
        </w:trPr>
        <w:tc>
          <w:tcPr>
            <w:tcW w:w="5520" w:type="dxa"/>
            <w:vAlign w:val="bottom"/>
          </w:tcPr>
          <w:p>
            <w:pPr>
              <w:ind w:left="340"/>
              <w:spacing w:after="0"/>
              <w:rPr>
                <w:sz w:val="20"/>
                <w:szCs w:val="20"/>
                <w:color w:val="auto"/>
              </w:rPr>
            </w:pPr>
            <w:r>
              <w:rPr>
                <w:rFonts w:ascii="Arial" w:cs="Arial" w:eastAsia="Arial" w:hAnsi="Arial"/>
                <w:sz w:val="18"/>
                <w:szCs w:val="18"/>
                <w:color w:val="auto"/>
              </w:rPr>
              <w:t>Wynn Macau</w:t>
            </w:r>
          </w:p>
        </w:tc>
        <w:tc>
          <w:tcPr>
            <w:tcW w:w="340" w:type="dxa"/>
            <w:vAlign w:val="bottom"/>
          </w:tcPr>
          <w:p>
            <w:pPr>
              <w:spacing w:after="0"/>
              <w:rPr>
                <w:sz w:val="21"/>
                <w:szCs w:val="21"/>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2,070,029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2,294,525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(224,496)</w:t>
            </w:r>
          </w:p>
        </w:tc>
        <w:tc>
          <w:tcPr>
            <w:tcW w:w="1300" w:type="dxa"/>
            <w:vAlign w:val="bottom"/>
            <w:gridSpan w:val="2"/>
          </w:tcPr>
          <w:p>
            <w:pPr>
              <w:jc w:val="right"/>
              <w:ind w:right="19"/>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Macau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4,613,723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5,052,091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(438,368)</w:t>
            </w:r>
          </w:p>
        </w:tc>
        <w:tc>
          <w:tcPr>
            <w:tcW w:w="130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Las Vegas Operations</w:t>
            </w:r>
          </w:p>
        </w:tc>
        <w:tc>
          <w:tcPr>
            <w:tcW w:w="340" w:type="dxa"/>
            <w:vAlign w:val="bottom"/>
          </w:tcPr>
          <w:p>
            <w:pPr>
              <w:spacing w:after="0"/>
              <w:rPr>
                <w:sz w:val="21"/>
                <w:szCs w:val="21"/>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1,633,457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1,665,569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(32,112)</w:t>
            </w:r>
          </w:p>
        </w:tc>
        <w:tc>
          <w:tcPr>
            <w:tcW w:w="1300" w:type="dxa"/>
            <w:vAlign w:val="bottom"/>
            <w:gridSpan w:val="2"/>
          </w:tcPr>
          <w:p>
            <w:pPr>
              <w:jc w:val="right"/>
              <w:ind w:right="19"/>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Encore Boston Harbor </w:t>
            </w:r>
            <w:r>
              <w:rPr>
                <w:rFonts w:ascii="Arial" w:cs="Arial" w:eastAsia="Arial" w:hAnsi="Arial"/>
                <w:sz w:val="14"/>
                <w:szCs w:val="14"/>
                <w:color w:val="auto"/>
              </w:rPr>
              <w:t>(1)</w:t>
            </w: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363,919</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363,919</w:t>
            </w: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55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6,611,099</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6,717,660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(106,561)</w:t>
            </w:r>
          </w:p>
        </w:tc>
        <w:tc>
          <w:tcPr>
            <w:tcW w:w="1300" w:type="dxa"/>
            <w:vAlign w:val="bottom"/>
            <w:gridSpan w:val="2"/>
          </w:tcPr>
          <w:p>
            <w:pPr>
              <w:jc w:val="right"/>
              <w:ind w:right="19"/>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
        </w:trPr>
        <w:tc>
          <w:tcPr>
            <w:tcW w:w="5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(1) Encore Boston Harbor opened on June 23, 2019.</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41" w:name="page42"/>
    <w:bookmarkEnd w:id="4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our casino and non-casino operating revenues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5"/>
          </w:tcPr>
          <w:p>
            <w:pPr>
              <w:ind w:left="320"/>
              <w:spacing w:after="0"/>
              <w:rPr>
                <w:sz w:val="20"/>
                <w:szCs w:val="20"/>
                <w:color w:val="auto"/>
              </w:rPr>
            </w:pPr>
            <w:r>
              <w:rPr>
                <w:rFonts w:ascii="Arial" w:cs="Arial" w:eastAsia="Arial" w:hAnsi="Arial"/>
                <w:sz w:val="14"/>
                <w:szCs w:val="14"/>
                <w:b w:val="1"/>
                <w:bCs w:val="1"/>
                <w:color w:val="auto"/>
              </w:rPr>
              <w:t>Years Ended December 31,</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5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vMerge w:val="restart"/>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vMerge w:val="restart"/>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right"/>
              <w:ind w:right="234"/>
              <w:spacing w:after="0" w:line="139" w:lineRule="exact"/>
              <w:rPr>
                <w:sz w:val="20"/>
                <w:szCs w:val="20"/>
                <w:color w:val="auto"/>
              </w:rPr>
            </w:pPr>
            <w:r>
              <w:rPr>
                <w:rFonts w:ascii="Arial" w:cs="Arial" w:eastAsia="Arial" w:hAnsi="Arial"/>
                <w:sz w:val="14"/>
                <w:szCs w:val="14"/>
                <w:b w:val="1"/>
                <w:bCs w:val="1"/>
                <w:color w:val="auto"/>
              </w:rPr>
              <w:t>Increase/</w:t>
            </w:r>
          </w:p>
        </w:tc>
        <w:tc>
          <w:tcPr>
            <w:tcW w:w="100" w:type="dxa"/>
            <w:vAlign w:val="bottom"/>
          </w:tcPr>
          <w:p>
            <w:pPr>
              <w:spacing w:after="0"/>
              <w:rPr>
                <w:sz w:val="12"/>
                <w:szCs w:val="12"/>
                <w:color w:val="auto"/>
              </w:rPr>
            </w:pPr>
          </w:p>
        </w:tc>
        <w:tc>
          <w:tcPr>
            <w:tcW w:w="1200" w:type="dxa"/>
            <w:vAlign w:val="bottom"/>
            <w:vMerge w:val="restart"/>
          </w:tcPr>
          <w:p>
            <w:pPr>
              <w:ind w:left="120"/>
              <w:spacing w:after="0"/>
              <w:rPr>
                <w:sz w:val="20"/>
                <w:szCs w:val="20"/>
                <w:color w:val="auto"/>
              </w:rPr>
            </w:pPr>
            <w:r>
              <w:rPr>
                <w:rFonts w:ascii="Arial" w:cs="Arial" w:eastAsia="Arial" w:hAnsi="Arial"/>
                <w:sz w:val="14"/>
                <w:szCs w:val="14"/>
                <w:b w:val="1"/>
                <w:bCs w:val="1"/>
                <w:color w:val="auto"/>
                <w:w w:val="99"/>
              </w:rPr>
              <w:t>Percent Change</w:t>
            </w:r>
          </w:p>
        </w:tc>
        <w:tc>
          <w:tcPr>
            <w:tcW w:w="0" w:type="dxa"/>
            <w:vAlign w:val="bottom"/>
          </w:tcPr>
          <w:p>
            <w:pPr>
              <w:spacing w:after="0"/>
              <w:rPr>
                <w:sz w:val="1"/>
                <w:szCs w:val="1"/>
                <w:color w:val="auto"/>
              </w:rPr>
            </w:pPr>
          </w:p>
        </w:tc>
      </w:tr>
      <w:tr>
        <w:trPr>
          <w:trHeight w:val="192"/>
        </w:trPr>
        <w:tc>
          <w:tcPr>
            <w:tcW w:w="55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(Decrease)</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20"/>
              <w:spacing w:after="0"/>
              <w:rPr>
                <w:sz w:val="20"/>
                <w:szCs w:val="20"/>
                <w:color w:val="auto"/>
              </w:rPr>
            </w:pPr>
            <w:r>
              <w:rPr>
                <w:rFonts w:ascii="Arial" w:cs="Arial" w:eastAsia="Arial" w:hAnsi="Arial"/>
                <w:sz w:val="18"/>
                <w:szCs w:val="18"/>
                <w:b w:val="1"/>
                <w:bCs w:val="1"/>
                <w:color w:val="auto"/>
              </w:rPr>
              <w:t>Casino revenues</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ind w:right="54"/>
              <w:spacing w:after="0"/>
              <w:rPr>
                <w:sz w:val="20"/>
                <w:szCs w:val="20"/>
                <w:color w:val="auto"/>
              </w:rPr>
            </w:pPr>
            <w:r>
              <w:rPr>
                <w:rFonts w:ascii="Arial" w:cs="Arial" w:eastAsia="Arial" w:hAnsi="Arial"/>
                <w:sz w:val="18"/>
                <w:szCs w:val="18"/>
                <w:b w:val="1"/>
                <w:bCs w:val="1"/>
                <w:color w:val="auto"/>
              </w:rPr>
              <w:t>4,573,924</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ind w:right="73"/>
              <w:spacing w:after="0"/>
              <w:rPr>
                <w:sz w:val="20"/>
                <w:szCs w:val="20"/>
                <w:color w:val="auto"/>
              </w:rPr>
            </w:pPr>
            <w:r>
              <w:rPr>
                <w:rFonts w:ascii="Arial" w:cs="Arial" w:eastAsia="Arial" w:hAnsi="Arial"/>
                <w:sz w:val="18"/>
                <w:szCs w:val="18"/>
                <w:b w:val="1"/>
                <w:bCs w:val="1"/>
                <w:color w:val="auto"/>
              </w:rPr>
              <w:t>4,784,990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b w:val="1"/>
                <w:bCs w:val="1"/>
                <w:color w:val="auto"/>
              </w:rPr>
              <w:t>(211,066)</w:t>
            </w:r>
          </w:p>
        </w:tc>
        <w:tc>
          <w:tcPr>
            <w:tcW w:w="1300" w:type="dxa"/>
            <w:vAlign w:val="bottom"/>
            <w:gridSpan w:val="2"/>
          </w:tcPr>
          <w:p>
            <w:pPr>
              <w:jc w:val="center"/>
              <w:ind w:left="670"/>
              <w:spacing w:after="0"/>
              <w:rPr>
                <w:sz w:val="20"/>
                <w:szCs w:val="20"/>
                <w:color w:val="auto"/>
              </w:rPr>
            </w:pPr>
            <w:r>
              <w:rPr>
                <w:rFonts w:ascii="Arial" w:cs="Arial" w:eastAsia="Arial" w:hAnsi="Arial"/>
                <w:sz w:val="18"/>
                <w:szCs w:val="18"/>
                <w:color w:val="auto"/>
                <w:w w:val="91"/>
              </w:rPr>
              <w:t>(4.4)</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Non-casino revenues: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340"/>
              <w:spacing w:after="0"/>
              <w:rPr>
                <w:sz w:val="20"/>
                <w:szCs w:val="20"/>
                <w:color w:val="auto"/>
              </w:rPr>
            </w:pPr>
            <w:r>
              <w:rPr>
                <w:rFonts w:ascii="Arial" w:cs="Arial" w:eastAsia="Arial" w:hAnsi="Arial"/>
                <w:sz w:val="18"/>
                <w:szCs w:val="18"/>
                <w:color w:val="auto"/>
              </w:rPr>
              <w:t>Rooms</w:t>
            </w:r>
          </w:p>
        </w:tc>
        <w:tc>
          <w:tcPr>
            <w:tcW w:w="340" w:type="dxa"/>
            <w:vAlign w:val="bottom"/>
          </w:tcPr>
          <w:p>
            <w:pPr>
              <w:spacing w:after="0"/>
              <w:rPr>
                <w:sz w:val="21"/>
                <w:szCs w:val="21"/>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804,162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751,800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74"/>
              <w:spacing w:after="0"/>
              <w:rPr>
                <w:sz w:val="20"/>
                <w:szCs w:val="20"/>
                <w:color w:val="auto"/>
              </w:rPr>
            </w:pPr>
            <w:r>
              <w:rPr>
                <w:rFonts w:ascii="Arial" w:cs="Arial" w:eastAsia="Arial" w:hAnsi="Arial"/>
                <w:sz w:val="18"/>
                <w:szCs w:val="18"/>
                <w:color w:val="auto"/>
              </w:rPr>
              <w:t>52,362</w:t>
            </w:r>
          </w:p>
        </w:tc>
        <w:tc>
          <w:tcPr>
            <w:tcW w:w="1300" w:type="dxa"/>
            <w:vAlign w:val="bottom"/>
            <w:gridSpan w:val="2"/>
          </w:tcPr>
          <w:p>
            <w:pPr>
              <w:jc w:val="center"/>
              <w:ind w:left="710"/>
              <w:spacing w:after="0"/>
              <w:rPr>
                <w:sz w:val="20"/>
                <w:szCs w:val="20"/>
                <w:color w:val="auto"/>
              </w:rPr>
            </w:pPr>
            <w:r>
              <w:rPr>
                <w:rFonts w:ascii="Arial" w:cs="Arial" w:eastAsia="Arial" w:hAnsi="Arial"/>
                <w:sz w:val="18"/>
                <w:szCs w:val="18"/>
                <w:color w:val="auto"/>
                <w:w w:val="87"/>
              </w:rPr>
              <w:t>7.0</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Food and beverage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818,822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754,128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64,694</w:t>
            </w:r>
          </w:p>
        </w:tc>
        <w:tc>
          <w:tcPr>
            <w:tcW w:w="1300" w:type="dxa"/>
            <w:vAlign w:val="bottom"/>
            <w:tcBorders>
              <w:bottom w:val="single" w:sz="8" w:color="CCEEFF"/>
            </w:tcBorders>
            <w:gridSpan w:val="2"/>
            <w:shd w:val="clear" w:color="auto" w:fill="CCEEFF"/>
          </w:tcPr>
          <w:p>
            <w:pPr>
              <w:jc w:val="center"/>
              <w:ind w:left="710"/>
              <w:spacing w:after="0"/>
              <w:rPr>
                <w:sz w:val="20"/>
                <w:szCs w:val="20"/>
                <w:color w:val="auto"/>
              </w:rPr>
            </w:pPr>
            <w:r>
              <w:rPr>
                <w:rFonts w:ascii="Arial" w:cs="Arial" w:eastAsia="Arial" w:hAnsi="Arial"/>
                <w:sz w:val="18"/>
                <w:szCs w:val="18"/>
                <w:color w:val="auto"/>
                <w:w w:val="87"/>
              </w:rPr>
              <w:t>8.6</w:t>
            </w:r>
          </w:p>
        </w:tc>
        <w:tc>
          <w:tcPr>
            <w:tcW w:w="0" w:type="dxa"/>
            <w:vAlign w:val="bottom"/>
          </w:tcPr>
          <w:p>
            <w:pPr>
              <w:spacing w:after="0"/>
              <w:rPr>
                <w:sz w:val="1"/>
                <w:szCs w:val="1"/>
                <w:color w:val="auto"/>
              </w:rPr>
            </w:pPr>
          </w:p>
        </w:tc>
      </w:tr>
      <w:tr>
        <w:trPr>
          <w:trHeight w:val="243"/>
        </w:trPr>
        <w:tc>
          <w:tcPr>
            <w:tcW w:w="5520" w:type="dxa"/>
            <w:vAlign w:val="bottom"/>
          </w:tcPr>
          <w:p>
            <w:pPr>
              <w:ind w:left="340"/>
              <w:spacing w:after="0"/>
              <w:rPr>
                <w:sz w:val="20"/>
                <w:szCs w:val="20"/>
                <w:color w:val="auto"/>
              </w:rPr>
            </w:pPr>
            <w:r>
              <w:rPr>
                <w:rFonts w:ascii="Arial" w:cs="Arial" w:eastAsia="Arial" w:hAnsi="Arial"/>
                <w:sz w:val="18"/>
                <w:szCs w:val="18"/>
                <w:color w:val="auto"/>
              </w:rPr>
              <w:t>Entertainment, retail and other</w:t>
            </w:r>
          </w:p>
        </w:tc>
        <w:tc>
          <w:tcPr>
            <w:tcW w:w="340" w:type="dxa"/>
            <w:vAlign w:val="bottom"/>
          </w:tcPr>
          <w:p>
            <w:pPr>
              <w:spacing w:after="0"/>
              <w:rPr>
                <w:sz w:val="21"/>
                <w:szCs w:val="21"/>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414,191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426,742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(12,551)</w:t>
            </w:r>
          </w:p>
        </w:tc>
        <w:tc>
          <w:tcPr>
            <w:tcW w:w="1300" w:type="dxa"/>
            <w:vAlign w:val="bottom"/>
            <w:gridSpan w:val="2"/>
          </w:tcPr>
          <w:p>
            <w:pPr>
              <w:jc w:val="center"/>
              <w:ind w:left="670"/>
              <w:spacing w:after="0"/>
              <w:rPr>
                <w:sz w:val="20"/>
                <w:szCs w:val="20"/>
                <w:color w:val="auto"/>
              </w:rPr>
            </w:pPr>
            <w:r>
              <w:rPr>
                <w:rFonts w:ascii="Arial" w:cs="Arial" w:eastAsia="Arial" w:hAnsi="Arial"/>
                <w:sz w:val="18"/>
                <w:szCs w:val="18"/>
                <w:color w:val="auto"/>
                <w:w w:val="91"/>
              </w:rPr>
              <w:t>(2.9)</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b w:val="1"/>
                <w:bCs w:val="1"/>
                <w:color w:val="auto"/>
              </w:rPr>
              <w:t>Total non-casino revenues</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2,037,175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1,932,670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104,505</w:t>
            </w:r>
          </w:p>
        </w:tc>
        <w:tc>
          <w:tcPr>
            <w:tcW w:w="1300" w:type="dxa"/>
            <w:vAlign w:val="bottom"/>
            <w:tcBorders>
              <w:bottom w:val="single" w:sz="8" w:color="CCEEFF"/>
            </w:tcBorders>
            <w:gridSpan w:val="2"/>
            <w:shd w:val="clear" w:color="auto" w:fill="CCEEFF"/>
          </w:tcPr>
          <w:p>
            <w:pPr>
              <w:jc w:val="center"/>
              <w:ind w:left="710"/>
              <w:spacing w:after="0"/>
              <w:rPr>
                <w:sz w:val="20"/>
                <w:szCs w:val="20"/>
                <w:color w:val="auto"/>
              </w:rPr>
            </w:pPr>
            <w:r>
              <w:rPr>
                <w:rFonts w:ascii="Arial" w:cs="Arial" w:eastAsia="Arial" w:hAnsi="Arial"/>
                <w:sz w:val="18"/>
                <w:szCs w:val="18"/>
                <w:color w:val="auto"/>
                <w:w w:val="87"/>
              </w:rPr>
              <w:t>5.4</w:t>
            </w:r>
          </w:p>
        </w:tc>
        <w:tc>
          <w:tcPr>
            <w:tcW w:w="0" w:type="dxa"/>
            <w:vAlign w:val="bottom"/>
          </w:tcPr>
          <w:p>
            <w:pPr>
              <w:spacing w:after="0"/>
              <w:rPr>
                <w:sz w:val="1"/>
                <w:szCs w:val="1"/>
                <w:color w:val="auto"/>
              </w:rPr>
            </w:pPr>
          </w:p>
        </w:tc>
      </w:tr>
      <w:tr>
        <w:trPr>
          <w:trHeight w:val="264"/>
        </w:trPr>
        <w:tc>
          <w:tcPr>
            <w:tcW w:w="55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6,611,099</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6,717,660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(106,561)</w:t>
            </w:r>
          </w:p>
        </w:tc>
        <w:tc>
          <w:tcPr>
            <w:tcW w:w="1300" w:type="dxa"/>
            <w:vAlign w:val="bottom"/>
            <w:gridSpan w:val="2"/>
          </w:tcPr>
          <w:p>
            <w:pPr>
              <w:jc w:val="center"/>
              <w:ind w:left="670"/>
              <w:spacing w:after="0"/>
              <w:rPr>
                <w:sz w:val="20"/>
                <w:szCs w:val="20"/>
                <w:color w:val="auto"/>
              </w:rPr>
            </w:pPr>
            <w:r>
              <w:rPr>
                <w:rFonts w:ascii="Arial" w:cs="Arial" w:eastAsia="Arial" w:hAnsi="Arial"/>
                <w:sz w:val="18"/>
                <w:szCs w:val="18"/>
                <w:color w:val="auto"/>
                <w:w w:val="91"/>
              </w:rPr>
              <w:t>(1.6)</w:t>
            </w:r>
          </w:p>
        </w:tc>
        <w:tc>
          <w:tcPr>
            <w:tcW w:w="0" w:type="dxa"/>
            <w:vAlign w:val="bottom"/>
          </w:tcPr>
          <w:p>
            <w:pPr>
              <w:spacing w:after="0"/>
              <w:rPr>
                <w:sz w:val="1"/>
                <w:szCs w:val="1"/>
                <w:color w:val="auto"/>
              </w:rPr>
            </w:pPr>
          </w:p>
        </w:tc>
      </w:tr>
      <w:tr>
        <w:trPr>
          <w:trHeight w:val="21"/>
        </w:trPr>
        <w:tc>
          <w:tcPr>
            <w:tcW w:w="5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firstLine="446"/>
        <w:spacing w:after="0" w:line="308" w:lineRule="auto"/>
        <w:rPr>
          <w:sz w:val="20"/>
          <w:szCs w:val="20"/>
          <w:color w:val="auto"/>
        </w:rPr>
      </w:pPr>
      <w:r>
        <w:rPr>
          <w:rFonts w:ascii="Arial" w:cs="Arial" w:eastAsia="Arial" w:hAnsi="Arial"/>
          <w:sz w:val="17"/>
          <w:szCs w:val="17"/>
          <w:color w:val="auto"/>
        </w:rPr>
        <w:t>Casino revenues for the year ended December 31, 2019 were 69.2% of operating revenues, compared to 71.2% for the same period of 2018. Non-casino revenues for the year ended December 31, 2019 were 30.8% of operating revenues, compared to 28.8% for the same period of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Casino revenues</w:t>
      </w:r>
    </w:p>
    <w:p>
      <w:pPr>
        <w:spacing w:after="0" w:line="252"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Casino revenues decreased primarily due to decreased VIP turnover and VIP table games win at our Macau Operations and decreased table drop and table games win at our Las Vegas Operations, partially offset by increased mass market table drop and mass market table games win at our Macau Operations and casino revenues from Encore Boston Harbor totaling $243.9 million. The table below sets forth our casino revenues and associated key operating measures (dollars in thousands, except for win per unit per day):</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5"/>
          </w:tcPr>
          <w:p>
            <w:pPr>
              <w:jc w:val="right"/>
              <w:ind w:right="691"/>
              <w:spacing w:after="0"/>
              <w:rPr>
                <w:sz w:val="20"/>
                <w:szCs w:val="20"/>
                <w:color w:val="auto"/>
              </w:rPr>
            </w:pPr>
            <w:r>
              <w:rPr>
                <w:rFonts w:ascii="Arial" w:cs="Arial" w:eastAsia="Arial" w:hAnsi="Arial"/>
                <w:sz w:val="14"/>
                <w:szCs w:val="14"/>
                <w:b w:val="1"/>
                <w:bCs w:val="1"/>
                <w:color w:val="auto"/>
              </w:rPr>
              <w:t>Years Ended December 31,</w:t>
            </w:r>
          </w:p>
        </w:tc>
        <w:tc>
          <w:tcPr>
            <w:tcW w:w="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00" w:type="dxa"/>
            <w:vAlign w:val="bottom"/>
            <w:gridSpan w:val="2"/>
          </w:tcPr>
          <w:p>
            <w:pPr>
              <w:jc w:val="center"/>
              <w:ind w:right="420"/>
              <w:spacing w:after="0" w:line="139" w:lineRule="exact"/>
              <w:rPr>
                <w:sz w:val="20"/>
                <w:szCs w:val="20"/>
                <w:color w:val="auto"/>
              </w:rPr>
            </w:pPr>
            <w:r>
              <w:rPr>
                <w:rFonts w:ascii="Arial" w:cs="Arial" w:eastAsia="Arial" w:hAnsi="Arial"/>
                <w:sz w:val="14"/>
                <w:szCs w:val="14"/>
                <w:b w:val="1"/>
                <w:bCs w:val="1"/>
                <w:color w:val="auto"/>
                <w:w w:val="92"/>
              </w:rPr>
              <w:t>Increase/</w:t>
            </w:r>
          </w:p>
        </w:tc>
        <w:tc>
          <w:tcPr>
            <w:tcW w:w="1460" w:type="dxa"/>
            <w:vAlign w:val="bottom"/>
          </w:tcPr>
          <w:p>
            <w:pPr>
              <w:jc w:val="right"/>
              <w:ind w:right="411"/>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4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(Decrease)</w:t>
            </w:r>
          </w:p>
        </w:tc>
        <w:tc>
          <w:tcPr>
            <w:tcW w:w="1460" w:type="dxa"/>
            <w:vAlign w:val="bottom"/>
          </w:tcPr>
          <w:p>
            <w:pPr>
              <w:jc w:val="right"/>
              <w:ind w:right="41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36"/>
        </w:trPr>
        <w:tc>
          <w:tcPr>
            <w:tcW w:w="4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Macau Operations:</w:t>
            </w:r>
          </w:p>
        </w:tc>
        <w:tc>
          <w:tcPr>
            <w:tcW w:w="40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3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6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80" w:type="dxa"/>
            <w:vAlign w:val="bottom"/>
          </w:tcPr>
          <w:p>
            <w:pPr>
              <w:ind w:left="120"/>
              <w:spacing w:after="0"/>
              <w:rPr>
                <w:sz w:val="20"/>
                <w:szCs w:val="20"/>
                <w:color w:val="auto"/>
              </w:rPr>
            </w:pPr>
            <w:r>
              <w:rPr>
                <w:rFonts w:ascii="Arial" w:cs="Arial" w:eastAsia="Arial" w:hAnsi="Arial"/>
                <w:sz w:val="18"/>
                <w:szCs w:val="18"/>
                <w:color w:val="auto"/>
              </w:rPr>
              <w:t>Wynn Palace:</w:t>
            </w:r>
          </w:p>
        </w:tc>
        <w:tc>
          <w:tcPr>
            <w:tcW w:w="4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casino revenues</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2,139,756</w:t>
            </w:r>
          </w:p>
        </w:tc>
        <w:tc>
          <w:tcPr>
            <w:tcW w:w="70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2,356,022</w:t>
            </w:r>
          </w:p>
        </w:tc>
        <w:tc>
          <w:tcPr>
            <w:tcW w:w="6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(216,266)</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43"/>
        </w:trPr>
        <w:tc>
          <w:tcPr>
            <w:tcW w:w="4280" w:type="dxa"/>
            <w:vAlign w:val="bottom"/>
          </w:tcPr>
          <w:p>
            <w:pPr>
              <w:ind w:left="340"/>
              <w:spacing w:after="0"/>
              <w:rPr>
                <w:sz w:val="20"/>
                <w:szCs w:val="20"/>
                <w:color w:val="auto"/>
              </w:rPr>
            </w:pPr>
            <w:r>
              <w:rPr>
                <w:rFonts w:ascii="Arial" w:cs="Arial" w:eastAsia="Arial" w:hAnsi="Arial"/>
                <w:sz w:val="18"/>
                <w:szCs w:val="18"/>
                <w:color w:val="auto"/>
              </w:rPr>
              <w:t>VIP:</w:t>
            </w:r>
          </w:p>
        </w:tc>
        <w:tc>
          <w:tcPr>
            <w:tcW w:w="4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Average number of table games</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4280" w:type="dxa"/>
            <w:vAlign w:val="bottom"/>
          </w:tcPr>
          <w:p>
            <w:pPr>
              <w:ind w:left="540"/>
              <w:spacing w:after="0"/>
              <w:rPr>
                <w:sz w:val="20"/>
                <w:szCs w:val="20"/>
                <w:color w:val="auto"/>
              </w:rPr>
            </w:pPr>
            <w:r>
              <w:rPr>
                <w:rFonts w:ascii="Arial" w:cs="Arial" w:eastAsia="Arial" w:hAnsi="Arial"/>
                <w:sz w:val="18"/>
                <w:szCs w:val="18"/>
                <w:color w:val="auto"/>
              </w:rPr>
              <w:t>VIP turnover</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45,847,647</w:t>
            </w:r>
          </w:p>
        </w:tc>
        <w:tc>
          <w:tcPr>
            <w:tcW w:w="7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61,097,527</w:t>
            </w:r>
          </w:p>
        </w:tc>
        <w:tc>
          <w:tcPr>
            <w:tcW w:w="6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(15,249,880)</w:t>
            </w:r>
          </w:p>
        </w:tc>
        <w:tc>
          <w:tcPr>
            <w:tcW w:w="12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VIP table games win</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1,519,225</w:t>
            </w:r>
          </w:p>
        </w:tc>
        <w:tc>
          <w:tcPr>
            <w:tcW w:w="70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1,874,189</w:t>
            </w:r>
          </w:p>
        </w:tc>
        <w:tc>
          <w:tcPr>
            <w:tcW w:w="6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(354,964)</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43"/>
        </w:trPr>
        <w:tc>
          <w:tcPr>
            <w:tcW w:w="4280" w:type="dxa"/>
            <w:vAlign w:val="bottom"/>
          </w:tcPr>
          <w:p>
            <w:pPr>
              <w:ind w:left="540"/>
              <w:spacing w:after="0"/>
              <w:rPr>
                <w:sz w:val="20"/>
                <w:szCs w:val="20"/>
                <w:color w:val="auto"/>
              </w:rPr>
            </w:pPr>
            <w:r>
              <w:rPr>
                <w:rFonts w:ascii="Arial" w:cs="Arial" w:eastAsia="Arial" w:hAnsi="Arial"/>
                <w:sz w:val="18"/>
                <w:szCs w:val="18"/>
                <w:color w:val="auto"/>
              </w:rPr>
              <w:t>VIP win as a % of turnover</w:t>
            </w:r>
          </w:p>
        </w:tc>
        <w:tc>
          <w:tcPr>
            <w:tcW w:w="4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Table games win per unit per day</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38,224</w:t>
            </w:r>
          </w:p>
        </w:tc>
        <w:tc>
          <w:tcPr>
            <w:tcW w:w="70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45,006</w:t>
            </w:r>
          </w:p>
        </w:tc>
        <w:tc>
          <w:tcPr>
            <w:tcW w:w="6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(6,782)</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43"/>
        </w:trPr>
        <w:tc>
          <w:tcPr>
            <w:tcW w:w="4280" w:type="dxa"/>
            <w:vAlign w:val="bottom"/>
          </w:tcPr>
          <w:p>
            <w:pPr>
              <w:ind w:left="340"/>
              <w:spacing w:after="0"/>
              <w:rPr>
                <w:sz w:val="20"/>
                <w:szCs w:val="20"/>
                <w:color w:val="auto"/>
              </w:rPr>
            </w:pPr>
            <w:r>
              <w:rPr>
                <w:rFonts w:ascii="Arial" w:cs="Arial" w:eastAsia="Arial" w:hAnsi="Arial"/>
                <w:sz w:val="18"/>
                <w:szCs w:val="18"/>
                <w:color w:val="auto"/>
              </w:rPr>
              <w:t>Mass market:</w:t>
            </w:r>
          </w:p>
        </w:tc>
        <w:tc>
          <w:tcPr>
            <w:tcW w:w="4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Average number of table games</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4280" w:type="dxa"/>
            <w:vAlign w:val="bottom"/>
          </w:tcPr>
          <w:p>
            <w:pPr>
              <w:ind w:left="540"/>
              <w:spacing w:after="0"/>
              <w:rPr>
                <w:sz w:val="20"/>
                <w:szCs w:val="20"/>
                <w:color w:val="auto"/>
              </w:rPr>
            </w:pPr>
            <w:r>
              <w:rPr>
                <w:rFonts w:ascii="Arial" w:cs="Arial" w:eastAsia="Arial" w:hAnsi="Arial"/>
                <w:sz w:val="18"/>
                <w:szCs w:val="18"/>
                <w:color w:val="auto"/>
              </w:rPr>
              <w:t>Table drop</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5,122,897</w:t>
            </w:r>
          </w:p>
        </w:tc>
        <w:tc>
          <w:tcPr>
            <w:tcW w:w="7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4,926,347</w:t>
            </w:r>
          </w:p>
        </w:tc>
        <w:tc>
          <w:tcPr>
            <w:tcW w:w="6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196,550</w:t>
            </w:r>
          </w:p>
        </w:tc>
        <w:tc>
          <w:tcPr>
            <w:tcW w:w="120" w:type="dxa"/>
            <w:vAlign w:val="bottom"/>
          </w:tcPr>
          <w:p>
            <w:pPr>
              <w:spacing w:after="0"/>
              <w:rPr>
                <w:sz w:val="21"/>
                <w:szCs w:val="21"/>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Table games win</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1,251,920</w:t>
            </w:r>
          </w:p>
        </w:tc>
        <w:tc>
          <w:tcPr>
            <w:tcW w:w="70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1,206,244</w:t>
            </w:r>
          </w:p>
        </w:tc>
        <w:tc>
          <w:tcPr>
            <w:tcW w:w="6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45,676</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4280" w:type="dxa"/>
            <w:vAlign w:val="bottom"/>
          </w:tcPr>
          <w:p>
            <w:pPr>
              <w:ind w:left="540"/>
              <w:spacing w:after="0"/>
              <w:rPr>
                <w:sz w:val="20"/>
                <w:szCs w:val="20"/>
                <w:color w:val="auto"/>
              </w:rPr>
            </w:pPr>
            <w:r>
              <w:rPr>
                <w:rFonts w:ascii="Arial" w:cs="Arial" w:eastAsia="Arial" w:hAnsi="Arial"/>
                <w:sz w:val="18"/>
                <w:szCs w:val="18"/>
                <w:color w:val="auto"/>
              </w:rPr>
              <w:t>Table games win %</w:t>
            </w:r>
          </w:p>
        </w:tc>
        <w:tc>
          <w:tcPr>
            <w:tcW w:w="4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Table games win per unit per day</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15,902</w:t>
            </w:r>
          </w:p>
        </w:tc>
        <w:tc>
          <w:tcPr>
            <w:tcW w:w="70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15,834</w:t>
            </w:r>
          </w:p>
        </w:tc>
        <w:tc>
          <w:tcPr>
            <w:tcW w:w="6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4280" w:type="dxa"/>
            <w:vAlign w:val="bottom"/>
          </w:tcPr>
          <w:p>
            <w:pPr>
              <w:ind w:left="540"/>
              <w:spacing w:after="0"/>
              <w:rPr>
                <w:sz w:val="20"/>
                <w:szCs w:val="20"/>
                <w:color w:val="auto"/>
              </w:rPr>
            </w:pPr>
            <w:r>
              <w:rPr>
                <w:rFonts w:ascii="Arial" w:cs="Arial" w:eastAsia="Arial" w:hAnsi="Arial"/>
                <w:sz w:val="18"/>
                <w:szCs w:val="18"/>
                <w:color w:val="auto"/>
              </w:rPr>
              <w:t>Average number of slot machines</w:t>
            </w:r>
          </w:p>
        </w:tc>
        <w:tc>
          <w:tcPr>
            <w:tcW w:w="4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1,054</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1,065</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Slot machine handle</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3,918,554</w:t>
            </w:r>
          </w:p>
        </w:tc>
        <w:tc>
          <w:tcPr>
            <w:tcW w:w="70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3,933,064</w:t>
            </w:r>
          </w:p>
        </w:tc>
        <w:tc>
          <w:tcPr>
            <w:tcW w:w="6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(14,510)</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4280" w:type="dxa"/>
            <w:vAlign w:val="bottom"/>
          </w:tcPr>
          <w:p>
            <w:pPr>
              <w:ind w:left="540"/>
              <w:spacing w:after="0"/>
              <w:rPr>
                <w:sz w:val="20"/>
                <w:szCs w:val="20"/>
                <w:color w:val="auto"/>
              </w:rPr>
            </w:pPr>
            <w:r>
              <w:rPr>
                <w:rFonts w:ascii="Arial" w:cs="Arial" w:eastAsia="Arial" w:hAnsi="Arial"/>
                <w:sz w:val="18"/>
                <w:szCs w:val="18"/>
                <w:color w:val="auto"/>
              </w:rPr>
              <w:t>Slot machine win</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195,367</w:t>
            </w:r>
          </w:p>
        </w:tc>
        <w:tc>
          <w:tcPr>
            <w:tcW w:w="7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203,568</w:t>
            </w:r>
          </w:p>
        </w:tc>
        <w:tc>
          <w:tcPr>
            <w:tcW w:w="6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(8,201)</w:t>
            </w:r>
          </w:p>
        </w:tc>
        <w:tc>
          <w:tcPr>
            <w:tcW w:w="12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Slot machine win per unit per day</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70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6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4280" w:type="dxa"/>
            <w:vAlign w:val="bottom"/>
          </w:tcPr>
          <w:p>
            <w:pPr>
              <w:ind w:left="160"/>
              <w:spacing w:after="0"/>
              <w:rPr>
                <w:sz w:val="20"/>
                <w:szCs w:val="20"/>
                <w:color w:val="auto"/>
              </w:rPr>
            </w:pPr>
            <w:r>
              <w:rPr>
                <w:rFonts w:ascii="Arial" w:cs="Arial" w:eastAsia="Arial" w:hAnsi="Arial"/>
                <w:sz w:val="18"/>
                <w:szCs w:val="18"/>
                <w:color w:val="auto"/>
              </w:rPr>
              <w:t>Wynn Macau:</w:t>
            </w:r>
          </w:p>
        </w:tc>
        <w:tc>
          <w:tcPr>
            <w:tcW w:w="4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casino revenues</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1,796,209</w:t>
            </w:r>
          </w:p>
        </w:tc>
        <w:tc>
          <w:tcPr>
            <w:tcW w:w="70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1,994,885</w:t>
            </w:r>
          </w:p>
        </w:tc>
        <w:tc>
          <w:tcPr>
            <w:tcW w:w="6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(198,676)</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4280" w:type="dxa"/>
            <w:vAlign w:val="bottom"/>
          </w:tcPr>
          <w:p>
            <w:pPr>
              <w:ind w:left="340"/>
              <w:spacing w:after="0"/>
              <w:rPr>
                <w:sz w:val="20"/>
                <w:szCs w:val="20"/>
                <w:color w:val="auto"/>
              </w:rPr>
            </w:pPr>
            <w:r>
              <w:rPr>
                <w:rFonts w:ascii="Arial" w:cs="Arial" w:eastAsia="Arial" w:hAnsi="Arial"/>
                <w:sz w:val="18"/>
                <w:szCs w:val="18"/>
                <w:color w:val="auto"/>
              </w:rPr>
              <w:t>VIP:</w:t>
            </w:r>
          </w:p>
        </w:tc>
        <w:tc>
          <w:tcPr>
            <w:tcW w:w="4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Average number of table games</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4280" w:type="dxa"/>
            <w:vAlign w:val="bottom"/>
          </w:tcPr>
          <w:p>
            <w:pPr>
              <w:ind w:left="540"/>
              <w:spacing w:after="0"/>
              <w:rPr>
                <w:sz w:val="20"/>
                <w:szCs w:val="20"/>
                <w:color w:val="auto"/>
              </w:rPr>
            </w:pPr>
            <w:r>
              <w:rPr>
                <w:rFonts w:ascii="Arial" w:cs="Arial" w:eastAsia="Arial" w:hAnsi="Arial"/>
                <w:sz w:val="18"/>
                <w:szCs w:val="18"/>
                <w:color w:val="auto"/>
              </w:rPr>
              <w:t>VIP turnover</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35,426,483</w:t>
            </w:r>
          </w:p>
        </w:tc>
        <w:tc>
          <w:tcPr>
            <w:tcW w:w="7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57,759,607</w:t>
            </w:r>
          </w:p>
        </w:tc>
        <w:tc>
          <w:tcPr>
            <w:tcW w:w="6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(22,333,124)</w:t>
            </w:r>
          </w:p>
        </w:tc>
        <w:tc>
          <w:tcPr>
            <w:tcW w:w="12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VIP table games win</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1,081,934</w:t>
            </w:r>
          </w:p>
        </w:tc>
        <w:tc>
          <w:tcPr>
            <w:tcW w:w="70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1,588,002</w:t>
            </w:r>
          </w:p>
        </w:tc>
        <w:tc>
          <w:tcPr>
            <w:tcW w:w="6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(506,068)</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43"/>
        </w:trPr>
        <w:tc>
          <w:tcPr>
            <w:tcW w:w="4280" w:type="dxa"/>
            <w:vAlign w:val="bottom"/>
          </w:tcPr>
          <w:p>
            <w:pPr>
              <w:ind w:left="540"/>
              <w:spacing w:after="0"/>
              <w:rPr>
                <w:sz w:val="20"/>
                <w:szCs w:val="20"/>
                <w:color w:val="auto"/>
              </w:rPr>
            </w:pPr>
            <w:r>
              <w:rPr>
                <w:rFonts w:ascii="Arial" w:cs="Arial" w:eastAsia="Arial" w:hAnsi="Arial"/>
                <w:sz w:val="18"/>
                <w:szCs w:val="18"/>
                <w:color w:val="auto"/>
              </w:rPr>
              <w:t>VIP win as a % of turnover</w:t>
            </w:r>
          </w:p>
        </w:tc>
        <w:tc>
          <w:tcPr>
            <w:tcW w:w="4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0.30</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Table games win per unit per day</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27,864</w:t>
            </w:r>
          </w:p>
        </w:tc>
        <w:tc>
          <w:tcPr>
            <w:tcW w:w="70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39,113</w:t>
            </w:r>
          </w:p>
        </w:tc>
        <w:tc>
          <w:tcPr>
            <w:tcW w:w="6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(11,249)</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43"/>
        </w:trPr>
        <w:tc>
          <w:tcPr>
            <w:tcW w:w="4280" w:type="dxa"/>
            <w:vAlign w:val="bottom"/>
          </w:tcPr>
          <w:p>
            <w:pPr>
              <w:ind w:left="340"/>
              <w:spacing w:after="0"/>
              <w:rPr>
                <w:sz w:val="20"/>
                <w:szCs w:val="20"/>
                <w:color w:val="auto"/>
              </w:rPr>
            </w:pPr>
            <w:r>
              <w:rPr>
                <w:rFonts w:ascii="Arial" w:cs="Arial" w:eastAsia="Arial" w:hAnsi="Arial"/>
                <w:sz w:val="18"/>
                <w:szCs w:val="18"/>
                <w:color w:val="auto"/>
              </w:rPr>
              <w:t>Mass market:</w:t>
            </w:r>
          </w:p>
        </w:tc>
        <w:tc>
          <w:tcPr>
            <w:tcW w:w="4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Average number of table games</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4280" w:type="dxa"/>
            <w:vAlign w:val="bottom"/>
          </w:tcPr>
          <w:p>
            <w:pPr>
              <w:ind w:left="540"/>
              <w:spacing w:after="0"/>
              <w:rPr>
                <w:sz w:val="20"/>
                <w:szCs w:val="20"/>
                <w:color w:val="auto"/>
              </w:rPr>
            </w:pPr>
            <w:r>
              <w:rPr>
                <w:rFonts w:ascii="Arial" w:cs="Arial" w:eastAsia="Arial" w:hAnsi="Arial"/>
                <w:sz w:val="18"/>
                <w:szCs w:val="18"/>
                <w:color w:val="auto"/>
              </w:rPr>
              <w:t>Table drop</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5,410,439</w:t>
            </w:r>
          </w:p>
        </w:tc>
        <w:tc>
          <w:tcPr>
            <w:tcW w:w="7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5,058,332</w:t>
            </w:r>
          </w:p>
        </w:tc>
        <w:tc>
          <w:tcPr>
            <w:tcW w:w="6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352,107</w:t>
            </w:r>
          </w:p>
        </w:tc>
        <w:tc>
          <w:tcPr>
            <w:tcW w:w="120" w:type="dxa"/>
            <w:vAlign w:val="bottom"/>
          </w:tcPr>
          <w:p>
            <w:pPr>
              <w:spacing w:after="0"/>
              <w:rPr>
                <w:sz w:val="21"/>
                <w:szCs w:val="21"/>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Table games win</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1,099,353</w:t>
            </w:r>
          </w:p>
        </w:tc>
        <w:tc>
          <w:tcPr>
            <w:tcW w:w="70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1,014,484</w:t>
            </w:r>
          </w:p>
        </w:tc>
        <w:tc>
          <w:tcPr>
            <w:tcW w:w="6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84,869</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43"/>
        </w:trPr>
        <w:tc>
          <w:tcPr>
            <w:tcW w:w="4280" w:type="dxa"/>
            <w:vAlign w:val="bottom"/>
          </w:tcPr>
          <w:p>
            <w:pPr>
              <w:ind w:left="540"/>
              <w:spacing w:after="0"/>
              <w:rPr>
                <w:sz w:val="20"/>
                <w:szCs w:val="20"/>
                <w:color w:val="auto"/>
              </w:rPr>
            </w:pPr>
            <w:r>
              <w:rPr>
                <w:rFonts w:ascii="Arial" w:cs="Arial" w:eastAsia="Arial" w:hAnsi="Arial"/>
                <w:sz w:val="18"/>
                <w:szCs w:val="18"/>
                <w:color w:val="auto"/>
              </w:rPr>
              <w:t>Table games win %</w:t>
            </w:r>
          </w:p>
        </w:tc>
        <w:tc>
          <w:tcPr>
            <w:tcW w:w="40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20.3 %</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20.1 %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Table games win per unit per day</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14,519</w:t>
            </w:r>
          </w:p>
        </w:tc>
        <w:tc>
          <w:tcPr>
            <w:tcW w:w="70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13,698</w:t>
            </w:r>
          </w:p>
        </w:tc>
        <w:tc>
          <w:tcPr>
            <w:tcW w:w="6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821</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4280" w:type="dxa"/>
            <w:vAlign w:val="bottom"/>
          </w:tcPr>
          <w:p>
            <w:pPr>
              <w:ind w:left="540"/>
              <w:spacing w:after="0"/>
              <w:rPr>
                <w:sz w:val="20"/>
                <w:szCs w:val="20"/>
                <w:color w:val="auto"/>
              </w:rPr>
            </w:pPr>
            <w:r>
              <w:rPr>
                <w:rFonts w:ascii="Arial" w:cs="Arial" w:eastAsia="Arial" w:hAnsi="Arial"/>
                <w:sz w:val="18"/>
                <w:szCs w:val="18"/>
                <w:color w:val="auto"/>
              </w:rPr>
              <w:t>Average number of slot machines</w:t>
            </w:r>
          </w:p>
        </w:tc>
        <w:tc>
          <w:tcPr>
            <w:tcW w:w="4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807</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877</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Slot machine handle</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3,545,899</w:t>
            </w:r>
          </w:p>
        </w:tc>
        <w:tc>
          <w:tcPr>
            <w:tcW w:w="70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3,740,096</w:t>
            </w:r>
          </w:p>
        </w:tc>
        <w:tc>
          <w:tcPr>
            <w:tcW w:w="6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(194,197)</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4280" w:type="dxa"/>
            <w:vAlign w:val="bottom"/>
          </w:tcPr>
          <w:p>
            <w:pPr>
              <w:ind w:left="540"/>
              <w:spacing w:after="0"/>
              <w:rPr>
                <w:sz w:val="20"/>
                <w:szCs w:val="20"/>
                <w:color w:val="auto"/>
              </w:rPr>
            </w:pPr>
            <w:r>
              <w:rPr>
                <w:rFonts w:ascii="Arial" w:cs="Arial" w:eastAsia="Arial" w:hAnsi="Arial"/>
                <w:sz w:val="18"/>
                <w:szCs w:val="18"/>
                <w:color w:val="auto"/>
              </w:rPr>
              <w:t>Slot machine win</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170,358</w:t>
            </w:r>
          </w:p>
        </w:tc>
        <w:tc>
          <w:tcPr>
            <w:tcW w:w="7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161,384</w:t>
            </w:r>
          </w:p>
        </w:tc>
        <w:tc>
          <w:tcPr>
            <w:tcW w:w="6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8,974</w:t>
            </w:r>
          </w:p>
        </w:tc>
        <w:tc>
          <w:tcPr>
            <w:tcW w:w="120" w:type="dxa"/>
            <w:vAlign w:val="bottom"/>
          </w:tcPr>
          <w:p>
            <w:pPr>
              <w:spacing w:after="0"/>
              <w:rPr>
                <w:sz w:val="21"/>
                <w:szCs w:val="21"/>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Slot machine win per unit per day</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70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6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43"/>
        </w:trPr>
        <w:tc>
          <w:tcPr>
            <w:tcW w:w="4280" w:type="dxa"/>
            <w:vAlign w:val="bottom"/>
          </w:tcPr>
          <w:p>
            <w:pPr>
              <w:ind w:left="540"/>
              <w:spacing w:after="0"/>
              <w:rPr>
                <w:sz w:val="20"/>
                <w:szCs w:val="20"/>
                <w:color w:val="auto"/>
              </w:rPr>
            </w:pPr>
            <w:r>
              <w:rPr>
                <w:rFonts w:ascii="Arial" w:cs="Arial" w:eastAsia="Arial" w:hAnsi="Arial"/>
                <w:sz w:val="18"/>
                <w:szCs w:val="18"/>
                <w:color w:val="auto"/>
              </w:rPr>
              <w:t>Poker rake</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20,835</w:t>
            </w:r>
          </w:p>
        </w:tc>
        <w:tc>
          <w:tcPr>
            <w:tcW w:w="7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20,980</w:t>
            </w:r>
          </w:p>
        </w:tc>
        <w:tc>
          <w:tcPr>
            <w:tcW w:w="6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43" w:name="page44"/>
    <w:bookmarkEnd w:id="4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2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5"/>
          </w:tcPr>
          <w:p>
            <w:pPr>
              <w:jc w:val="right"/>
              <w:ind w:right="671"/>
              <w:spacing w:after="0"/>
              <w:rPr>
                <w:sz w:val="20"/>
                <w:szCs w:val="20"/>
                <w:color w:val="auto"/>
              </w:rPr>
            </w:pPr>
            <w:r>
              <w:rPr>
                <w:rFonts w:ascii="Arial" w:cs="Arial" w:eastAsia="Arial" w:hAnsi="Arial"/>
                <w:sz w:val="14"/>
                <w:szCs w:val="14"/>
                <w:b w:val="1"/>
                <w:bCs w:val="1"/>
                <w:color w:val="auto"/>
              </w:rPr>
              <w:t>Years Ended December 31,</w:t>
            </w:r>
          </w:p>
        </w:tc>
        <w:tc>
          <w:tcPr>
            <w:tcW w:w="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gridSpan w:val="2"/>
          </w:tcPr>
          <w:p>
            <w:pPr>
              <w:jc w:val="center"/>
              <w:ind w:right="440"/>
              <w:spacing w:after="0" w:line="139" w:lineRule="exact"/>
              <w:rPr>
                <w:sz w:val="20"/>
                <w:szCs w:val="20"/>
                <w:color w:val="auto"/>
              </w:rPr>
            </w:pPr>
            <w:r>
              <w:rPr>
                <w:rFonts w:ascii="Arial" w:cs="Arial" w:eastAsia="Arial" w:hAnsi="Arial"/>
                <w:sz w:val="14"/>
                <w:szCs w:val="14"/>
                <w:b w:val="1"/>
                <w:bCs w:val="1"/>
                <w:color w:val="auto"/>
                <w:w w:val="92"/>
              </w:rPr>
              <w:t>Increase/</w:t>
            </w:r>
          </w:p>
        </w:tc>
        <w:tc>
          <w:tcPr>
            <w:tcW w:w="1580" w:type="dxa"/>
            <w:vAlign w:val="bottom"/>
          </w:tcPr>
          <w:p>
            <w:pPr>
              <w:jc w:val="right"/>
              <w:ind w:right="472"/>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4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(Decrease)</w:t>
            </w:r>
          </w:p>
        </w:tc>
        <w:tc>
          <w:tcPr>
            <w:tcW w:w="1580" w:type="dxa"/>
            <w:vAlign w:val="bottom"/>
          </w:tcPr>
          <w:p>
            <w:pPr>
              <w:jc w:val="right"/>
              <w:ind w:right="47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36"/>
        </w:trPr>
        <w:tc>
          <w:tcPr>
            <w:tcW w:w="4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Las Vegas Operations:</w:t>
            </w:r>
          </w:p>
        </w:tc>
        <w:tc>
          <w:tcPr>
            <w:tcW w:w="42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3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80" w:type="dxa"/>
            <w:vAlign w:val="bottom"/>
          </w:tcPr>
          <w:p>
            <w:pPr>
              <w:ind w:left="320"/>
              <w:spacing w:after="0"/>
              <w:rPr>
                <w:sz w:val="20"/>
                <w:szCs w:val="20"/>
                <w:color w:val="auto"/>
              </w:rPr>
            </w:pPr>
            <w:r>
              <w:rPr>
                <w:rFonts w:ascii="Arial" w:cs="Arial" w:eastAsia="Arial" w:hAnsi="Arial"/>
                <w:sz w:val="18"/>
                <w:szCs w:val="18"/>
                <w:color w:val="auto"/>
              </w:rPr>
              <w:t>Total casino revenues</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394,104</w:t>
            </w:r>
          </w:p>
        </w:tc>
        <w:tc>
          <w:tcPr>
            <w:tcW w:w="720" w:type="dxa"/>
            <w:vAlign w:val="bottom"/>
            <w:gridSpan w:val="3"/>
          </w:tcPr>
          <w:p>
            <w:pPr>
              <w:jc w:val="right"/>
              <w:ind w:right="300"/>
              <w:spacing w:after="0"/>
              <w:rPr>
                <w:sz w:val="20"/>
                <w:szCs w:val="20"/>
                <w:color w:val="auto"/>
              </w:rPr>
            </w:pPr>
            <w:r>
              <w:rPr>
                <w:rFonts w:ascii="Arial" w:cs="Arial" w:eastAsia="Arial" w:hAnsi="Arial"/>
                <w:sz w:val="18"/>
                <w:szCs w:val="18"/>
                <w:color w:val="444444"/>
              </w:rPr>
              <w:t>$</w:t>
            </w:r>
          </w:p>
        </w:tc>
        <w:tc>
          <w:tcPr>
            <w:tcW w:w="1120" w:type="dxa"/>
            <w:vAlign w:val="bottom"/>
          </w:tcPr>
          <w:p>
            <w:pPr>
              <w:jc w:val="right"/>
              <w:spacing w:after="0"/>
              <w:rPr>
                <w:sz w:val="20"/>
                <w:szCs w:val="20"/>
                <w:color w:val="auto"/>
              </w:rPr>
            </w:pPr>
            <w:r>
              <w:rPr>
                <w:rFonts w:ascii="Arial" w:cs="Arial" w:eastAsia="Arial" w:hAnsi="Arial"/>
                <w:sz w:val="18"/>
                <w:szCs w:val="18"/>
                <w:color w:val="444444"/>
              </w:rPr>
              <w:t>434,083</w:t>
            </w:r>
          </w:p>
        </w:tc>
        <w:tc>
          <w:tcPr>
            <w:tcW w:w="6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(39,979)</w:t>
            </w:r>
          </w:p>
        </w:tc>
        <w:tc>
          <w:tcPr>
            <w:tcW w:w="100" w:type="dxa"/>
            <w:vAlign w:val="bottom"/>
          </w:tcPr>
          <w:p>
            <w:pPr>
              <w:spacing w:after="0"/>
              <w:rPr>
                <w:sz w:val="21"/>
                <w:szCs w:val="21"/>
                <w:color w:val="auto"/>
              </w:rPr>
            </w:pP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Average number of table games</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444444"/>
              </w:rPr>
              <w:t>237</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4280" w:type="dxa"/>
            <w:vAlign w:val="bottom"/>
          </w:tcPr>
          <w:p>
            <w:pPr>
              <w:ind w:left="520"/>
              <w:spacing w:after="0"/>
              <w:rPr>
                <w:sz w:val="20"/>
                <w:szCs w:val="20"/>
                <w:color w:val="auto"/>
              </w:rPr>
            </w:pPr>
            <w:r>
              <w:rPr>
                <w:rFonts w:ascii="Arial" w:cs="Arial" w:eastAsia="Arial" w:hAnsi="Arial"/>
                <w:sz w:val="18"/>
                <w:szCs w:val="18"/>
                <w:color w:val="auto"/>
              </w:rPr>
              <w:t>Table drop</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1,690,132</w:t>
            </w:r>
          </w:p>
        </w:tc>
        <w:tc>
          <w:tcPr>
            <w:tcW w:w="720" w:type="dxa"/>
            <w:vAlign w:val="bottom"/>
            <w:gridSpan w:val="3"/>
          </w:tcPr>
          <w:p>
            <w:pPr>
              <w:jc w:val="right"/>
              <w:ind w:right="300"/>
              <w:spacing w:after="0"/>
              <w:rPr>
                <w:sz w:val="20"/>
                <w:szCs w:val="20"/>
                <w:color w:val="auto"/>
              </w:rPr>
            </w:pPr>
            <w:r>
              <w:rPr>
                <w:rFonts w:ascii="Arial" w:cs="Arial" w:eastAsia="Arial" w:hAnsi="Arial"/>
                <w:sz w:val="18"/>
                <w:szCs w:val="18"/>
                <w:color w:val="444444"/>
              </w:rPr>
              <w:t>$</w:t>
            </w:r>
          </w:p>
        </w:tc>
        <w:tc>
          <w:tcPr>
            <w:tcW w:w="1120" w:type="dxa"/>
            <w:vAlign w:val="bottom"/>
          </w:tcPr>
          <w:p>
            <w:pPr>
              <w:jc w:val="right"/>
              <w:spacing w:after="0"/>
              <w:rPr>
                <w:sz w:val="20"/>
                <w:szCs w:val="20"/>
                <w:color w:val="auto"/>
              </w:rPr>
            </w:pPr>
            <w:r>
              <w:rPr>
                <w:rFonts w:ascii="Arial" w:cs="Arial" w:eastAsia="Arial" w:hAnsi="Arial"/>
                <w:sz w:val="18"/>
                <w:szCs w:val="18"/>
                <w:color w:val="444444"/>
              </w:rPr>
              <w:t>1,852,816</w:t>
            </w:r>
          </w:p>
        </w:tc>
        <w:tc>
          <w:tcPr>
            <w:tcW w:w="6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(162,684)</w:t>
            </w:r>
          </w:p>
        </w:tc>
        <w:tc>
          <w:tcPr>
            <w:tcW w:w="100" w:type="dxa"/>
            <w:vAlign w:val="bottom"/>
          </w:tcPr>
          <w:p>
            <w:pPr>
              <w:spacing w:after="0"/>
              <w:rPr>
                <w:sz w:val="21"/>
                <w:szCs w:val="21"/>
                <w:color w:val="auto"/>
              </w:rPr>
            </w:pP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Table games win</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395,439</w:t>
            </w:r>
          </w:p>
        </w:tc>
        <w:tc>
          <w:tcPr>
            <w:tcW w:w="72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444444"/>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444444"/>
              </w:rPr>
              <w:t>456,021</w:t>
            </w:r>
          </w:p>
        </w:tc>
        <w:tc>
          <w:tcPr>
            <w:tcW w:w="6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(60,582)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43"/>
        </w:trPr>
        <w:tc>
          <w:tcPr>
            <w:tcW w:w="4280" w:type="dxa"/>
            <w:vAlign w:val="bottom"/>
          </w:tcPr>
          <w:p>
            <w:pPr>
              <w:ind w:left="520"/>
              <w:spacing w:after="0"/>
              <w:rPr>
                <w:sz w:val="20"/>
                <w:szCs w:val="20"/>
                <w:color w:val="auto"/>
              </w:rPr>
            </w:pPr>
            <w:r>
              <w:rPr>
                <w:rFonts w:ascii="Arial" w:cs="Arial" w:eastAsia="Arial" w:hAnsi="Arial"/>
                <w:sz w:val="18"/>
                <w:szCs w:val="18"/>
                <w:color w:val="auto"/>
              </w:rPr>
              <w:t>Table games win %</w:t>
            </w: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444444"/>
              </w:rPr>
              <w:t>24.6</w:t>
            </w:r>
          </w:p>
        </w:tc>
        <w:tc>
          <w:tcPr>
            <w:tcW w:w="200" w:type="dxa"/>
            <w:vAlign w:val="bottom"/>
          </w:tcPr>
          <w:p>
            <w:pPr>
              <w:jc w:val="right"/>
              <w:spacing w:after="0"/>
              <w:rPr>
                <w:sz w:val="20"/>
                <w:szCs w:val="20"/>
                <w:color w:val="auto"/>
              </w:rPr>
            </w:pPr>
            <w:r>
              <w:rPr>
                <w:rFonts w:ascii="Arial" w:cs="Arial" w:eastAsia="Arial" w:hAnsi="Arial"/>
                <w:sz w:val="18"/>
                <w:szCs w:val="18"/>
                <w:color w:val="444444"/>
              </w:rPr>
              <w:t>%</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Table games win per unit per day</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4,581</w:t>
            </w:r>
          </w:p>
        </w:tc>
        <w:tc>
          <w:tcPr>
            <w:tcW w:w="72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444444"/>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444444"/>
              </w:rPr>
              <w:t>5,282</w:t>
            </w:r>
          </w:p>
        </w:tc>
        <w:tc>
          <w:tcPr>
            <w:tcW w:w="6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43"/>
        </w:trPr>
        <w:tc>
          <w:tcPr>
            <w:tcW w:w="4280" w:type="dxa"/>
            <w:vAlign w:val="bottom"/>
          </w:tcPr>
          <w:p>
            <w:pPr>
              <w:ind w:left="520"/>
              <w:spacing w:after="0"/>
              <w:rPr>
                <w:sz w:val="20"/>
                <w:szCs w:val="20"/>
                <w:color w:val="auto"/>
              </w:rPr>
            </w:pPr>
            <w:r>
              <w:rPr>
                <w:rFonts w:ascii="Arial" w:cs="Arial" w:eastAsia="Arial" w:hAnsi="Arial"/>
                <w:sz w:val="18"/>
                <w:szCs w:val="18"/>
                <w:color w:val="auto"/>
              </w:rPr>
              <w:t>Average number of slot machines</w:t>
            </w: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1,788</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444444"/>
              </w:rPr>
              <w:t>1,822</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Slot machine handle</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3,427,820</w:t>
            </w:r>
          </w:p>
        </w:tc>
        <w:tc>
          <w:tcPr>
            <w:tcW w:w="72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444444"/>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444444"/>
              </w:rPr>
              <w:t>3,237,085</w:t>
            </w:r>
          </w:p>
        </w:tc>
        <w:tc>
          <w:tcPr>
            <w:tcW w:w="6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190,735</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3"/>
        </w:trPr>
        <w:tc>
          <w:tcPr>
            <w:tcW w:w="4280" w:type="dxa"/>
            <w:vAlign w:val="bottom"/>
          </w:tcPr>
          <w:p>
            <w:pPr>
              <w:ind w:left="520"/>
              <w:spacing w:after="0"/>
              <w:rPr>
                <w:sz w:val="20"/>
                <w:szCs w:val="20"/>
                <w:color w:val="auto"/>
              </w:rPr>
            </w:pPr>
            <w:r>
              <w:rPr>
                <w:rFonts w:ascii="Arial" w:cs="Arial" w:eastAsia="Arial" w:hAnsi="Arial"/>
                <w:sz w:val="18"/>
                <w:szCs w:val="18"/>
                <w:color w:val="auto"/>
              </w:rPr>
              <w:t>Slot machine win</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230,954</w:t>
            </w:r>
          </w:p>
        </w:tc>
        <w:tc>
          <w:tcPr>
            <w:tcW w:w="720" w:type="dxa"/>
            <w:vAlign w:val="bottom"/>
            <w:gridSpan w:val="3"/>
          </w:tcPr>
          <w:p>
            <w:pPr>
              <w:jc w:val="right"/>
              <w:ind w:right="300"/>
              <w:spacing w:after="0"/>
              <w:rPr>
                <w:sz w:val="20"/>
                <w:szCs w:val="20"/>
                <w:color w:val="auto"/>
              </w:rPr>
            </w:pPr>
            <w:r>
              <w:rPr>
                <w:rFonts w:ascii="Arial" w:cs="Arial" w:eastAsia="Arial" w:hAnsi="Arial"/>
                <w:sz w:val="18"/>
                <w:szCs w:val="18"/>
                <w:color w:val="444444"/>
              </w:rPr>
              <w:t>$</w:t>
            </w:r>
          </w:p>
        </w:tc>
        <w:tc>
          <w:tcPr>
            <w:tcW w:w="1120" w:type="dxa"/>
            <w:vAlign w:val="bottom"/>
          </w:tcPr>
          <w:p>
            <w:pPr>
              <w:jc w:val="right"/>
              <w:spacing w:after="0"/>
              <w:rPr>
                <w:sz w:val="20"/>
                <w:szCs w:val="20"/>
                <w:color w:val="auto"/>
              </w:rPr>
            </w:pPr>
            <w:r>
              <w:rPr>
                <w:rFonts w:ascii="Arial" w:cs="Arial" w:eastAsia="Arial" w:hAnsi="Arial"/>
                <w:sz w:val="18"/>
                <w:szCs w:val="18"/>
                <w:color w:val="444444"/>
              </w:rPr>
              <w:t>213,025</w:t>
            </w:r>
          </w:p>
        </w:tc>
        <w:tc>
          <w:tcPr>
            <w:tcW w:w="6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17,929</w:t>
            </w:r>
          </w:p>
        </w:tc>
        <w:tc>
          <w:tcPr>
            <w:tcW w:w="100" w:type="dxa"/>
            <w:vAlign w:val="bottom"/>
          </w:tcPr>
          <w:p>
            <w:pPr>
              <w:spacing w:after="0"/>
              <w:rPr>
                <w:sz w:val="21"/>
                <w:szCs w:val="21"/>
                <w:color w:val="auto"/>
              </w:rPr>
            </w:pPr>
          </w:p>
        </w:tc>
        <w:tc>
          <w:tcPr>
            <w:tcW w:w="1580" w:type="dxa"/>
            <w:vAlign w:val="bottom"/>
          </w:tcPr>
          <w:p>
            <w:pPr>
              <w:jc w:val="right"/>
              <w:ind w:right="72"/>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Slot machine win per unit per day</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72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444444"/>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444444"/>
              </w:rPr>
              <w:t>320</w:t>
            </w:r>
          </w:p>
        </w:tc>
        <w:tc>
          <w:tcPr>
            <w:tcW w:w="6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43"/>
        </w:trPr>
        <w:tc>
          <w:tcPr>
            <w:tcW w:w="4280" w:type="dxa"/>
            <w:vAlign w:val="bottom"/>
          </w:tcPr>
          <w:p>
            <w:pPr>
              <w:ind w:left="520"/>
              <w:spacing w:after="0"/>
              <w:rPr>
                <w:sz w:val="20"/>
                <w:szCs w:val="20"/>
                <w:color w:val="auto"/>
              </w:rPr>
            </w:pPr>
            <w:r>
              <w:rPr>
                <w:rFonts w:ascii="Arial" w:cs="Arial" w:eastAsia="Arial" w:hAnsi="Arial"/>
                <w:sz w:val="18"/>
                <w:szCs w:val="18"/>
                <w:color w:val="auto"/>
              </w:rPr>
              <w:t>Poker rake</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12,569</w:t>
            </w:r>
          </w:p>
        </w:tc>
        <w:tc>
          <w:tcPr>
            <w:tcW w:w="7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10,048</w:t>
            </w:r>
          </w:p>
        </w:tc>
        <w:tc>
          <w:tcPr>
            <w:tcW w:w="6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2,521</w:t>
            </w:r>
          </w:p>
        </w:tc>
        <w:tc>
          <w:tcPr>
            <w:tcW w:w="100" w:type="dxa"/>
            <w:vAlign w:val="bottom"/>
          </w:tcPr>
          <w:p>
            <w:pPr>
              <w:spacing w:after="0"/>
              <w:rPr>
                <w:sz w:val="21"/>
                <w:szCs w:val="21"/>
                <w:color w:val="auto"/>
              </w:rPr>
            </w:pPr>
          </w:p>
        </w:tc>
        <w:tc>
          <w:tcPr>
            <w:tcW w:w="1580" w:type="dxa"/>
            <w:vAlign w:val="bottom"/>
          </w:tcPr>
          <w:p>
            <w:pPr>
              <w:jc w:val="right"/>
              <w:ind w:right="72"/>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Encore Boston Harbor </w:t>
            </w:r>
            <w:r>
              <w:rPr>
                <w:rFonts w:ascii="Arial" w:cs="Arial" w:eastAsia="Arial" w:hAnsi="Arial"/>
                <w:sz w:val="14"/>
                <w:szCs w:val="14"/>
                <w:b w:val="1"/>
                <w:bCs w:val="1"/>
                <w:color w:val="auto"/>
              </w:rPr>
              <w:t>(1)</w:t>
            </w:r>
            <w:r>
              <w:rPr>
                <w:rFonts w:ascii="Arial" w:cs="Arial" w:eastAsia="Arial" w:hAnsi="Arial"/>
                <w:sz w:val="18"/>
                <w:szCs w:val="18"/>
                <w:b w:val="1"/>
                <w:bCs w:val="1"/>
                <w:color w:val="auto"/>
              </w:rPr>
              <w:t>:</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280" w:type="dxa"/>
            <w:vAlign w:val="bottom"/>
          </w:tcPr>
          <w:p>
            <w:pPr>
              <w:ind w:left="320"/>
              <w:spacing w:after="0"/>
              <w:rPr>
                <w:sz w:val="20"/>
                <w:szCs w:val="20"/>
                <w:color w:val="auto"/>
              </w:rPr>
            </w:pPr>
            <w:r>
              <w:rPr>
                <w:rFonts w:ascii="Arial" w:cs="Arial" w:eastAsia="Arial" w:hAnsi="Arial"/>
                <w:sz w:val="18"/>
                <w:szCs w:val="18"/>
                <w:color w:val="auto"/>
              </w:rPr>
              <w:t>Total casino revenues</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243,855</w:t>
            </w:r>
          </w:p>
        </w:tc>
        <w:tc>
          <w:tcPr>
            <w:tcW w:w="7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243,855</w:t>
            </w:r>
          </w:p>
        </w:tc>
        <w:tc>
          <w:tcPr>
            <w:tcW w:w="100" w:type="dxa"/>
            <w:vAlign w:val="bottom"/>
          </w:tcPr>
          <w:p>
            <w:pPr>
              <w:spacing w:after="0"/>
              <w:rPr>
                <w:sz w:val="21"/>
                <w:szCs w:val="21"/>
                <w:color w:val="auto"/>
              </w:rPr>
            </w:pPr>
          </w:p>
        </w:tc>
        <w:tc>
          <w:tcPr>
            <w:tcW w:w="15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Average number of table games</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80" w:type="dxa"/>
            <w:vAlign w:val="bottom"/>
          </w:tcPr>
          <w:p>
            <w:pPr>
              <w:ind w:left="520"/>
              <w:spacing w:after="0"/>
              <w:rPr>
                <w:sz w:val="20"/>
                <w:szCs w:val="20"/>
                <w:color w:val="auto"/>
              </w:rPr>
            </w:pPr>
            <w:r>
              <w:rPr>
                <w:rFonts w:ascii="Arial" w:cs="Arial" w:eastAsia="Arial" w:hAnsi="Arial"/>
                <w:sz w:val="18"/>
                <w:szCs w:val="18"/>
                <w:color w:val="auto"/>
              </w:rPr>
              <w:t>Table drop</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778,898</w:t>
            </w:r>
          </w:p>
        </w:tc>
        <w:tc>
          <w:tcPr>
            <w:tcW w:w="7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778,898</w:t>
            </w:r>
          </w:p>
        </w:tc>
        <w:tc>
          <w:tcPr>
            <w:tcW w:w="100" w:type="dxa"/>
            <w:vAlign w:val="bottom"/>
          </w:tcPr>
          <w:p>
            <w:pPr>
              <w:spacing w:after="0"/>
              <w:rPr>
                <w:sz w:val="21"/>
                <w:szCs w:val="21"/>
                <w:color w:val="auto"/>
              </w:rPr>
            </w:pPr>
          </w:p>
        </w:tc>
        <w:tc>
          <w:tcPr>
            <w:tcW w:w="15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Table games win</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151,247</w:t>
            </w:r>
          </w:p>
        </w:tc>
        <w:tc>
          <w:tcPr>
            <w:tcW w:w="72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151,247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80" w:type="dxa"/>
            <w:vAlign w:val="bottom"/>
          </w:tcPr>
          <w:p>
            <w:pPr>
              <w:ind w:left="520"/>
              <w:spacing w:after="0"/>
              <w:rPr>
                <w:sz w:val="20"/>
                <w:szCs w:val="20"/>
                <w:color w:val="auto"/>
              </w:rPr>
            </w:pPr>
            <w:r>
              <w:rPr>
                <w:rFonts w:ascii="Arial" w:cs="Arial" w:eastAsia="Arial" w:hAnsi="Arial"/>
                <w:sz w:val="18"/>
                <w:szCs w:val="18"/>
                <w:color w:val="auto"/>
              </w:rPr>
              <w:t>Table games win %</w:t>
            </w:r>
          </w:p>
        </w:tc>
        <w:tc>
          <w:tcPr>
            <w:tcW w:w="42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19.4 %</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760" w:type="dxa"/>
            <w:vAlign w:val="bottom"/>
            <w:gridSpan w:val="4"/>
          </w:tcPr>
          <w:p>
            <w:pPr>
              <w:jc w:val="right"/>
              <w:ind w:right="440"/>
              <w:spacing w:after="0"/>
              <w:rPr>
                <w:sz w:val="20"/>
                <w:szCs w:val="20"/>
                <w:color w:val="auto"/>
              </w:rPr>
            </w:pPr>
            <w:r>
              <w:rPr>
                <w:rFonts w:ascii="Arial" w:cs="Arial" w:eastAsia="Arial" w:hAnsi="Arial"/>
                <w:sz w:val="18"/>
                <w:szCs w:val="18"/>
                <w:color w:val="auto"/>
              </w:rPr>
              <w:t>— %</w:t>
            </w: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Table games win per unit per day</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5,178</w:t>
            </w:r>
          </w:p>
        </w:tc>
        <w:tc>
          <w:tcPr>
            <w:tcW w:w="72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5,178</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80" w:type="dxa"/>
            <w:vAlign w:val="bottom"/>
          </w:tcPr>
          <w:p>
            <w:pPr>
              <w:ind w:left="520"/>
              <w:spacing w:after="0"/>
              <w:rPr>
                <w:sz w:val="20"/>
                <w:szCs w:val="20"/>
                <w:color w:val="auto"/>
              </w:rPr>
            </w:pPr>
            <w:r>
              <w:rPr>
                <w:rFonts w:ascii="Arial" w:cs="Arial" w:eastAsia="Arial" w:hAnsi="Arial"/>
                <w:sz w:val="18"/>
                <w:szCs w:val="18"/>
                <w:color w:val="auto"/>
              </w:rPr>
              <w:t>Average number of slot machines</w:t>
            </w: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3,023</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3,023</w:t>
            </w:r>
          </w:p>
        </w:tc>
        <w:tc>
          <w:tcPr>
            <w:tcW w:w="100" w:type="dxa"/>
            <w:vAlign w:val="bottom"/>
          </w:tcPr>
          <w:p>
            <w:pPr>
              <w:spacing w:after="0"/>
              <w:rPr>
                <w:sz w:val="21"/>
                <w:szCs w:val="21"/>
                <w:color w:val="auto"/>
              </w:rPr>
            </w:pPr>
          </w:p>
        </w:tc>
        <w:tc>
          <w:tcPr>
            <w:tcW w:w="15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Slot machine handle</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1,847,080</w:t>
            </w:r>
          </w:p>
        </w:tc>
        <w:tc>
          <w:tcPr>
            <w:tcW w:w="72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1,847,080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80" w:type="dxa"/>
            <w:vAlign w:val="bottom"/>
          </w:tcPr>
          <w:p>
            <w:pPr>
              <w:ind w:left="520"/>
              <w:spacing w:after="0"/>
              <w:rPr>
                <w:sz w:val="20"/>
                <w:szCs w:val="20"/>
                <w:color w:val="auto"/>
              </w:rPr>
            </w:pPr>
            <w:r>
              <w:rPr>
                <w:rFonts w:ascii="Arial" w:cs="Arial" w:eastAsia="Arial" w:hAnsi="Arial"/>
                <w:sz w:val="18"/>
                <w:szCs w:val="18"/>
                <w:color w:val="auto"/>
              </w:rPr>
              <w:t>Slot machine win</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138,264</w:t>
            </w:r>
          </w:p>
        </w:tc>
        <w:tc>
          <w:tcPr>
            <w:tcW w:w="7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138,264</w:t>
            </w:r>
          </w:p>
        </w:tc>
        <w:tc>
          <w:tcPr>
            <w:tcW w:w="100" w:type="dxa"/>
            <w:vAlign w:val="bottom"/>
          </w:tcPr>
          <w:p>
            <w:pPr>
              <w:spacing w:after="0"/>
              <w:rPr>
                <w:sz w:val="21"/>
                <w:szCs w:val="21"/>
                <w:color w:val="auto"/>
              </w:rPr>
            </w:pPr>
          </w:p>
        </w:tc>
        <w:tc>
          <w:tcPr>
            <w:tcW w:w="15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Slot machine win per unit per day</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72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80" w:type="dxa"/>
            <w:vAlign w:val="bottom"/>
          </w:tcPr>
          <w:p>
            <w:pPr>
              <w:ind w:left="520"/>
              <w:spacing w:after="0"/>
              <w:rPr>
                <w:sz w:val="20"/>
                <w:szCs w:val="20"/>
                <w:color w:val="auto"/>
              </w:rPr>
            </w:pPr>
            <w:r>
              <w:rPr>
                <w:rFonts w:ascii="Arial" w:cs="Arial" w:eastAsia="Arial" w:hAnsi="Arial"/>
                <w:sz w:val="18"/>
                <w:szCs w:val="18"/>
                <w:color w:val="auto"/>
              </w:rPr>
              <w:t>Poker rake</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12,324</w:t>
            </w:r>
          </w:p>
        </w:tc>
        <w:tc>
          <w:tcPr>
            <w:tcW w:w="7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12,324</w:t>
            </w:r>
          </w:p>
        </w:tc>
        <w:tc>
          <w:tcPr>
            <w:tcW w:w="100" w:type="dxa"/>
            <w:vAlign w:val="bottom"/>
          </w:tcPr>
          <w:p>
            <w:pPr>
              <w:spacing w:after="0"/>
              <w:rPr>
                <w:sz w:val="21"/>
                <w:szCs w:val="21"/>
                <w:color w:val="auto"/>
              </w:rPr>
            </w:pPr>
          </w:p>
        </w:tc>
        <w:tc>
          <w:tcPr>
            <w:tcW w:w="15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(1) Encore Boston Harbor opened on June 23,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44" w:name="page45"/>
    <w:bookmarkEnd w:id="4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Non-casino revenues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sets forth our room revenues and associated key operating measures: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80" w:type="dxa"/>
            <w:vAlign w:val="bottom"/>
            <w:gridSpan w:val="5"/>
          </w:tcPr>
          <w:p>
            <w:pPr>
              <w:ind w:left="560"/>
              <w:spacing w:after="0"/>
              <w:rPr>
                <w:sz w:val="20"/>
                <w:szCs w:val="20"/>
                <w:color w:val="auto"/>
              </w:rPr>
            </w:pPr>
            <w:r>
              <w:rPr>
                <w:rFonts w:ascii="Arial" w:cs="Arial" w:eastAsia="Arial" w:hAnsi="Arial"/>
                <w:sz w:val="14"/>
                <w:szCs w:val="14"/>
                <w:b w:val="1"/>
                <w:bCs w:val="1"/>
                <w:color w:val="auto"/>
              </w:rPr>
              <w:t>Years Ended December 31,</w:t>
            </w: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vMerge w:val="restart"/>
          </w:tcPr>
          <w:p>
            <w:pPr>
              <w:jc w:val="right"/>
              <w:ind w:right="6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vMerge w:val="restart"/>
          </w:tcPr>
          <w:p>
            <w:pPr>
              <w:jc w:val="right"/>
              <w:ind w:right="63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Increase/</w:t>
            </w:r>
          </w:p>
        </w:tc>
        <w:tc>
          <w:tcPr>
            <w:tcW w:w="1560" w:type="dxa"/>
            <w:vAlign w:val="bottom"/>
          </w:tcPr>
          <w:p>
            <w:pPr>
              <w:jc w:val="right"/>
              <w:ind w:right="453"/>
              <w:spacing w:after="0" w:line="14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88"/>
        </w:trPr>
        <w:tc>
          <w:tcPr>
            <w:tcW w:w="4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(Decrease)</w:t>
            </w:r>
          </w:p>
        </w:tc>
        <w:tc>
          <w:tcPr>
            <w:tcW w:w="1560" w:type="dxa"/>
            <w:vAlign w:val="bottom"/>
          </w:tcPr>
          <w:p>
            <w:pPr>
              <w:jc w:val="right"/>
              <w:ind w:right="45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32"/>
        </w:trPr>
        <w:tc>
          <w:tcPr>
            <w:tcW w:w="4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Macau Operations:</w:t>
            </w:r>
          </w:p>
        </w:tc>
        <w:tc>
          <w:tcPr>
            <w:tcW w:w="420" w:type="dxa"/>
            <w:vAlign w:val="bottom"/>
            <w:tcBorders>
              <w:top w:val="single" w:sz="8" w:color="auto"/>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4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6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80" w:type="dxa"/>
            <w:vAlign w:val="bottom"/>
          </w:tcPr>
          <w:p>
            <w:pPr>
              <w:ind w:left="160"/>
              <w:spacing w:after="0"/>
              <w:rPr>
                <w:sz w:val="20"/>
                <w:szCs w:val="20"/>
                <w:color w:val="auto"/>
              </w:rPr>
            </w:pPr>
            <w:r>
              <w:rPr>
                <w:rFonts w:ascii="Arial" w:cs="Arial" w:eastAsia="Arial" w:hAnsi="Arial"/>
                <w:sz w:val="18"/>
                <w:szCs w:val="18"/>
                <w:color w:val="auto"/>
              </w:rPr>
              <w:t>Wynn Palace:</w:t>
            </w: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room revenues (dollars in thousands)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174,576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170,067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4,509</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4280" w:type="dxa"/>
            <w:vAlign w:val="bottom"/>
          </w:tcPr>
          <w:p>
            <w:pPr>
              <w:ind w:left="340"/>
              <w:spacing w:after="0"/>
              <w:rPr>
                <w:sz w:val="20"/>
                <w:szCs w:val="20"/>
                <w:color w:val="auto"/>
              </w:rPr>
            </w:pPr>
            <w:r>
              <w:rPr>
                <w:rFonts w:ascii="Arial" w:cs="Arial" w:eastAsia="Arial" w:hAnsi="Arial"/>
                <w:sz w:val="18"/>
                <w:szCs w:val="18"/>
                <w:color w:val="auto"/>
              </w:rPr>
              <w:t>Occupancy</w:t>
            </w: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97.2 %</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96.5 %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ADR</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4280" w:type="dxa"/>
            <w:vAlign w:val="bottom"/>
          </w:tcPr>
          <w:p>
            <w:pPr>
              <w:ind w:left="340"/>
              <w:spacing w:after="0"/>
              <w:rPr>
                <w:sz w:val="20"/>
                <w:szCs w:val="20"/>
                <w:color w:val="auto"/>
              </w:rPr>
            </w:pPr>
            <w:r>
              <w:rPr>
                <w:rFonts w:ascii="Arial" w:cs="Arial" w:eastAsia="Arial" w:hAnsi="Arial"/>
                <w:sz w:val="18"/>
                <w:szCs w:val="18"/>
                <w:color w:val="auto"/>
              </w:rPr>
              <w:t>REVPAR</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2"/>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51"/>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560" w:type="dxa"/>
            <w:vAlign w:val="bottom"/>
          </w:tcPr>
          <w:p>
            <w:pPr>
              <w:jc w:val="right"/>
              <w:ind w:right="53"/>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Wynn Macau:</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80" w:type="dxa"/>
            <w:vAlign w:val="bottom"/>
          </w:tcPr>
          <w:p>
            <w:pPr>
              <w:ind w:left="340"/>
              <w:spacing w:after="0"/>
              <w:rPr>
                <w:sz w:val="20"/>
                <w:szCs w:val="20"/>
                <w:color w:val="auto"/>
              </w:rPr>
            </w:pPr>
            <w:r>
              <w:rPr>
                <w:rFonts w:ascii="Arial" w:cs="Arial" w:eastAsia="Arial" w:hAnsi="Arial"/>
                <w:sz w:val="18"/>
                <w:szCs w:val="18"/>
                <w:color w:val="auto"/>
              </w:rPr>
              <w:t>Total room revenues (dollars in thousands)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2"/>
              <w:spacing w:after="0"/>
              <w:rPr>
                <w:sz w:val="20"/>
                <w:szCs w:val="20"/>
                <w:color w:val="auto"/>
              </w:rPr>
            </w:pPr>
            <w:r>
              <w:rPr>
                <w:rFonts w:ascii="Arial" w:cs="Arial" w:eastAsia="Arial" w:hAnsi="Arial"/>
                <w:sz w:val="18"/>
                <w:szCs w:val="18"/>
                <w:color w:val="auto"/>
              </w:rPr>
              <w:t>110,387</w:t>
            </w:r>
          </w:p>
        </w:tc>
        <w:tc>
          <w:tcPr>
            <w:tcW w:w="10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51"/>
              <w:spacing w:after="0"/>
              <w:rPr>
                <w:sz w:val="20"/>
                <w:szCs w:val="20"/>
                <w:color w:val="auto"/>
              </w:rPr>
            </w:pPr>
            <w:r>
              <w:rPr>
                <w:rFonts w:ascii="Arial" w:cs="Arial" w:eastAsia="Arial" w:hAnsi="Arial"/>
                <w:sz w:val="18"/>
                <w:szCs w:val="18"/>
                <w:color w:val="auto"/>
              </w:rPr>
              <w:t>113,495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(3,108)</w:t>
            </w:r>
          </w:p>
        </w:tc>
        <w:tc>
          <w:tcPr>
            <w:tcW w:w="10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Occupancy</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99.2 %</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99.2 %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80" w:type="dxa"/>
            <w:vAlign w:val="bottom"/>
          </w:tcPr>
          <w:p>
            <w:pPr>
              <w:ind w:left="340"/>
              <w:spacing w:after="0"/>
              <w:rPr>
                <w:sz w:val="20"/>
                <w:szCs w:val="20"/>
                <w:color w:val="auto"/>
              </w:rPr>
            </w:pPr>
            <w:r>
              <w:rPr>
                <w:rFonts w:ascii="Arial" w:cs="Arial" w:eastAsia="Arial" w:hAnsi="Arial"/>
                <w:sz w:val="18"/>
                <w:szCs w:val="18"/>
                <w:color w:val="auto"/>
              </w:rPr>
              <w:t>ADR</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2"/>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51"/>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560" w:type="dxa"/>
            <w:vAlign w:val="bottom"/>
          </w:tcPr>
          <w:p>
            <w:pPr>
              <w:jc w:val="right"/>
              <w:ind w:right="53"/>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REVPAR</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b w:val="1"/>
                <w:bCs w:val="1"/>
                <w:color w:val="auto"/>
              </w:rPr>
              <w:t>Las Vegas Operations:</w:t>
            </w: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room revenues (dollars in thousands)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483,055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468,238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14,817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4280" w:type="dxa"/>
            <w:vAlign w:val="bottom"/>
          </w:tcPr>
          <w:p>
            <w:pPr>
              <w:ind w:left="340"/>
              <w:spacing w:after="0"/>
              <w:rPr>
                <w:sz w:val="20"/>
                <w:szCs w:val="20"/>
                <w:color w:val="auto"/>
              </w:rPr>
            </w:pPr>
            <w:r>
              <w:rPr>
                <w:rFonts w:ascii="Arial" w:cs="Arial" w:eastAsia="Arial" w:hAnsi="Arial"/>
                <w:sz w:val="18"/>
                <w:szCs w:val="18"/>
                <w:color w:val="auto"/>
              </w:rPr>
              <w:t>Occupancy</w:t>
            </w: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87.5 %</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87.5 %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ADR</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4280" w:type="dxa"/>
            <w:vAlign w:val="bottom"/>
          </w:tcPr>
          <w:p>
            <w:pPr>
              <w:ind w:left="340"/>
              <w:spacing w:after="0"/>
              <w:rPr>
                <w:sz w:val="20"/>
                <w:szCs w:val="20"/>
                <w:color w:val="auto"/>
              </w:rPr>
            </w:pPr>
            <w:r>
              <w:rPr>
                <w:rFonts w:ascii="Arial" w:cs="Arial" w:eastAsia="Arial" w:hAnsi="Arial"/>
                <w:sz w:val="18"/>
                <w:szCs w:val="18"/>
                <w:color w:val="auto"/>
              </w:rPr>
              <w:t>REVPAR</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2"/>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51"/>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560" w:type="dxa"/>
            <w:vAlign w:val="bottom"/>
          </w:tcPr>
          <w:p>
            <w:pPr>
              <w:jc w:val="right"/>
              <w:ind w:right="53"/>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Encore Boston Harbor </w:t>
            </w:r>
            <w:r>
              <w:rPr>
                <w:rFonts w:ascii="Arial" w:cs="Arial" w:eastAsia="Arial" w:hAnsi="Arial"/>
                <w:sz w:val="14"/>
                <w:szCs w:val="14"/>
                <w:b w:val="1"/>
                <w:bCs w:val="1"/>
                <w:color w:val="auto"/>
              </w:rPr>
              <w:t>(1)</w:t>
            </w:r>
            <w:r>
              <w:rPr>
                <w:rFonts w:ascii="Arial" w:cs="Arial" w:eastAsia="Arial" w:hAnsi="Arial"/>
                <w:sz w:val="18"/>
                <w:szCs w:val="18"/>
                <w:b w:val="1"/>
                <w:bCs w:val="1"/>
                <w:color w:val="auto"/>
              </w:rPr>
              <w: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280" w:type="dxa"/>
            <w:vAlign w:val="bottom"/>
          </w:tcPr>
          <w:p>
            <w:pPr>
              <w:ind w:left="340"/>
              <w:spacing w:after="0"/>
              <w:rPr>
                <w:sz w:val="20"/>
                <w:szCs w:val="20"/>
                <w:color w:val="auto"/>
              </w:rPr>
            </w:pPr>
            <w:r>
              <w:rPr>
                <w:rFonts w:ascii="Arial" w:cs="Arial" w:eastAsia="Arial" w:hAnsi="Arial"/>
                <w:sz w:val="18"/>
                <w:szCs w:val="18"/>
                <w:color w:val="auto"/>
              </w:rPr>
              <w:t>Total room revenues (dollars in thousands)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2"/>
              <w:spacing w:after="0"/>
              <w:rPr>
                <w:sz w:val="20"/>
                <w:szCs w:val="20"/>
                <w:color w:val="auto"/>
              </w:rPr>
            </w:pPr>
            <w:r>
              <w:rPr>
                <w:rFonts w:ascii="Arial" w:cs="Arial" w:eastAsia="Arial" w:hAnsi="Arial"/>
                <w:sz w:val="18"/>
                <w:szCs w:val="18"/>
                <w:color w:val="auto"/>
              </w:rPr>
              <w:t>36,144</w:t>
            </w:r>
          </w:p>
        </w:tc>
        <w:tc>
          <w:tcPr>
            <w:tcW w:w="10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36,144</w:t>
            </w:r>
          </w:p>
        </w:tc>
        <w:tc>
          <w:tcPr>
            <w:tcW w:w="100" w:type="dxa"/>
            <w:vAlign w:val="bottom"/>
          </w:tcPr>
          <w:p>
            <w:pPr>
              <w:spacing w:after="0"/>
              <w:rPr>
                <w:sz w:val="21"/>
                <w:szCs w:val="21"/>
                <w:color w:val="auto"/>
              </w:rPr>
            </w:pPr>
          </w:p>
        </w:tc>
        <w:tc>
          <w:tcPr>
            <w:tcW w:w="156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Occupancy</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72.6 %</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 %</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80" w:type="dxa"/>
            <w:vAlign w:val="bottom"/>
          </w:tcPr>
          <w:p>
            <w:pPr>
              <w:ind w:left="340"/>
              <w:spacing w:after="0"/>
              <w:rPr>
                <w:sz w:val="20"/>
                <w:szCs w:val="20"/>
                <w:color w:val="auto"/>
              </w:rPr>
            </w:pPr>
            <w:r>
              <w:rPr>
                <w:rFonts w:ascii="Arial" w:cs="Arial" w:eastAsia="Arial" w:hAnsi="Arial"/>
                <w:sz w:val="18"/>
                <w:szCs w:val="18"/>
                <w:color w:val="auto"/>
              </w:rPr>
              <w:t>ADR</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2"/>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21"/>
                <w:szCs w:val="21"/>
                <w:color w:val="auto"/>
              </w:rPr>
            </w:pPr>
          </w:p>
        </w:tc>
        <w:tc>
          <w:tcPr>
            <w:tcW w:w="156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REVPAR</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(1) Encore Boston Harbor opened on June 23, 2019.</w:t>
      </w:r>
    </w:p>
    <w:p>
      <w:pPr>
        <w:spacing w:after="0" w:line="24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Room revenues increased $52.4 million, primarily due to $36.1 million from Encore Boston Harbor and higher ADR at Wynn Palace and our Las Vegas Operations, partially offset by rooms out of service for renovations at Wynn Macau during 2019. We completed our Encore tower room renovation at Wynn Macau in the fourth quarter of 2019.</w:t>
      </w:r>
    </w:p>
    <w:p>
      <w:pPr>
        <w:spacing w:after="0" w:line="208"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Food and beverage revenues increased $64.7 million, primarily due to $61.1 million from Encore Boston Harbor and increased covers at our high-volume restaurants at our Macau Operations, partially offset by a decrease in Food and beverage revenues of $8.3 million at our Las Vegas Operations primarily due to lower revenues from our nightclubs and banquets.</w:t>
      </w:r>
    </w:p>
    <w:p>
      <w:pPr>
        <w:spacing w:after="0" w:line="20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Entertainment, retail and other revenues decreased $12.6 million primarily due to the closure of certain owned retail outlets at our Macau Operations and their conversion to leased outlets during 2019, the effect of which was partially offset by Entertainment, retail and other revenues of $22.8 million from Encore Boston Harbor. During the third quarter of 2018, Wynn Palace and Wynn Macau recorded business interruption insurance proceeds of $5.4 million and $5.3 million, respectively, related to the full settlement of claims from Typhoon Hato in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presents operating expenses (in thousands):</w:t>
      </w:r>
    </w:p>
    <w:p>
      <w:pPr>
        <w:spacing w:after="0" w:line="55" w:lineRule="exact"/>
        <w:rPr>
          <w:sz w:val="20"/>
          <w:szCs w:val="20"/>
          <w:color w:val="auto"/>
        </w:rPr>
      </w:pPr>
    </w:p>
    <w:tbl>
      <w:tblPr>
        <w:tblLayout w:type="fixed"/>
        <w:tblInd w:w="10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5"/>
          </w:tcPr>
          <w:p>
            <w:pPr>
              <w:ind w:left="320"/>
              <w:spacing w:after="0"/>
              <w:rPr>
                <w:sz w:val="20"/>
                <w:szCs w:val="20"/>
                <w:color w:val="auto"/>
              </w:rPr>
            </w:pPr>
            <w:r>
              <w:rPr>
                <w:rFonts w:ascii="Arial" w:cs="Arial" w:eastAsia="Arial" w:hAnsi="Arial"/>
                <w:sz w:val="14"/>
                <w:szCs w:val="14"/>
                <w:b w:val="1"/>
                <w:bCs w:val="1"/>
                <w:color w:val="auto"/>
              </w:rPr>
              <w:t>Years Ended December 31,</w:t>
            </w: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5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vMerge w:val="restart"/>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vMerge w:val="restart"/>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right"/>
              <w:ind w:right="273"/>
              <w:spacing w:after="0" w:line="139" w:lineRule="exact"/>
              <w:rPr>
                <w:sz w:val="20"/>
                <w:szCs w:val="20"/>
                <w:color w:val="auto"/>
              </w:rPr>
            </w:pPr>
            <w:r>
              <w:rPr>
                <w:rFonts w:ascii="Arial" w:cs="Arial" w:eastAsia="Arial" w:hAnsi="Arial"/>
                <w:sz w:val="14"/>
                <w:szCs w:val="14"/>
                <w:b w:val="1"/>
                <w:bCs w:val="1"/>
                <w:color w:val="auto"/>
              </w:rPr>
              <w:t>Increase/</w:t>
            </w:r>
          </w:p>
        </w:tc>
        <w:tc>
          <w:tcPr>
            <w:tcW w:w="100" w:type="dxa"/>
            <w:vAlign w:val="bottom"/>
          </w:tcPr>
          <w:p>
            <w:pPr>
              <w:spacing w:after="0"/>
              <w:rPr>
                <w:sz w:val="12"/>
                <w:szCs w:val="12"/>
                <w:color w:val="auto"/>
              </w:rPr>
            </w:pPr>
          </w:p>
        </w:tc>
        <w:tc>
          <w:tcPr>
            <w:tcW w:w="12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92"/>
        </w:trPr>
        <w:tc>
          <w:tcPr>
            <w:tcW w:w="55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(Decrease)</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320"/>
              <w:spacing w:after="0"/>
              <w:rPr>
                <w:sz w:val="20"/>
                <w:szCs w:val="20"/>
                <w:color w:val="auto"/>
              </w:rPr>
            </w:pPr>
            <w:r>
              <w:rPr>
                <w:rFonts w:ascii="Arial" w:cs="Arial" w:eastAsia="Arial" w:hAnsi="Arial"/>
                <w:sz w:val="18"/>
                <w:szCs w:val="18"/>
                <w:color w:val="auto"/>
              </w:rPr>
              <w:t>Casino</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2,924,254</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3,036,907</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(112,653)</w:t>
            </w:r>
          </w:p>
        </w:tc>
        <w:tc>
          <w:tcPr>
            <w:tcW w:w="1360" w:type="dxa"/>
            <w:vAlign w:val="bottom"/>
            <w:gridSpan w:val="2"/>
          </w:tcPr>
          <w:p>
            <w:pPr>
              <w:jc w:val="right"/>
              <w:ind w:right="48"/>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Rooms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276,095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254,549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21,546</w:t>
            </w:r>
          </w:p>
        </w:tc>
        <w:tc>
          <w:tcPr>
            <w:tcW w:w="136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43"/>
        </w:trPr>
        <w:tc>
          <w:tcPr>
            <w:tcW w:w="5500" w:type="dxa"/>
            <w:vAlign w:val="bottom"/>
          </w:tcPr>
          <w:p>
            <w:pPr>
              <w:ind w:left="320"/>
              <w:spacing w:after="0"/>
              <w:rPr>
                <w:sz w:val="20"/>
                <w:szCs w:val="20"/>
                <w:color w:val="auto"/>
              </w:rPr>
            </w:pPr>
            <w:r>
              <w:rPr>
                <w:rFonts w:ascii="Arial" w:cs="Arial" w:eastAsia="Arial" w:hAnsi="Arial"/>
                <w:sz w:val="18"/>
                <w:szCs w:val="18"/>
                <w:color w:val="auto"/>
              </w:rPr>
              <w:t>Food and beverage</w:t>
            </w:r>
          </w:p>
        </w:tc>
        <w:tc>
          <w:tcPr>
            <w:tcW w:w="34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696,498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611,706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84,792</w:t>
            </w:r>
          </w:p>
        </w:tc>
        <w:tc>
          <w:tcPr>
            <w:tcW w:w="1360" w:type="dxa"/>
            <w:vAlign w:val="bottom"/>
            <w:gridSpan w:val="2"/>
          </w:tcPr>
          <w:p>
            <w:pPr>
              <w:jc w:val="right"/>
              <w:ind w:right="88"/>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Entertainment, retail and other</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170,206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183,113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(12,907)</w:t>
            </w:r>
          </w:p>
        </w:tc>
        <w:tc>
          <w:tcPr>
            <w:tcW w:w="13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3"/>
        </w:trPr>
        <w:tc>
          <w:tcPr>
            <w:tcW w:w="5500" w:type="dxa"/>
            <w:vAlign w:val="bottom"/>
          </w:tcPr>
          <w:p>
            <w:pPr>
              <w:ind w:left="32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896,670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761,415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135,255</w:t>
            </w:r>
          </w:p>
        </w:tc>
        <w:tc>
          <w:tcPr>
            <w:tcW w:w="1360" w:type="dxa"/>
            <w:vAlign w:val="bottom"/>
            <w:gridSpan w:val="2"/>
          </w:tcPr>
          <w:p>
            <w:pPr>
              <w:jc w:val="right"/>
              <w:ind w:right="88"/>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Litigation settlement</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463,557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(463,557)</w:t>
            </w:r>
          </w:p>
        </w:tc>
        <w:tc>
          <w:tcPr>
            <w:tcW w:w="13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5500" w:type="dxa"/>
            <w:vAlign w:val="bottom"/>
          </w:tcPr>
          <w:p>
            <w:pPr>
              <w:ind w:left="320"/>
              <w:spacing w:after="0"/>
              <w:rPr>
                <w:sz w:val="20"/>
                <w:szCs w:val="20"/>
                <w:color w:val="auto"/>
              </w:rPr>
            </w:pPr>
            <w:r>
              <w:rPr>
                <w:rFonts w:ascii="Arial" w:cs="Arial" w:eastAsia="Arial" w:hAnsi="Arial"/>
                <w:sz w:val="18"/>
                <w:szCs w:val="18"/>
                <w:color w:val="auto"/>
              </w:rPr>
              <w:t>Provision for doubtful accounts</w:t>
            </w:r>
          </w:p>
        </w:tc>
        <w:tc>
          <w:tcPr>
            <w:tcW w:w="34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21,898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6,527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15,371</w:t>
            </w:r>
          </w:p>
        </w:tc>
        <w:tc>
          <w:tcPr>
            <w:tcW w:w="1360" w:type="dxa"/>
            <w:vAlign w:val="bottom"/>
            <w:gridSpan w:val="2"/>
          </w:tcPr>
          <w:p>
            <w:pPr>
              <w:jc w:val="right"/>
              <w:ind w:right="88"/>
              <w:spacing w:after="0"/>
              <w:rPr>
                <w:sz w:val="20"/>
                <w:szCs w:val="20"/>
                <w:color w:val="auto"/>
              </w:rPr>
            </w:pPr>
            <w:r>
              <w:rPr>
                <w:rFonts w:ascii="Arial" w:cs="Arial" w:eastAsia="Arial" w:hAnsi="Arial"/>
                <w:sz w:val="18"/>
                <w:szCs w:val="18"/>
                <w:color w:val="auto"/>
              </w:rPr>
              <w:t>235.5</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Pre-opening</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102,009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53,490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48,519</w:t>
            </w:r>
          </w:p>
        </w:tc>
        <w:tc>
          <w:tcPr>
            <w:tcW w:w="136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43"/>
        </w:trPr>
        <w:tc>
          <w:tcPr>
            <w:tcW w:w="550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624,878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550,596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74,282</w:t>
            </w:r>
          </w:p>
        </w:tc>
        <w:tc>
          <w:tcPr>
            <w:tcW w:w="1360" w:type="dxa"/>
            <w:vAlign w:val="bottom"/>
            <w:gridSpan w:val="2"/>
          </w:tcPr>
          <w:p>
            <w:pPr>
              <w:jc w:val="right"/>
              <w:ind w:right="88"/>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Property charges and other</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20,286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60,256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(39,970)</w:t>
            </w:r>
          </w:p>
        </w:tc>
        <w:tc>
          <w:tcPr>
            <w:tcW w:w="13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64"/>
        </w:trPr>
        <w:tc>
          <w:tcPr>
            <w:tcW w:w="5500" w:type="dxa"/>
            <w:vAlign w:val="bottom"/>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5,732,794</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5,982,116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(249,322)</w:t>
            </w:r>
          </w:p>
        </w:tc>
        <w:tc>
          <w:tcPr>
            <w:tcW w:w="1360" w:type="dxa"/>
            <w:vAlign w:val="bottom"/>
            <w:gridSpan w:val="2"/>
          </w:tcPr>
          <w:p>
            <w:pPr>
              <w:jc w:val="right"/>
              <w:ind w:right="48"/>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
        </w:trPr>
        <w:tc>
          <w:tcPr>
            <w:tcW w:w="55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ind w:firstLine="446"/>
        <w:spacing w:after="0" w:line="342" w:lineRule="auto"/>
        <w:rPr>
          <w:sz w:val="20"/>
          <w:szCs w:val="20"/>
          <w:color w:val="auto"/>
        </w:rPr>
      </w:pPr>
      <w:r>
        <w:rPr>
          <w:rFonts w:ascii="Arial" w:cs="Arial" w:eastAsia="Arial" w:hAnsi="Arial"/>
          <w:sz w:val="16"/>
          <w:szCs w:val="16"/>
          <w:color w:val="auto"/>
        </w:rPr>
        <w:t>Total operating expenses decreased $249.3 million compared to the year ended December 31, 2018, primarily due to a prior year litigation settlement expense of $463.6 million. The decrease was partially offset by operating expenses associated with the opening of Encore Boston Harbor on June 23, 2019.</w:t>
      </w:r>
    </w:p>
    <w:p>
      <w:pPr>
        <w:spacing w:after="0" w:line="15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Casino expenses decreased commensurate with the decrease in casino revenues at our Macau Operations and Las Vegas Operations, partially offset by $141.4 million of casino expenses from Encore Boston Harbor.</w:t>
      </w:r>
    </w:p>
    <w:p>
      <w:pPr>
        <w:spacing w:after="0" w:line="19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Room expenses increased primarily due to $17.5 million from Encore Boston Harbor and an increase of $3.0 million from our Las Vegas Operations.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increase at our Las Vegas Operations was primarily driven by increased payroll costs.</w:t>
      </w:r>
    </w:p>
    <w:p>
      <w:pPr>
        <w:spacing w:after="0" w:line="23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Food and beverage expenses increased primarily due to $56.7 million from Encore Boston Harbor and increases of $9.4 million, $9.9 million, and $8.8 million at Wynn Palace, Wynn Macau and our Las Vegas Operations, respectively. The increases at Wynn Palace and Wynn Macau were driven by incremental costs associated with opening new food and beverage outlets at Wynn Palace and increased cost of goods sold. The increase at our Las Vegas Operations was primarily driven by increased payroll costs.</w:t>
      </w:r>
    </w:p>
    <w:p>
      <w:pPr>
        <w:spacing w:after="0" w:line="214"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Entertainment, retail and other expenses decreased $12.9 million, primarily due to the closure of certain owned retail outlets at our Macau Operations and their conversion to leased outlets during 2019.</w:t>
      </w:r>
    </w:p>
    <w:p>
      <w:pPr>
        <w:spacing w:after="0" w:line="19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General and administrative expenses increased primarily due to $117.2 million from Encore Boston Harbor and increases of $1.5 million, $11.6 million, and $3.0 million, at Wynn Palace, Wynn Macau, and our Las Vegas Operations, respectively. These increases were primarily attributable to increased payroll costs and property taxes at our Macau Operations and increased advertising costs at our Las Vegas Operations.</w:t>
      </w:r>
    </w:p>
    <w:p>
      <w:pPr>
        <w:spacing w:after="0" w:line="19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Litigation settlement expense of $463.6 million was incurred in the first quarter of 2018 in connection with the repayment of the Redemption Note for claims related to the allegedly below-market interest rate of the Redemption Note.</w:t>
      </w:r>
    </w:p>
    <w:p>
      <w:pPr>
        <w:spacing w:after="0" w:line="19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provision for doubtful accounts increased $11.2 million, $1.3 million and $1.4 million at our Las Vegas Operations, Wynn Palace, and Wynn Macau, respectively. The increases were primarily due to the impact of historical collection patterns and current collection trends, as well as the specific review of customer accounts, on our estimated allowance for the respective periods.</w:t>
      </w:r>
    </w:p>
    <w:p>
      <w:pPr>
        <w:spacing w:after="0" w:line="20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the years ended December 31, 2019 and 2018, pre-opening expenses totaled $102.0 million and $53.5 million, respectively, which primarily related to the development of Encore Boston Harbor.</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46" w:name="page47"/>
    <w:bookmarkEnd w:id="4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Depreciation and amortization increased primarily due to additional depreciation expense of $78.4 million associated with the opening of Encore Boston Harbor.</w:t>
      </w:r>
    </w:p>
    <w:p>
      <w:pPr>
        <w:spacing w:after="0" w:line="19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property charges and other expenses for the year ended December 31, 2019 consisted primarily of asset abandonments and retirements. Our property charges and other expenses for the year ended December 31, 2018 included $14.7 million for the write-down of the carrying value to the purchase price of an aircraft we sold and $8.3 million related to employee severance arrangements. We also incurred asset abandonments and retirements of $9.8 million, $11.6 million, $4.4 million, and $9.3 million at Wynn Palace, Wynn Macau, our Las Vegas Operations, and Corporate and Other, respectively, during the year ended December 31, 2018.</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 of capitalized interest</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information related to interest expense (dollars in thousands):</w:t>
      </w:r>
    </w:p>
    <w:p>
      <w:pPr>
        <w:spacing w:after="0" w:line="55"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tcPr>
          <w:p>
            <w:pPr>
              <w:jc w:val="right"/>
              <w:ind w:right="473"/>
              <w:spacing w:after="0"/>
              <w:rPr>
                <w:sz w:val="20"/>
                <w:szCs w:val="20"/>
                <w:color w:val="auto"/>
              </w:rPr>
            </w:pPr>
            <w:r>
              <w:rPr>
                <w:rFonts w:ascii="Arial" w:cs="Arial" w:eastAsia="Arial" w:hAnsi="Arial"/>
                <w:sz w:val="14"/>
                <w:szCs w:val="14"/>
                <w:b w:val="1"/>
                <w:bCs w:val="1"/>
                <w:color w:val="auto"/>
              </w:rPr>
              <w:t>Years Ended December 31,</w:t>
            </w:r>
          </w:p>
        </w:tc>
        <w:tc>
          <w:tcPr>
            <w:tcW w:w="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center"/>
              <w:ind w:right="117"/>
              <w:spacing w:after="0" w:line="139" w:lineRule="exact"/>
              <w:rPr>
                <w:sz w:val="20"/>
                <w:szCs w:val="20"/>
                <w:color w:val="auto"/>
              </w:rPr>
            </w:pPr>
            <w:r>
              <w:rPr>
                <w:rFonts w:ascii="Arial" w:cs="Arial" w:eastAsia="Arial" w:hAnsi="Arial"/>
                <w:sz w:val="14"/>
                <w:szCs w:val="14"/>
                <w:b w:val="1"/>
                <w:bCs w:val="1"/>
                <w:color w:val="auto"/>
                <w:w w:val="92"/>
              </w:rPr>
              <w:t>Increase/</w:t>
            </w:r>
          </w:p>
        </w:tc>
        <w:tc>
          <w:tcPr>
            <w:tcW w:w="120" w:type="dxa"/>
            <w:vAlign w:val="bottom"/>
          </w:tcPr>
          <w:p>
            <w:pPr>
              <w:spacing w:after="0"/>
              <w:rPr>
                <w:sz w:val="12"/>
                <w:szCs w:val="12"/>
                <w:color w:val="auto"/>
              </w:rPr>
            </w:pPr>
          </w:p>
        </w:tc>
        <w:tc>
          <w:tcPr>
            <w:tcW w:w="1180" w:type="dxa"/>
            <w:vAlign w:val="bottom"/>
            <w:vMerge w:val="restart"/>
          </w:tcPr>
          <w:p>
            <w:pPr>
              <w:ind w:left="100"/>
              <w:spacing w:after="0"/>
              <w:rPr>
                <w:sz w:val="20"/>
                <w:szCs w:val="20"/>
                <w:color w:val="auto"/>
              </w:rPr>
            </w:pPr>
            <w:r>
              <w:rPr>
                <w:rFonts w:ascii="Arial" w:cs="Arial" w:eastAsia="Arial" w:hAnsi="Arial"/>
                <w:sz w:val="14"/>
                <w:szCs w:val="14"/>
                <w:b w:val="1"/>
                <w:bCs w:val="1"/>
                <w:color w:val="auto"/>
                <w:w w:val="99"/>
              </w:rPr>
              <w:t>Percent Change</w:t>
            </w:r>
          </w:p>
        </w:tc>
        <w:tc>
          <w:tcPr>
            <w:tcW w:w="0" w:type="dxa"/>
            <w:vAlign w:val="bottom"/>
          </w:tcPr>
          <w:p>
            <w:pPr>
              <w:spacing w:after="0"/>
              <w:rPr>
                <w:sz w:val="1"/>
                <w:szCs w:val="1"/>
                <w:color w:val="auto"/>
              </w:rPr>
            </w:pPr>
          </w:p>
        </w:tc>
      </w:tr>
      <w:tr>
        <w:trPr>
          <w:trHeight w:val="192"/>
        </w:trPr>
        <w:tc>
          <w:tcPr>
            <w:tcW w:w="55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9"/>
              </w:rPr>
              <w:t>(Decrease)</w:t>
            </w:r>
          </w:p>
        </w:tc>
        <w:tc>
          <w:tcPr>
            <w:tcW w:w="1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Interest expense</w:t>
            </w:r>
          </w:p>
        </w:tc>
        <w:tc>
          <w:tcPr>
            <w:tcW w:w="3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340"/>
              <w:spacing w:after="0"/>
              <w:rPr>
                <w:sz w:val="20"/>
                <w:szCs w:val="20"/>
                <w:color w:val="auto"/>
              </w:rPr>
            </w:pPr>
            <w:r>
              <w:rPr>
                <w:rFonts w:ascii="Arial" w:cs="Arial" w:eastAsia="Arial" w:hAnsi="Arial"/>
                <w:sz w:val="18"/>
                <w:szCs w:val="18"/>
                <w:color w:val="auto"/>
              </w:rPr>
              <w:t>Interest cost, including amortization of debt issuance costs and</w:t>
            </w: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340"/>
              <w:spacing w:after="0"/>
              <w:rPr>
                <w:sz w:val="20"/>
                <w:szCs w:val="20"/>
                <w:color w:val="auto"/>
              </w:rPr>
            </w:pPr>
            <w:r>
              <w:rPr>
                <w:rFonts w:ascii="Arial" w:cs="Arial" w:eastAsia="Arial" w:hAnsi="Arial"/>
                <w:sz w:val="18"/>
                <w:szCs w:val="18"/>
                <w:color w:val="auto"/>
              </w:rPr>
              <w:t>original issue discount and premium</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467,946</w:t>
            </w:r>
          </w:p>
        </w:tc>
        <w:tc>
          <w:tcPr>
            <w:tcW w:w="62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439,157</w:t>
            </w:r>
          </w:p>
        </w:tc>
        <w:tc>
          <w:tcPr>
            <w:tcW w:w="48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ind w:left="360"/>
              <w:spacing w:after="0"/>
              <w:rPr>
                <w:sz w:val="20"/>
                <w:szCs w:val="20"/>
                <w:color w:val="auto"/>
              </w:rPr>
            </w:pPr>
            <w:r>
              <w:rPr>
                <w:rFonts w:ascii="Arial" w:cs="Arial" w:eastAsia="Arial" w:hAnsi="Arial"/>
                <w:sz w:val="18"/>
                <w:szCs w:val="18"/>
                <w:color w:val="auto"/>
              </w:rPr>
              <w:t>28,789</w:t>
            </w:r>
          </w:p>
        </w:tc>
        <w:tc>
          <w:tcPr>
            <w:tcW w:w="1300" w:type="dxa"/>
            <w:vAlign w:val="bottom"/>
            <w:gridSpan w:val="2"/>
          </w:tcPr>
          <w:p>
            <w:pPr>
              <w:jc w:val="center"/>
              <w:ind w:left="670"/>
              <w:spacing w:after="0"/>
              <w:rPr>
                <w:sz w:val="20"/>
                <w:szCs w:val="20"/>
                <w:color w:val="auto"/>
              </w:rPr>
            </w:pPr>
            <w:r>
              <w:rPr>
                <w:rFonts w:ascii="Arial" w:cs="Arial" w:eastAsia="Arial" w:hAnsi="Arial"/>
                <w:sz w:val="18"/>
                <w:szCs w:val="18"/>
                <w:color w:val="auto"/>
                <w:w w:val="87"/>
              </w:rPr>
              <w:t>6.6</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Capitalized interest</w:t>
            </w: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(53,916)</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(57,308)</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(3,392)</w:t>
            </w:r>
          </w:p>
        </w:tc>
        <w:tc>
          <w:tcPr>
            <w:tcW w:w="1300" w:type="dxa"/>
            <w:vAlign w:val="bottom"/>
            <w:tcBorders>
              <w:bottom w:val="single" w:sz="8" w:color="CCEEFF"/>
            </w:tcBorders>
            <w:gridSpan w:val="2"/>
            <w:shd w:val="clear" w:color="auto" w:fill="CCEEFF"/>
          </w:tcPr>
          <w:p>
            <w:pPr>
              <w:jc w:val="center"/>
              <w:ind w:left="650"/>
              <w:spacing w:after="0"/>
              <w:rPr>
                <w:sz w:val="20"/>
                <w:szCs w:val="20"/>
                <w:color w:val="auto"/>
              </w:rPr>
            </w:pPr>
            <w:r>
              <w:rPr>
                <w:rFonts w:ascii="Arial" w:cs="Arial" w:eastAsia="Arial" w:hAnsi="Arial"/>
                <w:sz w:val="18"/>
                <w:szCs w:val="18"/>
                <w:color w:val="auto"/>
                <w:w w:val="97"/>
              </w:rPr>
              <w:t>(5.9)</w:t>
            </w:r>
          </w:p>
        </w:tc>
        <w:tc>
          <w:tcPr>
            <w:tcW w:w="0" w:type="dxa"/>
            <w:vAlign w:val="bottom"/>
          </w:tcPr>
          <w:p>
            <w:pPr>
              <w:spacing w:after="0"/>
              <w:rPr>
                <w:sz w:val="1"/>
                <w:szCs w:val="1"/>
                <w:color w:val="auto"/>
              </w:rPr>
            </w:pPr>
          </w:p>
        </w:tc>
      </w:tr>
      <w:tr>
        <w:trPr>
          <w:trHeight w:val="264"/>
        </w:trPr>
        <w:tc>
          <w:tcPr>
            <w:tcW w:w="55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414,030</w:t>
            </w:r>
          </w:p>
        </w:tc>
        <w:tc>
          <w:tcPr>
            <w:tcW w:w="1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381,849</w:t>
            </w:r>
          </w:p>
        </w:tc>
        <w:tc>
          <w:tcPr>
            <w:tcW w:w="1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b w:val="1"/>
                <w:bCs w:val="1"/>
                <w:color w:val="auto"/>
              </w:rPr>
              <w:t>32,181</w:t>
            </w:r>
          </w:p>
        </w:tc>
        <w:tc>
          <w:tcPr>
            <w:tcW w:w="1300" w:type="dxa"/>
            <w:vAlign w:val="bottom"/>
            <w:gridSpan w:val="2"/>
          </w:tcPr>
          <w:p>
            <w:pPr>
              <w:jc w:val="center"/>
              <w:ind w:left="670"/>
              <w:spacing w:after="0"/>
              <w:rPr>
                <w:sz w:val="20"/>
                <w:szCs w:val="20"/>
                <w:color w:val="auto"/>
              </w:rPr>
            </w:pPr>
            <w:r>
              <w:rPr>
                <w:rFonts w:ascii="Arial" w:cs="Arial" w:eastAsia="Arial" w:hAnsi="Arial"/>
                <w:sz w:val="18"/>
                <w:szCs w:val="18"/>
                <w:color w:val="auto"/>
                <w:w w:val="87"/>
              </w:rPr>
              <w:t>8.4</w:t>
            </w:r>
          </w:p>
        </w:tc>
        <w:tc>
          <w:tcPr>
            <w:tcW w:w="0" w:type="dxa"/>
            <w:vAlign w:val="bottom"/>
          </w:tcPr>
          <w:p>
            <w:pPr>
              <w:spacing w:after="0"/>
              <w:rPr>
                <w:sz w:val="1"/>
                <w:szCs w:val="1"/>
                <w:color w:val="auto"/>
              </w:rPr>
            </w:pP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Arial" w:cs="Arial" w:eastAsia="Arial" w:hAnsi="Arial"/>
                <w:sz w:val="18"/>
                <w:szCs w:val="18"/>
                <w:color w:val="auto"/>
              </w:rPr>
              <w:t>Weighted average total debt balance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9,287,441</w:t>
            </w:r>
          </w:p>
        </w:tc>
        <w:tc>
          <w:tcPr>
            <w:tcW w:w="62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9,155,978</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interest rate</w:t>
            </w:r>
          </w:p>
        </w:tc>
        <w:tc>
          <w:tcPr>
            <w:tcW w:w="3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Interest costs increased due to an increase in the weighted average interest rate. Capitalized interest decreased due to the completion of Encore Boston Harbor construction activities on June 23, 2019.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non-operating income and expenses</w:t>
      </w:r>
    </w:p>
    <w:p>
      <w:pPr>
        <w:spacing w:after="0" w:line="252"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We recorded a $12.4 million loss on extinguishment of debt for the year ended December 31, 2019 related to the Refinancing Transactions. For more information on the Refinancing Transactions, see Note 7, "Long-Term Debt." We recorded a $0.1 million net gain on extinguishment of debt for the year ended December 31, 2018, related to the repayment of the Redemption Note, Wynn Resorts' purchase of $40.0 million of Wynn Las Vegas' 5 1/2% Senior Notes due 2025 and 5 1/4% Senior Notes due 2027 and the execution of the supplemental indenture related to Wynn Las Vegas' 4 1/4% Senior Notes due 2023, offset by a loss on debt extinguishment associated with the amendment of the Wynn Macau Credit Facilities.</w:t>
      </w:r>
    </w:p>
    <w:p>
      <w:pPr>
        <w:spacing w:after="0" w:line="20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During the first quarter of 2018, we repaid the $1.94 billion principal amount of the Redemption Note and recorded a loss of $69.3 million from the change in the fair value of the Redemption Note.</w:t>
      </w:r>
    </w:p>
    <w:p>
      <w:pPr>
        <w:spacing w:after="0" w:line="19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incurred a foreign currency remeasurement gain of $15.2 million and loss of $4.1 million for the years ended December 31, 2019 and 2018, respectively. The impact of the exchange rate fluctuation of the Macau pataca, in relation to the U.S. dollar, on the remeasurements of U.S. dollar denominated debt and other obligations from our Macau-related entities drove the variability between periods.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71" w:lineRule="exact"/>
        <w:rPr>
          <w:sz w:val="20"/>
          <w:szCs w:val="20"/>
          <w:color w:val="auto"/>
        </w:rPr>
      </w:pPr>
    </w:p>
    <w:p>
      <w:pPr>
        <w:jc w:val="both"/>
        <w:ind w:firstLine="446"/>
        <w:spacing w:after="0" w:line="312" w:lineRule="auto"/>
        <w:rPr>
          <w:sz w:val="20"/>
          <w:szCs w:val="20"/>
          <w:color w:val="auto"/>
        </w:rPr>
      </w:pPr>
      <w:r>
        <w:rPr>
          <w:rFonts w:ascii="Arial" w:cs="Arial" w:eastAsia="Arial" w:hAnsi="Arial"/>
          <w:sz w:val="16"/>
          <w:szCs w:val="16"/>
          <w:color w:val="auto"/>
        </w:rPr>
        <w:t>For the years ended December 31, 2019 and 2018, we recorded a tax provision of $176.8 million and a tax benefit of $497.3 million, respectively. The 2019 income tax expense is primarily related to the increase in the valuation allowance for U.S foreign tax credits and disallowed interest expense carryforwards. The 2018 income tax benefit primarily related to a decrease in the valuation allowance for U.S. foreign tax credits as a result of tax reform.</w:t>
      </w:r>
    </w:p>
    <w:p>
      <w:pPr>
        <w:spacing w:after="0" w:line="93"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Wynn Macau SA received a five-year exemption from the Macau Complementary Tax on casino gaming profits through December 31, 2020. For the years ended December 31, 2019 and 2018, we were exempt from the payment of $77.7 million and $96.8 million, respectively, in such taxes. Our non-gaming profits remain subject to the Macau Complementary Tax and</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47" w:name="page48"/>
    <w:bookmarkEnd w:id="4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7"/>
          <w:szCs w:val="17"/>
          <w:color w:val="auto"/>
        </w:rPr>
        <w:t>casino winnings remain subject to the Macau special gaming tax and other levies together totaling 39% in accordance with our concession agreement.</w:t>
      </w:r>
    </w:p>
    <w:p>
      <w:pPr>
        <w:spacing w:after="0" w:line="183" w:lineRule="exact"/>
        <w:rPr>
          <w:sz w:val="20"/>
          <w:szCs w:val="20"/>
          <w:color w:val="auto"/>
        </w:rPr>
      </w:pPr>
    </w:p>
    <w:p>
      <w:pPr>
        <w:jc w:val="both"/>
        <w:ind w:right="20" w:firstLine="446"/>
        <w:spacing w:after="0" w:line="308" w:lineRule="auto"/>
        <w:rPr>
          <w:sz w:val="20"/>
          <w:szCs w:val="20"/>
          <w:color w:val="auto"/>
        </w:rPr>
      </w:pPr>
      <w:r>
        <w:rPr>
          <w:rFonts w:ascii="Arial" w:cs="Arial" w:eastAsia="Arial" w:hAnsi="Arial"/>
          <w:sz w:val="17"/>
          <w:szCs w:val="17"/>
          <w:color w:val="auto"/>
        </w:rPr>
        <w:t>In August 2016, Wynn Macau SA received an extension of its agreement with the Macau government that provides for an annual payment of 12.8 million Macau patacas (approximately $1.6 million) as complementary tax due by stockholders on dividend distributions through December 31, 2020.</w:t>
      </w:r>
    </w:p>
    <w:p>
      <w:pPr>
        <w:spacing w:after="0" w:line="93" w:lineRule="exact"/>
        <w:rPr>
          <w:sz w:val="20"/>
          <w:szCs w:val="20"/>
          <w:color w:val="auto"/>
        </w:rPr>
      </w:pPr>
    </w:p>
    <w:p>
      <w:pPr>
        <w:jc w:val="both"/>
        <w:ind w:right="20" w:firstLine="446"/>
        <w:spacing w:after="0" w:line="277" w:lineRule="auto"/>
        <w:rPr>
          <w:sz w:val="20"/>
          <w:szCs w:val="20"/>
          <w:color w:val="auto"/>
        </w:rPr>
      </w:pPr>
      <w:r>
        <w:rPr>
          <w:rFonts w:ascii="Arial" w:cs="Arial" w:eastAsia="Arial" w:hAnsi="Arial"/>
          <w:sz w:val="18"/>
          <w:szCs w:val="18"/>
          <w:color w:val="auto"/>
        </w:rPr>
        <w:t>We have participated in the Internal Revenue Service ("IRS") Compliance Assurance Program ("CAP") for the 2012 through 2019 tax years and will continue to participate in the IRS CAP for the 2020 tax year.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attributable to noncontrolling interests</w:t>
      </w:r>
    </w:p>
    <w:p>
      <w:pPr>
        <w:spacing w:after="0" w:line="252"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Net income attributable to noncontrolling interests was $188.4 million for the year ended December 31, 2019, compared to $230.7 million for the year ended December 31, 2018. These amounts are primarily related to the noncontrolling interests' share of net income from WML.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Property EBITDA</w:t>
      </w:r>
    </w:p>
    <w:p>
      <w:pPr>
        <w:spacing w:after="0" w:line="256" w:lineRule="exact"/>
        <w:rPr>
          <w:sz w:val="20"/>
          <w:szCs w:val="20"/>
          <w:color w:val="auto"/>
        </w:rPr>
      </w:pPr>
    </w:p>
    <w:p>
      <w:pPr>
        <w:jc w:val="both"/>
        <w:ind w:firstLine="405"/>
        <w:spacing w:after="0" w:line="285" w:lineRule="auto"/>
        <w:rPr>
          <w:sz w:val="20"/>
          <w:szCs w:val="20"/>
          <w:color w:val="auto"/>
        </w:rPr>
      </w:pPr>
      <w:r>
        <w:rPr>
          <w:rFonts w:ascii="Arial" w:cs="Arial" w:eastAsia="Arial" w:hAnsi="Arial"/>
          <w:sz w:val="16"/>
          <w:szCs w:val="16"/>
          <w:color w:val="auto"/>
        </w:rPr>
        <w:t>We use Adjusted Property EBITDA to manage the operating results of our segments. Adjusted Property EBITDA is net income before interest, income taxes, depreciation and amortization, litigation settlement expense, pre-opening expenses, property charges and other, management and license fees, corporate expenses and other (including intercompany golf course and water rights leases), stock-based compensation, (loss) gain on extinguishment of debt, change in derivatives fair value, change in Redemption Note fair value and other non-operating income and expenses. Adjusted Property EBITDA is presented exclusively as a supplemental disclosure because we believe that it is widely used to measure the performance, and as a basis for valuation, of gaming companies. We use Adjusted Property EBITDA as a measure of the operating performance of our segments and to compare the operating performance of our properties with those of our competitors, as well as a basis for determining certain incentive compensation. We also present Adjusted Property EBITDA because it is used by some investors to measure a company's ability to incur and service debt, make capital expenditures and meet working capital requirements. Gaming companies have historically reported EBITDA as a supplement to GAAP. In order to view the operations of their casinos on a more stand-alone basis, gaming companies, including Wynn Resorts, Limited,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The Company has significant uses of cash flows, including capital expenditures, interest payments, debt principal repayments, income taxes and other non-recurring charges, which are not reflected in Adjusted Property EBITDA. Also, the Company's calculation of Adjusted Property EBITDA may be different from the calculation methods used by other companies and, therefore, comparability may be limited.</w:t>
      </w:r>
    </w:p>
    <w:p>
      <w:pPr>
        <w:spacing w:after="0" w:line="202"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following table summarizes Adjusted Property EBITDA (in thousands) for Wynn Palace, Wynn Macau, Las Vegas Operations, and Encore Boston Harbor as reviewed by management and summarized in Item 8—"Financial Statements and Supplementary Data," Note 19, "Segment Information." That footnote also presents a reconciliation of Adjusted Property EBITDA to net income attributable to Wynn Resorts, Limited.</w:t>
      </w:r>
    </w:p>
    <w:p>
      <w:pPr>
        <w:spacing w:after="0" w:line="238" w:lineRule="exact"/>
        <w:rPr>
          <w:sz w:val="20"/>
          <w:szCs w:val="20"/>
          <w:color w:val="auto"/>
        </w:rPr>
      </w:pPr>
    </w:p>
    <w:tbl>
      <w:tblPr>
        <w:tblLayout w:type="fixed"/>
        <w:tblInd w:w="14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5"/>
          </w:tcPr>
          <w:p>
            <w:pPr>
              <w:ind w:left="320"/>
              <w:spacing w:after="0"/>
              <w:rPr>
                <w:sz w:val="20"/>
                <w:szCs w:val="20"/>
                <w:color w:val="auto"/>
              </w:rPr>
            </w:pPr>
            <w:r>
              <w:rPr>
                <w:rFonts w:ascii="Arial" w:cs="Arial" w:eastAsia="Arial" w:hAnsi="Arial"/>
                <w:sz w:val="14"/>
                <w:szCs w:val="14"/>
                <w:b w:val="1"/>
                <w:bCs w:val="1"/>
                <w:color w:val="auto"/>
              </w:rPr>
              <w:t>Years Ended December 31,</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5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vMerge w:val="restart"/>
          </w:tcPr>
          <w:p>
            <w:pPr>
              <w:jc w:val="right"/>
              <w:ind w:right="49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vMerge w:val="restart"/>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center"/>
              <w:ind w:right="320"/>
              <w:spacing w:after="0" w:line="139" w:lineRule="exact"/>
              <w:rPr>
                <w:sz w:val="20"/>
                <w:szCs w:val="20"/>
                <w:color w:val="auto"/>
              </w:rPr>
            </w:pPr>
            <w:r>
              <w:rPr>
                <w:rFonts w:ascii="Arial" w:cs="Arial" w:eastAsia="Arial" w:hAnsi="Arial"/>
                <w:sz w:val="14"/>
                <w:szCs w:val="14"/>
                <w:b w:val="1"/>
                <w:bCs w:val="1"/>
                <w:color w:val="auto"/>
                <w:w w:val="92"/>
              </w:rPr>
              <w:t>Increase/</w:t>
            </w:r>
          </w:p>
        </w:tc>
        <w:tc>
          <w:tcPr>
            <w:tcW w:w="120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92"/>
        </w:trPr>
        <w:tc>
          <w:tcPr>
            <w:tcW w:w="5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(Decrease)</w:t>
            </w: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Wynn Palace</w:t>
            </w:r>
          </w:p>
        </w:tc>
        <w:tc>
          <w:tcPr>
            <w:tcW w:w="34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729,535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843,902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(114,367)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Arial" w:cs="Arial" w:eastAsia="Arial" w:hAnsi="Arial"/>
                <w:sz w:val="18"/>
                <w:szCs w:val="18"/>
                <w:color w:val="auto"/>
              </w:rPr>
              <w:t>Wynn Macau</w:t>
            </w:r>
          </w:p>
        </w:tc>
        <w:tc>
          <w:tcPr>
            <w:tcW w:w="340" w:type="dxa"/>
            <w:vAlign w:val="bottom"/>
          </w:tcPr>
          <w:p>
            <w:pPr>
              <w:spacing w:after="0"/>
              <w:rPr>
                <w:sz w:val="21"/>
                <w:szCs w:val="21"/>
                <w:color w:val="auto"/>
              </w:rPr>
            </w:pPr>
          </w:p>
        </w:tc>
        <w:tc>
          <w:tcPr>
            <w:tcW w:w="1100" w:type="dxa"/>
            <w:vAlign w:val="bottom"/>
          </w:tcPr>
          <w:p>
            <w:pPr>
              <w:jc w:val="right"/>
              <w:ind w:right="76"/>
              <w:spacing w:after="0"/>
              <w:rPr>
                <w:sz w:val="20"/>
                <w:szCs w:val="20"/>
                <w:color w:val="auto"/>
              </w:rPr>
            </w:pPr>
            <w:r>
              <w:rPr>
                <w:rFonts w:ascii="Arial" w:cs="Arial" w:eastAsia="Arial" w:hAnsi="Arial"/>
                <w:sz w:val="18"/>
                <w:szCs w:val="18"/>
                <w:color w:val="auto"/>
              </w:rPr>
              <w:t>648,837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733,238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(84,401)</w:t>
            </w:r>
          </w:p>
        </w:tc>
        <w:tc>
          <w:tcPr>
            <w:tcW w:w="1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Las Vegas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413,886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467,273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(53,387)</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Arial" w:cs="Arial" w:eastAsia="Arial" w:hAnsi="Arial"/>
                <w:sz w:val="18"/>
                <w:szCs w:val="18"/>
                <w:color w:val="auto"/>
              </w:rPr>
              <w:t>Encore Boston Harbor</w:t>
            </w:r>
          </w:p>
        </w:tc>
        <w:tc>
          <w:tcPr>
            <w:tcW w:w="340" w:type="dxa"/>
            <w:vAlign w:val="bottom"/>
          </w:tcPr>
          <w:p>
            <w:pPr>
              <w:spacing w:after="0"/>
              <w:rPr>
                <w:sz w:val="21"/>
                <w:szCs w:val="21"/>
                <w:color w:val="auto"/>
              </w:rPr>
            </w:pPr>
          </w:p>
        </w:tc>
        <w:tc>
          <w:tcPr>
            <w:tcW w:w="1100" w:type="dxa"/>
            <w:vAlign w:val="bottom"/>
          </w:tcPr>
          <w:p>
            <w:pPr>
              <w:jc w:val="right"/>
              <w:ind w:right="76"/>
              <w:spacing w:after="0"/>
              <w:rPr>
                <w:sz w:val="20"/>
                <w:szCs w:val="20"/>
                <w:color w:val="auto"/>
              </w:rPr>
            </w:pPr>
            <w:r>
              <w:rPr>
                <w:rFonts w:ascii="Arial" w:cs="Arial" w:eastAsia="Arial" w:hAnsi="Arial"/>
                <w:sz w:val="18"/>
                <w:szCs w:val="18"/>
                <w:color w:val="auto"/>
              </w:rPr>
              <w:t>23,150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20" w:type="dxa"/>
            <w:vAlign w:val="bottom"/>
          </w:tcPr>
          <w:p>
            <w:pPr>
              <w:jc w:val="right"/>
              <w:ind w:right="76"/>
              <w:spacing w:after="0"/>
              <w:rPr>
                <w:sz w:val="20"/>
                <w:szCs w:val="20"/>
                <w:color w:val="auto"/>
              </w:rPr>
            </w:pPr>
            <w:r>
              <w:rPr>
                <w:rFonts w:ascii="Arial" w:cs="Arial" w:eastAsia="Arial" w:hAnsi="Arial"/>
                <w:sz w:val="18"/>
                <w:szCs w:val="18"/>
                <w:color w:val="auto"/>
              </w:rPr>
              <w:t>23,150</w:t>
            </w:r>
          </w:p>
        </w:tc>
        <w:tc>
          <w:tcPr>
            <w:tcW w:w="100" w:type="dxa"/>
            <w:vAlign w:val="bottom"/>
          </w:tcPr>
          <w:p>
            <w:pPr>
              <w:spacing w:after="0"/>
              <w:rPr>
                <w:sz w:val="21"/>
                <w:szCs w:val="21"/>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64"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Adjusted Property EBITDA at Wynn Palace decreased 13.6% for the year ended December 31, 2019, primarily due to a decrease in VIP turnover and VIP table games win.</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Adjusted Property EBITDA at Wynn Macau decreased 11.5% for the year ended December 31, 2019, primarily due to a decrease in VIP turnover and VIP table games win and increased general and administrative expenses.</w:t>
      </w:r>
    </w:p>
    <w:p>
      <w:pPr>
        <w:spacing w:after="0" w:line="19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Adjusted Property EBITDA at our Las Vegas Operations decreased 11.4% for the year ended December 31, 2019, primarily due to decreased table drop and increased operating expenses.</w:t>
      </w:r>
    </w:p>
    <w:p>
      <w:pPr>
        <w:spacing w:after="0" w:line="19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Adjusted Property EBITDA at Encore Boston Harbor was $23.2 million for the year ended December 31, 2019. Encore Boston Harbor opened on June 23, 2019.</w:t>
      </w:r>
    </w:p>
    <w:p>
      <w:pPr>
        <w:spacing w:after="0" w:line="19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Refer to the discussions above regarding the specific details of our results of operations.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cash flows were as follows (in thousands):</w:t>
      </w:r>
    </w:p>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82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2820" w:type="dxa"/>
            <w:vAlign w:val="bottom"/>
            <w:tcBorders>
              <w:bottom w:val="single" w:sz="8" w:color="auto"/>
            </w:tcBorders>
            <w:gridSpan w:val="4"/>
            <w:shd w:val="clear" w:color="auto" w:fill="CCEEFF"/>
          </w:tcPr>
          <w:p>
            <w:pPr>
              <w:jc w:val="right"/>
              <w:ind w:right="671"/>
              <w:spacing w:after="0"/>
              <w:rPr>
                <w:sz w:val="20"/>
                <w:szCs w:val="20"/>
                <w:color w:val="auto"/>
              </w:rPr>
            </w:pPr>
            <w:r>
              <w:rPr>
                <w:rFonts w:ascii="Arial" w:cs="Arial" w:eastAsia="Arial" w:hAnsi="Arial"/>
                <w:sz w:val="14"/>
                <w:szCs w:val="14"/>
                <w:b w:val="1"/>
                <w:bCs w:val="1"/>
                <w:color w:val="auto"/>
              </w:rPr>
              <w:t>Years Ended December 31,</w:t>
            </w:r>
          </w:p>
        </w:tc>
      </w:tr>
      <w:tr>
        <w:trPr>
          <w:trHeight w:val="244"/>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i w:val="1"/>
                <w:iCs w:val="1"/>
                <w:color w:val="auto"/>
              </w:rPr>
              <w:t>Cash Flows - Summary</w:t>
            </w: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2018</w:t>
            </w:r>
          </w:p>
        </w:tc>
      </w:tr>
      <w:tr>
        <w:trPr>
          <w:trHeight w:val="250"/>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901,070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961,489</w:t>
            </w:r>
          </w:p>
        </w:tc>
      </w:tr>
      <w:tr>
        <w:trPr>
          <w:trHeight w:val="243"/>
        </w:trPr>
        <w:tc>
          <w:tcPr>
            <w:tcW w:w="82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Capital expenditures, net of construction payables and retention</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(1,063,293)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(1,475,972)</w:t>
            </w:r>
          </w:p>
        </w:tc>
      </w:tr>
      <w:tr>
        <w:trPr>
          <w:trHeight w:val="243"/>
        </w:trPr>
        <w:tc>
          <w:tcPr>
            <w:tcW w:w="8220" w:type="dxa"/>
            <w:vAlign w:val="bottom"/>
          </w:tcPr>
          <w:p>
            <w:pPr>
              <w:ind w:left="320"/>
              <w:spacing w:after="0"/>
              <w:rPr>
                <w:sz w:val="20"/>
                <w:szCs w:val="20"/>
                <w:color w:val="auto"/>
              </w:rPr>
            </w:pPr>
            <w:r>
              <w:rPr>
                <w:rFonts w:ascii="Arial" w:cs="Arial" w:eastAsia="Arial" w:hAnsi="Arial"/>
                <w:sz w:val="18"/>
                <w:szCs w:val="18"/>
                <w:color w:val="auto"/>
              </w:rPr>
              <w:t>Purchase of intangible and other assets</w:t>
            </w:r>
          </w:p>
        </w:tc>
        <w:tc>
          <w:tcPr>
            <w:tcW w:w="32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(126,414)</w:t>
            </w:r>
          </w:p>
        </w:tc>
      </w:tr>
      <w:tr>
        <w:trPr>
          <w:trHeight w:val="27"/>
        </w:trPr>
        <w:tc>
          <w:tcPr>
            <w:tcW w:w="8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Proceeds from the sale or maturity of investment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359,461</w:t>
            </w:r>
          </w:p>
        </w:tc>
      </w:tr>
      <w:tr>
        <w:trPr>
          <w:trHeight w:val="243"/>
        </w:trPr>
        <w:tc>
          <w:tcPr>
            <w:tcW w:w="8220" w:type="dxa"/>
            <w:vAlign w:val="bottom"/>
          </w:tcPr>
          <w:p>
            <w:pPr>
              <w:ind w:left="320"/>
              <w:spacing w:after="0"/>
              <w:rPr>
                <w:sz w:val="20"/>
                <w:szCs w:val="20"/>
                <w:color w:val="auto"/>
              </w:rPr>
            </w:pPr>
            <w:r>
              <w:rPr>
                <w:rFonts w:ascii="Arial" w:cs="Arial" w:eastAsia="Arial" w:hAnsi="Arial"/>
                <w:sz w:val="18"/>
                <w:szCs w:val="18"/>
                <w:color w:val="auto"/>
              </w:rPr>
              <w:t>Purchase of investment securities</w:t>
            </w:r>
          </w:p>
        </w:tc>
        <w:tc>
          <w:tcPr>
            <w:tcW w:w="32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(34,098)</w:t>
            </w:r>
          </w:p>
        </w:tc>
      </w:tr>
      <w:tr>
        <w:trPr>
          <w:trHeight w:val="27"/>
        </w:trPr>
        <w:tc>
          <w:tcPr>
            <w:tcW w:w="8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Proceeds from sale of assets</w:t>
            </w: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695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54,213</w:t>
            </w:r>
          </w:p>
        </w:tc>
      </w:tr>
      <w:tr>
        <w:trPr>
          <w:trHeight w:val="237"/>
        </w:trPr>
        <w:tc>
          <w:tcPr>
            <w:tcW w:w="8220" w:type="dxa"/>
            <w:vAlign w:val="bottom"/>
          </w:tcPr>
          <w:p>
            <w:pPr>
              <w:ind w:left="760"/>
              <w:spacing w:after="0"/>
              <w:rPr>
                <w:sz w:val="20"/>
                <w:szCs w:val="20"/>
                <w:color w:val="auto"/>
              </w:rPr>
            </w:pPr>
            <w:r>
              <w:rPr>
                <w:rFonts w:ascii="Arial" w:cs="Arial" w:eastAsia="Arial" w:hAnsi="Arial"/>
                <w:sz w:val="18"/>
                <w:szCs w:val="18"/>
                <w:b w:val="1"/>
                <w:bCs w:val="1"/>
                <w:color w:val="auto"/>
              </w:rPr>
              <w:t>Net cash used in investing activities</w:t>
            </w:r>
          </w:p>
        </w:tc>
        <w:tc>
          <w:tcPr>
            <w:tcW w:w="3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(1,068,598)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(1,222,810)</w:t>
            </w:r>
          </w:p>
        </w:tc>
      </w:tr>
      <w:tr>
        <w:trPr>
          <w:trHeight w:val="27"/>
        </w:trPr>
        <w:tc>
          <w:tcPr>
            <w:tcW w:w="8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82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43"/>
        </w:trPr>
        <w:tc>
          <w:tcPr>
            <w:tcW w:w="8220" w:type="dxa"/>
            <w:vAlign w:val="bottom"/>
          </w:tcPr>
          <w:p>
            <w:pPr>
              <w:ind w:left="20"/>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Proceeds from issuance of long-term debt</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3,893,778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2,788,925</w:t>
            </w:r>
          </w:p>
        </w:tc>
      </w:tr>
      <w:tr>
        <w:trPr>
          <w:trHeight w:val="243"/>
        </w:trPr>
        <w:tc>
          <w:tcPr>
            <w:tcW w:w="8220" w:type="dxa"/>
            <w:vAlign w:val="bottom"/>
          </w:tcPr>
          <w:p>
            <w:pPr>
              <w:ind w:left="320"/>
              <w:spacing w:after="0"/>
              <w:rPr>
                <w:sz w:val="20"/>
                <w:szCs w:val="20"/>
                <w:color w:val="auto"/>
              </w:rPr>
            </w:pPr>
            <w:r>
              <w:rPr>
                <w:rFonts w:ascii="Arial" w:cs="Arial" w:eastAsia="Arial" w:hAnsi="Arial"/>
                <w:sz w:val="18"/>
                <w:szCs w:val="18"/>
                <w:color w:val="auto"/>
              </w:rPr>
              <w:t>Repayments of long-term debt</w:t>
            </w:r>
          </w:p>
        </w:tc>
        <w:tc>
          <w:tcPr>
            <w:tcW w:w="32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(2,930,015)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(3,032,267)</w:t>
            </w:r>
          </w:p>
        </w:tc>
      </w:tr>
      <w:tr>
        <w:trPr>
          <w:trHeight w:val="27"/>
        </w:trPr>
        <w:tc>
          <w:tcPr>
            <w:tcW w:w="8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Proceeds from note receivable from sale of ownership interest in subsidiary</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75,000</w:t>
            </w:r>
          </w:p>
        </w:tc>
      </w:tr>
      <w:tr>
        <w:trPr>
          <w:trHeight w:val="243"/>
        </w:trPr>
        <w:tc>
          <w:tcPr>
            <w:tcW w:w="8220" w:type="dxa"/>
            <w:vAlign w:val="bottom"/>
          </w:tcPr>
          <w:p>
            <w:pPr>
              <w:ind w:left="320"/>
              <w:spacing w:after="0"/>
              <w:rPr>
                <w:sz w:val="20"/>
                <w:szCs w:val="20"/>
                <w:color w:val="auto"/>
              </w:rPr>
            </w:pPr>
            <w:r>
              <w:rPr>
                <w:rFonts w:ascii="Arial" w:cs="Arial" w:eastAsia="Arial" w:hAnsi="Arial"/>
                <w:sz w:val="18"/>
                <w:szCs w:val="18"/>
                <w:color w:val="auto"/>
              </w:rPr>
              <w:t>Proceeds from issuance of common stock, net of issuance costs</w:t>
            </w:r>
          </w:p>
        </w:tc>
        <w:tc>
          <w:tcPr>
            <w:tcW w:w="32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915,240</w:t>
            </w:r>
          </w:p>
        </w:tc>
      </w:tr>
      <w:tr>
        <w:trPr>
          <w:trHeight w:val="27"/>
        </w:trPr>
        <w:tc>
          <w:tcPr>
            <w:tcW w:w="8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Repurchase of common stock</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(66,986)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(159,544)</w:t>
            </w:r>
          </w:p>
        </w:tc>
      </w:tr>
      <w:tr>
        <w:trPr>
          <w:trHeight w:val="243"/>
        </w:trPr>
        <w:tc>
          <w:tcPr>
            <w:tcW w:w="8220" w:type="dxa"/>
            <w:vAlign w:val="bottom"/>
          </w:tcPr>
          <w:p>
            <w:pPr>
              <w:ind w:left="320"/>
              <w:spacing w:after="0"/>
              <w:rPr>
                <w:sz w:val="20"/>
                <w:szCs w:val="20"/>
                <w:color w:val="auto"/>
              </w:rPr>
            </w:pPr>
            <w:r>
              <w:rPr>
                <w:rFonts w:ascii="Arial" w:cs="Arial" w:eastAsia="Arial" w:hAnsi="Arial"/>
                <w:sz w:val="18"/>
                <w:szCs w:val="18"/>
                <w:color w:val="auto"/>
              </w:rPr>
              <w:t>Finance lease payment</w:t>
            </w:r>
          </w:p>
        </w:tc>
        <w:tc>
          <w:tcPr>
            <w:tcW w:w="32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8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Proceeds from exercise of stock options</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14,696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21,971</w:t>
            </w:r>
          </w:p>
        </w:tc>
      </w:tr>
      <w:tr>
        <w:trPr>
          <w:trHeight w:val="243"/>
        </w:trPr>
        <w:tc>
          <w:tcPr>
            <w:tcW w:w="8220" w:type="dxa"/>
            <w:vAlign w:val="bottom"/>
          </w:tcPr>
          <w:p>
            <w:pPr>
              <w:ind w:left="320"/>
              <w:spacing w:after="0"/>
              <w:rPr>
                <w:sz w:val="20"/>
                <w:szCs w:val="20"/>
                <w:color w:val="auto"/>
              </w:rPr>
            </w:pPr>
            <w:r>
              <w:rPr>
                <w:rFonts w:ascii="Arial" w:cs="Arial" w:eastAsia="Arial" w:hAnsi="Arial"/>
                <w:sz w:val="18"/>
                <w:szCs w:val="18"/>
                <w:color w:val="auto"/>
              </w:rPr>
              <w:t>Shares of subsidiary repurchased for share award plan</w:t>
            </w:r>
          </w:p>
        </w:tc>
        <w:tc>
          <w:tcPr>
            <w:tcW w:w="32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(5,384)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(6,232)</w:t>
            </w:r>
          </w:p>
        </w:tc>
      </w:tr>
      <w:tr>
        <w:trPr>
          <w:trHeight w:val="27"/>
        </w:trPr>
        <w:tc>
          <w:tcPr>
            <w:tcW w:w="8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Dividends paid</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(566,521)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(569,781)</w:t>
            </w:r>
          </w:p>
        </w:tc>
      </w:tr>
      <w:tr>
        <w:trPr>
          <w:trHeight w:val="243"/>
        </w:trPr>
        <w:tc>
          <w:tcPr>
            <w:tcW w:w="8220" w:type="dxa"/>
            <w:vAlign w:val="bottom"/>
          </w:tcPr>
          <w:p>
            <w:pPr>
              <w:ind w:left="320"/>
              <w:spacing w:after="0"/>
              <w:rPr>
                <w:sz w:val="20"/>
                <w:szCs w:val="20"/>
                <w:color w:val="auto"/>
              </w:rPr>
            </w:pPr>
            <w:r>
              <w:rPr>
                <w:rFonts w:ascii="Arial" w:cs="Arial" w:eastAsia="Arial" w:hAnsi="Arial"/>
                <w:sz w:val="18"/>
                <w:szCs w:val="18"/>
                <w:color w:val="auto"/>
              </w:rPr>
              <w:t>Distribution to noncontrolling interest</w:t>
            </w:r>
          </w:p>
        </w:tc>
        <w:tc>
          <w:tcPr>
            <w:tcW w:w="32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(7,745)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(305,372)</w:t>
            </w:r>
          </w:p>
        </w:tc>
      </w:tr>
      <w:tr>
        <w:trPr>
          <w:trHeight w:val="27"/>
        </w:trPr>
        <w:tc>
          <w:tcPr>
            <w:tcW w:w="8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Payment to acquire derivatives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(3,900)</w:t>
            </w:r>
          </w:p>
        </w:tc>
      </w:tr>
      <w:tr>
        <w:trPr>
          <w:trHeight w:val="243"/>
        </w:trPr>
        <w:tc>
          <w:tcPr>
            <w:tcW w:w="8220" w:type="dxa"/>
            <w:vAlign w:val="bottom"/>
          </w:tcPr>
          <w:p>
            <w:pPr>
              <w:ind w:left="320"/>
              <w:spacing w:after="0"/>
              <w:rPr>
                <w:sz w:val="20"/>
                <w:szCs w:val="20"/>
                <w:color w:val="auto"/>
              </w:rPr>
            </w:pPr>
            <w:r>
              <w:rPr>
                <w:rFonts w:ascii="Arial" w:cs="Arial" w:eastAsia="Arial" w:hAnsi="Arial"/>
                <w:sz w:val="18"/>
                <w:szCs w:val="18"/>
                <w:color w:val="auto"/>
              </w:rPr>
              <w:t>Payments for financing costs</w:t>
            </w:r>
          </w:p>
        </w:tc>
        <w:tc>
          <w:tcPr>
            <w:tcW w:w="32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(32,738)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(48,297)</w:t>
            </w:r>
          </w:p>
        </w:tc>
      </w:tr>
      <w:tr>
        <w:trPr>
          <w:trHeight w:val="27"/>
        </w:trPr>
        <w:tc>
          <w:tcPr>
            <w:tcW w:w="8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822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299,012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(324,257)</w:t>
            </w:r>
          </w:p>
        </w:tc>
      </w:tr>
      <w:tr>
        <w:trPr>
          <w:trHeight w:val="250"/>
        </w:trPr>
        <w:tc>
          <w:tcPr>
            <w:tcW w:w="82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r>
      <w:tr>
        <w:trPr>
          <w:trHeight w:val="270"/>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Effect of exchange rate on cash, cash equivalents and restricted cash</w:t>
            </w: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7,485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(1,733)</w:t>
            </w:r>
          </w:p>
        </w:tc>
      </w:tr>
      <w:tr>
        <w:trPr>
          <w:trHeight w:val="264"/>
        </w:trPr>
        <w:tc>
          <w:tcPr>
            <w:tcW w:w="8220" w:type="dxa"/>
            <w:vAlign w:val="bottom"/>
          </w:tcPr>
          <w:p>
            <w:pPr>
              <w:ind w:left="20"/>
              <w:spacing w:after="0"/>
              <w:rPr>
                <w:sz w:val="20"/>
                <w:szCs w:val="20"/>
                <w:color w:val="auto"/>
              </w:rPr>
            </w:pPr>
            <w:r>
              <w:rPr>
                <w:rFonts w:ascii="Arial" w:cs="Arial" w:eastAsia="Arial" w:hAnsi="Arial"/>
                <w:sz w:val="18"/>
                <w:szCs w:val="18"/>
                <w:b w:val="1"/>
                <w:bCs w:val="1"/>
                <w:color w:val="auto"/>
              </w:rPr>
              <w:t>Increase (decrease) in cash, cash equivalents and restricted cash</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138,969</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(587,311)</w:t>
            </w:r>
          </w:p>
        </w:tc>
      </w:tr>
      <w:tr>
        <w:trPr>
          <w:trHeight w:val="21"/>
        </w:trPr>
        <w:tc>
          <w:tcPr>
            <w:tcW w:w="8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52"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Our operating cash flows primarily consist of operating income (excluding depreciation and amortization and other non-cash charges), interest paid and earned, and changes in working capital accounts such as receivables, inventories, prepaid expenses, and payables. Our table games play is a mix of cash play and credit play, while our slot machine play is conducted primarily on a cash basis. A significant portion of our table games revenue is attributable to the play of a limited number of</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49" w:name="page50"/>
    <w:bookmarkEnd w:id="4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premium international customers who gamble on credit. The ability to collect these gaming receivables may impact our operating cash flow for the period. Our rooms, food and beverage, and entertainment, retail and other revenue is conducted on a cash and credit basis. Accordingly, operating cash flows will be impacted by changes in operating income and accounts receivable, net.</w:t>
      </w:r>
    </w:p>
    <w:p>
      <w:pPr>
        <w:spacing w:after="0" w:line="208"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During the year ended December 31, 2019, the decrease in net cash provided by operations was primarily driven by lower operating revenues at our Macau Operations and Las Vegas Operations, offset by operating revenues from Encore Boston Harbor.</w:t>
      </w:r>
    </w:p>
    <w:p>
      <w:pPr>
        <w:spacing w:after="0" w:line="197" w:lineRule="exact"/>
        <w:rPr>
          <w:sz w:val="20"/>
          <w:szCs w:val="20"/>
          <w:color w:val="auto"/>
        </w:rPr>
      </w:pPr>
    </w:p>
    <w:p>
      <w:pPr>
        <w:jc w:val="both"/>
        <w:ind w:right="20" w:firstLine="446"/>
        <w:spacing w:after="0" w:line="277" w:lineRule="auto"/>
        <w:rPr>
          <w:sz w:val="20"/>
          <w:szCs w:val="20"/>
          <w:color w:val="auto"/>
        </w:rPr>
      </w:pPr>
      <w:r>
        <w:rPr>
          <w:rFonts w:ascii="Arial" w:cs="Arial" w:eastAsia="Arial" w:hAnsi="Arial"/>
          <w:sz w:val="18"/>
          <w:szCs w:val="18"/>
          <w:color w:val="auto"/>
        </w:rPr>
        <w:t>During the year ended December 31, 2018, net cash provided by operations was impacted by a litigation settlement expense and a reduction in customer deposits at our Macau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52" w:lineRule="exact"/>
        <w:rPr>
          <w:sz w:val="20"/>
          <w:szCs w:val="20"/>
          <w:color w:val="auto"/>
        </w:rPr>
      </w:pPr>
    </w:p>
    <w:p>
      <w:pPr>
        <w:jc w:val="both"/>
        <w:ind w:firstLine="446"/>
        <w:spacing w:after="0" w:line="279" w:lineRule="auto"/>
        <w:rPr>
          <w:sz w:val="20"/>
          <w:szCs w:val="20"/>
          <w:color w:val="auto"/>
        </w:rPr>
      </w:pPr>
      <w:r>
        <w:rPr>
          <w:rFonts w:ascii="Arial" w:cs="Arial" w:eastAsia="Arial" w:hAnsi="Arial"/>
          <w:sz w:val="17"/>
          <w:szCs w:val="17"/>
          <w:color w:val="auto"/>
        </w:rPr>
        <w:t>During the year ended December 31, 2019, we incurred capital expenditures of $471.4 million at Encore Boston Harbor, primarily related to the construction of the resort which opened in June 2019; $211.1 million related to the construction of the Meeting and Convention Expansion and the reconfiguration of the golf course; $142.1 million at Wynn Macau primarily related to our Encore Tower room remodel and Lakeside Casino expansion; and $66.5 million and $96.9 million at Wynn Palace and our Las Vegas Operations, respectively, primarily related to maintenance capital expenditures.</w:t>
      </w:r>
    </w:p>
    <w:p>
      <w:pPr>
        <w:spacing w:after="0" w:line="198" w:lineRule="exact"/>
        <w:rPr>
          <w:sz w:val="20"/>
          <w:szCs w:val="20"/>
          <w:color w:val="auto"/>
        </w:rPr>
      </w:pPr>
    </w:p>
    <w:p>
      <w:pPr>
        <w:jc w:val="both"/>
        <w:ind w:firstLine="446"/>
        <w:spacing w:after="0" w:line="286" w:lineRule="auto"/>
        <w:rPr>
          <w:sz w:val="20"/>
          <w:szCs w:val="20"/>
          <w:color w:val="auto"/>
        </w:rPr>
      </w:pPr>
      <w:r>
        <w:rPr>
          <w:rFonts w:ascii="Arial" w:cs="Arial" w:eastAsia="Arial" w:hAnsi="Arial"/>
          <w:sz w:val="17"/>
          <w:szCs w:val="17"/>
          <w:color w:val="auto"/>
        </w:rPr>
        <w:t>During the year ended December 31, 2018, we incurred $1.48 billion in capital expenditures, net of construction payables and retention, driven by capital expenditures of $791.3 million related to Encore Boston Harbor and $247.0 million for the acquisition of land on the Las Vegas Strip directly across from Wynn Las Vegas. Capital expenditures were offset by net proceeds from the sale or maturity of investment securities of $325.4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52" w:lineRule="exact"/>
        <w:rPr>
          <w:sz w:val="20"/>
          <w:szCs w:val="20"/>
          <w:color w:val="auto"/>
        </w:rPr>
      </w:pPr>
    </w:p>
    <w:p>
      <w:pPr>
        <w:jc w:val="both"/>
        <w:ind w:firstLine="446"/>
        <w:spacing w:after="0" w:line="272" w:lineRule="auto"/>
        <w:rPr>
          <w:sz w:val="20"/>
          <w:szCs w:val="20"/>
          <w:color w:val="auto"/>
        </w:rPr>
      </w:pPr>
      <w:r>
        <w:rPr>
          <w:rFonts w:ascii="Arial" w:cs="Arial" w:eastAsia="Arial" w:hAnsi="Arial"/>
          <w:sz w:val="17"/>
          <w:szCs w:val="17"/>
          <w:color w:val="auto"/>
        </w:rPr>
        <w:t>During the first quarter of 2019 we borrowed an additional $250.0 million term loan under the Wynn Resorts Term Loan. During the third quarter of 2019, in connection with the Refinancing Transactions described below, we repaid $991.3 million of outstanding principal under the Wynn America Credit Facilities and $746.3 million of outstanding principal under the Wynn Resorts Term Loan along with related financing costs, using proceeds from the borrowing of $1.03 billion under the WRF Credit Facilities and the issuance of $750.0 million of 2029 WRF Notes. During the fourth quarter of 2019, we received net proceeds of $990.2 million from the issuance of the WML 2029 Notes. Throughout the year ended December 31, 2019, we repaid $273.9 million, net of amounts borrowed, on the Wynn Macau Revolver. In addition, we used cash of $566.5 million for the payment of dividends, of which $400.6 million was paid to Wynn Resorts shareholders and $165.9 million was paid to WML shareholders, excluding Wynn Resorts.</w:t>
      </w:r>
    </w:p>
    <w:p>
      <w:pPr>
        <w:spacing w:after="0" w:line="205" w:lineRule="exact"/>
        <w:rPr>
          <w:sz w:val="20"/>
          <w:szCs w:val="20"/>
          <w:color w:val="auto"/>
        </w:rPr>
      </w:pPr>
    </w:p>
    <w:p>
      <w:pPr>
        <w:jc w:val="both"/>
        <w:ind w:firstLine="446"/>
        <w:spacing w:after="0" w:line="293" w:lineRule="auto"/>
        <w:rPr>
          <w:sz w:val="20"/>
          <w:szCs w:val="20"/>
          <w:color w:val="auto"/>
        </w:rPr>
      </w:pPr>
      <w:r>
        <w:rPr>
          <w:rFonts w:ascii="Arial" w:cs="Arial" w:eastAsia="Arial" w:hAnsi="Arial"/>
          <w:sz w:val="16"/>
          <w:szCs w:val="16"/>
          <w:color w:val="auto"/>
        </w:rPr>
        <w:t>During the year ended December 31, 2018, we repaid the Redemption Note principal amount of $1.94 billion using cash on hand and amounts borrowed under a Wynn Resorts bridge facility and the WA Senior Revolving Credit Facility. In April 2018, we repaid all amounts borrowed under the Wynn Resorts bridge facility and the WA Senior Revolving Credit Facility using net proceeds of $915.2 million from a registered public equity offering. In addition, we borrowed $623.9 million under the Wynn Macau Revolver, $615.0 million under the Retail Term Loan, $500.0 million under the Wynn Resorts Term Loan, and we used cash of $569.8 million for the payment of dividends and $305.4 million for distributions to noncontrolling interest holders of the Retail Joint Venture. In the fourth quarter, the Company repurchased 1,478,552 shares of its common stock for approximately $156.7 million.</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252" w:lineRule="exact"/>
        <w:rPr>
          <w:sz w:val="20"/>
          <w:szCs w:val="20"/>
          <w:color w:val="auto"/>
        </w:rPr>
      </w:pPr>
    </w:p>
    <w:p>
      <w:pPr>
        <w:jc w:val="both"/>
        <w:ind w:firstLine="446"/>
        <w:spacing w:after="0" w:line="283" w:lineRule="auto"/>
        <w:rPr>
          <w:sz w:val="20"/>
          <w:szCs w:val="20"/>
          <w:color w:val="auto"/>
        </w:rPr>
      </w:pPr>
      <w:r>
        <w:rPr>
          <w:rFonts w:ascii="Arial" w:cs="Arial" w:eastAsia="Arial" w:hAnsi="Arial"/>
          <w:sz w:val="17"/>
          <w:szCs w:val="17"/>
          <w:color w:val="auto"/>
        </w:rPr>
        <w:t>The following table summarizes our unrestricted cash and cash equivalents and available revolver borrowing capacity. Refer to Item 8—"Financial Statements and Supplementary Data," Note 7, "Long-Term Debt" in the accompanying consolidated financial statements for more information regarding each of the Company's debt agreements. The following table is presented by significant financing entity as of December 31, 2019 (in thousands):</w:t>
      </w:r>
    </w:p>
    <w:tbl>
      <w:tblPr>
        <w:tblLayout w:type="fixed"/>
        <w:tblInd w:w="0" w:type="dxa"/>
        <w:tblCellMar>
          <w:top w:w="0" w:type="dxa"/>
          <w:left w:w="0" w:type="dxa"/>
          <w:bottom w:w="0" w:type="dxa"/>
          <w:right w:w="0" w:type="dxa"/>
        </w:tblCellMar>
      </w:tblPr>
      <w:tr>
        <w:trPr>
          <w:trHeight w:val="151"/>
        </w:trPr>
        <w:tc>
          <w:tcPr>
            <w:tcW w:w="200" w:type="dxa"/>
            <w:vAlign w:val="bottom"/>
          </w:tcPr>
          <w:p>
            <w:pPr>
              <w:spacing w:after="0"/>
              <w:rPr>
                <w:sz w:val="13"/>
                <w:szCs w:val="13"/>
                <w:color w:val="auto"/>
              </w:rPr>
            </w:pPr>
          </w:p>
        </w:tc>
        <w:tc>
          <w:tcPr>
            <w:tcW w:w="7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gridSpan w:val="2"/>
          </w:tcPr>
          <w:p>
            <w:pPr>
              <w:jc w:val="center"/>
              <w:ind w:right="340"/>
              <w:spacing w:after="0" w:line="151" w:lineRule="exact"/>
              <w:rPr>
                <w:sz w:val="20"/>
                <w:szCs w:val="20"/>
                <w:color w:val="auto"/>
              </w:rPr>
            </w:pPr>
            <w:r>
              <w:rPr>
                <w:rFonts w:ascii="Arial" w:cs="Arial" w:eastAsia="Arial" w:hAnsi="Arial"/>
                <w:sz w:val="14"/>
                <w:szCs w:val="14"/>
                <w:b w:val="1"/>
                <w:bCs w:val="1"/>
                <w:color w:val="auto"/>
                <w:w w:val="90"/>
              </w:rPr>
              <w:t>Cash and Cash</w:t>
            </w:r>
          </w:p>
        </w:tc>
        <w:tc>
          <w:tcPr>
            <w:tcW w:w="160" w:type="dxa"/>
            <w:vAlign w:val="bottom"/>
          </w:tcPr>
          <w:p>
            <w:pPr>
              <w:spacing w:after="0"/>
              <w:rPr>
                <w:sz w:val="13"/>
                <w:szCs w:val="13"/>
                <w:color w:val="auto"/>
              </w:rPr>
            </w:pPr>
          </w:p>
        </w:tc>
        <w:tc>
          <w:tcPr>
            <w:tcW w:w="1500" w:type="dxa"/>
            <w:vAlign w:val="bottom"/>
          </w:tcPr>
          <w:p>
            <w:pPr>
              <w:jc w:val="right"/>
              <w:ind w:right="115"/>
              <w:spacing w:after="0" w:line="151" w:lineRule="exact"/>
              <w:rPr>
                <w:sz w:val="20"/>
                <w:szCs w:val="20"/>
                <w:color w:val="auto"/>
              </w:rPr>
            </w:pPr>
            <w:r>
              <w:rPr>
                <w:rFonts w:ascii="Arial" w:cs="Arial" w:eastAsia="Arial" w:hAnsi="Arial"/>
                <w:sz w:val="14"/>
                <w:szCs w:val="14"/>
                <w:b w:val="1"/>
                <w:bCs w:val="1"/>
                <w:color w:val="auto"/>
                <w:w w:val="96"/>
              </w:rPr>
              <w:t>Revolver Borrowing</w:t>
            </w: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7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Equivalents</w:t>
            </w:r>
          </w:p>
        </w:tc>
        <w:tc>
          <w:tcPr>
            <w:tcW w:w="160" w:type="dxa"/>
            <w:vAlign w:val="bottom"/>
          </w:tcPr>
          <w:p>
            <w:pPr>
              <w:spacing w:after="0"/>
              <w:rPr>
                <w:sz w:val="16"/>
                <w:szCs w:val="16"/>
                <w:color w:val="auto"/>
              </w:rPr>
            </w:pPr>
          </w:p>
        </w:tc>
        <w:tc>
          <w:tcPr>
            <w:tcW w:w="1500" w:type="dxa"/>
            <w:vAlign w:val="bottom"/>
          </w:tcPr>
          <w:p>
            <w:pPr>
              <w:jc w:val="right"/>
              <w:ind w:right="475"/>
              <w:spacing w:after="0"/>
              <w:rPr>
                <w:sz w:val="20"/>
                <w:szCs w:val="20"/>
                <w:color w:val="auto"/>
              </w:rPr>
            </w:pPr>
            <w:r>
              <w:rPr>
                <w:rFonts w:ascii="Arial" w:cs="Arial" w:eastAsia="Arial" w:hAnsi="Arial"/>
                <w:sz w:val="14"/>
                <w:szCs w:val="14"/>
                <w:b w:val="1"/>
                <w:bCs w:val="1"/>
                <w:color w:val="auto"/>
              </w:rPr>
              <w:t>Capacity</w:t>
            </w:r>
          </w:p>
        </w:tc>
        <w:tc>
          <w:tcPr>
            <w:tcW w:w="0" w:type="dxa"/>
            <w:vAlign w:val="bottom"/>
          </w:tcPr>
          <w:p>
            <w:pPr>
              <w:spacing w:after="0"/>
              <w:rPr>
                <w:sz w:val="1"/>
                <w:szCs w:val="1"/>
                <w:color w:val="auto"/>
              </w:rPr>
            </w:pPr>
          </w:p>
        </w:tc>
      </w:tr>
      <w:tr>
        <w:trPr>
          <w:trHeight w:val="250"/>
        </w:trPr>
        <w:tc>
          <w:tcPr>
            <w:tcW w:w="79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Wynn Resorts (Macau) S.A. and subsidiaries</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799,178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399,263</w:t>
            </w:r>
          </w:p>
        </w:tc>
        <w:tc>
          <w:tcPr>
            <w:tcW w:w="0" w:type="dxa"/>
            <w:vAlign w:val="bottom"/>
          </w:tcPr>
          <w:p>
            <w:pPr>
              <w:spacing w:after="0"/>
              <w:rPr>
                <w:sz w:val="1"/>
                <w:szCs w:val="1"/>
                <w:color w:val="auto"/>
              </w:rPr>
            </w:pPr>
          </w:p>
        </w:tc>
      </w:tr>
      <w:tr>
        <w:trPr>
          <w:trHeight w:val="243"/>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 xml:space="preserve">Wynn Macau, Limited and subsidiaries </w:t>
            </w:r>
            <w:r>
              <w:rPr>
                <w:rFonts w:ascii="Arial" w:cs="Arial" w:eastAsia="Arial" w:hAnsi="Arial"/>
                <w:sz w:val="14"/>
                <w:szCs w:val="14"/>
                <w:color w:val="auto"/>
              </w:rPr>
              <w:t>(1)</w:t>
            </w:r>
          </w:p>
        </w:tc>
        <w:tc>
          <w:tcPr>
            <w:tcW w:w="240" w:type="dxa"/>
            <w:vAlign w:val="bottom"/>
          </w:tcPr>
          <w:p>
            <w:pPr>
              <w:spacing w:after="0"/>
              <w:rPr>
                <w:sz w:val="21"/>
                <w:szCs w:val="21"/>
                <w:color w:val="auto"/>
              </w:rPr>
            </w:pPr>
          </w:p>
        </w:tc>
        <w:tc>
          <w:tcPr>
            <w:tcW w:w="1440" w:type="dxa"/>
            <w:vAlign w:val="bottom"/>
          </w:tcPr>
          <w:p>
            <w:pPr>
              <w:jc w:val="right"/>
              <w:ind w:right="75"/>
              <w:spacing w:after="0"/>
              <w:rPr>
                <w:sz w:val="20"/>
                <w:szCs w:val="20"/>
                <w:color w:val="auto"/>
              </w:rPr>
            </w:pPr>
            <w:r>
              <w:rPr>
                <w:rFonts w:ascii="Arial" w:cs="Arial" w:eastAsia="Arial" w:hAnsi="Arial"/>
                <w:sz w:val="18"/>
                <w:szCs w:val="18"/>
                <w:color w:val="auto"/>
              </w:rPr>
              <w:t>1,009,702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Wynn Resorts Finance, LLC and subsidiaries </w:t>
            </w:r>
            <w:r>
              <w:rPr>
                <w:rFonts w:ascii="Arial" w:cs="Arial" w:eastAsia="Arial" w:hAnsi="Arial"/>
                <w:sz w:val="14"/>
                <w:szCs w:val="14"/>
                <w:color w:val="auto"/>
              </w:rPr>
              <w:t>(2)</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123,733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831,950</w:t>
            </w:r>
          </w:p>
        </w:tc>
        <w:tc>
          <w:tcPr>
            <w:tcW w:w="0" w:type="dxa"/>
            <w:vAlign w:val="bottom"/>
          </w:tcPr>
          <w:p>
            <w:pPr>
              <w:spacing w:after="0"/>
              <w:rPr>
                <w:sz w:val="1"/>
                <w:szCs w:val="1"/>
                <w:color w:val="auto"/>
              </w:rPr>
            </w:pPr>
          </w:p>
        </w:tc>
      </w:tr>
      <w:tr>
        <w:trPr>
          <w:trHeight w:val="243"/>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Wynn Resorts, Limited and other</w:t>
            </w:r>
          </w:p>
        </w:tc>
        <w:tc>
          <w:tcPr>
            <w:tcW w:w="240" w:type="dxa"/>
            <w:vAlign w:val="bottom"/>
          </w:tcPr>
          <w:p>
            <w:pPr>
              <w:spacing w:after="0"/>
              <w:rPr>
                <w:sz w:val="21"/>
                <w:szCs w:val="21"/>
                <w:color w:val="auto"/>
              </w:rPr>
            </w:pPr>
          </w:p>
        </w:tc>
        <w:tc>
          <w:tcPr>
            <w:tcW w:w="1440" w:type="dxa"/>
            <w:vAlign w:val="bottom"/>
          </w:tcPr>
          <w:p>
            <w:pPr>
              <w:jc w:val="right"/>
              <w:ind w:right="75"/>
              <w:spacing w:after="0"/>
              <w:rPr>
                <w:sz w:val="20"/>
                <w:szCs w:val="20"/>
                <w:color w:val="auto"/>
              </w:rPr>
            </w:pPr>
            <w:r>
              <w:rPr>
                <w:rFonts w:ascii="Arial" w:cs="Arial" w:eastAsia="Arial" w:hAnsi="Arial"/>
                <w:sz w:val="18"/>
                <w:szCs w:val="18"/>
                <w:color w:val="auto"/>
              </w:rPr>
              <w:t>419,291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2,351,904</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1,231,213</w:t>
            </w:r>
          </w:p>
        </w:tc>
        <w:tc>
          <w:tcPr>
            <w:tcW w:w="0" w:type="dxa"/>
            <w:vAlign w:val="bottom"/>
          </w:tcPr>
          <w:p>
            <w:pPr>
              <w:spacing w:after="0"/>
              <w:rPr>
                <w:sz w:val="1"/>
                <w:szCs w:val="1"/>
                <w:color w:val="auto"/>
              </w:rPr>
            </w:pPr>
          </w:p>
        </w:tc>
      </w:tr>
      <w:tr>
        <w:trPr>
          <w:trHeight w:val="20"/>
        </w:trPr>
        <w:tc>
          <w:tcPr>
            <w:tcW w:w="2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(1)</w:t>
            </w:r>
          </w:p>
        </w:tc>
        <w:tc>
          <w:tcPr>
            <w:tcW w:w="7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Excluding Wynn Resorts (Macau) S.A. and subsidiaries.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0" w:type="dxa"/>
            <w:vAlign w:val="bottom"/>
            <w:vMerge w:val="continue"/>
          </w:tcPr>
          <w:p>
            <w:pPr>
              <w:spacing w:after="0"/>
              <w:rPr>
                <w:sz w:val="19"/>
                <w:szCs w:val="19"/>
                <w:color w:val="auto"/>
              </w:rPr>
            </w:pPr>
          </w:p>
        </w:tc>
        <w:tc>
          <w:tcPr>
            <w:tcW w:w="77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00" w:type="dxa"/>
            <w:vAlign w:val="bottom"/>
          </w:tcPr>
          <w:p>
            <w:pPr>
              <w:spacing w:after="0"/>
              <w:rPr>
                <w:sz w:val="20"/>
                <w:szCs w:val="20"/>
                <w:color w:val="auto"/>
              </w:rPr>
            </w:pPr>
            <w:r>
              <w:rPr>
                <w:rFonts w:ascii="Arial" w:cs="Arial" w:eastAsia="Arial" w:hAnsi="Arial"/>
                <w:sz w:val="14"/>
                <w:szCs w:val="14"/>
                <w:color w:val="auto"/>
              </w:rPr>
              <w:t>(2)</w:t>
            </w:r>
          </w:p>
        </w:tc>
        <w:tc>
          <w:tcPr>
            <w:tcW w:w="7780" w:type="dxa"/>
            <w:vAlign w:val="bottom"/>
          </w:tcPr>
          <w:p>
            <w:pPr>
              <w:ind w:left="20"/>
              <w:spacing w:after="0"/>
              <w:rPr>
                <w:sz w:val="20"/>
                <w:szCs w:val="20"/>
                <w:color w:val="auto"/>
              </w:rPr>
            </w:pPr>
            <w:r>
              <w:rPr>
                <w:rFonts w:ascii="Arial" w:cs="Arial" w:eastAsia="Arial" w:hAnsi="Arial"/>
                <w:sz w:val="14"/>
                <w:szCs w:val="14"/>
                <w:color w:val="auto"/>
              </w:rPr>
              <w:t>Excluding Wynn Macau, Limited and subsidiaries.</w:t>
            </w: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i w:val="1"/>
          <w:iCs w:val="1"/>
          <w:color w:val="auto"/>
        </w:rPr>
        <w:t xml:space="preserve">Wynn Resorts (Macau) S.A. and subsidiaries. </w:t>
      </w:r>
      <w:r>
        <w:rPr>
          <w:rFonts w:ascii="Arial" w:cs="Arial" w:eastAsia="Arial" w:hAnsi="Arial"/>
          <w:sz w:val="17"/>
          <w:szCs w:val="17"/>
          <w:color w:val="auto"/>
        </w:rPr>
        <w:t>Wynn Resorts (Macau) S.A. ("Wynn Macau SA") generates cash from our Macau Operations and utilizes</w:t>
      </w:r>
      <w:r>
        <w:rPr>
          <w:rFonts w:ascii="Arial" w:cs="Arial" w:eastAsia="Arial" w:hAnsi="Arial"/>
          <w:sz w:val="17"/>
          <w:szCs w:val="17"/>
          <w:i w:val="1"/>
          <w:iCs w:val="1"/>
          <w:color w:val="auto"/>
        </w:rPr>
        <w:t xml:space="preserve"> </w:t>
      </w:r>
      <w:r>
        <w:rPr>
          <w:rFonts w:ascii="Arial" w:cs="Arial" w:eastAsia="Arial" w:hAnsi="Arial"/>
          <w:sz w:val="17"/>
          <w:szCs w:val="17"/>
          <w:color w:val="auto"/>
        </w:rPr>
        <w:t>its revolver to fund short term working capital requirements as needed. We expect to use this cash to service our existing Wynn Macau Credit Facilities, make distributions to WML, and fund working capital and capital expenditure requirements at our Macau Operations.</w:t>
      </w:r>
    </w:p>
    <w:p>
      <w:pPr>
        <w:spacing w:after="0" w:line="191" w:lineRule="exact"/>
        <w:rPr>
          <w:sz w:val="20"/>
          <w:szCs w:val="20"/>
          <w:color w:val="auto"/>
        </w:rPr>
      </w:pPr>
    </w:p>
    <w:p>
      <w:pPr>
        <w:jc w:val="both"/>
        <w:ind w:firstLine="405"/>
        <w:spacing w:after="0" w:line="243" w:lineRule="auto"/>
        <w:rPr>
          <w:sz w:val="20"/>
          <w:szCs w:val="20"/>
          <w:color w:val="auto"/>
        </w:rPr>
      </w:pPr>
      <w:r>
        <w:rPr>
          <w:rFonts w:ascii="Arial" w:cs="Arial" w:eastAsia="Arial" w:hAnsi="Arial"/>
          <w:sz w:val="18"/>
          <w:szCs w:val="18"/>
          <w:color w:val="auto"/>
        </w:rPr>
        <w:t>Wynn Macau completed its Encore Tower room remodel and opened a significant portion of its Lakeside Casino expansion in the fourth quarter of 2019; as such, we do not expect to incur significant ongoing capital expenditures for these projects. The Company is currently in the design phase for the Crystal Pavilion, an expansion of Wynn Palace. We do not expect to incur significant capital expenditures related to the construction of this project until late 2021.</w:t>
      </w:r>
    </w:p>
    <w:p>
      <w:pPr>
        <w:spacing w:after="0" w:line="215"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In connection with WML's issuance of the WML 2029 Notes described below, we expect to repay approximately $1.0 billion of the Wynn Macau Term Loan over the next two years, subject to generating sufficient operating cash flow from our Macau Operations. In February 2020, Wynn Macau SA prepaid $150.0 million of the Wynn Macau Term Loan, and the future contractual amortization payments were reduced on a pro-rata basis.</w:t>
      </w:r>
    </w:p>
    <w:p>
      <w:pPr>
        <w:spacing w:after="0" w:line="19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6"/>
          <w:szCs w:val="16"/>
          <w:color w:val="auto"/>
        </w:rPr>
        <w:t>WML is dependent on Wynn Macau SA's ability to make periodic distributions in order to facilitate its debt service requirements and to pay dividends to its shareholders, which includes Wynn Resorts. The Wynn Macau Credit Facilities contain customary negative and financial covenants, including, but not limited to, leverage ratio and interest coverage ratio tests (as defined in the Wynn Macau Credit Facilities) that could restrict its ability to make distributions to WML and incur additional indebtedness. Wynn Macau SA is required to maintain a leverage ratio of not greater than 4.75 to 1, 4.25 to 1, and 4.00 to 1 for the fiscal years ended December 31, 2018, December 31, 2019, and December 31, 2020 and thereafter, respectively, and an interest coverage ratio of not less than 2.00 to 1 at any time. For the years ended December 31, 2018 and 2019, Wynn Macau SA complied with these ratios.</w:t>
      </w:r>
    </w:p>
    <w:p>
      <w:pPr>
        <w:spacing w:after="0" w:line="189" w:lineRule="exact"/>
        <w:rPr>
          <w:sz w:val="20"/>
          <w:szCs w:val="20"/>
          <w:color w:val="auto"/>
        </w:rPr>
      </w:pPr>
    </w:p>
    <w:p>
      <w:pPr>
        <w:jc w:val="both"/>
        <w:ind w:firstLine="405"/>
        <w:spacing w:after="0" w:line="248" w:lineRule="auto"/>
        <w:rPr>
          <w:sz w:val="20"/>
          <w:szCs w:val="20"/>
          <w:color w:val="auto"/>
        </w:rPr>
      </w:pPr>
      <w:r>
        <w:rPr>
          <w:rFonts w:ascii="Arial" w:cs="Arial" w:eastAsia="Arial" w:hAnsi="Arial"/>
          <w:sz w:val="18"/>
          <w:szCs w:val="18"/>
          <w:i w:val="1"/>
          <w:iCs w:val="1"/>
          <w:color w:val="auto"/>
        </w:rPr>
        <w:t xml:space="preserve">Wynn Macau, Limited and subsidiaries. </w:t>
      </w:r>
      <w:r>
        <w:rPr>
          <w:rFonts w:ascii="Arial" w:cs="Arial" w:eastAsia="Arial" w:hAnsi="Arial"/>
          <w:sz w:val="18"/>
          <w:szCs w:val="18"/>
          <w:color w:val="auto"/>
        </w:rPr>
        <w:t>Wynn Macau, Limited ("WML") primarily generates cash through distributions from Wynn Macau SA. We</w:t>
      </w:r>
      <w:r>
        <w:rPr>
          <w:rFonts w:ascii="Arial" w:cs="Arial" w:eastAsia="Arial" w:hAnsi="Arial"/>
          <w:sz w:val="18"/>
          <w:szCs w:val="18"/>
          <w:i w:val="1"/>
          <w:iCs w:val="1"/>
          <w:color w:val="auto"/>
        </w:rPr>
        <w:t xml:space="preserve"> </w:t>
      </w:r>
      <w:r>
        <w:rPr>
          <w:rFonts w:ascii="Arial" w:cs="Arial" w:eastAsia="Arial" w:hAnsi="Arial"/>
          <w:sz w:val="18"/>
          <w:szCs w:val="18"/>
          <w:color w:val="auto"/>
        </w:rPr>
        <w:t>expect to use this cash to service our existing WML Notes, pay dividends to shareholders of WML (of which we own approximately 72%), and fund working capital requirements at WML.</w:t>
      </w:r>
    </w:p>
    <w:p>
      <w:pPr>
        <w:spacing w:after="0" w:line="209" w:lineRule="exact"/>
        <w:rPr>
          <w:sz w:val="20"/>
          <w:szCs w:val="20"/>
          <w:color w:val="auto"/>
        </w:rPr>
      </w:pPr>
    </w:p>
    <w:p>
      <w:pPr>
        <w:jc w:val="both"/>
        <w:ind w:firstLine="405"/>
        <w:spacing w:after="0" w:line="248" w:lineRule="auto"/>
        <w:rPr>
          <w:sz w:val="20"/>
          <w:szCs w:val="20"/>
          <w:color w:val="auto"/>
        </w:rPr>
      </w:pPr>
      <w:r>
        <w:rPr>
          <w:rFonts w:ascii="Arial" w:cs="Arial" w:eastAsia="Arial" w:hAnsi="Arial"/>
          <w:sz w:val="18"/>
          <w:szCs w:val="18"/>
          <w:color w:val="auto"/>
        </w:rPr>
        <w:t>In December 2019, WML issued at par $1.0 billion of 5 1/8% senior unsecured notes due 2029 (the "WML 2029 Notes"). The Company expects to use an equivalent amount of the net proceeds from the WML 2029 Notes to facilitate the repayment of $1.0 billion of the Wynn Macau Term Loan as described above.</w:t>
      </w:r>
    </w:p>
    <w:p>
      <w:pPr>
        <w:spacing w:after="0" w:line="209"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On June 19, 2019 and September 16, 2019, WML paid cash dividends of HK$0.45 per share each for a total of $596.0 million. The Company's share of these dividends was $430.1 million with the remaining $165.9 million paid to WML’s public shareholders.</w:t>
      </w:r>
    </w:p>
    <w:p>
      <w:pPr>
        <w:spacing w:after="0" w:line="196" w:lineRule="exact"/>
        <w:rPr>
          <w:sz w:val="20"/>
          <w:szCs w:val="20"/>
          <w:color w:val="auto"/>
        </w:rPr>
      </w:pPr>
    </w:p>
    <w:p>
      <w:pPr>
        <w:jc w:val="both"/>
        <w:ind w:right="20" w:firstLine="405"/>
        <w:spacing w:after="0" w:line="262" w:lineRule="auto"/>
        <w:rPr>
          <w:sz w:val="20"/>
          <w:szCs w:val="20"/>
          <w:color w:val="auto"/>
        </w:rPr>
      </w:pPr>
      <w:r>
        <w:rPr>
          <w:rFonts w:ascii="Arial" w:cs="Arial" w:eastAsia="Arial" w:hAnsi="Arial"/>
          <w:sz w:val="18"/>
          <w:szCs w:val="18"/>
          <w:color w:val="auto"/>
        </w:rPr>
        <w:t>If our portion of our cash and cash equivalents were repatriated to the U.S. on December 31, 2019, it would be subject to minimal U.S. taxes in the year of repatriation.</w:t>
      </w:r>
    </w:p>
    <w:p>
      <w:pPr>
        <w:spacing w:after="0" w:line="19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 xml:space="preserve">Wynn Resorts Finance, LLC and subsidiaries. </w:t>
      </w:r>
      <w:r>
        <w:rPr>
          <w:rFonts w:ascii="Arial" w:cs="Arial" w:eastAsia="Arial" w:hAnsi="Arial"/>
          <w:sz w:val="18"/>
          <w:szCs w:val="18"/>
          <w:color w:val="auto"/>
        </w:rPr>
        <w:t>Wynn Resorts Finance, LLC (formerly known as Wynn America, LLC) ("WRF" or "Wynn Resorts</w:t>
      </w:r>
      <w:r>
        <w:rPr>
          <w:rFonts w:ascii="Arial" w:cs="Arial" w:eastAsia="Arial" w:hAnsi="Arial"/>
          <w:sz w:val="18"/>
          <w:szCs w:val="18"/>
          <w:i w:val="1"/>
          <w:iCs w:val="1"/>
          <w:color w:val="auto"/>
        </w:rPr>
        <w:t xml:space="preserve"> </w:t>
      </w:r>
      <w:r>
        <w:rPr>
          <w:rFonts w:ascii="Arial" w:cs="Arial" w:eastAsia="Arial" w:hAnsi="Arial"/>
          <w:sz w:val="18"/>
          <w:szCs w:val="18"/>
          <w:color w:val="auto"/>
        </w:rPr>
        <w:t>Finance") generates cash from distributions from its subsidiaries, which include our Macau</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Operations, Wynn Las Vegas, and Encore Boston Harbor, and contributions from Wynn Resorts, as required. In addition, WRF may utilize its available revolving borrowing capacity as needed. We expect to use this cash to service our WRF Credit Facilities, 2029 WRF Notes, and WLV Notes, make distributions to Wynn Resorts, and to fund working capital and capital expenditure requirements.</w:t>
      </w:r>
    </w:p>
    <w:p>
      <w:pPr>
        <w:spacing w:after="0" w:line="208" w:lineRule="exact"/>
        <w:rPr>
          <w:sz w:val="20"/>
          <w:szCs w:val="20"/>
          <w:color w:val="auto"/>
        </w:rPr>
      </w:pPr>
    </w:p>
    <w:p>
      <w:pPr>
        <w:jc w:val="both"/>
        <w:ind w:firstLine="405"/>
        <w:spacing w:after="0" w:line="248" w:lineRule="auto"/>
        <w:rPr>
          <w:sz w:val="20"/>
          <w:szCs w:val="20"/>
          <w:color w:val="auto"/>
        </w:rPr>
      </w:pPr>
      <w:r>
        <w:rPr>
          <w:rFonts w:ascii="Arial" w:cs="Arial" w:eastAsia="Arial" w:hAnsi="Arial"/>
          <w:sz w:val="18"/>
          <w:szCs w:val="18"/>
          <w:color w:val="auto"/>
        </w:rPr>
        <w:t>In 2020, Wynn Las Vegas will undergo a room remodel of the Wynn Tower, which we expect to complete before the end of the first quarter of 2021. In addition, Wynn Las Vegas is developing three new food and beverage concepts, which are expected to be open by the end of 2020. We expect to incur between $225 million and $250 million of capital expenditures associated with these projects.</w:t>
      </w:r>
    </w:p>
    <w:p>
      <w:pPr>
        <w:spacing w:after="0" w:line="209"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 xml:space="preserve">On September 20, 2019, WRF and its subsidiary Wynn Resorts Capital Corp. (collectively with WRF, the "WRF Issuers"), each an indirect wholly owned subsidiary of the Company, issued at par $750.0 million aggregate principal amount of 5 1/8% Senior Notes due 2029 (the "2029 WRF Notes"). Concurrently with the issuance of the 2029 WRF Notes, WRF entered into a credit agreement (the "WRF Credit Agreement") providing for a new first lien term loan facility in an aggregate principal amount of $1.0 billion (the "WRF Term Loan") and a new first lien revolving credit facility in an aggregate principal amount of $850.0 million (the "WRF Revolver" and together with the WRF Term Loan, the "WRF Credit Facilities") (the WRF Credit Facilities and 2029 WRF Notes are collectively referred to as the "Refinancing Transactions"). </w:t>
      </w:r>
      <w:r>
        <w:rPr>
          <w:rFonts w:ascii="Arial" w:cs="Arial" w:eastAsia="Arial" w:hAnsi="Arial"/>
          <w:sz w:val="17"/>
          <w:szCs w:val="17"/>
          <w:color w:val="212529"/>
        </w:rPr>
        <w:t>Wynn Resorts Finance used the net proceeds from the Refinancing</w:t>
      </w:r>
      <w:r>
        <w:rPr>
          <w:rFonts w:ascii="Arial" w:cs="Arial" w:eastAsia="Arial" w:hAnsi="Arial"/>
          <w:sz w:val="17"/>
          <w:szCs w:val="17"/>
          <w:color w:val="auto"/>
        </w:rPr>
        <w:t xml:space="preserve"> </w:t>
      </w:r>
      <w:r>
        <w:rPr>
          <w:rFonts w:ascii="Arial" w:cs="Arial" w:eastAsia="Arial" w:hAnsi="Arial"/>
          <w:sz w:val="17"/>
          <w:szCs w:val="17"/>
          <w:color w:val="212529"/>
        </w:rPr>
        <w:t xml:space="preserve">Transactions to refinance the existing Wynn America Credit Facilities and the Wynn Resorts Term Loan and to pay related fees and expenses. See Item 8 </w:t>
      </w:r>
      <w:r>
        <w:rPr>
          <w:rFonts w:ascii="Arial" w:cs="Arial" w:eastAsia="Arial" w:hAnsi="Arial"/>
          <w:sz w:val="17"/>
          <w:szCs w:val="17"/>
          <w:color w:val="000000"/>
        </w:rPr>
        <w:t>—</w:t>
      </w:r>
      <w:r>
        <w:rPr>
          <w:rFonts w:ascii="Arial" w:cs="Arial" w:eastAsia="Arial" w:hAnsi="Arial"/>
          <w:sz w:val="17"/>
          <w:szCs w:val="17"/>
          <w:color w:val="212529"/>
        </w:rPr>
        <w:t xml:space="preserve"> </w:t>
      </w:r>
      <w:r>
        <w:rPr>
          <w:rFonts w:ascii="Arial" w:cs="Arial" w:eastAsia="Arial" w:hAnsi="Arial"/>
          <w:sz w:val="17"/>
          <w:szCs w:val="17"/>
          <w:color w:val="000000"/>
        </w:rPr>
        <w:t xml:space="preserve">Note 7, "Long-Term Debt" </w:t>
      </w:r>
      <w:r>
        <w:rPr>
          <w:rFonts w:ascii="Arial" w:cs="Arial" w:eastAsia="Arial" w:hAnsi="Arial"/>
          <w:sz w:val="17"/>
          <w:szCs w:val="17"/>
          <w:color w:val="212529"/>
        </w:rPr>
        <w:t>for further discussion of the Refinancing Transactions.</w:t>
      </w:r>
    </w:p>
    <w:p>
      <w:pPr>
        <w:spacing w:after="0" w:line="206" w:lineRule="exact"/>
        <w:rPr>
          <w:sz w:val="20"/>
          <w:szCs w:val="20"/>
          <w:color w:val="auto"/>
        </w:rPr>
      </w:pPr>
    </w:p>
    <w:p>
      <w:pPr>
        <w:jc w:val="both"/>
        <w:ind w:right="20" w:firstLine="405"/>
        <w:spacing w:after="0" w:line="342" w:lineRule="auto"/>
        <w:rPr>
          <w:sz w:val="20"/>
          <w:szCs w:val="20"/>
          <w:color w:val="auto"/>
        </w:rPr>
      </w:pPr>
      <w:r>
        <w:rPr>
          <w:rFonts w:ascii="Arial" w:cs="Arial" w:eastAsia="Arial" w:hAnsi="Arial"/>
          <w:sz w:val="16"/>
          <w:szCs w:val="16"/>
          <w:color w:val="auto"/>
        </w:rPr>
        <w:t>On February 1, 2020, WRF purchased the Meeting and Convention Expansion from a subsidiary of Wynn Resorts at fair value, which was determined to be $366.0 million, subject to customary purchase price adjustments. WRF drew $366.0 million under the WRF Revolver to fund this purchase.</w:t>
      </w:r>
    </w:p>
    <w:p>
      <w:pPr>
        <w:spacing w:after="0" w:line="151" w:lineRule="exact"/>
        <w:rPr>
          <w:sz w:val="20"/>
          <w:szCs w:val="20"/>
          <w:color w:val="auto"/>
        </w:rPr>
      </w:pPr>
    </w:p>
    <w:p>
      <w:pPr>
        <w:jc w:val="both"/>
        <w:ind w:firstLine="405"/>
        <w:spacing w:after="0"/>
        <w:rPr>
          <w:sz w:val="20"/>
          <w:szCs w:val="20"/>
          <w:color w:val="auto"/>
        </w:rPr>
      </w:pPr>
      <w:r>
        <w:rPr>
          <w:rFonts w:ascii="Arial" w:cs="Arial" w:eastAsia="Arial" w:hAnsi="Arial"/>
          <w:sz w:val="18"/>
          <w:szCs w:val="18"/>
          <w:color w:val="auto"/>
        </w:rPr>
        <w:t>WRF is a holding company and, as a result, its ability to pay dividends to Wynn Resorts is dependent on WRF receiving distributions from its subsidiaries, which include WML, Wynn Las Vegas, LLC and Wynn MA, LLC (the owner and operator of Encore Boston Harbor). The WRF Credit Facilities contain customary negative and financial covenants, including, but not limited to, covenants that restrict WRF's ability to pay dividends or distributions and incur additional indebtedness. WRF may make ordinary course dividends or distributions to Wynn Resorts in an amount not to exceed $1.0 billion in any fiscal year, with certain carryover provisions for unused amounts from the two preceding fiscal years. In addition, WRF may distribute an amount greater than $1.0 billion in any fiscal year subject to certain other conditions.</w:t>
      </w:r>
    </w:p>
    <w:p>
      <w:pPr>
        <w:spacing w:after="0" w:line="21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2029 WRF Notes' indenture contains covenants that limit the ability of the WRF Issuers and the guarantors to, among other things, create or incur liens to secure debt in excess of the greater of $1.85 billion or an amount that would cause the Consolidated Senior Secured Net Leverage Ratio (as defined in the indenture) to be greater than 3.00 to 1.00.</w:t>
      </w:r>
    </w:p>
    <w:p>
      <w:pPr>
        <w:spacing w:after="0" w:line="20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Each of the WLV Notes' indentures contain negative covenants and financial covenants, including, but not limited to, covenants limiting their issuers' and guarantors' ability to create liens on assets to secure debt; enter into sale-leaseback transactions; and merge or consolidate with another company. The 2027 WLV Notes' indenture also provides that Wynn Resorts Finance may assume all of Wynn Las Vegas, LLC's obligations under the 2027 WLV Notes' indenture and the 2027 WLV Notes if certain conditions are met.</w:t>
      </w:r>
    </w:p>
    <w:p>
      <w:pPr>
        <w:spacing w:after="0" w:line="214"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i w:val="1"/>
          <w:iCs w:val="1"/>
          <w:color w:val="auto"/>
        </w:rPr>
        <w:t xml:space="preserve">Wynn Resorts, Limited and other subsidiaries. </w:t>
      </w:r>
      <w:r>
        <w:rPr>
          <w:rFonts w:ascii="Arial" w:cs="Arial" w:eastAsia="Arial" w:hAnsi="Arial"/>
          <w:sz w:val="17"/>
          <w:szCs w:val="17"/>
          <w:color w:val="auto"/>
        </w:rPr>
        <w:t>Wynn Resorts, Limited is a holding company and, as a result, our ability to pay dividends is dependent on</w:t>
      </w:r>
      <w:r>
        <w:rPr>
          <w:rFonts w:ascii="Arial" w:cs="Arial" w:eastAsia="Arial" w:hAnsi="Arial"/>
          <w:sz w:val="17"/>
          <w:szCs w:val="17"/>
          <w:i w:val="1"/>
          <w:iCs w:val="1"/>
          <w:color w:val="auto"/>
        </w:rPr>
        <w:t xml:space="preserve"> </w:t>
      </w:r>
      <w:r>
        <w:rPr>
          <w:rFonts w:ascii="Arial" w:cs="Arial" w:eastAsia="Arial" w:hAnsi="Arial"/>
          <w:sz w:val="17"/>
          <w:szCs w:val="17"/>
          <w:color w:val="auto"/>
        </w:rPr>
        <w:t>our ability to obtain funds and our subsidiaries' ability to provide funds to us. Wynn Resorts, Limited and other primarily generates cash from royalty and management agreements with our resorts, dividends and distributions from our subsidiaries, and the operations of the Retail Joint Venture of which we own 50.1%. We expect to use this cash to service our Retail Term Loan, fund the remaining construction of the Meeting and Convention Expansion, and continue to pay dividends, subject to reassessment and approval by our Board of Directors.</w:t>
      </w:r>
    </w:p>
    <w:p>
      <w:pPr>
        <w:spacing w:after="0" w:line="200"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7"/>
          <w:szCs w:val="17"/>
          <w:color w:val="auto"/>
        </w:rPr>
        <w:t>On February 26, 2019, the Company paid a cash dividend of $0.75 and on May 30, 2019, August 27, 2019 and November 22, 2019, the Company paid cash dividends of $1.00 per share, respectively, for a total of $403.0 million of dividends paid during the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2" w:name="page53"/>
    <w:bookmarkEnd w:id="5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Factors Affecting Liquidity</w:t>
      </w:r>
    </w:p>
    <w:p>
      <w:pPr>
        <w:spacing w:after="0" w:line="25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may refinance all or a portion of our indebtedness on or before maturity. We cannot assure you that we will be able to refinance any of the indebtedness on acceptable terms or at all.</w:t>
      </w:r>
    </w:p>
    <w:p>
      <w:pPr>
        <w:spacing w:after="0" w:line="19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Legal proceedings in which we are involved also may impact our liquidity. No assurance can be provided as to the outcome of such proceedings. In addition, litigation inherently involves significant costs. For information regarding legal proceedings, see Item 8—"Financial Statements and Supplementary Data," Note 17, "Commitments and Contingencies."</w:t>
      </w:r>
    </w:p>
    <w:p>
      <w:pPr>
        <w:spacing w:after="0" w:line="208"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Our Board of Directors has authorized an equity repurchase program of up to $1.0 billion. Under the equity repurchase program, we may repurchase the Company's outstanding shares from time to time through open market purchases, in privately negotiated transactions, and under plans complying with Rules 10b5-1 and 10b-18 under the Exchange Act. As of December 31, 2019, we had $800.1 million in repurchase authority remaining under the program.</w:t>
      </w:r>
    </w:p>
    <w:p>
      <w:pPr>
        <w:spacing w:after="0" w:line="17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have in the past repurchased, and in the future, we may periodically consider repurchasing our outstanding notes for cash. The amount of any notes to be repurchased, as well as the timing of any repurchases, will be based on business, market and other conditions and factors, including price, contractual requirements or consents, and capital availability.</w:t>
      </w:r>
    </w:p>
    <w:p>
      <w:pPr>
        <w:spacing w:after="0" w:line="208"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New business developments or other unforeseen events may occur, resulting in the need to raise additional funds. We continue to explore opportunities to develop additional gaming or related businesses in domestic and international markets. There can be no assurances regarding the business prospects with respect to any other opportunity. Any new development may require us to obtain additional financing. We may decide to conduct any such development through Wynn Resorts, Limited or through subsidiaries separate from the Las Vegas, Boston or Macau-related entities.</w:t>
      </w:r>
    </w:p>
    <w:p>
      <w:pPr>
        <w:spacing w:after="0" w:line="19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Off Balance Sheet Arrangements</w:t>
      </w:r>
    </w:p>
    <w:p>
      <w:pPr>
        <w:spacing w:after="0" w:line="25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have not entered into any transactions with special purpose entities nor do we engage in any derivatives except for an interest rate collar associated with our Retail Term Loan. We do not have any retained or contingent interest in assets transferred to an unconsolidated entity. As of December 31, 2019, we had outstanding letters of credit totaling $18.1 million.</w:t>
      </w:r>
    </w:p>
    <w:p>
      <w:pPr>
        <w:spacing w:after="0" w:line="20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Contractual Commitments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scheduled contractual commitments as of December 31, 2019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Payments Due By Period</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87"/>
              </w:rPr>
              <w:t>Less</w:t>
            </w:r>
          </w:p>
        </w:tc>
        <w:tc>
          <w:tcPr>
            <w:tcW w:w="340" w:type="dxa"/>
            <w:vAlign w:val="bottom"/>
          </w:tcPr>
          <w:p>
            <w:pPr>
              <w:spacing w:after="0"/>
              <w:rPr>
                <w:sz w:val="13"/>
                <w:szCs w:val="13"/>
                <w:color w:val="auto"/>
              </w:rPr>
            </w:pPr>
          </w:p>
        </w:tc>
        <w:tc>
          <w:tcPr>
            <w:tcW w:w="112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1 to 3</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2"/>
              </w:rPr>
              <w:t>4 to 5</w:t>
            </w:r>
          </w:p>
        </w:tc>
        <w:tc>
          <w:tcPr>
            <w:tcW w:w="300" w:type="dxa"/>
            <w:vAlign w:val="bottom"/>
          </w:tcPr>
          <w:p>
            <w:pPr>
              <w:spacing w:after="0"/>
              <w:rPr>
                <w:sz w:val="13"/>
                <w:szCs w:val="13"/>
                <w:color w:val="auto"/>
              </w:rPr>
            </w:pPr>
          </w:p>
        </w:tc>
        <w:tc>
          <w:tcPr>
            <w:tcW w:w="12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After</w:t>
            </w:r>
          </w:p>
        </w:tc>
        <w:tc>
          <w:tcPr>
            <w:tcW w:w="3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Than</w:t>
            </w:r>
          </w:p>
        </w:tc>
        <w:tc>
          <w:tcPr>
            <w:tcW w:w="3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7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34"/>
              <w:spacing w:after="0"/>
              <w:rPr>
                <w:sz w:val="20"/>
                <w:szCs w:val="20"/>
                <w:color w:val="auto"/>
              </w:rPr>
            </w:pPr>
            <w:r>
              <w:rPr>
                <w:rFonts w:ascii="Arial" w:cs="Arial" w:eastAsia="Arial" w:hAnsi="Arial"/>
                <w:sz w:val="14"/>
                <w:szCs w:val="14"/>
                <w:b w:val="1"/>
                <w:bCs w:val="1"/>
                <w:color w:val="auto"/>
                <w:w w:val="95"/>
              </w:rPr>
              <w:t>1 Year</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Years</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33"/>
              <w:spacing w:after="0"/>
              <w:rPr>
                <w:sz w:val="20"/>
                <w:szCs w:val="20"/>
                <w:color w:val="auto"/>
              </w:rPr>
            </w:pPr>
            <w:r>
              <w:rPr>
                <w:rFonts w:ascii="Arial" w:cs="Arial" w:eastAsia="Arial" w:hAnsi="Arial"/>
                <w:sz w:val="14"/>
                <w:szCs w:val="14"/>
                <w:b w:val="1"/>
                <w:bCs w:val="1"/>
                <w:color w:val="auto"/>
                <w:w w:val="89"/>
              </w:rPr>
              <w:t>Years</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5 Years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Long-term debt obligations </w:t>
            </w:r>
            <w:r>
              <w:rPr>
                <w:rFonts w:ascii="Arial" w:cs="Arial" w:eastAsia="Arial" w:hAnsi="Arial"/>
                <w:sz w:val="14"/>
                <w:szCs w:val="14"/>
                <w:color w:val="auto"/>
              </w:rPr>
              <w:t>(1)</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323,876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2,478,896</w:t>
            </w:r>
          </w:p>
        </w:tc>
        <w:tc>
          <w:tcPr>
            <w:tcW w:w="4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1,937,500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5,775,000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10,515,272</w:t>
            </w:r>
          </w:p>
        </w:tc>
        <w:tc>
          <w:tcPr>
            <w:tcW w:w="0" w:type="dxa"/>
            <w:vAlign w:val="bottom"/>
          </w:tcPr>
          <w:p>
            <w:pPr>
              <w:spacing w:after="0"/>
              <w:rPr>
                <w:sz w:val="1"/>
                <w:szCs w:val="1"/>
                <w:color w:val="auto"/>
              </w:rPr>
            </w:pP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Fixed interest payments</w:t>
            </w:r>
          </w:p>
        </w:tc>
        <w:tc>
          <w:tcPr>
            <w:tcW w:w="320" w:type="dxa"/>
            <w:vAlign w:val="bottom"/>
          </w:tcPr>
          <w:p>
            <w:pPr>
              <w:spacing w:after="0"/>
              <w:rPr>
                <w:sz w:val="21"/>
                <w:szCs w:val="21"/>
                <w:color w:val="auto"/>
              </w:rPr>
            </w:pP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325,538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651,075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610,117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676,172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2,262,902</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Estimated variable interest payments </w:t>
            </w:r>
            <w:r>
              <w:rPr>
                <w:rFonts w:ascii="Arial" w:cs="Arial" w:eastAsia="Arial" w:hAnsi="Arial"/>
                <w:sz w:val="14"/>
                <w:szCs w:val="14"/>
                <w:color w:val="auto"/>
              </w:rPr>
              <w:t>(2)</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153,937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233,262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91,711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11,951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490,861</w:t>
            </w:r>
          </w:p>
        </w:tc>
        <w:tc>
          <w:tcPr>
            <w:tcW w:w="0" w:type="dxa"/>
            <w:vAlign w:val="bottom"/>
          </w:tcPr>
          <w:p>
            <w:pPr>
              <w:spacing w:after="0"/>
              <w:rPr>
                <w:sz w:val="1"/>
                <w:szCs w:val="1"/>
                <w:color w:val="auto"/>
              </w:rPr>
            </w:pP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Construction contracts and commitments</w:t>
            </w:r>
          </w:p>
        </w:tc>
        <w:tc>
          <w:tcPr>
            <w:tcW w:w="320" w:type="dxa"/>
            <w:vAlign w:val="bottom"/>
          </w:tcPr>
          <w:p>
            <w:pPr>
              <w:spacing w:after="0"/>
              <w:rPr>
                <w:sz w:val="21"/>
                <w:szCs w:val="21"/>
                <w:color w:val="auto"/>
              </w:rPr>
            </w:pP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173,251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173,251</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27,908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47,731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36,606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464,903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577,148</w:t>
            </w:r>
          </w:p>
        </w:tc>
        <w:tc>
          <w:tcPr>
            <w:tcW w:w="0" w:type="dxa"/>
            <w:vAlign w:val="bottom"/>
          </w:tcPr>
          <w:p>
            <w:pPr>
              <w:spacing w:after="0"/>
              <w:rPr>
                <w:sz w:val="1"/>
                <w:szCs w:val="1"/>
                <w:color w:val="auto"/>
              </w:rPr>
            </w:pP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Finance leases</w:t>
            </w:r>
          </w:p>
        </w:tc>
        <w:tc>
          <w:tcPr>
            <w:tcW w:w="320" w:type="dxa"/>
            <w:vAlign w:val="bottom"/>
          </w:tcPr>
          <w:p>
            <w:pPr>
              <w:spacing w:after="0"/>
              <w:rPr>
                <w:sz w:val="21"/>
                <w:szCs w:val="21"/>
                <w:color w:val="auto"/>
              </w:rPr>
            </w:pP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1,203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2,406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2,406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66,287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72,302</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Employment agreements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69,981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51,650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2,807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124,438</w:t>
            </w:r>
          </w:p>
        </w:tc>
        <w:tc>
          <w:tcPr>
            <w:tcW w:w="0" w:type="dxa"/>
            <w:vAlign w:val="bottom"/>
          </w:tcPr>
          <w:p>
            <w:pPr>
              <w:spacing w:after="0"/>
              <w:rPr>
                <w:sz w:val="1"/>
                <w:szCs w:val="1"/>
                <w:color w:val="auto"/>
              </w:rPr>
            </w:pPr>
          </w:p>
        </w:tc>
      </w:tr>
      <w:tr>
        <w:trPr>
          <w:trHeight w:val="176"/>
        </w:trPr>
        <w:tc>
          <w:tcPr>
            <w:tcW w:w="3740" w:type="dxa"/>
            <w:vAlign w:val="bottom"/>
          </w:tcPr>
          <w:p>
            <w:pPr>
              <w:ind w:left="20"/>
              <w:spacing w:after="0" w:line="176" w:lineRule="exact"/>
              <w:rPr>
                <w:sz w:val="20"/>
                <w:szCs w:val="20"/>
                <w:color w:val="auto"/>
              </w:rPr>
            </w:pPr>
            <w:r>
              <w:rPr>
                <w:rFonts w:ascii="Arial" w:cs="Arial" w:eastAsia="Arial" w:hAnsi="Arial"/>
                <w:sz w:val="18"/>
                <w:szCs w:val="18"/>
                <w:color w:val="auto"/>
                <w:w w:val="93"/>
              </w:rPr>
              <w:t>Massachusetts surrounding community payments</w:t>
            </w:r>
          </w:p>
        </w:tc>
        <w:tc>
          <w:tcPr>
            <w:tcW w:w="320" w:type="dxa"/>
            <w:vAlign w:val="bottom"/>
          </w:tcPr>
          <w:p>
            <w:pPr>
              <w:spacing w:after="0"/>
              <w:rPr>
                <w:sz w:val="15"/>
                <w:szCs w:val="15"/>
                <w:color w:val="auto"/>
              </w:rPr>
            </w:pPr>
          </w:p>
        </w:tc>
        <w:tc>
          <w:tcPr>
            <w:tcW w:w="1120" w:type="dxa"/>
            <w:vAlign w:val="bottom"/>
            <w:vMerge w:val="restart"/>
          </w:tcPr>
          <w:p>
            <w:pPr>
              <w:jc w:val="right"/>
              <w:ind w:right="74"/>
              <w:spacing w:after="0"/>
              <w:rPr>
                <w:sz w:val="20"/>
                <w:szCs w:val="20"/>
                <w:color w:val="auto"/>
              </w:rPr>
            </w:pPr>
            <w:r>
              <w:rPr>
                <w:rFonts w:ascii="Arial" w:cs="Arial" w:eastAsia="Arial" w:hAnsi="Arial"/>
                <w:sz w:val="18"/>
                <w:szCs w:val="18"/>
                <w:color w:val="auto"/>
              </w:rPr>
              <w:t>10,806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vMerge w:val="restart"/>
          </w:tcPr>
          <w:p>
            <w:pPr>
              <w:jc w:val="right"/>
              <w:ind w:right="73"/>
              <w:spacing w:after="0"/>
              <w:rPr>
                <w:sz w:val="20"/>
                <w:szCs w:val="20"/>
                <w:color w:val="auto"/>
              </w:rPr>
            </w:pPr>
            <w:r>
              <w:rPr>
                <w:rFonts w:ascii="Arial" w:cs="Arial" w:eastAsia="Arial" w:hAnsi="Arial"/>
                <w:sz w:val="18"/>
                <w:szCs w:val="18"/>
                <w:color w:val="auto"/>
              </w:rPr>
              <w:t>22,097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ind w:right="53"/>
              <w:spacing w:after="0"/>
              <w:rPr>
                <w:sz w:val="20"/>
                <w:szCs w:val="20"/>
                <w:color w:val="auto"/>
              </w:rPr>
            </w:pPr>
            <w:r>
              <w:rPr>
                <w:rFonts w:ascii="Arial" w:cs="Arial" w:eastAsia="Arial" w:hAnsi="Arial"/>
                <w:sz w:val="18"/>
                <w:szCs w:val="18"/>
                <w:color w:val="auto"/>
              </w:rPr>
              <w:t>22,914</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vMerge w:val="restart"/>
          </w:tcPr>
          <w:p>
            <w:pPr>
              <w:jc w:val="right"/>
              <w:ind w:right="73"/>
              <w:spacing w:after="0"/>
              <w:rPr>
                <w:sz w:val="20"/>
                <w:szCs w:val="20"/>
                <w:color w:val="auto"/>
              </w:rPr>
            </w:pPr>
            <w:r>
              <w:rPr>
                <w:rFonts w:ascii="Arial" w:cs="Arial" w:eastAsia="Arial" w:hAnsi="Arial"/>
                <w:sz w:val="18"/>
                <w:szCs w:val="18"/>
                <w:color w:val="auto"/>
              </w:rPr>
              <w:t>112,496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vMerge w:val="restart"/>
          </w:tcPr>
          <w:p>
            <w:pPr>
              <w:jc w:val="right"/>
              <w:ind w:right="72"/>
              <w:spacing w:after="0"/>
              <w:rPr>
                <w:sz w:val="20"/>
                <w:szCs w:val="20"/>
                <w:color w:val="auto"/>
              </w:rPr>
            </w:pPr>
            <w:r>
              <w:rPr>
                <w:rFonts w:ascii="Arial" w:cs="Arial" w:eastAsia="Arial" w:hAnsi="Arial"/>
                <w:sz w:val="18"/>
                <w:szCs w:val="18"/>
                <w:color w:val="auto"/>
              </w:rPr>
              <w:t>168,313</w:t>
            </w:r>
          </w:p>
        </w:tc>
        <w:tc>
          <w:tcPr>
            <w:tcW w:w="0" w:type="dxa"/>
            <w:vAlign w:val="bottom"/>
          </w:tcPr>
          <w:p>
            <w:pPr>
              <w:spacing w:after="0"/>
              <w:rPr>
                <w:sz w:val="1"/>
                <w:szCs w:val="1"/>
                <w:color w:val="auto"/>
              </w:rPr>
            </w:pPr>
          </w:p>
        </w:tc>
      </w:tr>
      <w:tr>
        <w:trPr>
          <w:trHeight w:val="186"/>
        </w:trPr>
        <w:tc>
          <w:tcPr>
            <w:tcW w:w="3740" w:type="dxa"/>
            <w:vAlign w:val="bottom"/>
          </w:tcPr>
          <w:p>
            <w:pPr>
              <w:ind w:left="20"/>
              <w:spacing w:after="0"/>
              <w:rPr>
                <w:sz w:val="20"/>
                <w:szCs w:val="20"/>
                <w:color w:val="auto"/>
              </w:rPr>
            </w:pPr>
            <w:r>
              <w:rPr>
                <w:rFonts w:ascii="Arial" w:cs="Arial" w:eastAsia="Arial" w:hAnsi="Arial"/>
                <w:sz w:val="14"/>
                <w:szCs w:val="14"/>
                <w:color w:val="auto"/>
              </w:rPr>
              <w:t>(3)</w:t>
            </w:r>
          </w:p>
        </w:tc>
        <w:tc>
          <w:tcPr>
            <w:tcW w:w="3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4"/>
                <w:szCs w:val="14"/>
                <w:color w:val="auto"/>
              </w:rPr>
              <w:t>(4)</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212,666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109,414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10,091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332,171</w:t>
            </w:r>
          </w:p>
        </w:tc>
        <w:tc>
          <w:tcPr>
            <w:tcW w:w="0" w:type="dxa"/>
            <w:vAlign w:val="bottom"/>
          </w:tcPr>
          <w:p>
            <w:pPr>
              <w:spacing w:after="0"/>
              <w:rPr>
                <w:sz w:val="1"/>
                <w:szCs w:val="1"/>
                <w:color w:val="auto"/>
              </w:rPr>
            </w:pPr>
          </w:p>
        </w:tc>
      </w:tr>
      <w:tr>
        <w:trPr>
          <w:trHeight w:val="237"/>
        </w:trPr>
        <w:tc>
          <w:tcPr>
            <w:tcW w:w="3740" w:type="dxa"/>
            <w:vAlign w:val="bottom"/>
          </w:tcPr>
          <w:p>
            <w:pPr>
              <w:ind w:left="20"/>
              <w:spacing w:after="0"/>
              <w:rPr>
                <w:sz w:val="20"/>
                <w:szCs w:val="20"/>
                <w:color w:val="auto"/>
              </w:rPr>
            </w:pPr>
            <w:r>
              <w:rPr>
                <w:rFonts w:ascii="Arial" w:cs="Arial" w:eastAsia="Arial" w:hAnsi="Arial"/>
                <w:sz w:val="18"/>
                <w:szCs w:val="18"/>
                <w:b w:val="1"/>
                <w:bCs w:val="1"/>
                <w:color w:val="auto"/>
              </w:rPr>
              <w:t>Total contractual commitments</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1,299,166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3,596,531</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2,714,152</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7,106,809</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14,716,658</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3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220" w:hanging="212"/>
        <w:spacing w:after="0"/>
        <w:tabs>
          <w:tab w:leader="none" w:pos="2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Includes $150.0 million related to the prepayment of the Wynn Macau Term Loan paid in February 2020.</w:t>
      </w:r>
    </w:p>
    <w:p>
      <w:pPr>
        <w:spacing w:after="0" w:line="13" w:lineRule="exact"/>
        <w:rPr>
          <w:rFonts w:ascii="Arial" w:cs="Arial" w:eastAsia="Arial" w:hAnsi="Arial"/>
          <w:sz w:val="14"/>
          <w:szCs w:val="14"/>
          <w:color w:val="auto"/>
        </w:rPr>
      </w:pPr>
    </w:p>
    <w:p>
      <w:pPr>
        <w:ind w:left="340" w:hanging="332"/>
        <w:spacing w:after="0" w:line="241" w:lineRule="auto"/>
        <w:tabs>
          <w:tab w:leader="none" w:pos="219" w:val="left"/>
        </w:tabs>
        <w:numPr>
          <w:ilvl w:val="0"/>
          <w:numId w:val="28"/>
        </w:numPr>
        <w:rPr>
          <w:rFonts w:ascii="Arial" w:cs="Arial" w:eastAsia="Arial" w:hAnsi="Arial"/>
          <w:sz w:val="14"/>
          <w:szCs w:val="14"/>
          <w:color w:val="auto"/>
        </w:rPr>
      </w:pPr>
      <w:r>
        <w:rPr>
          <w:rFonts w:ascii="Arial" w:cs="Arial" w:eastAsia="Arial" w:hAnsi="Arial"/>
          <w:sz w:val="14"/>
          <w:szCs w:val="14"/>
          <w:color w:val="auto"/>
        </w:rPr>
        <w:t>Amounts for all periods represent our estimated future interest payments on our debt facilities based upon amounts outstanding and LIBOR or HIBOR rates as of December 31, 2019. Actual rates will vary.</w:t>
      </w:r>
    </w:p>
    <w:p>
      <w:pPr>
        <w:ind w:left="220" w:hanging="212"/>
        <w:spacing w:after="0"/>
        <w:tabs>
          <w:tab w:leader="none" w:pos="2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payments to certain communities surrounding Encore Boston Harbor, required as a condition of the gaming license awarded to Wynn MA, LLC.</w:t>
      </w:r>
    </w:p>
    <w:p>
      <w:pPr>
        <w:spacing w:after="0" w:line="1" w:lineRule="exact"/>
        <w:rPr>
          <w:rFonts w:ascii="Arial" w:cs="Arial" w:eastAsia="Arial" w:hAnsi="Arial"/>
          <w:sz w:val="14"/>
          <w:szCs w:val="14"/>
          <w:color w:val="auto"/>
        </w:rPr>
      </w:pPr>
    </w:p>
    <w:p>
      <w:pPr>
        <w:ind w:left="340" w:hanging="332"/>
        <w:spacing w:after="0" w:line="276" w:lineRule="auto"/>
        <w:tabs>
          <w:tab w:leader="none" w:pos="219" w:val="left"/>
        </w:tabs>
        <w:numPr>
          <w:ilvl w:val="0"/>
          <w:numId w:val="28"/>
        </w:numPr>
        <w:rPr>
          <w:rFonts w:ascii="Arial" w:cs="Arial" w:eastAsia="Arial" w:hAnsi="Arial"/>
          <w:sz w:val="13"/>
          <w:szCs w:val="13"/>
          <w:color w:val="auto"/>
        </w:rPr>
      </w:pPr>
      <w:r>
        <w:rPr>
          <w:rFonts w:ascii="Arial" w:cs="Arial" w:eastAsia="Arial" w:hAnsi="Arial"/>
          <w:sz w:val="13"/>
          <w:szCs w:val="13"/>
          <w:color w:val="auto"/>
        </w:rPr>
        <w:t>Other includes open purchase orders, future charitable contributions, fixed gaming tax payments in Macau, performance contracts and other contracts. As further discussed in Item 8—"Financial Statements and Supplementary Data," Note 13, "Income Taxes," we had $104.3 million of unrecognized tax benefits as of December 31, 2019. Due to the inherent uncertainty of the underlying tax positions, it is not practicable to assign this liability to any particular year and therefore it is not included in the table above as of December 31, 2019.</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53" w:name="page54"/>
    <w:bookmarkEnd w:id="5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jc w:val="both"/>
        <w:ind w:firstLine="446"/>
        <w:spacing w:after="0" w:line="276" w:lineRule="auto"/>
        <w:rPr>
          <w:sz w:val="20"/>
          <w:szCs w:val="20"/>
          <w:color w:val="auto"/>
        </w:rPr>
      </w:pPr>
      <w:r>
        <w:rPr>
          <w:rFonts w:ascii="Arial" w:cs="Arial" w:eastAsia="Arial" w:hAnsi="Arial"/>
          <w:sz w:val="17"/>
          <w:szCs w:val="17"/>
          <w:color w:val="auto"/>
        </w:rPr>
        <w:t>The preparation of our consolidated financial statements in conformity with GAAP involves the use of estimates and assumptions that affect the amounts reported in the consolidated financial statements. Certain of our accounting policies require management to apply significant judgment in defining the appropriate assumptions integral to financial estimates and on an ongoing basis, management evaluates those estimates. Judgments are based on historical experience, terms of existing contracts, industry trends and information available from outside sources, as appropriate. However, by their nature, judgments are subject to an inherent degree of uncertainty, and therefore actual results could differ from our estimates.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Development, Construction and Property, and Equipment Estimates</w:t>
      </w:r>
    </w:p>
    <w:p>
      <w:pPr>
        <w:spacing w:after="0" w:line="252"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During the construction and development of a resort, pre-opening or start-up costs are expensed when incurred. In connection with the construction and development of our resorts, significant start-up costs are incurred and charged to pre-opening costs through their respective openings. Once our resorts open, expenses associated with the opening of the resorts are no longer charged as pre-opening costs.</w:t>
      </w:r>
    </w:p>
    <w:p>
      <w:pPr>
        <w:spacing w:after="0" w:line="208"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During the construction and development stage, direct costs such as those incurred for the design and construction of our resorts, including applicable portions of interest, are capitalized. Accordingly, the recorded amounts of property and equipment increase significantly during construction periods. Depreciation is provided over the estimated useful lives of the assets using the straight-line method. We determine the estimated useful lives based on our experience with similar assets, estimates of the usage of the asset and other factors specific to the asset. Depreciation expense related to capitalized construction costs and fixed assets commences when the related assets are placed in service. The remaining estimated useful lives of assets are periodically reviewed and adjusted as necessary.</w:t>
      </w:r>
    </w:p>
    <w:p>
      <w:pPr>
        <w:spacing w:after="0" w:line="220" w:lineRule="exact"/>
        <w:rPr>
          <w:sz w:val="20"/>
          <w:szCs w:val="20"/>
          <w:color w:val="auto"/>
        </w:rPr>
      </w:pPr>
    </w:p>
    <w:p>
      <w:pPr>
        <w:jc w:val="both"/>
        <w:ind w:firstLine="446"/>
        <w:spacing w:after="0" w:line="308" w:lineRule="auto"/>
        <w:rPr>
          <w:sz w:val="20"/>
          <w:szCs w:val="20"/>
          <w:color w:val="auto"/>
        </w:rPr>
      </w:pPr>
      <w:r>
        <w:rPr>
          <w:rFonts w:ascii="Arial" w:cs="Arial" w:eastAsia="Arial" w:hAnsi="Arial"/>
          <w:sz w:val="17"/>
          <w:szCs w:val="17"/>
          <w:color w:val="auto"/>
        </w:rPr>
        <w:t>Costs of repairs and maintenance are charged to expense when incurred. The cost and accumulated depreciation of property and equipment retired or otherwise disposed of are eliminated from the respective accounts and any resulting gain or loss is included in property charges and other.</w:t>
      </w:r>
    </w:p>
    <w:p>
      <w:pPr>
        <w:spacing w:after="0" w:line="174" w:lineRule="exact"/>
        <w:rPr>
          <w:sz w:val="20"/>
          <w:szCs w:val="20"/>
          <w:color w:val="auto"/>
        </w:rPr>
      </w:pPr>
    </w:p>
    <w:p>
      <w:pPr>
        <w:jc w:val="both"/>
        <w:ind w:firstLine="446"/>
        <w:spacing w:after="0" w:line="254" w:lineRule="auto"/>
        <w:rPr>
          <w:sz w:val="20"/>
          <w:szCs w:val="20"/>
          <w:color w:val="auto"/>
        </w:rPr>
      </w:pPr>
      <w:r>
        <w:rPr>
          <w:rFonts w:ascii="Arial" w:cs="Arial" w:eastAsia="Arial" w:hAnsi="Arial"/>
          <w:sz w:val="18"/>
          <w:szCs w:val="18"/>
          <w:color w:val="auto"/>
        </w:rPr>
        <w:t>We also evaluate our property and equipment and other long-lived assets for impairment in accordance with applicable accounting standards. For assets to be disposed of we recognize the asset at the lower of carrying value or fair market value less costs of disposal, as estimated based on comparable asset sales, solicited offers, or a discounted cash flow model. For assets to be held and used, we review for impairment whenever indicators of impairment exist. In reviewing for impairment, we compare the estimated future cash flows of the asset, on an undiscounted basis, to the carrying value of the asset. If the undiscounted cash flows exceed the carrying value, no impairment is indicated. If the undiscounted cash flows do not exceed the carrying value, an impairment is recorded based on the fair value of the asset, typically measured using a discounted cash flow model. If an asset is still under development, future cash flows include remaining construction costs. All recognized impairment losses, whether for assets to be disposed of or assets to be held and used, are recorded as operating expenses.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Estimated Doubtful Accounts Receivable</w:t>
      </w:r>
    </w:p>
    <w:p>
      <w:pPr>
        <w:spacing w:after="0" w:line="252" w:lineRule="exact"/>
        <w:rPr>
          <w:sz w:val="20"/>
          <w:szCs w:val="20"/>
          <w:color w:val="auto"/>
        </w:rPr>
      </w:pPr>
    </w:p>
    <w:p>
      <w:pPr>
        <w:jc w:val="both"/>
        <w:ind w:firstLine="446"/>
        <w:spacing w:after="0" w:line="293" w:lineRule="auto"/>
        <w:rPr>
          <w:sz w:val="20"/>
          <w:szCs w:val="20"/>
          <w:color w:val="auto"/>
        </w:rPr>
      </w:pPr>
      <w:r>
        <w:rPr>
          <w:rFonts w:ascii="Arial" w:cs="Arial" w:eastAsia="Arial" w:hAnsi="Arial"/>
          <w:sz w:val="16"/>
          <w:szCs w:val="16"/>
          <w:color w:val="auto"/>
        </w:rPr>
        <w:t>A substantial portion of our outstanding receivables relates to casino credit play. Credit play, through the issuance of markers, represents a significant portion of the table games volume at our Las Vegas Operations. While offered, the issuance of credit at our Macau Operations and Encore Boston Harbor is less significant when compared to Las Vegas. Our goal is to maintain strict controls over the issuance of credit and aggressively pursue collection from those customers who fail to pay their balances in a timely fashion. These collection efforts may include the mailing of statements and delinquency notices, personal contacts, the use of outside collection agencies and litigation. Markers issued at our Las Vegas Operations and Encore Boston Harbor are generally legally enforceable instruments in the United States, and United States assets of foreign customers may be used to satisfy judgments entered in the United States.</w:t>
      </w:r>
    </w:p>
    <w:p>
      <w:pPr>
        <w:spacing w:after="0" w:line="192"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The enforceability of markers and other forms of credit related to gaming debt outside of the United States varies from country to country. Some foreign countries do not recognize the enforceability of gaming related debt, or make enforcement burdensome. We closely consider the likelihood and difficulty of enforceability, among other factors, when issuing credit to customers who are not residents of the United States. In addition to our internal credit and collection departments, we have a network of legal, accounting and collection professionals to assist us in our determinations regarding enforceability and our overall collection efforts.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4" w:name="page55"/>
    <w:bookmarkEnd w:id="5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We regularly evaluate our reserve for bad debts based on a specific review of customer accounts and outstanding gaming promoter accounts as well as management's prior experience with collection trends in the casino industry and current economic and business conditions. In determining our allowance for estimated doubtful accounts receivable, we apply loss factors based on historical marker collection history to aged account balances and we specifically analyze the collectability of each account with a balance over a specified dollar amount, based upon the age, the customer's financial condition, collection history and any other known information.</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key statistics related to our casino accounts receivable (dollars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r>
      <w:tr>
        <w:trPr>
          <w:trHeight w:val="196"/>
        </w:trPr>
        <w:tc>
          <w:tcPr>
            <w:tcW w:w="82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7"/>
                <w:szCs w:val="17"/>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Casino accounts receivable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304,137</w:t>
            </w:r>
          </w:p>
        </w:tc>
        <w:tc>
          <w:tcPr>
            <w:tcW w:w="80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229,594</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Allowance for doubtful casino accounts receivable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37,652</w:t>
            </w:r>
          </w:p>
        </w:tc>
        <w:tc>
          <w:tcPr>
            <w:tcW w:w="80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31,263</w:t>
            </w:r>
          </w:p>
        </w:tc>
        <w:tc>
          <w:tcPr>
            <w:tcW w:w="20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4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as a percentage of casino accounts receivable</w:t>
            </w:r>
          </w:p>
        </w:tc>
        <w:tc>
          <w:tcPr>
            <w:tcW w:w="3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82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jc w:val="both"/>
        <w:ind w:firstLine="446"/>
        <w:spacing w:after="0" w:line="302" w:lineRule="auto"/>
        <w:rPr>
          <w:sz w:val="20"/>
          <w:szCs w:val="20"/>
          <w:color w:val="auto"/>
        </w:rPr>
      </w:pPr>
      <w:r>
        <w:rPr>
          <w:rFonts w:ascii="Arial" w:cs="Arial" w:eastAsia="Arial" w:hAnsi="Arial"/>
          <w:sz w:val="16"/>
          <w:szCs w:val="16"/>
          <w:color w:val="auto"/>
        </w:rPr>
        <w:t>Our reserve for doubtful casino accounts receivable is based on our estimates of amounts collectible and depends on the risk assessments and judgments by management regarding realizability, the state of the economy and our credit policy. Our reserve methodology is applied similarly to credit extended at each of our resorts. As of December 31, 2019 and 2018, 61.0% and 57.9%, respectively, of our outstanding casino accounts receivable balance originated at our Macau Operations, the majority of which relates to advances to gaming promoters, which are settled within five days of period end.</w:t>
      </w:r>
    </w:p>
    <w:p>
      <w:pPr>
        <w:spacing w:after="0" w:line="181"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As of December 31, 2019, a 100 basis point change in the allowance for doubtful accounts as a percentage of casino accounts receivable would change the provision for doubtful accounts by approximately $3.0 million.</w:t>
      </w:r>
    </w:p>
    <w:p>
      <w:pPr>
        <w:spacing w:after="0" w:line="197" w:lineRule="exact"/>
        <w:rPr>
          <w:sz w:val="20"/>
          <w:szCs w:val="20"/>
          <w:color w:val="auto"/>
        </w:rPr>
      </w:pPr>
    </w:p>
    <w:p>
      <w:pPr>
        <w:jc w:val="both"/>
        <w:ind w:firstLine="446"/>
        <w:spacing w:after="0" w:line="312" w:lineRule="auto"/>
        <w:rPr>
          <w:sz w:val="20"/>
          <w:szCs w:val="20"/>
          <w:color w:val="auto"/>
        </w:rPr>
      </w:pPr>
      <w:r>
        <w:rPr>
          <w:rFonts w:ascii="Arial" w:cs="Arial" w:eastAsia="Arial" w:hAnsi="Arial"/>
          <w:sz w:val="16"/>
          <w:szCs w:val="16"/>
          <w:color w:val="auto"/>
        </w:rPr>
        <w:t>As our customer payment experience evolves, we will continue to refine our estimated reserve for bad debts. Accordingly, the associated provision for doubtful accounts may fluctuate. Because individual customer account balances can be significant, the reserve and the provision can change significantly between periods as we become aware of additional information about a customer or changes occur in a region's economy or legal system.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 and Contingency Estimates</w:t>
      </w:r>
    </w:p>
    <w:p>
      <w:pPr>
        <w:spacing w:after="0" w:line="25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are subject to various claims, legal actions and other contingencies, and we accrue for these matters when they are both probable and estimable. For matters that arose on or prior to the balance sheet date, we estimate any accruals based on the relevant facts and circumstances available through the date of issuance of the financial statements. We include the accruals associated with any contingent matters in other accrued liabilities on the consolidated balance sheets.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52" w:lineRule="exact"/>
        <w:rPr>
          <w:sz w:val="20"/>
          <w:szCs w:val="20"/>
          <w:color w:val="auto"/>
        </w:rPr>
      </w:pPr>
    </w:p>
    <w:p>
      <w:pPr>
        <w:jc w:val="both"/>
        <w:ind w:firstLine="446"/>
        <w:spacing w:after="0" w:line="272" w:lineRule="auto"/>
        <w:rPr>
          <w:sz w:val="20"/>
          <w:szCs w:val="20"/>
          <w:color w:val="auto"/>
        </w:rPr>
      </w:pPr>
      <w:r>
        <w:rPr>
          <w:rFonts w:ascii="Arial" w:cs="Arial" w:eastAsia="Arial" w:hAnsi="Arial"/>
          <w:sz w:val="17"/>
          <w:szCs w:val="17"/>
          <w:color w:val="auto"/>
        </w:rPr>
        <w:t>We are subject to income taxes in the United States and other foreign jurisdictions where we operate. Accounting standards require the recognition of deferred tax assets, net of applicable reserves, and liabilities for the estimated future tax consequences attributable to differences between financial statement carrying amounts of existing assets and liabilities and their respective tax bases and operating loss and tax credit carryforwards. Deferred tax assets and liabilities are measured using enacted tax rates in effect for the year in which those temporary differences are expected to be recovered or settled. The effect of a change in tax rates on the income tax provision and deferred tax assets and liabilities generally is recognized in the results of operations in the period that includes the enactment date. Accounting standards require recognition of a future tax benefit to the extent that realization of such benefit is more likely than not. Otherwise, a valuation allowance is applied.</w:t>
      </w:r>
    </w:p>
    <w:p>
      <w:pPr>
        <w:spacing w:after="0" w:line="205"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As of December 31, 2019, we have a foreign tax credit ("FTC") carryforward of $3.1 billion and a deferred tax asset related to interest expense carryforwards of $88.3 million. As of December 31, 2019, we have recorded valuation allowances of $2.51 billion and $88.3 million, respectively, against the FTC carryforward and disallowed interest expense carryforward assets based on our estimate of future realization. The FTCs are attributable to the Macau special gaming tax, which is 35% of gross gaming revenue in Macau. In the assessment of the valuation allowance, appropriate consideration was given to all positive and negative evidence including recent operating profitability, forecasts of future earnings, the duration of statutory carryforward periods, and tax planning strategies.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5" w:name="page56"/>
    <w:bookmarkEnd w:id="5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Our income tax returns are subject to examination by the IRS and other tax authorities in the locations where we operate. We assess potentially unfavorable outcomes of such examinations based on accounting standards for uncertain income taxes. The accounting standards prescribe a minimum recognition threshold a tax position is required to meet before being recognized in the financial statements.</w:t>
      </w:r>
    </w:p>
    <w:p>
      <w:pPr>
        <w:spacing w:after="0" w:line="208" w:lineRule="exact"/>
        <w:rPr>
          <w:sz w:val="20"/>
          <w:szCs w:val="20"/>
          <w:color w:val="auto"/>
        </w:rPr>
      </w:pPr>
    </w:p>
    <w:p>
      <w:pPr>
        <w:jc w:val="both"/>
        <w:ind w:right="20" w:firstLine="446"/>
        <w:spacing w:after="0" w:line="342" w:lineRule="auto"/>
        <w:rPr>
          <w:sz w:val="20"/>
          <w:szCs w:val="20"/>
          <w:color w:val="auto"/>
        </w:rPr>
      </w:pPr>
      <w:r>
        <w:rPr>
          <w:rFonts w:ascii="Arial" w:cs="Arial" w:eastAsia="Arial" w:hAnsi="Arial"/>
          <w:sz w:val="16"/>
          <w:szCs w:val="16"/>
          <w:color w:val="auto"/>
        </w:rPr>
        <w:t>Uncertain tax position accounting standards apply to all tax positions related to income taxes. These accounting standards utilize a two-step approach for evaluating tax positions. The tax benefit is measured as the largest amount of benefit that is more likely than not to be realized upon settlement.</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applicable, we recognize accrued penalties and interest related to unrecognized tax benefits in the provision for income taxes.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 and Accounting Standards Issued But Not Yet Adopted</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Item 8—"Financial Statements and Supplementary Data," Note 2, "Basis of Presentation and Significant Accounting Policies."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5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Risks</w:t>
      </w:r>
    </w:p>
    <w:p>
      <w:pPr>
        <w:spacing w:after="0" w:line="25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One of our primary exposures to market risk is interest rate risk associated with our debt facilities that bear interest based on floating rates. We attempt to manage interest rate risk by managing the mix of long-term fixed rate borrowings and variable rate borrowings, supplemented by hedging activities as believed by us to be appropriate. We cannot assure you that these risk management strategies will have the desired effect, and interest rate fluctuations could have a negative impact on our results of operations.</w:t>
      </w:r>
    </w:p>
    <w:p>
      <w:pPr>
        <w:spacing w:after="0" w:line="214"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 xml:space="preserve">The following table provides estimated future cash flow information derived from our best estimates of repayments as of December 31, 2019, of our expected long-term indebtedness and related weighted average interest rates by expected maturity dates. However, we cannot predict the LIBOR or HIBOR rates that will be in effect in the future. Actual rates will vary. Additionally, the potential effect that the proposed LIBOR phaseout could have on our business and financial condition cannot yet be determined (see Item 1A—"Risk Factors," </w:t>
      </w:r>
      <w:r>
        <w:rPr>
          <w:rFonts w:ascii="Arial" w:cs="Arial" w:eastAsia="Arial" w:hAnsi="Arial"/>
          <w:sz w:val="16"/>
          <w:szCs w:val="16"/>
          <w:i w:val="1"/>
          <w:iCs w:val="1"/>
          <w:color w:val="auto"/>
        </w:rPr>
        <w:t>Risks Related to our Indebtedness</w:t>
      </w:r>
      <w:r>
        <w:rPr>
          <w:rFonts w:ascii="Arial" w:cs="Arial" w:eastAsia="Arial" w:hAnsi="Arial"/>
          <w:sz w:val="16"/>
          <w:szCs w:val="16"/>
          <w:color w:val="auto"/>
        </w:rPr>
        <w:t xml:space="preserve"> for further discussion). The one-month LIBOR and HIBOR rates as of December 31, 2019 of 1.76% and 2.68%, respectively, were used for all variable rate calculations in the table below.</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6" w:name="page57"/>
    <w:bookmarkEnd w:id="5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information is presented in U.S. dollar equivalents as applicable.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Years Ending December 31,</w:t>
            </w:r>
          </w:p>
        </w:tc>
        <w:tc>
          <w:tcPr>
            <w:tcW w:w="7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r>
      <w:tr>
        <w:trPr>
          <w:trHeight w:val="196"/>
        </w:trPr>
        <w:tc>
          <w:tcPr>
            <w:tcW w:w="18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center"/>
              <w:ind w:right="190"/>
              <w:spacing w:after="0"/>
              <w:rPr>
                <w:sz w:val="20"/>
                <w:szCs w:val="20"/>
                <w:color w:val="auto"/>
              </w:rPr>
            </w:pPr>
            <w:r>
              <w:rPr>
                <w:rFonts w:ascii="Arial" w:cs="Arial" w:eastAsia="Arial" w:hAnsi="Arial"/>
                <w:sz w:val="14"/>
                <w:szCs w:val="14"/>
                <w:b w:val="1"/>
                <w:bCs w:val="1"/>
                <w:color w:val="auto"/>
                <w:w w:val="95"/>
              </w:rPr>
              <w:t>Expected Maturity Date</w:t>
            </w:r>
          </w:p>
        </w:tc>
        <w:tc>
          <w:tcPr>
            <w:tcW w:w="7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r>
      <w:tr>
        <w:trPr>
          <w:trHeight w:val="196"/>
        </w:trPr>
        <w:tc>
          <w:tcPr>
            <w:tcW w:w="18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2023</w:t>
            </w:r>
          </w:p>
        </w:tc>
        <w:tc>
          <w:tcPr>
            <w:tcW w:w="6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2024</w:t>
            </w:r>
          </w:p>
        </w:tc>
        <w:tc>
          <w:tcPr>
            <w:tcW w:w="5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Thereafter</w:t>
            </w:r>
          </w:p>
        </w:tc>
        <w:tc>
          <w:tcPr>
            <w:tcW w:w="6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auto"/>
            </w:tcBorders>
          </w:tcPr>
          <w:p>
            <w:pPr>
              <w:spacing w:after="0"/>
              <w:rPr>
                <w:sz w:val="17"/>
                <w:szCs w:val="17"/>
                <w:color w:val="auto"/>
              </w:rPr>
            </w:pPr>
          </w:p>
        </w:tc>
      </w:tr>
      <w:tr>
        <w:trPr>
          <w:trHeight w:val="196"/>
        </w:trPr>
        <w:tc>
          <w:tcPr>
            <w:tcW w:w="1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gridSpan w:val="3"/>
          </w:tcPr>
          <w:p>
            <w:pPr>
              <w:jc w:val="center"/>
              <w:ind w:right="190"/>
              <w:spacing w:after="0"/>
              <w:rPr>
                <w:sz w:val="20"/>
                <w:szCs w:val="20"/>
                <w:color w:val="auto"/>
              </w:rPr>
            </w:pPr>
            <w:r>
              <w:rPr>
                <w:rFonts w:ascii="Arial" w:cs="Arial" w:eastAsia="Arial" w:hAnsi="Arial"/>
                <w:sz w:val="14"/>
                <w:szCs w:val="14"/>
                <w:b w:val="1"/>
                <w:bCs w:val="1"/>
                <w:color w:val="auto"/>
                <w:w w:val="93"/>
              </w:rPr>
              <w:t>(dollars in millions)</w:t>
            </w: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56"/>
        </w:trPr>
        <w:tc>
          <w:tcPr>
            <w:tcW w:w="1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Long-term debt:</w:t>
            </w:r>
          </w:p>
        </w:tc>
        <w:tc>
          <w:tcPr>
            <w:tcW w:w="2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r>
      <w:tr>
        <w:trPr>
          <w:trHeight w:val="243"/>
        </w:trPr>
        <w:tc>
          <w:tcPr>
            <w:tcW w:w="1860" w:type="dxa"/>
            <w:vAlign w:val="bottom"/>
          </w:tcPr>
          <w:p>
            <w:pPr>
              <w:ind w:left="20"/>
              <w:spacing w:after="0"/>
              <w:rPr>
                <w:sz w:val="20"/>
                <w:szCs w:val="20"/>
                <w:color w:val="auto"/>
              </w:rPr>
            </w:pPr>
            <w:r>
              <w:rPr>
                <w:rFonts w:ascii="Arial" w:cs="Arial" w:eastAsia="Arial" w:hAnsi="Arial"/>
                <w:sz w:val="18"/>
                <w:szCs w:val="18"/>
                <w:color w:val="auto"/>
              </w:rPr>
              <w:t>Fixed rate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400" w:type="dxa"/>
            <w:vAlign w:val="bottom"/>
          </w:tcPr>
          <w:p>
            <w:pPr>
              <w:jc w:val="right"/>
              <w:ind w:right="99"/>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500.0</w:t>
            </w: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600.0</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5,160.0</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6,260.0</w:t>
            </w:r>
          </w:p>
        </w:tc>
        <w:tc>
          <w:tcPr>
            <w:tcW w:w="200" w:type="dxa"/>
            <w:vAlign w:val="bottom"/>
          </w:tcPr>
          <w:p>
            <w:pPr>
              <w:spacing w:after="0"/>
              <w:rPr>
                <w:sz w:val="21"/>
                <w:szCs w:val="21"/>
                <w:color w:val="auto"/>
              </w:rPr>
            </w:pPr>
          </w:p>
        </w:tc>
      </w:tr>
      <w:tr>
        <w:trPr>
          <w:trHeight w:val="27"/>
        </w:trPr>
        <w:tc>
          <w:tcPr>
            <w:tcW w:w="1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340" w:type="dxa"/>
            <w:vAlign w:val="bottom"/>
            <w:gridSpan w:val="2"/>
          </w:tcPr>
          <w:p>
            <w:pPr>
              <w:spacing w:after="0"/>
              <w:rPr>
                <w:sz w:val="2"/>
                <w:szCs w:val="2"/>
                <w:color w:val="auto"/>
              </w:rPr>
            </w:pPr>
          </w:p>
        </w:tc>
        <w:tc>
          <w:tcPr>
            <w:tcW w:w="94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220" w:type="dxa"/>
            <w:vAlign w:val="bottom"/>
            <w:gridSpan w:val="2"/>
          </w:tcPr>
          <w:p>
            <w:pPr>
              <w:spacing w:after="0"/>
              <w:rPr>
                <w:sz w:val="2"/>
                <w:szCs w:val="2"/>
                <w:color w:val="auto"/>
              </w:rPr>
            </w:pPr>
          </w:p>
        </w:tc>
        <w:tc>
          <w:tcPr>
            <w:tcW w:w="1440" w:type="dxa"/>
            <w:vAlign w:val="bottom"/>
            <w:gridSpan w:val="2"/>
          </w:tcPr>
          <w:p>
            <w:pPr>
              <w:spacing w:after="0"/>
              <w:rPr>
                <w:sz w:val="2"/>
                <w:szCs w:val="2"/>
                <w:color w:val="auto"/>
              </w:rPr>
            </w:pPr>
          </w:p>
        </w:tc>
        <w:tc>
          <w:tcPr>
            <w:tcW w:w="940" w:type="dxa"/>
            <w:vAlign w:val="bottom"/>
            <w:gridSpan w:val="2"/>
          </w:tcPr>
          <w:p>
            <w:pPr>
              <w:spacing w:after="0"/>
              <w:rPr>
                <w:sz w:val="2"/>
                <w:szCs w:val="2"/>
                <w:color w:val="auto"/>
              </w:rPr>
            </w:pPr>
          </w:p>
        </w:tc>
      </w:tr>
      <w:tr>
        <w:trPr>
          <w:trHeight w:val="250"/>
        </w:trPr>
        <w:tc>
          <w:tcPr>
            <w:tcW w:w="1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Average interest rate</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 %</w:t>
            </w:r>
          </w:p>
        </w:tc>
        <w:tc>
          <w:tcPr>
            <w:tcW w:w="1340" w:type="dxa"/>
            <w:vAlign w:val="bottom"/>
            <w:tcBorders>
              <w:bottom w:val="single" w:sz="8" w:color="CCEEFF"/>
            </w:tcBorders>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 %</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4.3 %</w:t>
            </w:r>
          </w:p>
        </w:tc>
        <w:tc>
          <w:tcPr>
            <w:tcW w:w="122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4.9 %</w:t>
            </w:r>
          </w:p>
        </w:tc>
        <w:tc>
          <w:tcPr>
            <w:tcW w:w="1440" w:type="dxa"/>
            <w:vAlign w:val="bottom"/>
            <w:tcBorders>
              <w:bottom w:val="single" w:sz="8" w:color="CCEEFF"/>
            </w:tcBorders>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5.3 %</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5.2 %</w:t>
            </w:r>
          </w:p>
        </w:tc>
      </w:tr>
      <w:tr>
        <w:trPr>
          <w:trHeight w:val="243"/>
        </w:trPr>
        <w:tc>
          <w:tcPr>
            <w:tcW w:w="1860" w:type="dxa"/>
            <w:vAlign w:val="bottom"/>
          </w:tcPr>
          <w:p>
            <w:pPr>
              <w:ind w:left="20"/>
              <w:spacing w:after="0"/>
              <w:rPr>
                <w:sz w:val="20"/>
                <w:szCs w:val="20"/>
                <w:color w:val="auto"/>
              </w:rPr>
            </w:pPr>
            <w:r>
              <w:rPr>
                <w:rFonts w:ascii="Arial" w:cs="Arial" w:eastAsia="Arial" w:hAnsi="Arial"/>
                <w:sz w:val="18"/>
                <w:szCs w:val="18"/>
                <w:color w:val="auto"/>
              </w:rPr>
              <w:t>Variable rate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323.9</w:t>
            </w: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367.5</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2,111.4</w:t>
            </w:r>
          </w:p>
        </w:tc>
        <w:tc>
          <w:tcPr>
            <w:tcW w:w="200" w:type="dxa"/>
            <w:vAlign w:val="bottom"/>
          </w:tcPr>
          <w:p>
            <w:pPr>
              <w:spacing w:after="0"/>
              <w:rPr>
                <w:sz w:val="21"/>
                <w:szCs w:val="21"/>
                <w:color w:val="auto"/>
              </w:rPr>
            </w:pPr>
          </w:p>
        </w:tc>
        <w:tc>
          <w:tcPr>
            <w:tcW w:w="400" w:type="dxa"/>
            <w:vAlign w:val="bottom"/>
          </w:tcPr>
          <w:p>
            <w:pPr>
              <w:jc w:val="right"/>
              <w:ind w:right="99"/>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50.0</w:t>
            </w: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787.5</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615.0</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4,255.3</w:t>
            </w:r>
          </w:p>
        </w:tc>
        <w:tc>
          <w:tcPr>
            <w:tcW w:w="200" w:type="dxa"/>
            <w:vAlign w:val="bottom"/>
          </w:tcPr>
          <w:p>
            <w:pPr>
              <w:spacing w:after="0"/>
              <w:rPr>
                <w:sz w:val="21"/>
                <w:szCs w:val="21"/>
                <w:color w:val="auto"/>
              </w:rPr>
            </w:pPr>
          </w:p>
        </w:tc>
      </w:tr>
      <w:tr>
        <w:trPr>
          <w:trHeight w:val="27"/>
        </w:trPr>
        <w:tc>
          <w:tcPr>
            <w:tcW w:w="1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43"/>
        </w:trPr>
        <w:tc>
          <w:tcPr>
            <w:tcW w:w="1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interest rate</w:t>
            </w:r>
          </w:p>
        </w:tc>
        <w:tc>
          <w:tcPr>
            <w:tcW w:w="2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5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6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5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
        </w:trPr>
        <w:tc>
          <w:tcPr>
            <w:tcW w:w="18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Sensitivity</w:t>
      </w:r>
    </w:p>
    <w:p>
      <w:pPr>
        <w:spacing w:after="0" w:line="252"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7"/>
          <w:szCs w:val="17"/>
          <w:color w:val="auto"/>
        </w:rPr>
        <w:t>As of December 31, 2019, approximately 59.5% of our long-term debt was based on fixed rates. Based on our borrowings as of December 31, 2019, an assumed 100 basis point change in the variable rates would cause our annual interest expense to change by $42.6 million.</w:t>
      </w:r>
    </w:p>
    <w:p>
      <w:pPr>
        <w:spacing w:after="0" w:line="17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In order to mitigate exposure to interest rate fluctuations on the Retail Term Loan, the Company entered into a five year interest rate collar with a notional value of $615.0 million. The interest rate collar establishes a range whereby the Company will pay the counterparty if one-month LIBOR falls below the established floor rate of 1.00%, and the counterparty will pay the Company if one-month LIBOR exceeds the ceiling rate of 3.75%.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Risks</w:t>
      </w:r>
    </w:p>
    <w:p>
      <w:pPr>
        <w:spacing w:after="0" w:line="252"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currency delineated in Wynn Macau SA's concession agreement with the government of Macau is the Macau pataca. The Macau pataca, which is not a freely convertible currency, is linked to the Hong Kong dollar, and in many cases the two are used interchangeably in Macau. The Hong Kong dollar is linked to the U.S. dollar and the exchange rate between these two currencies has remained relatively stable over the past several years. However, the exchange linkages of the Hong Kong dollar and the Macau pataca, and the Hong Kong dollar and the U.S. dollar, are subject to potential changes due to, among other things, changes in Chinese governmental policies and international economic and political developments.</w:t>
      </w:r>
    </w:p>
    <w:p>
      <w:pPr>
        <w:spacing w:after="0" w:line="20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If the Hong Kong dollar and the Macau pataca are not linked to the U.S. dollar in the future, severe fluctuations in the exchange rate for these currencies may result. We also cannot assure you that the current rate of exchange fixed by the applicable monetary authorities for these currencies will remain at the same level.</w:t>
      </w:r>
    </w:p>
    <w:p>
      <w:pPr>
        <w:spacing w:after="0" w:line="20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expect most of the revenues and expenses for any casino that we operate in Macau will be denominated in Hong Kong dollars or Macau patacas; however, a significant portion of our Wynn Macau, Limited and Wynn Macau SA debt is denominated in U.S. dollars. Fluctuations in the exchange rates resulting in weakening of the Macau pataca or the Hong Kong dollar in relation to the U.S. dollar could have materially adverse effects on our results, financial condition, and ability to service debt. Based on our balances as of December 31, 2019, an assumed 1% change in the U.S. dollar/Hong Kong dollar exchange rate would cause a foreign currency transaction gain/loss of $26.8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7" w:name="page58"/>
    <w:bookmarkEnd w:id="5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75" w:lineRule="exact"/>
        <w:rPr>
          <w:sz w:val="20"/>
          <w:szCs w:val="20"/>
          <w:color w:val="auto"/>
        </w:rPr>
      </w:pPr>
    </w:p>
    <w:p>
      <w:pPr>
        <w:ind w:left="3460"/>
        <w:spacing w:after="0"/>
        <w:rPr>
          <w:sz w:val="20"/>
          <w:szCs w:val="20"/>
          <w:color w:val="auto"/>
        </w:rPr>
      </w:pPr>
      <w:r>
        <w:rPr>
          <w:rFonts w:ascii="Arial" w:cs="Arial" w:eastAsia="Arial" w:hAnsi="Arial"/>
          <w:sz w:val="18"/>
          <w:szCs w:val="18"/>
          <w:b w:val="1"/>
          <w:bCs w:val="1"/>
          <w:i w:val="1"/>
          <w:iCs w:val="1"/>
          <w:color w:val="auto"/>
        </w:rPr>
        <w:t>INDEX TO CONSOLIDATED FINANCIAL STATEMENTS</w:t>
      </w: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40" w:type="dxa"/>
            <w:vAlign w:val="bottom"/>
          </w:tcPr>
          <w:p>
            <w:pPr>
              <w:spacing w:after="0"/>
              <w:rPr>
                <w:sz w:val="16"/>
                <w:szCs w:val="16"/>
                <w:color w:val="auto"/>
              </w:rPr>
            </w:pPr>
          </w:p>
        </w:tc>
        <w:tc>
          <w:tcPr>
            <w:tcW w:w="1440" w:type="dxa"/>
            <w:vAlign w:val="bottom"/>
            <w:tcBorders>
              <w:bottom w:val="single" w:sz="8" w:color="auto"/>
            </w:tcBorders>
            <w:gridSpan w:val="4"/>
          </w:tcPr>
          <w:p>
            <w:pPr>
              <w:ind w:left="560"/>
              <w:spacing w:after="0"/>
              <w:rPr>
                <w:sz w:val="20"/>
                <w:szCs w:val="20"/>
                <w:color w:val="auto"/>
              </w:rPr>
            </w:pPr>
            <w:r>
              <w:rPr>
                <w:rFonts w:ascii="Arial" w:cs="Arial" w:eastAsia="Arial" w:hAnsi="Arial"/>
                <w:sz w:val="14"/>
                <w:szCs w:val="14"/>
                <w:b w:val="1"/>
                <w:bCs w:val="1"/>
                <w:color w:val="auto"/>
              </w:rPr>
              <w:t>Page</w:t>
            </w:r>
          </w:p>
        </w:tc>
      </w:tr>
      <w:tr>
        <w:trPr>
          <w:trHeight w:val="189"/>
        </w:trPr>
        <w:tc>
          <w:tcPr>
            <w:tcW w:w="4300" w:type="dxa"/>
            <w:vAlign w:val="bottom"/>
            <w:gridSpan w:val="8"/>
          </w:tcPr>
          <w:p>
            <w:pPr>
              <w:spacing w:after="0" w:line="189" w:lineRule="exact"/>
              <w:rPr>
                <w:rFonts w:ascii="Arial" w:cs="Arial" w:eastAsia="Arial" w:hAnsi="Arial"/>
                <w:sz w:val="18"/>
                <w:szCs w:val="18"/>
                <w:color w:val="0000FF"/>
                <w:w w:val="91"/>
              </w:rPr>
            </w:pPr>
            <w:hyperlink w:anchor="page58">
              <w:r>
                <w:rPr>
                  <w:rFonts w:ascii="Arial" w:cs="Arial" w:eastAsia="Arial" w:hAnsi="Arial"/>
                  <w:sz w:val="18"/>
                  <w:szCs w:val="18"/>
                  <w:color w:val="0000FF"/>
                  <w:w w:val="91"/>
                </w:rPr>
                <w:t>Reports of Independent Registered Public Accounting Firm</w:t>
              </w:r>
            </w:hyperlink>
          </w:p>
        </w:tc>
        <w:tc>
          <w:tcPr>
            <w:tcW w:w="5640" w:type="dxa"/>
            <w:vAlign w:val="bottom"/>
          </w:tcPr>
          <w:p>
            <w:pPr>
              <w:spacing w:after="0"/>
              <w:rPr>
                <w:sz w:val="16"/>
                <w:szCs w:val="16"/>
                <w:color w:val="auto"/>
              </w:rPr>
            </w:pPr>
          </w:p>
        </w:tc>
        <w:tc>
          <w:tcPr>
            <w:tcW w:w="1420" w:type="dxa"/>
            <w:vAlign w:val="bottom"/>
            <w:gridSpan w:val="3"/>
          </w:tcPr>
          <w:p>
            <w:pPr>
              <w:jc w:val="right"/>
              <w:spacing w:after="0" w:line="189" w:lineRule="exact"/>
              <w:rPr>
                <w:rFonts w:ascii="Arial" w:cs="Arial" w:eastAsia="Arial" w:hAnsi="Arial"/>
                <w:sz w:val="18"/>
                <w:szCs w:val="18"/>
                <w:color w:val="0000FF"/>
              </w:rPr>
            </w:pPr>
            <w:hyperlink w:anchor="page58">
              <w:r>
                <w:rPr>
                  <w:rFonts w:ascii="Arial" w:cs="Arial" w:eastAsia="Arial" w:hAnsi="Arial"/>
                  <w:sz w:val="18"/>
                  <w:szCs w:val="18"/>
                  <w:color w:val="0000FF"/>
                </w:rPr>
                <w:t>58</w:t>
              </w:r>
            </w:hyperlink>
          </w:p>
        </w:tc>
        <w:tc>
          <w:tcPr>
            <w:tcW w:w="20" w:type="dxa"/>
            <w:vAlign w:val="bottom"/>
          </w:tcPr>
          <w:p>
            <w:pPr>
              <w:spacing w:after="0"/>
              <w:rPr>
                <w:sz w:val="16"/>
                <w:szCs w:val="16"/>
                <w:color w:val="auto"/>
              </w:rPr>
            </w:pPr>
          </w:p>
        </w:tc>
      </w:tr>
      <w:tr>
        <w:trPr>
          <w:trHeight w:val="20"/>
        </w:trPr>
        <w:tc>
          <w:tcPr>
            <w:tcW w:w="2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100" w:type="dxa"/>
            <w:vAlign w:val="bottom"/>
          </w:tcPr>
          <w:p>
            <w:pPr>
              <w:spacing w:after="0"/>
              <w:rPr>
                <w:rFonts w:ascii="Arial" w:cs="Arial" w:eastAsia="Arial" w:hAnsi="Arial"/>
                <w:sz w:val="18"/>
                <w:szCs w:val="18"/>
                <w:color w:val="0000FF"/>
                <w:w w:val="88"/>
              </w:rPr>
            </w:pPr>
            <w:hyperlink w:anchor="page61">
              <w:r>
                <w:rPr>
                  <w:rFonts w:ascii="Arial" w:cs="Arial" w:eastAsia="Arial" w:hAnsi="Arial"/>
                  <w:sz w:val="18"/>
                  <w:szCs w:val="18"/>
                  <w:color w:val="0000FF"/>
                  <w:w w:val="88"/>
                </w:rPr>
                <w:t>Consolidated Balance Sheets</w:t>
              </w:r>
            </w:hyperlink>
          </w:p>
        </w:tc>
        <w:tc>
          <w:tcPr>
            <w:tcW w:w="2200" w:type="dxa"/>
            <w:vAlign w:val="bottom"/>
            <w:gridSpan w:val="7"/>
          </w:tcPr>
          <w:p>
            <w:pPr>
              <w:spacing w:after="0"/>
              <w:rPr>
                <w:sz w:val="18"/>
                <w:szCs w:val="18"/>
                <w:color w:val="auto"/>
              </w:rPr>
            </w:pPr>
          </w:p>
        </w:tc>
        <w:tc>
          <w:tcPr>
            <w:tcW w:w="5640" w:type="dxa"/>
            <w:vAlign w:val="bottom"/>
          </w:tcPr>
          <w:p>
            <w:pPr>
              <w:spacing w:after="0"/>
              <w:rPr>
                <w:sz w:val="18"/>
                <w:szCs w:val="18"/>
                <w:color w:val="auto"/>
              </w:rPr>
            </w:pPr>
          </w:p>
        </w:tc>
        <w:tc>
          <w:tcPr>
            <w:tcW w:w="1420" w:type="dxa"/>
            <w:vAlign w:val="bottom"/>
            <w:gridSpan w:val="3"/>
          </w:tcPr>
          <w:p>
            <w:pPr>
              <w:jc w:val="right"/>
              <w:spacing w:after="0"/>
              <w:rPr>
                <w:rFonts w:ascii="Arial" w:cs="Arial" w:eastAsia="Arial" w:hAnsi="Arial"/>
                <w:sz w:val="18"/>
                <w:szCs w:val="18"/>
                <w:color w:val="0000FF"/>
              </w:rPr>
            </w:pPr>
            <w:hyperlink w:anchor="page61">
              <w:r>
                <w:rPr>
                  <w:rFonts w:ascii="Arial" w:cs="Arial" w:eastAsia="Arial" w:hAnsi="Arial"/>
                  <w:sz w:val="18"/>
                  <w:szCs w:val="18"/>
                  <w:color w:val="0000FF"/>
                </w:rPr>
                <w:t>61</w:t>
              </w:r>
            </w:hyperlink>
          </w:p>
        </w:tc>
        <w:tc>
          <w:tcPr>
            <w:tcW w:w="20" w:type="dxa"/>
            <w:vAlign w:val="bottom"/>
          </w:tcPr>
          <w:p>
            <w:pPr>
              <w:spacing w:after="0"/>
              <w:rPr>
                <w:sz w:val="18"/>
                <w:szCs w:val="18"/>
                <w:color w:val="auto"/>
              </w:rPr>
            </w:pPr>
          </w:p>
        </w:tc>
      </w:tr>
      <w:tr>
        <w:trPr>
          <w:trHeight w:val="20"/>
        </w:trPr>
        <w:tc>
          <w:tcPr>
            <w:tcW w:w="21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7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580" w:type="dxa"/>
            <w:vAlign w:val="bottom"/>
            <w:gridSpan w:val="2"/>
          </w:tcPr>
          <w:p>
            <w:pPr>
              <w:spacing w:after="0"/>
              <w:rPr>
                <w:rFonts w:ascii="Arial" w:cs="Arial" w:eastAsia="Arial" w:hAnsi="Arial"/>
                <w:sz w:val="18"/>
                <w:szCs w:val="18"/>
                <w:color w:val="0000FF"/>
                <w:w w:val="89"/>
              </w:rPr>
            </w:pPr>
            <w:hyperlink w:anchor="page62">
              <w:r>
                <w:rPr>
                  <w:rFonts w:ascii="Arial" w:cs="Arial" w:eastAsia="Arial" w:hAnsi="Arial"/>
                  <w:sz w:val="18"/>
                  <w:szCs w:val="18"/>
                  <w:color w:val="0000FF"/>
                  <w:w w:val="89"/>
                </w:rPr>
                <w:t>Consolidated Statements of Income</w:t>
              </w:r>
            </w:hyperlink>
          </w:p>
        </w:tc>
        <w:tc>
          <w:tcPr>
            <w:tcW w:w="7360" w:type="dxa"/>
            <w:vAlign w:val="bottom"/>
            <w:gridSpan w:val="7"/>
          </w:tcPr>
          <w:p>
            <w:pPr>
              <w:spacing w:after="0"/>
              <w:rPr>
                <w:sz w:val="18"/>
                <w:szCs w:val="18"/>
                <w:color w:val="auto"/>
              </w:rPr>
            </w:pPr>
          </w:p>
        </w:tc>
        <w:tc>
          <w:tcPr>
            <w:tcW w:w="1420" w:type="dxa"/>
            <w:vAlign w:val="bottom"/>
            <w:gridSpan w:val="3"/>
          </w:tcPr>
          <w:p>
            <w:pPr>
              <w:jc w:val="right"/>
              <w:spacing w:after="0"/>
              <w:rPr>
                <w:rFonts w:ascii="Arial" w:cs="Arial" w:eastAsia="Arial" w:hAnsi="Arial"/>
                <w:sz w:val="18"/>
                <w:szCs w:val="18"/>
                <w:color w:val="0000FF"/>
              </w:rPr>
            </w:pPr>
            <w:hyperlink w:anchor="page62">
              <w:r>
                <w:rPr>
                  <w:rFonts w:ascii="Arial" w:cs="Arial" w:eastAsia="Arial" w:hAnsi="Arial"/>
                  <w:sz w:val="18"/>
                  <w:szCs w:val="18"/>
                  <w:color w:val="0000FF"/>
                </w:rPr>
                <w:t>62</w:t>
              </w:r>
            </w:hyperlink>
          </w:p>
        </w:tc>
        <w:tc>
          <w:tcPr>
            <w:tcW w:w="20" w:type="dxa"/>
            <w:vAlign w:val="bottom"/>
          </w:tcPr>
          <w:p>
            <w:pPr>
              <w:spacing w:after="0"/>
              <w:rPr>
                <w:sz w:val="18"/>
                <w:szCs w:val="18"/>
                <w:color w:val="auto"/>
              </w:rPr>
            </w:pPr>
          </w:p>
        </w:tc>
      </w:tr>
      <w:tr>
        <w:trPr>
          <w:trHeight w:val="20"/>
        </w:trPr>
        <w:tc>
          <w:tcPr>
            <w:tcW w:w="258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7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940" w:type="dxa"/>
            <w:vAlign w:val="bottom"/>
            <w:gridSpan w:val="9"/>
          </w:tcPr>
          <w:p>
            <w:pPr>
              <w:spacing w:after="0"/>
              <w:rPr>
                <w:rFonts w:ascii="Arial" w:cs="Arial" w:eastAsia="Arial" w:hAnsi="Arial"/>
                <w:sz w:val="18"/>
                <w:szCs w:val="18"/>
                <w:color w:val="0000FF"/>
              </w:rPr>
            </w:pPr>
            <w:hyperlink w:anchor="page63">
              <w:r>
                <w:rPr>
                  <w:rFonts w:ascii="Arial" w:cs="Arial" w:eastAsia="Arial" w:hAnsi="Arial"/>
                  <w:sz w:val="18"/>
                  <w:szCs w:val="18"/>
                  <w:color w:val="0000FF"/>
                </w:rPr>
                <w:t>Consolidated Statements of Comprehensive Income</w:t>
              </w:r>
            </w:hyperlink>
          </w:p>
        </w:tc>
        <w:tc>
          <w:tcPr>
            <w:tcW w:w="1420" w:type="dxa"/>
            <w:vAlign w:val="bottom"/>
            <w:gridSpan w:val="3"/>
          </w:tcPr>
          <w:p>
            <w:pPr>
              <w:jc w:val="right"/>
              <w:spacing w:after="0"/>
              <w:rPr>
                <w:rFonts w:ascii="Arial" w:cs="Arial" w:eastAsia="Arial" w:hAnsi="Arial"/>
                <w:sz w:val="18"/>
                <w:szCs w:val="18"/>
                <w:color w:val="0000FF"/>
              </w:rPr>
            </w:pPr>
            <w:hyperlink w:anchor="page63">
              <w:r>
                <w:rPr>
                  <w:rFonts w:ascii="Arial" w:cs="Arial" w:eastAsia="Arial" w:hAnsi="Arial"/>
                  <w:sz w:val="18"/>
                  <w:szCs w:val="18"/>
                  <w:color w:val="0000FF"/>
                </w:rPr>
                <w:t>63</w:t>
              </w:r>
            </w:hyperlink>
          </w:p>
        </w:tc>
        <w:tc>
          <w:tcPr>
            <w:tcW w:w="20" w:type="dxa"/>
            <w:vAlign w:val="bottom"/>
          </w:tcPr>
          <w:p>
            <w:pPr>
              <w:spacing w:after="0"/>
              <w:rPr>
                <w:sz w:val="18"/>
                <w:szCs w:val="18"/>
                <w:color w:val="auto"/>
              </w:rPr>
            </w:pPr>
          </w:p>
        </w:tc>
      </w:tr>
      <w:tr>
        <w:trPr>
          <w:trHeight w:val="20"/>
        </w:trPr>
        <w:tc>
          <w:tcPr>
            <w:tcW w:w="288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7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3560" w:type="dxa"/>
            <w:vAlign w:val="bottom"/>
            <w:gridSpan w:val="5"/>
          </w:tcPr>
          <w:p>
            <w:pPr>
              <w:spacing w:after="0"/>
              <w:rPr>
                <w:rFonts w:ascii="Arial" w:cs="Arial" w:eastAsia="Arial" w:hAnsi="Arial"/>
                <w:sz w:val="18"/>
                <w:szCs w:val="18"/>
                <w:color w:val="0000FF"/>
                <w:w w:val="90"/>
              </w:rPr>
            </w:pPr>
            <w:hyperlink w:anchor="page64">
              <w:r>
                <w:rPr>
                  <w:rFonts w:ascii="Arial" w:cs="Arial" w:eastAsia="Arial" w:hAnsi="Arial"/>
                  <w:sz w:val="18"/>
                  <w:szCs w:val="18"/>
                  <w:color w:val="0000FF"/>
                  <w:w w:val="90"/>
                </w:rPr>
                <w:t>Consolidated Statements of Stockholders’ Equity</w:t>
              </w:r>
            </w:hyperlink>
          </w:p>
        </w:tc>
        <w:tc>
          <w:tcPr>
            <w:tcW w:w="180" w:type="dxa"/>
            <w:vAlign w:val="bottom"/>
          </w:tcPr>
          <w:p>
            <w:pPr>
              <w:spacing w:after="0"/>
              <w:rPr>
                <w:sz w:val="18"/>
                <w:szCs w:val="18"/>
                <w:color w:val="auto"/>
              </w:rPr>
            </w:pPr>
          </w:p>
        </w:tc>
        <w:tc>
          <w:tcPr>
            <w:tcW w:w="6200" w:type="dxa"/>
            <w:vAlign w:val="bottom"/>
            <w:gridSpan w:val="3"/>
          </w:tcPr>
          <w:p>
            <w:pPr>
              <w:spacing w:after="0"/>
              <w:rPr>
                <w:sz w:val="18"/>
                <w:szCs w:val="18"/>
                <w:color w:val="auto"/>
              </w:rPr>
            </w:pPr>
          </w:p>
        </w:tc>
        <w:tc>
          <w:tcPr>
            <w:tcW w:w="1420" w:type="dxa"/>
            <w:vAlign w:val="bottom"/>
            <w:gridSpan w:val="3"/>
          </w:tcPr>
          <w:p>
            <w:pPr>
              <w:jc w:val="right"/>
              <w:spacing w:after="0"/>
              <w:rPr>
                <w:rFonts w:ascii="Arial" w:cs="Arial" w:eastAsia="Arial" w:hAnsi="Arial"/>
                <w:sz w:val="18"/>
                <w:szCs w:val="18"/>
                <w:color w:val="0000FF"/>
              </w:rPr>
            </w:pPr>
            <w:hyperlink w:anchor="page64">
              <w:r>
                <w:rPr>
                  <w:rFonts w:ascii="Arial" w:cs="Arial" w:eastAsia="Arial" w:hAnsi="Arial"/>
                  <w:sz w:val="18"/>
                  <w:szCs w:val="18"/>
                  <w:color w:val="0000FF"/>
                </w:rPr>
                <w:t>64</w:t>
              </w:r>
            </w:hyperlink>
          </w:p>
        </w:tc>
        <w:tc>
          <w:tcPr>
            <w:tcW w:w="20" w:type="dxa"/>
            <w:vAlign w:val="bottom"/>
          </w:tcPr>
          <w:p>
            <w:pPr>
              <w:spacing w:after="0"/>
              <w:rPr>
                <w:sz w:val="18"/>
                <w:szCs w:val="18"/>
                <w:color w:val="auto"/>
              </w:rPr>
            </w:pPr>
          </w:p>
        </w:tc>
      </w:tr>
      <w:tr>
        <w:trPr>
          <w:trHeight w:val="20"/>
        </w:trPr>
        <w:tc>
          <w:tcPr>
            <w:tcW w:w="2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880" w:type="dxa"/>
            <w:vAlign w:val="bottom"/>
            <w:gridSpan w:val="3"/>
          </w:tcPr>
          <w:p>
            <w:pPr>
              <w:spacing w:after="0"/>
              <w:rPr>
                <w:rFonts w:ascii="Arial" w:cs="Arial" w:eastAsia="Arial" w:hAnsi="Arial"/>
                <w:sz w:val="18"/>
                <w:szCs w:val="18"/>
                <w:color w:val="0000FF"/>
                <w:w w:val="89"/>
              </w:rPr>
            </w:pPr>
            <w:hyperlink w:anchor="page65">
              <w:r>
                <w:rPr>
                  <w:rFonts w:ascii="Arial" w:cs="Arial" w:eastAsia="Arial" w:hAnsi="Arial"/>
                  <w:sz w:val="18"/>
                  <w:szCs w:val="18"/>
                  <w:color w:val="0000FF"/>
                  <w:w w:val="89"/>
                </w:rPr>
                <w:t>Consolidated Statements of Cash Flows</w:t>
              </w:r>
            </w:hyperlink>
          </w:p>
        </w:tc>
        <w:tc>
          <w:tcPr>
            <w:tcW w:w="680" w:type="dxa"/>
            <w:vAlign w:val="bottom"/>
            <w:gridSpan w:val="2"/>
          </w:tcPr>
          <w:p>
            <w:pPr>
              <w:spacing w:after="0"/>
              <w:rPr>
                <w:sz w:val="18"/>
                <w:szCs w:val="18"/>
                <w:color w:val="auto"/>
              </w:rPr>
            </w:pPr>
          </w:p>
        </w:tc>
        <w:tc>
          <w:tcPr>
            <w:tcW w:w="6380" w:type="dxa"/>
            <w:vAlign w:val="bottom"/>
            <w:gridSpan w:val="4"/>
          </w:tcPr>
          <w:p>
            <w:pPr>
              <w:spacing w:after="0"/>
              <w:rPr>
                <w:sz w:val="18"/>
                <w:szCs w:val="18"/>
                <w:color w:val="auto"/>
              </w:rPr>
            </w:pPr>
          </w:p>
        </w:tc>
        <w:tc>
          <w:tcPr>
            <w:tcW w:w="1420" w:type="dxa"/>
            <w:vAlign w:val="bottom"/>
            <w:gridSpan w:val="3"/>
          </w:tcPr>
          <w:p>
            <w:pPr>
              <w:jc w:val="right"/>
              <w:spacing w:after="0"/>
              <w:rPr>
                <w:rFonts w:ascii="Arial" w:cs="Arial" w:eastAsia="Arial" w:hAnsi="Arial"/>
                <w:sz w:val="18"/>
                <w:szCs w:val="18"/>
                <w:color w:val="0000FF"/>
              </w:rPr>
            </w:pPr>
            <w:hyperlink w:anchor="page65">
              <w:r>
                <w:rPr>
                  <w:rFonts w:ascii="Arial" w:cs="Arial" w:eastAsia="Arial" w:hAnsi="Arial"/>
                  <w:sz w:val="18"/>
                  <w:szCs w:val="18"/>
                  <w:color w:val="0000FF"/>
                </w:rPr>
                <w:t>65</w:t>
              </w:r>
            </w:hyperlink>
          </w:p>
        </w:tc>
        <w:tc>
          <w:tcPr>
            <w:tcW w:w="20" w:type="dxa"/>
            <w:vAlign w:val="bottom"/>
          </w:tcPr>
          <w:p>
            <w:pPr>
              <w:spacing w:after="0"/>
              <w:rPr>
                <w:sz w:val="18"/>
                <w:szCs w:val="18"/>
                <w:color w:val="auto"/>
              </w:rPr>
            </w:pPr>
          </w:p>
        </w:tc>
      </w:tr>
      <w:tr>
        <w:trPr>
          <w:trHeight w:val="20"/>
        </w:trPr>
        <w:tc>
          <w:tcPr>
            <w:tcW w:w="288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57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3160" w:type="dxa"/>
            <w:vAlign w:val="bottom"/>
            <w:gridSpan w:val="4"/>
          </w:tcPr>
          <w:p>
            <w:pPr>
              <w:spacing w:after="0"/>
              <w:rPr>
                <w:rFonts w:ascii="Arial" w:cs="Arial" w:eastAsia="Arial" w:hAnsi="Arial"/>
                <w:sz w:val="18"/>
                <w:szCs w:val="18"/>
                <w:color w:val="0000FF"/>
                <w:w w:val="89"/>
              </w:rPr>
            </w:pPr>
            <w:hyperlink w:anchor="page66">
              <w:r>
                <w:rPr>
                  <w:rFonts w:ascii="Arial" w:cs="Arial" w:eastAsia="Arial" w:hAnsi="Arial"/>
                  <w:sz w:val="18"/>
                  <w:szCs w:val="18"/>
                  <w:color w:val="0000FF"/>
                  <w:w w:val="89"/>
                </w:rPr>
                <w:t>Notes to Consolidated Financial Statements</w:t>
              </w:r>
            </w:hyperlink>
          </w:p>
        </w:tc>
        <w:tc>
          <w:tcPr>
            <w:tcW w:w="6780" w:type="dxa"/>
            <w:vAlign w:val="bottom"/>
            <w:gridSpan w:val="5"/>
          </w:tcPr>
          <w:p>
            <w:pPr>
              <w:spacing w:after="0"/>
              <w:rPr>
                <w:sz w:val="18"/>
                <w:szCs w:val="18"/>
                <w:color w:val="auto"/>
              </w:rPr>
            </w:pPr>
          </w:p>
        </w:tc>
        <w:tc>
          <w:tcPr>
            <w:tcW w:w="1420" w:type="dxa"/>
            <w:vAlign w:val="bottom"/>
            <w:gridSpan w:val="3"/>
          </w:tcPr>
          <w:p>
            <w:pPr>
              <w:jc w:val="right"/>
              <w:spacing w:after="0"/>
              <w:rPr>
                <w:rFonts w:ascii="Arial" w:cs="Arial" w:eastAsia="Arial" w:hAnsi="Arial"/>
                <w:sz w:val="18"/>
                <w:szCs w:val="18"/>
                <w:color w:val="0000FF"/>
              </w:rPr>
            </w:pPr>
            <w:hyperlink w:anchor="page66">
              <w:r>
                <w:rPr>
                  <w:rFonts w:ascii="Arial" w:cs="Arial" w:eastAsia="Arial" w:hAnsi="Arial"/>
                  <w:sz w:val="18"/>
                  <w:szCs w:val="18"/>
                  <w:color w:val="0000FF"/>
                </w:rPr>
                <w:t>66</w:t>
              </w:r>
            </w:hyperlink>
          </w:p>
        </w:tc>
        <w:tc>
          <w:tcPr>
            <w:tcW w:w="20" w:type="dxa"/>
            <w:vAlign w:val="bottom"/>
          </w:tcPr>
          <w:p>
            <w:pPr>
              <w:spacing w:after="0"/>
              <w:rPr>
                <w:sz w:val="18"/>
                <w:szCs w:val="18"/>
                <w:color w:val="auto"/>
              </w:rPr>
            </w:pPr>
          </w:p>
        </w:tc>
      </w:tr>
      <w:tr>
        <w:trPr>
          <w:trHeight w:val="20"/>
        </w:trPr>
        <w:tc>
          <w:tcPr>
            <w:tcW w:w="3160" w:type="dxa"/>
            <w:vAlign w:val="bottom"/>
            <w:gridSpan w:val="4"/>
            <w:shd w:val="clear" w:color="auto" w:fill="0000FF"/>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57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940" w:type="dxa"/>
            <w:vAlign w:val="bottom"/>
            <w:gridSpan w:val="9"/>
          </w:tcPr>
          <w:p>
            <w:pPr>
              <w:spacing w:after="0"/>
              <w:rPr>
                <w:rFonts w:ascii="Arial" w:cs="Arial" w:eastAsia="Arial" w:hAnsi="Arial"/>
                <w:sz w:val="18"/>
                <w:szCs w:val="18"/>
                <w:color w:val="0000FF"/>
              </w:rPr>
            </w:pPr>
            <w:hyperlink w:anchor="page110">
              <w:r>
                <w:rPr>
                  <w:rFonts w:ascii="Arial" w:cs="Arial" w:eastAsia="Arial" w:hAnsi="Arial"/>
                  <w:sz w:val="18"/>
                  <w:szCs w:val="18"/>
                  <w:color w:val="0000FF"/>
                </w:rPr>
                <w:t>Quarterly Consolidated Financial Information (Unaudited)</w:t>
              </w:r>
            </w:hyperlink>
          </w:p>
        </w:tc>
        <w:tc>
          <w:tcPr>
            <w:tcW w:w="1440" w:type="dxa"/>
            <w:vAlign w:val="bottom"/>
            <w:gridSpan w:val="4"/>
          </w:tcPr>
          <w:p>
            <w:pPr>
              <w:jc w:val="right"/>
              <w:ind w:right="20"/>
              <w:spacing w:after="0"/>
              <w:rPr>
                <w:rFonts w:ascii="Arial" w:cs="Arial" w:eastAsia="Arial" w:hAnsi="Arial"/>
                <w:sz w:val="18"/>
                <w:szCs w:val="18"/>
                <w:color w:val="0000FF"/>
              </w:rPr>
            </w:pPr>
            <w:hyperlink w:anchor="page110">
              <w:r>
                <w:rPr>
                  <w:rFonts w:ascii="Arial" w:cs="Arial" w:eastAsia="Arial" w:hAnsi="Arial"/>
                  <w:sz w:val="18"/>
                  <w:szCs w:val="18"/>
                  <w:color w:val="0000FF"/>
                </w:rPr>
                <w:t>110</w:t>
              </w:r>
            </w:hyperlink>
          </w:p>
        </w:tc>
      </w:tr>
      <w:tr>
        <w:trPr>
          <w:trHeight w:val="20"/>
        </w:trPr>
        <w:tc>
          <w:tcPr>
            <w:tcW w:w="2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58" w:name="page59"/>
    <w:bookmarkEnd w:id="5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Wynn Resorts, Limited and subsidiaries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Wynn Resorts, Limited and subsidiaries’ internal control over financial reporting as of December 31, 2019, based on criteria established in Internal Control—Integrated Framework issued by the Committee of Sponsoring Organizations of the Treadway Commission (2013 framework) (the COSO criteria). In our opinion, Wynn Resorts, Limited and subsidiaries (the Company) maintained, in all material respects, effective internal control over financial reporting as of December 31, 2019, based on the COSO criteria.</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consolidated balance sheets of the Company as of December 31, 2019 and 2018, the related consolidated statements of income, comprehensive income, stockholders' equity and cash flows for each of the three years in the period ended December 31, 2019, and the related notes and financial statement schedule listed in the Index at Item 15(a)2 and our report dated February 28, 2020 expressed an unqualified opinion thereon.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8"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2020</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59" w:name="page60"/>
    <w:bookmarkEnd w:id="5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Wynn Resorts, Limited and subsidiaries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Wynn Resorts, Limited and subsidiaries (the Company) as of December 31, 2019 and 2018, the related consolidated statements of income, comprehensive income, stockholders' equity and cash flows for each of the three years in the period ended December 31, 2019, and the related notes and financial statement schedule listed in the Index at Item 15(a)2 (collectively referred to as the “consolidated financial statements”). In our opinion, the consolidated financial statements present fairly, in all material respects, the financial position of the Company at December 31, 2019 and 2018, and the results of its operations and its cash flows for each of the three years in the period ended December 31, 2019, in conformity with U.S. generally accepted accounting principles.</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2019, based on criteria established in Internal Control-Integrated Framework issued by the Committee of Sponsoring Organizations of the Treadway Commission (2013 framework), and our report dated February 28, 2020 expressed an unqualified opinion thereon.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ASU No. 2016-02</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As discussed in Note 2 to the consolidated financial statements, the Company changed its method of accounting for leases in 2019 due to the adoption of Accounting Standards Update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(Topic 842), and the related amendments.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 to which it relates.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60" w:name="page61"/>
    <w:bookmarkEnd w:id="6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Deferred Tax Assets</w:t>
      </w:r>
    </w:p>
    <w:p>
      <w:pPr>
        <w:spacing w:after="0" w:line="306" w:lineRule="exact"/>
        <w:rPr>
          <w:sz w:val="20"/>
          <w:szCs w:val="20"/>
          <w:color w:val="auto"/>
        </w:rPr>
      </w:pPr>
    </w:p>
    <w:p>
      <w:pPr>
        <w:ind w:left="20"/>
        <w:spacing w:after="0"/>
        <w:tabs>
          <w:tab w:leader="none" w:pos="1800" w:val="left"/>
        </w:tabs>
        <w:rPr>
          <w:sz w:val="20"/>
          <w:szCs w:val="20"/>
          <w:color w:val="auto"/>
        </w:rPr>
      </w:pPr>
      <w:r>
        <w:rPr>
          <w:rFonts w:ascii="Arial" w:cs="Arial" w:eastAsia="Arial" w:hAnsi="Arial"/>
          <w:sz w:val="18"/>
          <w:szCs w:val="18"/>
          <w:i w:val="1"/>
          <w:iCs w:val="1"/>
          <w:color w:val="auto"/>
        </w:rPr>
        <w:t>Description of the</w:t>
      </w:r>
      <w:r>
        <w:rPr>
          <w:sz w:val="20"/>
          <w:szCs w:val="20"/>
          <w:color w:val="auto"/>
        </w:rPr>
        <w:tab/>
      </w:r>
      <w:r>
        <w:rPr>
          <w:rFonts w:ascii="Arial" w:cs="Arial" w:eastAsia="Arial" w:hAnsi="Arial"/>
          <w:sz w:val="16"/>
          <w:szCs w:val="16"/>
          <w:color w:val="auto"/>
        </w:rPr>
        <w:t>As more fully described in Note 12 to the consolidated financial statements, at December 31, 2019, the Company had deferred tax</w:t>
      </w:r>
    </w:p>
    <w:p>
      <w:pPr>
        <w:spacing w:after="0" w:line="23" w:lineRule="exact"/>
        <w:rPr>
          <w:sz w:val="20"/>
          <w:szCs w:val="20"/>
          <w:color w:val="auto"/>
        </w:rPr>
      </w:pPr>
    </w:p>
    <w:p>
      <w:pPr>
        <w:jc w:val="both"/>
        <w:ind w:left="1820" w:hanging="1799"/>
        <w:spacing w:after="0" w:line="254" w:lineRule="auto"/>
        <w:tabs>
          <w:tab w:leader="none" w:pos="1800" w:val="left"/>
        </w:tabs>
        <w:rPr>
          <w:sz w:val="20"/>
          <w:szCs w:val="20"/>
          <w:color w:val="auto"/>
        </w:rPr>
      </w:pPr>
      <w:r>
        <w:rPr>
          <w:rFonts w:ascii="Arial" w:cs="Arial" w:eastAsia="Arial" w:hAnsi="Arial"/>
          <w:sz w:val="18"/>
          <w:szCs w:val="18"/>
          <w:i w:val="1"/>
          <w:iCs w:val="1"/>
          <w:color w:val="auto"/>
        </w:rPr>
        <w:t>Matter</w:t>
      </w:r>
      <w:r>
        <w:rPr>
          <w:sz w:val="20"/>
          <w:szCs w:val="20"/>
          <w:color w:val="auto"/>
        </w:rPr>
        <w:tab/>
      </w:r>
      <w:r>
        <w:rPr>
          <w:rFonts w:ascii="Arial" w:cs="Arial" w:eastAsia="Arial" w:hAnsi="Arial"/>
          <w:sz w:val="18"/>
          <w:szCs w:val="18"/>
          <w:color w:val="auto"/>
        </w:rPr>
        <w:t>assets related to foreign tax credit carryforwards, disallowed interest expense carryforwards and other U.S. and foreign deferred tax assets of $3.4 billion, net of a $2.8 billion valuation allowance. Deferred tax assets are reduced by a valuation allowance if, based on the weight of all available evidence, in management’s judgment it is more likely than not that some portion, or all, of the deferred tax assets will not be realized.</w:t>
      </w:r>
    </w:p>
    <w:p>
      <w:pPr>
        <w:spacing w:after="0" w:line="217" w:lineRule="exact"/>
        <w:rPr>
          <w:sz w:val="20"/>
          <w:szCs w:val="20"/>
          <w:color w:val="auto"/>
        </w:rPr>
      </w:pPr>
    </w:p>
    <w:p>
      <w:pPr>
        <w:jc w:val="both"/>
        <w:ind w:left="1820"/>
        <w:spacing w:after="0" w:line="297" w:lineRule="auto"/>
        <w:rPr>
          <w:sz w:val="20"/>
          <w:szCs w:val="20"/>
          <w:color w:val="auto"/>
        </w:rPr>
      </w:pPr>
      <w:r>
        <w:rPr>
          <w:rFonts w:ascii="Arial" w:cs="Arial" w:eastAsia="Arial" w:hAnsi="Arial"/>
          <w:sz w:val="16"/>
          <w:szCs w:val="16"/>
          <w:color w:val="auto"/>
        </w:rPr>
        <w:t>Auditing management’s assessment of the realizability of the Company’s deferred tax assets was complex and highly judgmental due to the significant estimation required in measuring deferred tax assets. These deferred tax assets are affected by assumptions, including forecasted taxable domestic and foreign-sourced income and related royalties, the amount of interest expense and other expenses allocated to foreign sourced income and the effect of tax planning strategies. Fluctuations in actual results from those forecasted can have a material impact on the recoverability of these deferred tax assets.</w:t>
      </w:r>
    </w:p>
    <w:p>
      <w:pPr>
        <w:spacing w:after="0" w:line="104" w:lineRule="exact"/>
        <w:rPr>
          <w:sz w:val="20"/>
          <w:szCs w:val="20"/>
          <w:color w:val="auto"/>
        </w:rPr>
      </w:pPr>
    </w:p>
    <w:p>
      <w:pPr>
        <w:ind w:left="20"/>
        <w:spacing w:after="0" w:line="291" w:lineRule="auto"/>
        <w:rPr>
          <w:sz w:val="20"/>
          <w:szCs w:val="20"/>
          <w:color w:val="auto"/>
        </w:rPr>
      </w:pPr>
      <w:r>
        <w:rPr>
          <w:rFonts w:ascii="Arial" w:cs="Arial" w:eastAsia="Arial" w:hAnsi="Arial"/>
          <w:sz w:val="16"/>
          <w:szCs w:val="16"/>
          <w:i w:val="1"/>
          <w:iCs w:val="1"/>
          <w:color w:val="auto"/>
        </w:rPr>
        <w:t xml:space="preserve">How We Addressed the </w:t>
      </w:r>
      <w:r>
        <w:rPr>
          <w:rFonts w:ascii="Arial" w:cs="Arial" w:eastAsia="Arial" w:hAnsi="Arial"/>
          <w:sz w:val="16"/>
          <w:szCs w:val="16"/>
          <w:color w:val="auto"/>
        </w:rPr>
        <w:t>We obtained an understanding, evaluated the design and tested the operating effectiveness of controls over management’s process</w:t>
      </w:r>
      <w:r>
        <w:rPr>
          <w:rFonts w:ascii="Arial" w:cs="Arial" w:eastAsia="Arial" w:hAnsi="Arial"/>
          <w:sz w:val="16"/>
          <w:szCs w:val="16"/>
          <w:i w:val="1"/>
          <w:iCs w:val="1"/>
          <w:color w:val="auto"/>
        </w:rPr>
        <w:t xml:space="preserve"> Matter in Our Audit </w:t>
      </w:r>
      <w:r>
        <w:rPr>
          <w:rFonts w:ascii="Arial" w:cs="Arial" w:eastAsia="Arial" w:hAnsi="Arial"/>
          <w:sz w:val="16"/>
          <w:szCs w:val="16"/>
          <w:color w:val="auto"/>
        </w:rPr>
        <w:t>for evaluating the realization of the Company’s deferred tax assets, including controls over management’s review of the forecast</w:t>
      </w:r>
    </w:p>
    <w:p>
      <w:pPr>
        <w:ind w:left="1820"/>
        <w:spacing w:after="0"/>
        <w:rPr>
          <w:sz w:val="20"/>
          <w:szCs w:val="20"/>
          <w:color w:val="auto"/>
        </w:rPr>
      </w:pPr>
      <w:r>
        <w:rPr>
          <w:rFonts w:ascii="Arial" w:cs="Arial" w:eastAsia="Arial" w:hAnsi="Arial"/>
          <w:sz w:val="17"/>
          <w:szCs w:val="17"/>
          <w:color w:val="auto"/>
        </w:rPr>
        <w:t>and significant assumptions described above and identification and reasonableness of available tax planning strategies.</w:t>
      </w:r>
    </w:p>
    <w:p>
      <w:pPr>
        <w:spacing w:after="0" w:line="249" w:lineRule="exact"/>
        <w:rPr>
          <w:sz w:val="20"/>
          <w:szCs w:val="20"/>
          <w:color w:val="auto"/>
        </w:rPr>
      </w:pPr>
    </w:p>
    <w:p>
      <w:pPr>
        <w:jc w:val="both"/>
        <w:ind w:left="1820"/>
        <w:spacing w:after="0" w:line="290" w:lineRule="auto"/>
        <w:rPr>
          <w:sz w:val="20"/>
          <w:szCs w:val="20"/>
          <w:color w:val="auto"/>
        </w:rPr>
      </w:pPr>
      <w:r>
        <w:rPr>
          <w:rFonts w:ascii="Arial" w:cs="Arial" w:eastAsia="Arial" w:hAnsi="Arial"/>
          <w:sz w:val="16"/>
          <w:szCs w:val="16"/>
          <w:color w:val="auto"/>
        </w:rPr>
        <w:t>To test the valuation of deferred tax assets, we performed audit procedures that included, among others, assessing methodologies and testing the significant assumptions discussed above and the underlying data used by the Company in its analysis. We compared the significant assumptions used by management to the Company’s business plans and current industry and economic trends and evaluated whether changes to the company’s business model, economic trends and other factors would affect the significant assumptions. We assessed the historical accuracy of management’s estimates and performed sensitivity analyses of significant assumptions to evaluate the changes in the valuation allowance that would result from changes in the assumptions. We involved our tax professionals to evaluate the application of tax law in the Company’s available tax planning strategies, and carryforward amounts, and the evaluation of the carryforward lives of its deferred tax assets.</w:t>
      </w:r>
    </w:p>
    <w:p>
      <w:pPr>
        <w:spacing w:after="0" w:line="220"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22" w:right="359" w:bottom="1440" w:gutter="0" w:footer="0" w:header="0"/>
        </w:sectPr>
      </w:pPr>
    </w:p>
    <w:bookmarkStart w:id="61" w:name="page62"/>
    <w:bookmarkEnd w:id="6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WYNN RESORTS, LIMITED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data)</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5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ind w:right="45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8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52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Cash and cash equivalents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2,351,904</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2,215,001</w:t>
            </w:r>
          </w:p>
        </w:tc>
        <w:tc>
          <w:tcPr>
            <w:tcW w:w="0" w:type="dxa"/>
            <w:vAlign w:val="bottom"/>
          </w:tcPr>
          <w:p>
            <w:pPr>
              <w:spacing w:after="0"/>
              <w:rPr>
                <w:sz w:val="1"/>
                <w:szCs w:val="1"/>
                <w:color w:val="auto"/>
              </w:rPr>
            </w:pPr>
          </w:p>
        </w:tc>
      </w:tr>
      <w:tr>
        <w:trPr>
          <w:trHeight w:val="224"/>
        </w:trPr>
        <w:tc>
          <w:tcPr>
            <w:tcW w:w="8520" w:type="dxa"/>
            <w:vAlign w:val="bottom"/>
          </w:tcPr>
          <w:p>
            <w:pPr>
              <w:ind w:left="340"/>
              <w:spacing w:after="0"/>
              <w:rPr>
                <w:sz w:val="20"/>
                <w:szCs w:val="20"/>
                <w:color w:val="auto"/>
              </w:rPr>
            </w:pPr>
            <w:r>
              <w:rPr>
                <w:rFonts w:ascii="Arial" w:cs="Arial" w:eastAsia="Arial" w:hAnsi="Arial"/>
                <w:sz w:val="16"/>
                <w:szCs w:val="16"/>
                <w:color w:val="auto"/>
              </w:rPr>
              <w:t>Receivables, net</w:t>
            </w:r>
          </w:p>
        </w:tc>
        <w:tc>
          <w:tcPr>
            <w:tcW w:w="320" w:type="dxa"/>
            <w:vAlign w:val="bottom"/>
          </w:tcPr>
          <w:p>
            <w:pPr>
              <w:spacing w:after="0"/>
              <w:rPr>
                <w:sz w:val="19"/>
                <w:szCs w:val="19"/>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346,429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276,644</w:t>
            </w:r>
          </w:p>
        </w:tc>
        <w:tc>
          <w:tcPr>
            <w:tcW w:w="0" w:type="dxa"/>
            <w:vAlign w:val="bottom"/>
          </w:tcPr>
          <w:p>
            <w:pPr>
              <w:spacing w:after="0"/>
              <w:rPr>
                <w:sz w:val="1"/>
                <w:szCs w:val="1"/>
                <w:color w:val="auto"/>
              </w:rPr>
            </w:pPr>
          </w:p>
        </w:tc>
      </w:tr>
      <w:tr>
        <w:trPr>
          <w:trHeight w:val="33"/>
        </w:trPr>
        <w:tc>
          <w:tcPr>
            <w:tcW w:w="8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Inventories</w:t>
            </w: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88,519</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66,627</w:t>
            </w:r>
          </w:p>
        </w:tc>
        <w:tc>
          <w:tcPr>
            <w:tcW w:w="0" w:type="dxa"/>
            <w:vAlign w:val="bottom"/>
          </w:tcPr>
          <w:p>
            <w:pPr>
              <w:spacing w:after="0"/>
              <w:rPr>
                <w:sz w:val="1"/>
                <w:szCs w:val="1"/>
                <w:color w:val="auto"/>
              </w:rPr>
            </w:pPr>
          </w:p>
        </w:tc>
      </w:tr>
      <w:tr>
        <w:trPr>
          <w:trHeight w:val="224"/>
        </w:trPr>
        <w:tc>
          <w:tcPr>
            <w:tcW w:w="8520" w:type="dxa"/>
            <w:vAlign w:val="bottom"/>
          </w:tcPr>
          <w:p>
            <w:pPr>
              <w:ind w:left="340"/>
              <w:spacing w:after="0"/>
              <w:rPr>
                <w:sz w:val="20"/>
                <w:szCs w:val="20"/>
                <w:color w:val="auto"/>
              </w:rPr>
            </w:pPr>
            <w:r>
              <w:rPr>
                <w:rFonts w:ascii="Arial" w:cs="Arial" w:eastAsia="Arial" w:hAnsi="Arial"/>
                <w:sz w:val="16"/>
                <w:szCs w:val="16"/>
                <w:color w:val="auto"/>
              </w:rPr>
              <w:t>Prepaid expenses and other</w:t>
            </w:r>
          </w:p>
        </w:tc>
        <w:tc>
          <w:tcPr>
            <w:tcW w:w="320" w:type="dxa"/>
            <w:vAlign w:val="bottom"/>
          </w:tcPr>
          <w:p>
            <w:pPr>
              <w:spacing w:after="0"/>
              <w:rPr>
                <w:sz w:val="19"/>
                <w:szCs w:val="19"/>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69,485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83,104</w:t>
            </w:r>
          </w:p>
        </w:tc>
        <w:tc>
          <w:tcPr>
            <w:tcW w:w="0" w:type="dxa"/>
            <w:vAlign w:val="bottom"/>
          </w:tcPr>
          <w:p>
            <w:pPr>
              <w:spacing w:after="0"/>
              <w:rPr>
                <w:sz w:val="1"/>
                <w:szCs w:val="1"/>
                <w:color w:val="auto"/>
              </w:rPr>
            </w:pPr>
          </w:p>
        </w:tc>
      </w:tr>
      <w:tr>
        <w:trPr>
          <w:trHeight w:val="33"/>
        </w:trPr>
        <w:tc>
          <w:tcPr>
            <w:tcW w:w="8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5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b w:val="1"/>
                <w:bCs w:val="1"/>
                <w:color w:val="auto"/>
              </w:rPr>
              <w:t>Total current assets</w:t>
            </w: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2,856,337</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2,641,376</w:t>
            </w:r>
          </w:p>
        </w:tc>
        <w:tc>
          <w:tcPr>
            <w:tcW w:w="0" w:type="dxa"/>
            <w:vAlign w:val="bottom"/>
          </w:tcPr>
          <w:p>
            <w:pPr>
              <w:spacing w:after="0"/>
              <w:rPr>
                <w:sz w:val="1"/>
                <w:szCs w:val="1"/>
                <w:color w:val="auto"/>
              </w:rPr>
            </w:pPr>
          </w:p>
        </w:tc>
      </w:tr>
      <w:tr>
        <w:trPr>
          <w:trHeight w:val="224"/>
        </w:trPr>
        <w:tc>
          <w:tcPr>
            <w:tcW w:w="852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320" w:type="dxa"/>
            <w:vAlign w:val="bottom"/>
          </w:tcPr>
          <w:p>
            <w:pPr>
              <w:spacing w:after="0"/>
              <w:rPr>
                <w:sz w:val="19"/>
                <w:szCs w:val="19"/>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9,623,832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9,385,920</w:t>
            </w:r>
          </w:p>
        </w:tc>
        <w:tc>
          <w:tcPr>
            <w:tcW w:w="0" w:type="dxa"/>
            <w:vAlign w:val="bottom"/>
          </w:tcPr>
          <w:p>
            <w:pPr>
              <w:spacing w:after="0"/>
              <w:rPr>
                <w:sz w:val="1"/>
                <w:szCs w:val="1"/>
                <w:color w:val="auto"/>
              </w:rPr>
            </w:pPr>
          </w:p>
        </w:tc>
      </w:tr>
      <w:tr>
        <w:trPr>
          <w:trHeight w:val="33"/>
        </w:trPr>
        <w:tc>
          <w:tcPr>
            <w:tcW w:w="8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Restricted cash</w:t>
            </w: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6,388</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4,322</w:t>
            </w:r>
          </w:p>
        </w:tc>
        <w:tc>
          <w:tcPr>
            <w:tcW w:w="0" w:type="dxa"/>
            <w:vAlign w:val="bottom"/>
          </w:tcPr>
          <w:p>
            <w:pPr>
              <w:spacing w:after="0"/>
              <w:rPr>
                <w:sz w:val="1"/>
                <w:szCs w:val="1"/>
                <w:color w:val="auto"/>
              </w:rPr>
            </w:pPr>
          </w:p>
        </w:tc>
      </w:tr>
      <w:tr>
        <w:trPr>
          <w:trHeight w:val="224"/>
        </w:trPr>
        <w:tc>
          <w:tcPr>
            <w:tcW w:w="852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320" w:type="dxa"/>
            <w:vAlign w:val="bottom"/>
          </w:tcPr>
          <w:p>
            <w:pPr>
              <w:spacing w:after="0"/>
              <w:rPr>
                <w:sz w:val="19"/>
                <w:szCs w:val="19"/>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146,414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222,506</w:t>
            </w:r>
          </w:p>
        </w:tc>
        <w:tc>
          <w:tcPr>
            <w:tcW w:w="0" w:type="dxa"/>
            <w:vAlign w:val="bottom"/>
          </w:tcPr>
          <w:p>
            <w:pPr>
              <w:spacing w:after="0"/>
              <w:rPr>
                <w:sz w:val="1"/>
                <w:szCs w:val="1"/>
                <w:color w:val="auto"/>
              </w:rPr>
            </w:pPr>
          </w:p>
        </w:tc>
      </w:tr>
      <w:tr>
        <w:trPr>
          <w:trHeight w:val="33"/>
        </w:trPr>
        <w:tc>
          <w:tcPr>
            <w:tcW w:w="8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lease assets</w:t>
            </w: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452,919</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8520" w:type="dxa"/>
            <w:vAlign w:val="bottom"/>
          </w:tcPr>
          <w:p>
            <w:pPr>
              <w:ind w:left="20"/>
              <w:spacing w:after="0"/>
              <w:rPr>
                <w:sz w:val="20"/>
                <w:szCs w:val="20"/>
                <w:color w:val="auto"/>
              </w:rPr>
            </w:pPr>
            <w:r>
              <w:rPr>
                <w:rFonts w:ascii="Arial" w:cs="Arial" w:eastAsia="Arial" w:hAnsi="Arial"/>
                <w:sz w:val="16"/>
                <w:szCs w:val="16"/>
                <w:color w:val="auto"/>
              </w:rPr>
              <w:t>Deferred income taxes, net</w:t>
            </w:r>
          </w:p>
        </w:tc>
        <w:tc>
          <w:tcPr>
            <w:tcW w:w="320" w:type="dxa"/>
            <w:vAlign w:val="bottom"/>
          </w:tcPr>
          <w:p>
            <w:pPr>
              <w:spacing w:after="0"/>
              <w:rPr>
                <w:sz w:val="19"/>
                <w:szCs w:val="19"/>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562,262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736,452</w:t>
            </w:r>
          </w:p>
        </w:tc>
        <w:tc>
          <w:tcPr>
            <w:tcW w:w="0" w:type="dxa"/>
            <w:vAlign w:val="bottom"/>
          </w:tcPr>
          <w:p>
            <w:pPr>
              <w:spacing w:after="0"/>
              <w:rPr>
                <w:sz w:val="1"/>
                <w:szCs w:val="1"/>
                <w:color w:val="auto"/>
              </w:rPr>
            </w:pPr>
          </w:p>
        </w:tc>
      </w:tr>
      <w:tr>
        <w:trPr>
          <w:trHeight w:val="33"/>
        </w:trPr>
        <w:tc>
          <w:tcPr>
            <w:tcW w:w="8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223,129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225,693</w:t>
            </w:r>
          </w:p>
        </w:tc>
        <w:tc>
          <w:tcPr>
            <w:tcW w:w="0" w:type="dxa"/>
            <w:vAlign w:val="bottom"/>
          </w:tcPr>
          <w:p>
            <w:pPr>
              <w:spacing w:after="0"/>
              <w:rPr>
                <w:sz w:val="1"/>
                <w:szCs w:val="1"/>
                <w:color w:val="auto"/>
              </w:rPr>
            </w:pPr>
          </w:p>
        </w:tc>
      </w:tr>
      <w:tr>
        <w:trPr>
          <w:trHeight w:val="217"/>
        </w:trPr>
        <w:tc>
          <w:tcPr>
            <w:tcW w:w="8520" w:type="dxa"/>
            <w:vAlign w:val="bottom"/>
          </w:tcPr>
          <w:p>
            <w:pPr>
              <w:ind w:left="660"/>
              <w:spacing w:after="0"/>
              <w:rPr>
                <w:sz w:val="20"/>
                <w:szCs w:val="20"/>
                <w:color w:val="auto"/>
              </w:rPr>
            </w:pPr>
            <w:r>
              <w:rPr>
                <w:rFonts w:ascii="Arial" w:cs="Arial" w:eastAsia="Arial" w:hAnsi="Arial"/>
                <w:sz w:val="16"/>
                <w:szCs w:val="16"/>
                <w:b w:val="1"/>
                <w:bCs w:val="1"/>
                <w:color w:val="auto"/>
              </w:rPr>
              <w:t>Total assets</w:t>
            </w: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13,871,281</w:t>
            </w:r>
          </w:p>
        </w:tc>
        <w:tc>
          <w:tcPr>
            <w:tcW w:w="100" w:type="dxa"/>
            <w:vAlign w:val="bottom"/>
          </w:tcPr>
          <w:p>
            <w:pPr>
              <w:spacing w:after="0"/>
              <w:rPr>
                <w:sz w:val="18"/>
                <w:szCs w:val="18"/>
                <w:color w:val="auto"/>
              </w:rPr>
            </w:pPr>
          </w:p>
        </w:tc>
        <w:tc>
          <w:tcPr>
            <w:tcW w:w="48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4"/>
              </w:rPr>
              <w:t>13,216,269</w:t>
            </w:r>
          </w:p>
        </w:tc>
        <w:tc>
          <w:tcPr>
            <w:tcW w:w="0" w:type="dxa"/>
            <w:vAlign w:val="bottom"/>
          </w:tcPr>
          <w:p>
            <w:pPr>
              <w:spacing w:after="0"/>
              <w:rPr>
                <w:sz w:val="1"/>
                <w:szCs w:val="1"/>
                <w:color w:val="auto"/>
              </w:rPr>
            </w:pPr>
          </w:p>
        </w:tc>
      </w:tr>
      <w:tr>
        <w:trPr>
          <w:trHeight w:val="33"/>
        </w:trPr>
        <w:tc>
          <w:tcPr>
            <w:tcW w:w="85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3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852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Accounts and construction payables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262,437</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321,796</w:t>
            </w:r>
          </w:p>
        </w:tc>
        <w:tc>
          <w:tcPr>
            <w:tcW w:w="0" w:type="dxa"/>
            <w:vAlign w:val="bottom"/>
          </w:tcPr>
          <w:p>
            <w:pPr>
              <w:spacing w:after="0"/>
              <w:rPr>
                <w:sz w:val="1"/>
                <w:szCs w:val="1"/>
                <w:color w:val="auto"/>
              </w:rPr>
            </w:pPr>
          </w:p>
        </w:tc>
      </w:tr>
      <w:tr>
        <w:trPr>
          <w:trHeight w:val="224"/>
        </w:trPr>
        <w:tc>
          <w:tcPr>
            <w:tcW w:w="8520" w:type="dxa"/>
            <w:vAlign w:val="bottom"/>
          </w:tcPr>
          <w:p>
            <w:pPr>
              <w:ind w:left="340"/>
              <w:spacing w:after="0"/>
              <w:rPr>
                <w:sz w:val="20"/>
                <w:szCs w:val="20"/>
                <w:color w:val="auto"/>
              </w:rPr>
            </w:pPr>
            <w:r>
              <w:rPr>
                <w:rFonts w:ascii="Arial" w:cs="Arial" w:eastAsia="Arial" w:hAnsi="Arial"/>
                <w:sz w:val="16"/>
                <w:szCs w:val="16"/>
                <w:color w:val="auto"/>
              </w:rPr>
              <w:t>Customer deposits</w:t>
            </w:r>
          </w:p>
        </w:tc>
        <w:tc>
          <w:tcPr>
            <w:tcW w:w="320" w:type="dxa"/>
            <w:vAlign w:val="bottom"/>
          </w:tcPr>
          <w:p>
            <w:pPr>
              <w:spacing w:after="0"/>
              <w:rPr>
                <w:sz w:val="19"/>
                <w:szCs w:val="19"/>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824,269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955,450</w:t>
            </w:r>
          </w:p>
        </w:tc>
        <w:tc>
          <w:tcPr>
            <w:tcW w:w="0" w:type="dxa"/>
            <w:vAlign w:val="bottom"/>
          </w:tcPr>
          <w:p>
            <w:pPr>
              <w:spacing w:after="0"/>
              <w:rPr>
                <w:sz w:val="1"/>
                <w:szCs w:val="1"/>
                <w:color w:val="auto"/>
              </w:rPr>
            </w:pPr>
          </w:p>
        </w:tc>
      </w:tr>
      <w:tr>
        <w:trPr>
          <w:trHeight w:val="33"/>
        </w:trPr>
        <w:tc>
          <w:tcPr>
            <w:tcW w:w="8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Gaming taxes payable</w:t>
            </w: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168,043</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247,341</w:t>
            </w:r>
          </w:p>
        </w:tc>
        <w:tc>
          <w:tcPr>
            <w:tcW w:w="0" w:type="dxa"/>
            <w:vAlign w:val="bottom"/>
          </w:tcPr>
          <w:p>
            <w:pPr>
              <w:spacing w:after="0"/>
              <w:rPr>
                <w:sz w:val="1"/>
                <w:szCs w:val="1"/>
                <w:color w:val="auto"/>
              </w:rPr>
            </w:pPr>
          </w:p>
        </w:tc>
      </w:tr>
      <w:tr>
        <w:trPr>
          <w:trHeight w:val="224"/>
        </w:trPr>
        <w:tc>
          <w:tcPr>
            <w:tcW w:w="8520" w:type="dxa"/>
            <w:vAlign w:val="bottom"/>
          </w:tcPr>
          <w:p>
            <w:pPr>
              <w:ind w:left="340"/>
              <w:spacing w:after="0"/>
              <w:rPr>
                <w:sz w:val="20"/>
                <w:szCs w:val="20"/>
                <w:color w:val="auto"/>
              </w:rPr>
            </w:pPr>
            <w:r>
              <w:rPr>
                <w:rFonts w:ascii="Arial" w:cs="Arial" w:eastAsia="Arial" w:hAnsi="Arial"/>
                <w:sz w:val="16"/>
                <w:szCs w:val="16"/>
                <w:color w:val="auto"/>
              </w:rPr>
              <w:t>Accrued compensation and benefits</w:t>
            </w:r>
          </w:p>
        </w:tc>
        <w:tc>
          <w:tcPr>
            <w:tcW w:w="320" w:type="dxa"/>
            <w:vAlign w:val="bottom"/>
          </w:tcPr>
          <w:p>
            <w:pPr>
              <w:spacing w:after="0"/>
              <w:rPr>
                <w:sz w:val="19"/>
                <w:szCs w:val="19"/>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180,140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163,966</w:t>
            </w:r>
          </w:p>
        </w:tc>
        <w:tc>
          <w:tcPr>
            <w:tcW w:w="0" w:type="dxa"/>
            <w:vAlign w:val="bottom"/>
          </w:tcPr>
          <w:p>
            <w:pPr>
              <w:spacing w:after="0"/>
              <w:rPr>
                <w:sz w:val="1"/>
                <w:szCs w:val="1"/>
                <w:color w:val="auto"/>
              </w:rPr>
            </w:pPr>
          </w:p>
        </w:tc>
      </w:tr>
      <w:tr>
        <w:trPr>
          <w:trHeight w:val="33"/>
        </w:trPr>
        <w:tc>
          <w:tcPr>
            <w:tcW w:w="8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Accrued interest</w:t>
            </w: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73,136</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61,595</w:t>
            </w:r>
          </w:p>
        </w:tc>
        <w:tc>
          <w:tcPr>
            <w:tcW w:w="0" w:type="dxa"/>
            <w:vAlign w:val="bottom"/>
          </w:tcPr>
          <w:p>
            <w:pPr>
              <w:spacing w:after="0"/>
              <w:rPr>
                <w:sz w:val="1"/>
                <w:szCs w:val="1"/>
                <w:color w:val="auto"/>
              </w:rPr>
            </w:pPr>
          </w:p>
        </w:tc>
      </w:tr>
      <w:tr>
        <w:trPr>
          <w:trHeight w:val="224"/>
        </w:trPr>
        <w:tc>
          <w:tcPr>
            <w:tcW w:w="8520" w:type="dxa"/>
            <w:vAlign w:val="bottom"/>
          </w:tcPr>
          <w:p>
            <w:pPr>
              <w:ind w:left="340"/>
              <w:spacing w:after="0"/>
              <w:rPr>
                <w:sz w:val="20"/>
                <w:szCs w:val="20"/>
                <w:color w:val="auto"/>
              </w:rPr>
            </w:pPr>
            <w:r>
              <w:rPr>
                <w:rFonts w:ascii="Arial" w:cs="Arial" w:eastAsia="Arial" w:hAnsi="Arial"/>
                <w:sz w:val="16"/>
                <w:szCs w:val="16"/>
                <w:color w:val="auto"/>
              </w:rPr>
              <w:t>Current portion of long-term debt</w:t>
            </w:r>
          </w:p>
        </w:tc>
        <w:tc>
          <w:tcPr>
            <w:tcW w:w="320" w:type="dxa"/>
            <w:vAlign w:val="bottom"/>
          </w:tcPr>
          <w:p>
            <w:pPr>
              <w:spacing w:after="0"/>
              <w:rPr>
                <w:sz w:val="19"/>
                <w:szCs w:val="19"/>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323,876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11,960</w:t>
            </w:r>
          </w:p>
        </w:tc>
        <w:tc>
          <w:tcPr>
            <w:tcW w:w="0" w:type="dxa"/>
            <w:vAlign w:val="bottom"/>
          </w:tcPr>
          <w:p>
            <w:pPr>
              <w:spacing w:after="0"/>
              <w:rPr>
                <w:sz w:val="1"/>
                <w:szCs w:val="1"/>
                <w:color w:val="auto"/>
              </w:rPr>
            </w:pPr>
          </w:p>
        </w:tc>
      </w:tr>
      <w:tr>
        <w:trPr>
          <w:trHeight w:val="33"/>
        </w:trPr>
        <w:tc>
          <w:tcPr>
            <w:tcW w:w="8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Other accrued liabilities</w:t>
            </w: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150,983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119,955</w:t>
            </w:r>
          </w:p>
        </w:tc>
        <w:tc>
          <w:tcPr>
            <w:tcW w:w="0" w:type="dxa"/>
            <w:vAlign w:val="bottom"/>
          </w:tcPr>
          <w:p>
            <w:pPr>
              <w:spacing w:after="0"/>
              <w:rPr>
                <w:sz w:val="1"/>
                <w:szCs w:val="1"/>
                <w:color w:val="auto"/>
              </w:rPr>
            </w:pPr>
          </w:p>
        </w:tc>
      </w:tr>
      <w:tr>
        <w:trPr>
          <w:trHeight w:val="217"/>
        </w:trPr>
        <w:tc>
          <w:tcPr>
            <w:tcW w:w="8520" w:type="dxa"/>
            <w:vAlign w:val="bottom"/>
          </w:tcPr>
          <w:p>
            <w:pPr>
              <w:ind w:left="660"/>
              <w:spacing w:after="0"/>
              <w:rPr>
                <w:sz w:val="20"/>
                <w:szCs w:val="20"/>
                <w:color w:val="auto"/>
              </w:rPr>
            </w:pPr>
            <w:r>
              <w:rPr>
                <w:rFonts w:ascii="Arial" w:cs="Arial" w:eastAsia="Arial" w:hAnsi="Arial"/>
                <w:sz w:val="16"/>
                <w:szCs w:val="16"/>
                <w:b w:val="1"/>
                <w:bCs w:val="1"/>
                <w:color w:val="auto"/>
              </w:rPr>
              <w:t>Total current liabilities</w:t>
            </w: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1,982,884</w:t>
            </w: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1,882,063</w:t>
            </w:r>
          </w:p>
        </w:tc>
        <w:tc>
          <w:tcPr>
            <w:tcW w:w="0" w:type="dxa"/>
            <w:vAlign w:val="bottom"/>
          </w:tcPr>
          <w:p>
            <w:pPr>
              <w:spacing w:after="0"/>
              <w:rPr>
                <w:sz w:val="1"/>
                <w:szCs w:val="1"/>
                <w:color w:val="auto"/>
              </w:rPr>
            </w:pPr>
          </w:p>
        </w:tc>
      </w:tr>
      <w:tr>
        <w:trPr>
          <w:trHeight w:val="33"/>
        </w:trPr>
        <w:tc>
          <w:tcPr>
            <w:tcW w:w="8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10,079,983</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9,411,140</w:t>
            </w:r>
          </w:p>
        </w:tc>
        <w:tc>
          <w:tcPr>
            <w:tcW w:w="0" w:type="dxa"/>
            <w:vAlign w:val="bottom"/>
          </w:tcPr>
          <w:p>
            <w:pPr>
              <w:spacing w:after="0"/>
              <w:rPr>
                <w:sz w:val="1"/>
                <w:szCs w:val="1"/>
                <w:color w:val="auto"/>
              </w:rPr>
            </w:pPr>
          </w:p>
        </w:tc>
      </w:tr>
      <w:tr>
        <w:trPr>
          <w:trHeight w:val="224"/>
        </w:trPr>
        <w:tc>
          <w:tcPr>
            <w:tcW w:w="8520" w:type="dxa"/>
            <w:vAlign w:val="bottom"/>
          </w:tcPr>
          <w:p>
            <w:pPr>
              <w:ind w:left="20"/>
              <w:spacing w:after="0"/>
              <w:rPr>
                <w:sz w:val="20"/>
                <w:szCs w:val="20"/>
                <w:color w:val="auto"/>
              </w:rPr>
            </w:pPr>
            <w:r>
              <w:rPr>
                <w:rFonts w:ascii="Arial" w:cs="Arial" w:eastAsia="Arial" w:hAnsi="Arial"/>
                <w:sz w:val="16"/>
                <w:szCs w:val="16"/>
                <w:color w:val="auto"/>
              </w:rPr>
              <w:t>Long-term operating lease liabilities</w:t>
            </w:r>
          </w:p>
        </w:tc>
        <w:tc>
          <w:tcPr>
            <w:tcW w:w="320" w:type="dxa"/>
            <w:vAlign w:val="bottom"/>
          </w:tcPr>
          <w:p>
            <w:pPr>
              <w:spacing w:after="0"/>
              <w:rPr>
                <w:sz w:val="19"/>
                <w:szCs w:val="19"/>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159,182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long-term liabilities</w:t>
            </w: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107,760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108,277</w:t>
            </w:r>
          </w:p>
        </w:tc>
        <w:tc>
          <w:tcPr>
            <w:tcW w:w="0" w:type="dxa"/>
            <w:vAlign w:val="bottom"/>
          </w:tcPr>
          <w:p>
            <w:pPr>
              <w:spacing w:after="0"/>
              <w:rPr>
                <w:sz w:val="1"/>
                <w:szCs w:val="1"/>
                <w:color w:val="auto"/>
              </w:rPr>
            </w:pPr>
          </w:p>
        </w:tc>
      </w:tr>
      <w:tr>
        <w:trPr>
          <w:trHeight w:val="217"/>
        </w:trPr>
        <w:tc>
          <w:tcPr>
            <w:tcW w:w="8520" w:type="dxa"/>
            <w:vAlign w:val="bottom"/>
          </w:tcPr>
          <w:p>
            <w:pPr>
              <w:ind w:left="660"/>
              <w:spacing w:after="0"/>
              <w:rPr>
                <w:sz w:val="20"/>
                <w:szCs w:val="20"/>
                <w:color w:val="auto"/>
              </w:rPr>
            </w:pPr>
            <w:r>
              <w:rPr>
                <w:rFonts w:ascii="Arial" w:cs="Arial" w:eastAsia="Arial" w:hAnsi="Arial"/>
                <w:sz w:val="16"/>
                <w:szCs w:val="16"/>
                <w:b w:val="1"/>
                <w:bCs w:val="1"/>
                <w:color w:val="auto"/>
              </w:rPr>
              <w:t>Total liabilities</w:t>
            </w: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12,329,809</w:t>
            </w: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4"/>
              </w:rPr>
              <w:t>11,401,480</w:t>
            </w:r>
          </w:p>
        </w:tc>
        <w:tc>
          <w:tcPr>
            <w:tcW w:w="0" w:type="dxa"/>
            <w:vAlign w:val="bottom"/>
          </w:tcPr>
          <w:p>
            <w:pPr>
              <w:spacing w:after="0"/>
              <w:rPr>
                <w:sz w:val="1"/>
                <w:szCs w:val="1"/>
                <w:color w:val="auto"/>
              </w:rPr>
            </w:pPr>
          </w:p>
        </w:tc>
      </w:tr>
      <w:tr>
        <w:trPr>
          <w:trHeight w:val="33"/>
        </w:trPr>
        <w:tc>
          <w:tcPr>
            <w:tcW w:w="8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Commitments and contingencies (Note 17)</w:t>
            </w:r>
          </w:p>
        </w:tc>
        <w:tc>
          <w:tcPr>
            <w:tcW w:w="3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520" w:type="dxa"/>
            <w:vAlign w:val="bottom"/>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Preferred stock, par value $0.01; 40,000,000 shares authorized; zero shares issued and outstanding</w:t>
            </w: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8520" w:type="dxa"/>
            <w:vAlign w:val="bottom"/>
          </w:tcPr>
          <w:p>
            <w:pPr>
              <w:ind w:left="360"/>
              <w:spacing w:after="0" w:line="166" w:lineRule="exact"/>
              <w:rPr>
                <w:sz w:val="20"/>
                <w:szCs w:val="20"/>
                <w:color w:val="auto"/>
              </w:rPr>
            </w:pPr>
            <w:r>
              <w:rPr>
                <w:rFonts w:ascii="Arial" w:cs="Arial" w:eastAsia="Arial" w:hAnsi="Arial"/>
                <w:sz w:val="16"/>
                <w:szCs w:val="16"/>
                <w:color w:val="auto"/>
                <w:w w:val="92"/>
              </w:rPr>
              <w:t>Common stock, par value $0.01; 400,000,000 shares authorized; 122,837,930 and 122,115,585 shares issued; 107,363,943</w:t>
            </w:r>
          </w:p>
        </w:tc>
        <w:tc>
          <w:tcPr>
            <w:tcW w:w="320" w:type="dxa"/>
            <w:vAlign w:val="bottom"/>
          </w:tcPr>
          <w:p>
            <w:pPr>
              <w:spacing w:after="0"/>
              <w:rPr>
                <w:sz w:val="14"/>
                <w:szCs w:val="14"/>
                <w:color w:val="auto"/>
              </w:rPr>
            </w:pPr>
          </w:p>
        </w:tc>
        <w:tc>
          <w:tcPr>
            <w:tcW w:w="1080" w:type="dxa"/>
            <w:vAlign w:val="bottom"/>
            <w:vMerge w:val="restart"/>
          </w:tcPr>
          <w:p>
            <w:pPr>
              <w:jc w:val="right"/>
              <w:ind w:right="59"/>
              <w:spacing w:after="0"/>
              <w:rPr>
                <w:sz w:val="20"/>
                <w:szCs w:val="20"/>
                <w:color w:val="auto"/>
              </w:rPr>
            </w:pPr>
            <w:r>
              <w:rPr>
                <w:rFonts w:ascii="Arial" w:cs="Arial" w:eastAsia="Arial" w:hAnsi="Arial"/>
                <w:sz w:val="16"/>
                <w:szCs w:val="16"/>
                <w:color w:val="auto"/>
              </w:rPr>
              <w:t>1,228</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vMerge w:val="restart"/>
          </w:tcPr>
          <w:p>
            <w:pPr>
              <w:jc w:val="right"/>
              <w:ind w:right="59"/>
              <w:spacing w:after="0"/>
              <w:rPr>
                <w:sz w:val="20"/>
                <w:szCs w:val="20"/>
                <w:color w:val="auto"/>
              </w:rPr>
            </w:pPr>
            <w:r>
              <w:rPr>
                <w:rFonts w:ascii="Arial" w:cs="Arial" w:eastAsia="Arial" w:hAnsi="Arial"/>
                <w:sz w:val="16"/>
                <w:szCs w:val="16"/>
                <w:color w:val="auto"/>
              </w:rPr>
              <w:t>1,221</w:t>
            </w:r>
          </w:p>
        </w:tc>
        <w:tc>
          <w:tcPr>
            <w:tcW w:w="0" w:type="dxa"/>
            <w:vAlign w:val="bottom"/>
          </w:tcPr>
          <w:p>
            <w:pPr>
              <w:spacing w:after="0"/>
              <w:rPr>
                <w:sz w:val="1"/>
                <w:szCs w:val="1"/>
                <w:color w:val="auto"/>
              </w:rPr>
            </w:pPr>
          </w:p>
        </w:tc>
      </w:tr>
      <w:tr>
        <w:trPr>
          <w:trHeight w:val="209"/>
        </w:trPr>
        <w:tc>
          <w:tcPr>
            <w:tcW w:w="8520" w:type="dxa"/>
            <w:vAlign w:val="bottom"/>
          </w:tcPr>
          <w:p>
            <w:pPr>
              <w:ind w:left="360"/>
              <w:spacing w:after="0"/>
              <w:rPr>
                <w:sz w:val="20"/>
                <w:szCs w:val="20"/>
                <w:color w:val="auto"/>
              </w:rPr>
            </w:pPr>
            <w:r>
              <w:rPr>
                <w:rFonts w:ascii="Arial" w:cs="Arial" w:eastAsia="Arial" w:hAnsi="Arial"/>
                <w:sz w:val="16"/>
                <w:szCs w:val="16"/>
                <w:color w:val="auto"/>
              </w:rPr>
              <w:t>and 107,232,026 shares outstanding, respectively</w:t>
            </w:r>
          </w:p>
        </w:tc>
        <w:tc>
          <w:tcPr>
            <w:tcW w:w="3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8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Treasury stock, at cost; 15,473,987 and 14,883,559 shares, respectively</w:t>
            </w: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(1,410,998)</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7"/>
              </w:rPr>
              <w:t>(1,344,012)</w:t>
            </w:r>
          </w:p>
        </w:tc>
        <w:tc>
          <w:tcPr>
            <w:tcW w:w="0" w:type="dxa"/>
            <w:vAlign w:val="bottom"/>
          </w:tcPr>
          <w:p>
            <w:pPr>
              <w:spacing w:after="0"/>
              <w:rPr>
                <w:sz w:val="1"/>
                <w:szCs w:val="1"/>
                <w:color w:val="auto"/>
              </w:rPr>
            </w:pPr>
          </w:p>
        </w:tc>
      </w:tr>
      <w:tr>
        <w:trPr>
          <w:trHeight w:val="224"/>
        </w:trPr>
        <w:tc>
          <w:tcPr>
            <w:tcW w:w="8520" w:type="dxa"/>
            <w:vAlign w:val="bottom"/>
          </w:tcPr>
          <w:p>
            <w:pPr>
              <w:ind w:left="340"/>
              <w:spacing w:after="0"/>
              <w:rPr>
                <w:sz w:val="20"/>
                <w:szCs w:val="20"/>
                <w:color w:val="auto"/>
              </w:rPr>
            </w:pPr>
            <w:r>
              <w:rPr>
                <w:rFonts w:ascii="Arial" w:cs="Arial" w:eastAsia="Arial" w:hAnsi="Arial"/>
                <w:sz w:val="16"/>
                <w:szCs w:val="16"/>
                <w:color w:val="auto"/>
              </w:rPr>
              <w:t>Additional paid-in capital</w:t>
            </w:r>
          </w:p>
        </w:tc>
        <w:tc>
          <w:tcPr>
            <w:tcW w:w="320" w:type="dxa"/>
            <w:vAlign w:val="bottom"/>
          </w:tcPr>
          <w:p>
            <w:pPr>
              <w:spacing w:after="0"/>
              <w:rPr>
                <w:sz w:val="19"/>
                <w:szCs w:val="19"/>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2,512,676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2,457,079</w:t>
            </w:r>
          </w:p>
        </w:tc>
        <w:tc>
          <w:tcPr>
            <w:tcW w:w="0" w:type="dxa"/>
            <w:vAlign w:val="bottom"/>
          </w:tcPr>
          <w:p>
            <w:pPr>
              <w:spacing w:after="0"/>
              <w:rPr>
                <w:sz w:val="1"/>
                <w:szCs w:val="1"/>
                <w:color w:val="auto"/>
              </w:rPr>
            </w:pPr>
          </w:p>
        </w:tc>
      </w:tr>
      <w:tr>
        <w:trPr>
          <w:trHeight w:val="33"/>
        </w:trPr>
        <w:tc>
          <w:tcPr>
            <w:tcW w:w="8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Accumulated other comprehensive loss</w:t>
            </w: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(1,679)</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(1,950)</w:t>
            </w:r>
          </w:p>
        </w:tc>
        <w:tc>
          <w:tcPr>
            <w:tcW w:w="0" w:type="dxa"/>
            <w:vAlign w:val="bottom"/>
          </w:tcPr>
          <w:p>
            <w:pPr>
              <w:spacing w:after="0"/>
              <w:rPr>
                <w:sz w:val="1"/>
                <w:szCs w:val="1"/>
                <w:color w:val="auto"/>
              </w:rPr>
            </w:pPr>
          </w:p>
        </w:tc>
      </w:tr>
      <w:tr>
        <w:trPr>
          <w:trHeight w:val="224"/>
        </w:trPr>
        <w:tc>
          <w:tcPr>
            <w:tcW w:w="8520" w:type="dxa"/>
            <w:vAlign w:val="bottom"/>
          </w:tcPr>
          <w:p>
            <w:pPr>
              <w:ind w:left="340"/>
              <w:spacing w:after="0"/>
              <w:rPr>
                <w:sz w:val="20"/>
                <w:szCs w:val="20"/>
                <w:color w:val="auto"/>
              </w:rPr>
            </w:pPr>
            <w:r>
              <w:rPr>
                <w:rFonts w:ascii="Arial" w:cs="Arial" w:eastAsia="Arial" w:hAnsi="Arial"/>
                <w:sz w:val="16"/>
                <w:szCs w:val="16"/>
                <w:color w:val="auto"/>
              </w:rPr>
              <w:t>Retained earnings</w:t>
            </w:r>
          </w:p>
        </w:tc>
        <w:tc>
          <w:tcPr>
            <w:tcW w:w="320" w:type="dxa"/>
            <w:vAlign w:val="bottom"/>
          </w:tcPr>
          <w:p>
            <w:pPr>
              <w:spacing w:after="0"/>
              <w:rPr>
                <w:sz w:val="19"/>
                <w:szCs w:val="19"/>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641,818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921,785</w:t>
            </w:r>
          </w:p>
        </w:tc>
        <w:tc>
          <w:tcPr>
            <w:tcW w:w="0" w:type="dxa"/>
            <w:vAlign w:val="bottom"/>
          </w:tcPr>
          <w:p>
            <w:pPr>
              <w:spacing w:after="0"/>
              <w:rPr>
                <w:sz w:val="1"/>
                <w:szCs w:val="1"/>
                <w:color w:val="auto"/>
              </w:rPr>
            </w:pPr>
          </w:p>
        </w:tc>
      </w:tr>
      <w:tr>
        <w:trPr>
          <w:trHeight w:val="33"/>
        </w:trPr>
        <w:tc>
          <w:tcPr>
            <w:tcW w:w="8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5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b w:val="1"/>
                <w:bCs w:val="1"/>
                <w:color w:val="auto"/>
              </w:rPr>
              <w:t>Total Wynn Resorts, Limited stockholders' equity</w:t>
            </w: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1,743,045</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2,034,123</w:t>
            </w:r>
          </w:p>
        </w:tc>
        <w:tc>
          <w:tcPr>
            <w:tcW w:w="0" w:type="dxa"/>
            <w:vAlign w:val="bottom"/>
          </w:tcPr>
          <w:p>
            <w:pPr>
              <w:spacing w:after="0"/>
              <w:rPr>
                <w:sz w:val="1"/>
                <w:szCs w:val="1"/>
                <w:color w:val="auto"/>
              </w:rPr>
            </w:pPr>
          </w:p>
        </w:tc>
      </w:tr>
      <w:tr>
        <w:trPr>
          <w:trHeight w:val="224"/>
        </w:trPr>
        <w:tc>
          <w:tcPr>
            <w:tcW w:w="8520" w:type="dxa"/>
            <w:vAlign w:val="bottom"/>
          </w:tcPr>
          <w:p>
            <w:pPr>
              <w:ind w:left="360"/>
              <w:spacing w:after="0"/>
              <w:rPr>
                <w:sz w:val="20"/>
                <w:szCs w:val="20"/>
                <w:color w:val="auto"/>
              </w:rPr>
            </w:pPr>
            <w:r>
              <w:rPr>
                <w:rFonts w:ascii="Arial" w:cs="Arial" w:eastAsia="Arial" w:hAnsi="Arial"/>
                <w:sz w:val="16"/>
                <w:szCs w:val="16"/>
                <w:color w:val="auto"/>
              </w:rPr>
              <w:t>Noncontrolling interests</w:t>
            </w:r>
          </w:p>
        </w:tc>
        <w:tc>
          <w:tcPr>
            <w:tcW w:w="320" w:type="dxa"/>
            <w:vAlign w:val="bottom"/>
          </w:tcPr>
          <w:p>
            <w:pPr>
              <w:spacing w:after="0"/>
              <w:rPr>
                <w:sz w:val="19"/>
                <w:szCs w:val="19"/>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(201,573)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(219,334)</w:t>
            </w:r>
          </w:p>
        </w:tc>
        <w:tc>
          <w:tcPr>
            <w:tcW w:w="0" w:type="dxa"/>
            <w:vAlign w:val="bottom"/>
          </w:tcPr>
          <w:p>
            <w:pPr>
              <w:spacing w:after="0"/>
              <w:rPr>
                <w:sz w:val="1"/>
                <w:szCs w:val="1"/>
                <w:color w:val="auto"/>
              </w:rPr>
            </w:pPr>
          </w:p>
        </w:tc>
      </w:tr>
      <w:tr>
        <w:trPr>
          <w:trHeight w:val="33"/>
        </w:trPr>
        <w:tc>
          <w:tcPr>
            <w:tcW w:w="8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5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b w:val="1"/>
                <w:bCs w:val="1"/>
                <w:color w:val="auto"/>
              </w:rPr>
              <w:t>Total stockholders' equity</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1,541,472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1,814,789</w:t>
            </w:r>
          </w:p>
        </w:tc>
        <w:tc>
          <w:tcPr>
            <w:tcW w:w="0" w:type="dxa"/>
            <w:vAlign w:val="bottom"/>
          </w:tcPr>
          <w:p>
            <w:pPr>
              <w:spacing w:after="0"/>
              <w:rPr>
                <w:sz w:val="1"/>
                <w:szCs w:val="1"/>
                <w:color w:val="auto"/>
              </w:rPr>
            </w:pPr>
          </w:p>
        </w:tc>
      </w:tr>
      <w:tr>
        <w:trPr>
          <w:trHeight w:val="217"/>
        </w:trPr>
        <w:tc>
          <w:tcPr>
            <w:tcW w:w="8520" w:type="dxa"/>
            <w:vAlign w:val="bottom"/>
          </w:tcPr>
          <w:p>
            <w:pPr>
              <w:ind w:left="660"/>
              <w:spacing w:after="0"/>
              <w:rPr>
                <w:sz w:val="20"/>
                <w:szCs w:val="20"/>
                <w:color w:val="auto"/>
              </w:rPr>
            </w:pPr>
            <w:r>
              <w:rPr>
                <w:rFonts w:ascii="Arial" w:cs="Arial" w:eastAsia="Arial" w:hAnsi="Arial"/>
                <w:sz w:val="16"/>
                <w:szCs w:val="16"/>
                <w:b w:val="1"/>
                <w:bCs w:val="1"/>
                <w:color w:val="auto"/>
              </w:rPr>
              <w:t>Total liabilities and stockholders' equity</w:t>
            </w: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13,871,281</w:t>
            </w:r>
          </w:p>
        </w:tc>
        <w:tc>
          <w:tcPr>
            <w:tcW w:w="100" w:type="dxa"/>
            <w:vAlign w:val="bottom"/>
          </w:tcPr>
          <w:p>
            <w:pPr>
              <w:spacing w:after="0"/>
              <w:rPr>
                <w:sz w:val="18"/>
                <w:szCs w:val="18"/>
                <w:color w:val="auto"/>
              </w:rPr>
            </w:pPr>
          </w:p>
        </w:tc>
        <w:tc>
          <w:tcPr>
            <w:tcW w:w="48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4"/>
              </w:rPr>
              <w:t>13,216,269</w:t>
            </w:r>
          </w:p>
        </w:tc>
        <w:tc>
          <w:tcPr>
            <w:tcW w:w="0" w:type="dxa"/>
            <w:vAlign w:val="bottom"/>
          </w:tcPr>
          <w:p>
            <w:pPr>
              <w:spacing w:after="0"/>
              <w:rPr>
                <w:sz w:val="1"/>
                <w:szCs w:val="1"/>
                <w:color w:val="auto"/>
              </w:rPr>
            </w:pPr>
          </w:p>
        </w:tc>
      </w:tr>
      <w:tr>
        <w:trPr>
          <w:trHeight w:val="33"/>
        </w:trPr>
        <w:tc>
          <w:tcPr>
            <w:tcW w:w="85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8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22"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62" w:name="page63"/>
    <w:bookmarkEnd w:id="6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WYNN RESORTS, LIMITED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INCOME</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 except per share data)</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8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1"/>
              </w:rPr>
              <w:t>Years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96"/>
        </w:trPr>
        <w:tc>
          <w:tcPr>
            <w:tcW w:w="68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r>
      <w:tr>
        <w:trPr>
          <w:trHeight w:val="236"/>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6840" w:type="dxa"/>
            <w:vAlign w:val="bottom"/>
          </w:tcPr>
          <w:p>
            <w:pPr>
              <w:ind w:left="320"/>
              <w:spacing w:after="0"/>
              <w:rPr>
                <w:sz w:val="20"/>
                <w:szCs w:val="20"/>
                <w:color w:val="auto"/>
              </w:rPr>
            </w:pPr>
            <w:r>
              <w:rPr>
                <w:rFonts w:ascii="Arial" w:cs="Arial" w:eastAsia="Arial" w:hAnsi="Arial"/>
                <w:sz w:val="18"/>
                <w:szCs w:val="18"/>
                <w:color w:val="auto"/>
              </w:rPr>
              <w:t>Casino</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4,573,924</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4,784,990</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4,244,303</w:t>
            </w:r>
          </w:p>
        </w:tc>
      </w:tr>
      <w:tr>
        <w:trPr>
          <w:trHeight w:val="27"/>
        </w:trPr>
        <w:tc>
          <w:tcPr>
            <w:tcW w:w="6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Rooms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804,162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751,800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670,957</w:t>
            </w:r>
          </w:p>
        </w:tc>
      </w:tr>
      <w:tr>
        <w:trPr>
          <w:trHeight w:val="243"/>
        </w:trPr>
        <w:tc>
          <w:tcPr>
            <w:tcW w:w="6840" w:type="dxa"/>
            <w:vAlign w:val="bottom"/>
          </w:tcPr>
          <w:p>
            <w:pPr>
              <w:ind w:left="320"/>
              <w:spacing w:after="0"/>
              <w:rPr>
                <w:sz w:val="20"/>
                <w:szCs w:val="20"/>
                <w:color w:val="auto"/>
              </w:rPr>
            </w:pPr>
            <w:r>
              <w:rPr>
                <w:rFonts w:ascii="Arial" w:cs="Arial" w:eastAsia="Arial" w:hAnsi="Arial"/>
                <w:sz w:val="18"/>
                <w:szCs w:val="18"/>
                <w:color w:val="auto"/>
              </w:rPr>
              <w:t>Food and beverage</w:t>
            </w: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818,822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754,128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732,115</w:t>
            </w:r>
          </w:p>
        </w:tc>
      </w:tr>
      <w:tr>
        <w:trPr>
          <w:trHeight w:val="27"/>
        </w:trPr>
        <w:tc>
          <w:tcPr>
            <w:tcW w:w="6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8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Entertainment, retail and other</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414,191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426,742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422,785</w:t>
            </w:r>
          </w:p>
        </w:tc>
      </w:tr>
      <w:tr>
        <w:trPr>
          <w:trHeight w:val="237"/>
        </w:trPr>
        <w:tc>
          <w:tcPr>
            <w:tcW w:w="6840" w:type="dxa"/>
            <w:vAlign w:val="bottom"/>
          </w:tcPr>
          <w:p>
            <w:pPr>
              <w:ind w:left="640"/>
              <w:spacing w:after="0"/>
              <w:rPr>
                <w:sz w:val="20"/>
                <w:szCs w:val="20"/>
                <w:color w:val="auto"/>
              </w:rPr>
            </w:pPr>
            <w:r>
              <w:rPr>
                <w:rFonts w:ascii="Arial" w:cs="Arial" w:eastAsia="Arial" w:hAnsi="Arial"/>
                <w:sz w:val="18"/>
                <w:szCs w:val="18"/>
                <w:b w:val="1"/>
                <w:bCs w:val="1"/>
                <w:color w:val="auto"/>
              </w:rPr>
              <w:t>Total operating revenues</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6,611,099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6,717,660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6,070,160</w:t>
            </w:r>
          </w:p>
        </w:tc>
      </w:tr>
      <w:tr>
        <w:trPr>
          <w:trHeight w:val="27"/>
        </w:trPr>
        <w:tc>
          <w:tcPr>
            <w:tcW w:w="68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6840" w:type="dxa"/>
            <w:vAlign w:val="bottom"/>
          </w:tcPr>
          <w:p>
            <w:pPr>
              <w:ind w:left="320"/>
              <w:spacing w:after="0"/>
              <w:rPr>
                <w:sz w:val="20"/>
                <w:szCs w:val="20"/>
                <w:color w:val="auto"/>
              </w:rPr>
            </w:pPr>
            <w:r>
              <w:rPr>
                <w:rFonts w:ascii="Arial" w:cs="Arial" w:eastAsia="Arial" w:hAnsi="Arial"/>
                <w:sz w:val="18"/>
                <w:szCs w:val="18"/>
                <w:color w:val="auto"/>
              </w:rPr>
              <w:t>Casino</w:t>
            </w: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2,924,254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3,036,907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2,718,120</w:t>
            </w:r>
          </w:p>
        </w:tc>
      </w:tr>
      <w:tr>
        <w:trPr>
          <w:trHeight w:val="27"/>
        </w:trPr>
        <w:tc>
          <w:tcPr>
            <w:tcW w:w="6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Rooms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276,095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254,549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244,828</w:t>
            </w:r>
          </w:p>
        </w:tc>
      </w:tr>
      <w:tr>
        <w:trPr>
          <w:trHeight w:val="243"/>
        </w:trPr>
        <w:tc>
          <w:tcPr>
            <w:tcW w:w="6840" w:type="dxa"/>
            <w:vAlign w:val="bottom"/>
          </w:tcPr>
          <w:p>
            <w:pPr>
              <w:ind w:left="320"/>
              <w:spacing w:after="0"/>
              <w:rPr>
                <w:sz w:val="20"/>
                <w:szCs w:val="20"/>
                <w:color w:val="auto"/>
              </w:rPr>
            </w:pPr>
            <w:r>
              <w:rPr>
                <w:rFonts w:ascii="Arial" w:cs="Arial" w:eastAsia="Arial" w:hAnsi="Arial"/>
                <w:sz w:val="18"/>
                <w:szCs w:val="18"/>
                <w:color w:val="auto"/>
              </w:rPr>
              <w:t>Food and beverage</w:t>
            </w: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696,498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611,706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567,690</w:t>
            </w:r>
          </w:p>
        </w:tc>
      </w:tr>
      <w:tr>
        <w:trPr>
          <w:trHeight w:val="27"/>
        </w:trPr>
        <w:tc>
          <w:tcPr>
            <w:tcW w:w="6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Entertainment, retail and other</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170,206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183,113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196,547</w:t>
            </w:r>
          </w:p>
        </w:tc>
      </w:tr>
      <w:tr>
        <w:trPr>
          <w:trHeight w:val="243"/>
        </w:trPr>
        <w:tc>
          <w:tcPr>
            <w:tcW w:w="6840" w:type="dxa"/>
            <w:vAlign w:val="bottom"/>
          </w:tcPr>
          <w:p>
            <w:pPr>
              <w:ind w:left="32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896,670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761,415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685,485</w:t>
            </w:r>
          </w:p>
        </w:tc>
      </w:tr>
      <w:tr>
        <w:trPr>
          <w:trHeight w:val="27"/>
        </w:trPr>
        <w:tc>
          <w:tcPr>
            <w:tcW w:w="6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Litigation settlement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463,557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r>
      <w:tr>
        <w:trPr>
          <w:trHeight w:val="243"/>
        </w:trPr>
        <w:tc>
          <w:tcPr>
            <w:tcW w:w="6840" w:type="dxa"/>
            <w:vAlign w:val="bottom"/>
          </w:tcPr>
          <w:p>
            <w:pPr>
              <w:ind w:left="320"/>
              <w:spacing w:after="0"/>
              <w:rPr>
                <w:sz w:val="20"/>
                <w:szCs w:val="20"/>
                <w:color w:val="auto"/>
              </w:rPr>
            </w:pPr>
            <w:r>
              <w:rPr>
                <w:rFonts w:ascii="Arial" w:cs="Arial" w:eastAsia="Arial" w:hAnsi="Arial"/>
                <w:sz w:val="18"/>
                <w:szCs w:val="18"/>
                <w:color w:val="auto"/>
              </w:rPr>
              <w:t>Provision (benefit) for doubtful accounts</w:t>
            </w: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21,898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6,527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(6,711)</w:t>
            </w:r>
          </w:p>
        </w:tc>
      </w:tr>
      <w:tr>
        <w:trPr>
          <w:trHeight w:val="27"/>
        </w:trPr>
        <w:tc>
          <w:tcPr>
            <w:tcW w:w="6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Pre-opening</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102,009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53,490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26,692</w:t>
            </w:r>
          </w:p>
        </w:tc>
      </w:tr>
      <w:tr>
        <w:trPr>
          <w:trHeight w:val="243"/>
        </w:trPr>
        <w:tc>
          <w:tcPr>
            <w:tcW w:w="684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624,878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550,596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552,368</w:t>
            </w:r>
          </w:p>
        </w:tc>
      </w:tr>
      <w:tr>
        <w:trPr>
          <w:trHeight w:val="27"/>
        </w:trPr>
        <w:tc>
          <w:tcPr>
            <w:tcW w:w="6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8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Property charges and other</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20,286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60,256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29,576</w:t>
            </w:r>
          </w:p>
        </w:tc>
      </w:tr>
      <w:tr>
        <w:trPr>
          <w:trHeight w:val="237"/>
        </w:trPr>
        <w:tc>
          <w:tcPr>
            <w:tcW w:w="6840" w:type="dxa"/>
            <w:vAlign w:val="bottom"/>
          </w:tcPr>
          <w:p>
            <w:pPr>
              <w:ind w:left="640"/>
              <w:spacing w:after="0"/>
              <w:rPr>
                <w:sz w:val="20"/>
                <w:szCs w:val="20"/>
                <w:color w:val="auto"/>
              </w:rPr>
            </w:pPr>
            <w:r>
              <w:rPr>
                <w:rFonts w:ascii="Arial" w:cs="Arial" w:eastAsia="Arial" w:hAnsi="Arial"/>
                <w:sz w:val="18"/>
                <w:szCs w:val="18"/>
                <w:b w:val="1"/>
                <w:bCs w:val="1"/>
                <w:color w:val="auto"/>
              </w:rPr>
              <w:t>Total operating expenses</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5,732,794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5,982,116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5,014,595</w:t>
            </w:r>
          </w:p>
        </w:tc>
      </w:tr>
      <w:tr>
        <w:trPr>
          <w:trHeight w:val="27"/>
        </w:trPr>
        <w:tc>
          <w:tcPr>
            <w:tcW w:w="68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878,305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735,544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1,055,565</w:t>
            </w:r>
          </w:p>
        </w:tc>
      </w:tr>
      <w:tr>
        <w:trPr>
          <w:trHeight w:val="223"/>
        </w:trPr>
        <w:tc>
          <w:tcPr>
            <w:tcW w:w="6840" w:type="dxa"/>
            <w:vAlign w:val="bottom"/>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r>
      <w:tr>
        <w:trPr>
          <w:trHeight w:val="27"/>
        </w:trPr>
        <w:tc>
          <w:tcPr>
            <w:tcW w:w="6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Interest income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24,449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29,866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31,193</w:t>
            </w:r>
          </w:p>
        </w:tc>
      </w:tr>
      <w:tr>
        <w:trPr>
          <w:trHeight w:val="243"/>
        </w:trPr>
        <w:tc>
          <w:tcPr>
            <w:tcW w:w="6840" w:type="dxa"/>
            <w:vAlign w:val="bottom"/>
          </w:tcPr>
          <w:p>
            <w:pPr>
              <w:ind w:left="320"/>
              <w:spacing w:after="0"/>
              <w:rPr>
                <w:sz w:val="20"/>
                <w:szCs w:val="20"/>
                <w:color w:val="auto"/>
              </w:rPr>
            </w:pPr>
            <w:r>
              <w:rPr>
                <w:rFonts w:ascii="Arial" w:cs="Arial" w:eastAsia="Arial" w:hAnsi="Arial"/>
                <w:sz w:val="18"/>
                <w:szCs w:val="18"/>
                <w:color w:val="auto"/>
              </w:rPr>
              <w:t>Interest expense, net of amounts capitalized</w:t>
            </w:r>
          </w:p>
        </w:tc>
        <w:tc>
          <w:tcPr>
            <w:tcW w:w="3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(414,030)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(381,849)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(388,664)</w:t>
            </w:r>
          </w:p>
        </w:tc>
      </w:tr>
      <w:tr>
        <w:trPr>
          <w:trHeight w:val="27"/>
        </w:trPr>
        <w:tc>
          <w:tcPr>
            <w:tcW w:w="6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Change in derivatives fair value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(1,056)</w:t>
            </w:r>
          </w:p>
        </w:tc>
      </w:tr>
      <w:tr>
        <w:trPr>
          <w:trHeight w:val="243"/>
        </w:trPr>
        <w:tc>
          <w:tcPr>
            <w:tcW w:w="6840" w:type="dxa"/>
            <w:vAlign w:val="bottom"/>
          </w:tcPr>
          <w:p>
            <w:pPr>
              <w:ind w:left="320"/>
              <w:spacing w:after="0"/>
              <w:rPr>
                <w:sz w:val="20"/>
                <w:szCs w:val="20"/>
                <w:color w:val="auto"/>
              </w:rPr>
            </w:pPr>
            <w:r>
              <w:rPr>
                <w:rFonts w:ascii="Arial" w:cs="Arial" w:eastAsia="Arial" w:hAnsi="Arial"/>
                <w:sz w:val="18"/>
                <w:szCs w:val="18"/>
                <w:color w:val="auto"/>
              </w:rPr>
              <w:t>Change in Redemption Note fair value</w:t>
            </w: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(69,331)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(59,700)</w:t>
            </w:r>
          </w:p>
        </w:tc>
      </w:tr>
      <w:tr>
        <w:trPr>
          <w:trHeight w:val="27"/>
        </w:trPr>
        <w:tc>
          <w:tcPr>
            <w:tcW w:w="6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(Loss) gain on extinguishment of debt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(55,360)</w:t>
            </w:r>
          </w:p>
        </w:tc>
      </w:tr>
      <w:tr>
        <w:trPr>
          <w:trHeight w:val="243"/>
        </w:trPr>
        <w:tc>
          <w:tcPr>
            <w:tcW w:w="6840" w:type="dxa"/>
            <w:vAlign w:val="bottom"/>
          </w:tcPr>
          <w:p>
            <w:pPr>
              <w:ind w:left="32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15,159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(4,074)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(21,709)</w:t>
            </w:r>
          </w:p>
        </w:tc>
      </w:tr>
      <w:tr>
        <w:trPr>
          <w:trHeight w:val="27"/>
        </w:trPr>
        <w:tc>
          <w:tcPr>
            <w:tcW w:w="68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68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b w:val="1"/>
                <w:bCs w:val="1"/>
                <w:color w:val="auto"/>
              </w:rPr>
              <w:t>Other income (expense), net</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(390,087)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(429,804)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(495,296)</w:t>
            </w:r>
          </w:p>
        </w:tc>
      </w:tr>
      <w:tr>
        <w:trPr>
          <w:trHeight w:val="237"/>
        </w:trPr>
        <w:tc>
          <w:tcPr>
            <w:tcW w:w="6840" w:type="dxa"/>
            <w:vAlign w:val="bottom"/>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488,218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305,740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560,269</w:t>
            </w:r>
          </w:p>
        </w:tc>
      </w:tr>
      <w:tr>
        <w:trPr>
          <w:trHeight w:val="27"/>
        </w:trPr>
        <w:tc>
          <w:tcPr>
            <w:tcW w:w="6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8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(Provision) benefit for income taxes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(176,840)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497,344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328,985</w:t>
            </w:r>
          </w:p>
        </w:tc>
      </w:tr>
      <w:tr>
        <w:trPr>
          <w:trHeight w:val="237"/>
        </w:trPr>
        <w:tc>
          <w:tcPr>
            <w:tcW w:w="684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311,378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803,084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889,254</w:t>
            </w:r>
          </w:p>
        </w:tc>
      </w:tr>
      <w:tr>
        <w:trPr>
          <w:trHeight w:val="27"/>
        </w:trPr>
        <w:tc>
          <w:tcPr>
            <w:tcW w:w="6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8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Less: net income attributable to noncontrolling interests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(188,393)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(230,654)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(142,073)</w:t>
            </w:r>
          </w:p>
        </w:tc>
      </w:tr>
      <w:tr>
        <w:trPr>
          <w:trHeight w:val="237"/>
        </w:trPr>
        <w:tc>
          <w:tcPr>
            <w:tcW w:w="6840" w:type="dxa"/>
            <w:vAlign w:val="bottom"/>
          </w:tcPr>
          <w:p>
            <w:pPr>
              <w:ind w:left="20"/>
              <w:spacing w:after="0"/>
              <w:rPr>
                <w:sz w:val="20"/>
                <w:szCs w:val="20"/>
                <w:color w:val="auto"/>
              </w:rPr>
            </w:pPr>
            <w:r>
              <w:rPr>
                <w:rFonts w:ascii="Arial" w:cs="Arial" w:eastAsia="Arial" w:hAnsi="Arial"/>
                <w:sz w:val="18"/>
                <w:szCs w:val="18"/>
                <w:b w:val="1"/>
                <w:bCs w:val="1"/>
                <w:color w:val="auto"/>
              </w:rPr>
              <w:t>Net income attributable to Wynn Resorts, Limited</w:t>
            </w: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122,985</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572,430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747,181</w:t>
            </w:r>
          </w:p>
        </w:tc>
      </w:tr>
      <w:tr>
        <w:trPr>
          <w:trHeight w:val="27"/>
        </w:trPr>
        <w:tc>
          <w:tcPr>
            <w:tcW w:w="68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68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7"/>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and diluted net income per common share:</w:t>
            </w: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r>
      <w:tr>
        <w:trPr>
          <w:trHeight w:val="243"/>
        </w:trPr>
        <w:tc>
          <w:tcPr>
            <w:tcW w:w="6840" w:type="dxa"/>
            <w:vAlign w:val="bottom"/>
          </w:tcPr>
          <w:p>
            <w:pPr>
              <w:ind w:left="320"/>
              <w:spacing w:after="0"/>
              <w:rPr>
                <w:sz w:val="20"/>
                <w:szCs w:val="20"/>
                <w:color w:val="auto"/>
              </w:rPr>
            </w:pPr>
            <w:r>
              <w:rPr>
                <w:rFonts w:ascii="Arial" w:cs="Arial" w:eastAsia="Arial" w:hAnsi="Arial"/>
                <w:sz w:val="18"/>
                <w:szCs w:val="18"/>
                <w:color w:val="auto"/>
              </w:rPr>
              <w:t>Net income attributable to Wynn Resorts, Limited:</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6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1.15</w:t>
            </w:r>
          </w:p>
        </w:tc>
        <w:tc>
          <w:tcPr>
            <w:tcW w:w="4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7.32</w:t>
            </w:r>
          </w:p>
        </w:tc>
      </w:tr>
      <w:tr>
        <w:trPr>
          <w:trHeight w:val="243"/>
        </w:trPr>
        <w:tc>
          <w:tcPr>
            <w:tcW w:w="6840" w:type="dxa"/>
            <w:vAlign w:val="bottom"/>
          </w:tcPr>
          <w:p>
            <w:pPr>
              <w:ind w:left="640"/>
              <w:spacing w:after="0"/>
              <w:rPr>
                <w:sz w:val="20"/>
                <w:szCs w:val="20"/>
                <w:color w:val="auto"/>
              </w:rPr>
            </w:pPr>
            <w:r>
              <w:rPr>
                <w:rFonts w:ascii="Arial" w:cs="Arial" w:eastAsia="Arial" w:hAnsi="Arial"/>
                <w:sz w:val="18"/>
                <w:szCs w:val="18"/>
                <w:color w:val="auto"/>
              </w:rPr>
              <w:t>Diluted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1.15</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7.28</w:t>
            </w:r>
          </w:p>
        </w:tc>
      </w:tr>
      <w:tr>
        <w:trPr>
          <w:trHeight w:val="27"/>
        </w:trPr>
        <w:tc>
          <w:tcPr>
            <w:tcW w:w="6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Weighted average common shares outstanding:</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840" w:type="dxa"/>
            <w:vAlign w:val="bottom"/>
          </w:tcPr>
          <w:p>
            <w:pPr>
              <w:ind w:left="640"/>
              <w:spacing w:after="0"/>
              <w:rPr>
                <w:sz w:val="20"/>
                <w:szCs w:val="20"/>
                <w:color w:val="auto"/>
              </w:rPr>
            </w:pPr>
            <w:r>
              <w:rPr>
                <w:rFonts w:ascii="Arial" w:cs="Arial" w:eastAsia="Arial" w:hAnsi="Arial"/>
                <w:sz w:val="18"/>
                <w:szCs w:val="18"/>
                <w:color w:val="auto"/>
              </w:rPr>
              <w:t>Basic</w:t>
            </w: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106,745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106,529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102,071</w:t>
            </w:r>
          </w:p>
        </w:tc>
      </w:tr>
      <w:tr>
        <w:trPr>
          <w:trHeight w:val="27"/>
        </w:trPr>
        <w:tc>
          <w:tcPr>
            <w:tcW w:w="6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68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Diluted</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106,985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107,032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102,598</w:t>
            </w:r>
          </w:p>
        </w:tc>
      </w:tr>
      <w:tr>
        <w:trPr>
          <w:trHeight w:val="27"/>
        </w:trPr>
        <w:tc>
          <w:tcPr>
            <w:tcW w:w="68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00"/>
          </w:cols>
          <w:pgMar w:left="240" w:top="122" w:right="259" w:bottom="1440"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type w:val="continuous"/>
        </w:sectPr>
      </w:pPr>
    </w:p>
    <w:bookmarkStart w:id="63" w:name="page64"/>
    <w:bookmarkEnd w:id="6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WYNN RESORTS, LIMITED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COMPREHENSIVE INCOME</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8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1"/>
              </w:rPr>
              <w:t>Years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96"/>
        </w:trPr>
        <w:tc>
          <w:tcPr>
            <w:tcW w:w="68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r>
      <w:tr>
        <w:trPr>
          <w:trHeight w:val="270"/>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311,378</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803,084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889,254</w:t>
            </w:r>
          </w:p>
        </w:tc>
      </w:tr>
      <w:tr>
        <w:trPr>
          <w:trHeight w:val="223"/>
        </w:trPr>
        <w:tc>
          <w:tcPr>
            <w:tcW w:w="684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r>
      <w:tr>
        <w:trPr>
          <w:trHeight w:val="27"/>
        </w:trPr>
        <w:tc>
          <w:tcPr>
            <w:tcW w:w="6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Foreign currency translation adjustments, before and after tax</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(3,832)</w:t>
            </w:r>
          </w:p>
        </w:tc>
      </w:tr>
      <w:tr>
        <w:trPr>
          <w:trHeight w:val="243"/>
        </w:trPr>
        <w:tc>
          <w:tcPr>
            <w:tcW w:w="6840" w:type="dxa"/>
            <w:vAlign w:val="bottom"/>
          </w:tcPr>
          <w:p>
            <w:pPr>
              <w:ind w:left="320"/>
              <w:spacing w:after="0"/>
              <w:rPr>
                <w:sz w:val="20"/>
                <w:szCs w:val="20"/>
                <w:color w:val="auto"/>
              </w:rPr>
            </w:pPr>
            <w:r>
              <w:rPr>
                <w:rFonts w:ascii="Arial" w:cs="Arial" w:eastAsia="Arial" w:hAnsi="Arial"/>
                <w:sz w:val="18"/>
                <w:szCs w:val="18"/>
                <w:color w:val="auto"/>
                <w:w w:val="99"/>
              </w:rPr>
              <w:t>Change in net unrealized loss (gain) on investment securities, before and after tax</w:t>
            </w:r>
          </w:p>
        </w:tc>
        <w:tc>
          <w:tcPr>
            <w:tcW w:w="34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1,292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(563)</w:t>
            </w:r>
          </w:p>
        </w:tc>
      </w:tr>
      <w:tr>
        <w:trPr>
          <w:trHeight w:val="27"/>
        </w:trPr>
        <w:tc>
          <w:tcPr>
            <w:tcW w:w="6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8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Redemption Note credit risk adjustment, net of tax of $2,735</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9,211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w:t>
            </w:r>
          </w:p>
        </w:tc>
      </w:tr>
      <w:tr>
        <w:trPr>
          <w:trHeight w:val="237"/>
        </w:trPr>
        <w:tc>
          <w:tcPr>
            <w:tcW w:w="6840" w:type="dxa"/>
            <w:vAlign w:val="bottom"/>
          </w:tcPr>
          <w:p>
            <w:pPr>
              <w:ind w:left="20"/>
              <w:spacing w:after="0"/>
              <w:rPr>
                <w:sz w:val="20"/>
                <w:szCs w:val="20"/>
                <w:color w:val="auto"/>
              </w:rPr>
            </w:pPr>
            <w:r>
              <w:rPr>
                <w:rFonts w:ascii="Arial" w:cs="Arial" w:eastAsia="Arial" w:hAnsi="Arial"/>
                <w:sz w:val="18"/>
                <w:szCs w:val="18"/>
                <w:b w:val="1"/>
                <w:bCs w:val="1"/>
                <w:color w:val="auto"/>
              </w:rPr>
              <w:t>Total comprehensive income</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311,754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811,651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884,859</w:t>
            </w:r>
          </w:p>
        </w:tc>
      </w:tr>
      <w:tr>
        <w:trPr>
          <w:trHeight w:val="27"/>
        </w:trPr>
        <w:tc>
          <w:tcPr>
            <w:tcW w:w="6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8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(188,498)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(230,115)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(141,007)</w:t>
            </w:r>
          </w:p>
        </w:tc>
      </w:tr>
      <w:tr>
        <w:trPr>
          <w:trHeight w:val="237"/>
        </w:trPr>
        <w:tc>
          <w:tcPr>
            <w:tcW w:w="684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 attributable to Wynn Resorts, Limited</w:t>
            </w: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123,256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581,536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743,852</w:t>
            </w:r>
          </w:p>
        </w:tc>
      </w:tr>
      <w:tr>
        <w:trPr>
          <w:trHeight w:val="27"/>
        </w:trPr>
        <w:tc>
          <w:tcPr>
            <w:tcW w:w="68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
        </w:trPr>
        <w:tc>
          <w:tcPr>
            <w:tcW w:w="68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64" w:name="page65"/>
    <w:bookmarkEnd w:id="6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WYNN RESORTS, LIMITED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STOCKHOLDERS' EQUITY</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 except share data)</w:t>
      </w:r>
    </w:p>
    <w:p>
      <w:pPr>
        <w:spacing w:after="0" w:line="37" w:lineRule="exact"/>
        <w:rPr>
          <w:sz w:val="20"/>
          <w:szCs w:val="20"/>
          <w:color w:val="auto"/>
        </w:rPr>
      </w:pPr>
    </w:p>
    <w:tbl>
      <w:tblPr>
        <w:tblLayout w:type="fixed"/>
        <w:tblInd w:w="40" w:type="dxa"/>
        <w:tblCellMar>
          <w:top w:w="0" w:type="dxa"/>
          <w:left w:w="0" w:type="dxa"/>
          <w:bottom w:w="0" w:type="dxa"/>
          <w:right w:w="0" w:type="dxa"/>
        </w:tblCellMar>
      </w:tblPr>
      <w:tr>
        <w:trPr>
          <w:trHeight w:val="174"/>
        </w:trPr>
        <w:tc>
          <w:tcPr>
            <w:tcW w:w="2420" w:type="dxa"/>
            <w:vAlign w:val="bottom"/>
          </w:tcPr>
          <w:p>
            <w:pPr>
              <w:spacing w:after="0"/>
              <w:rPr>
                <w:sz w:val="15"/>
                <w:szCs w:val="15"/>
                <w:color w:val="auto"/>
              </w:rPr>
            </w:pPr>
          </w:p>
        </w:tc>
        <w:tc>
          <w:tcPr>
            <w:tcW w:w="1700" w:type="dxa"/>
            <w:vAlign w:val="bottom"/>
            <w:gridSpan w:val="4"/>
          </w:tcPr>
          <w:p>
            <w:pPr>
              <w:ind w:left="400"/>
              <w:spacing w:after="0"/>
              <w:rPr>
                <w:sz w:val="20"/>
                <w:szCs w:val="20"/>
                <w:color w:val="auto"/>
              </w:rPr>
            </w:pPr>
            <w:r>
              <w:rPr>
                <w:rFonts w:ascii="Arial" w:cs="Arial" w:eastAsia="Arial" w:hAnsi="Arial"/>
                <w:sz w:val="13"/>
                <w:szCs w:val="13"/>
                <w:b w:val="1"/>
                <w:bCs w:val="1"/>
                <w:color w:val="auto"/>
              </w:rPr>
              <w:t>Common stock</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42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center"/>
              <w:ind w:right="200"/>
              <w:spacing w:after="0" w:line="131" w:lineRule="exact"/>
              <w:rPr>
                <w:sz w:val="20"/>
                <w:szCs w:val="20"/>
                <w:color w:val="auto"/>
              </w:rPr>
            </w:pPr>
            <w:r>
              <w:rPr>
                <w:rFonts w:ascii="Arial" w:cs="Arial" w:eastAsia="Arial" w:hAnsi="Arial"/>
                <w:sz w:val="13"/>
                <w:szCs w:val="13"/>
                <w:b w:val="1"/>
                <w:bCs w:val="1"/>
                <w:color w:val="auto"/>
                <w:w w:val="89"/>
              </w:rPr>
              <w:t>Total</w:t>
            </w: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8"/>
              </w:rPr>
              <w:t>Additional</w:t>
            </w:r>
          </w:p>
        </w:tc>
        <w:tc>
          <w:tcPr>
            <w:tcW w:w="1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Accumulated</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Wynn Resorts,</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restart"/>
          </w:tcPr>
          <w:p>
            <w:pPr>
              <w:jc w:val="center"/>
              <w:ind w:right="37"/>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2"/>
        </w:trPr>
        <w:tc>
          <w:tcPr>
            <w:tcW w:w="2420" w:type="dxa"/>
            <w:vAlign w:val="bottom"/>
          </w:tcPr>
          <w:p>
            <w:pPr>
              <w:spacing w:after="0"/>
              <w:rPr>
                <w:sz w:val="10"/>
                <w:szCs w:val="10"/>
                <w:color w:val="auto"/>
              </w:rPr>
            </w:pPr>
          </w:p>
        </w:tc>
        <w:tc>
          <w:tcPr>
            <w:tcW w:w="104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82"/>
              </w:rPr>
              <w:t>Shares</w:t>
            </w:r>
          </w:p>
        </w:tc>
        <w:tc>
          <w:tcPr>
            <w:tcW w:w="66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5"/>
              </w:rPr>
              <w:t>Par</w:t>
            </w:r>
          </w:p>
        </w:tc>
        <w:tc>
          <w:tcPr>
            <w:tcW w:w="940" w:type="dxa"/>
            <w:vAlign w:val="bottom"/>
            <w:gridSpan w:val="2"/>
            <w:vMerge w:val="restart"/>
          </w:tcPr>
          <w:p>
            <w:pPr>
              <w:ind w:left="180"/>
              <w:spacing w:after="0"/>
              <w:rPr>
                <w:sz w:val="20"/>
                <w:szCs w:val="20"/>
                <w:color w:val="auto"/>
              </w:rPr>
            </w:pPr>
            <w:r>
              <w:rPr>
                <w:rFonts w:ascii="Arial" w:cs="Arial" w:eastAsia="Arial" w:hAnsi="Arial"/>
                <w:sz w:val="13"/>
                <w:szCs w:val="13"/>
                <w:b w:val="1"/>
                <w:bCs w:val="1"/>
                <w:color w:val="auto"/>
              </w:rPr>
              <w:t>Treasury</w:t>
            </w:r>
          </w:p>
        </w:tc>
        <w:tc>
          <w:tcPr>
            <w:tcW w:w="10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2"/>
              </w:rPr>
              <w:t>other</w:t>
            </w:r>
          </w:p>
        </w:tc>
        <w:tc>
          <w:tcPr>
            <w:tcW w:w="100" w:type="dxa"/>
            <w:vAlign w:val="bottom"/>
          </w:tcPr>
          <w:p>
            <w:pPr>
              <w:spacing w:after="0"/>
              <w:rPr>
                <w:sz w:val="10"/>
                <w:szCs w:val="10"/>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Retained</w:t>
            </w:r>
          </w:p>
        </w:tc>
        <w:tc>
          <w:tcPr>
            <w:tcW w:w="80" w:type="dxa"/>
            <w:vAlign w:val="bottom"/>
          </w:tcPr>
          <w:p>
            <w:pPr>
              <w:spacing w:after="0"/>
              <w:rPr>
                <w:sz w:val="10"/>
                <w:szCs w:val="10"/>
                <w:color w:val="auto"/>
              </w:rPr>
            </w:pPr>
          </w:p>
        </w:tc>
        <w:tc>
          <w:tcPr>
            <w:tcW w:w="108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5"/>
              </w:rPr>
              <w:t>Limited</w:t>
            </w:r>
          </w:p>
        </w:tc>
        <w:tc>
          <w:tcPr>
            <w:tcW w:w="100" w:type="dxa"/>
            <w:vAlign w:val="bottom"/>
          </w:tcPr>
          <w:p>
            <w:pPr>
              <w:spacing w:after="0"/>
              <w:rPr>
                <w:sz w:val="10"/>
                <w:szCs w:val="10"/>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8"/>
              </w:rPr>
              <w:t>Noncontrolling</w:t>
            </w:r>
          </w:p>
        </w:tc>
        <w:tc>
          <w:tcPr>
            <w:tcW w:w="10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42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3"/>
              </w:rPr>
              <w:t>paid-in</w:t>
            </w:r>
          </w:p>
        </w:tc>
        <w:tc>
          <w:tcPr>
            <w:tcW w:w="100" w:type="dxa"/>
            <w:vAlign w:val="bottom"/>
          </w:tcPr>
          <w:p>
            <w:pPr>
              <w:spacing w:after="0"/>
              <w:rPr>
                <w:sz w:val="10"/>
                <w:szCs w:val="10"/>
                <w:color w:val="auto"/>
              </w:rPr>
            </w:pPr>
          </w:p>
        </w:tc>
        <w:tc>
          <w:tcPr>
            <w:tcW w:w="108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3"/>
              </w:rPr>
              <w:t>comprehensive</w:t>
            </w:r>
          </w:p>
        </w:tc>
        <w:tc>
          <w:tcPr>
            <w:tcW w:w="10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5"/>
              </w:rPr>
              <w:t>stockholders'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center"/>
              <w:ind w:right="37"/>
              <w:spacing w:after="0" w:line="122" w:lineRule="exact"/>
              <w:rPr>
                <w:sz w:val="20"/>
                <w:szCs w:val="20"/>
                <w:color w:val="auto"/>
              </w:rPr>
            </w:pPr>
            <w:r>
              <w:rPr>
                <w:rFonts w:ascii="Arial" w:cs="Arial" w:eastAsia="Arial" w:hAnsi="Arial"/>
                <w:sz w:val="13"/>
                <w:szCs w:val="13"/>
                <w:b w:val="1"/>
                <w:bCs w:val="1"/>
                <w:color w:val="auto"/>
                <w:w w:val="85"/>
              </w:rPr>
              <w:t>stockholders'</w:t>
            </w: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5"/>
              </w:rPr>
              <w:t>outstanding</w:t>
            </w:r>
          </w:p>
        </w:tc>
        <w:tc>
          <w:tcPr>
            <w:tcW w:w="6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4"/>
              </w:rPr>
              <w:t>value</w:t>
            </w:r>
          </w:p>
        </w:tc>
        <w:tc>
          <w:tcPr>
            <w:tcW w:w="940" w:type="dxa"/>
            <w:vAlign w:val="bottom"/>
            <w:gridSpan w:val="2"/>
          </w:tcPr>
          <w:p>
            <w:pPr>
              <w:ind w:left="280"/>
              <w:spacing w:after="0"/>
              <w:rPr>
                <w:sz w:val="20"/>
                <w:szCs w:val="20"/>
                <w:color w:val="auto"/>
              </w:rPr>
            </w:pPr>
            <w:r>
              <w:rPr>
                <w:rFonts w:ascii="Arial" w:cs="Arial" w:eastAsia="Arial" w:hAnsi="Arial"/>
                <w:sz w:val="13"/>
                <w:szCs w:val="13"/>
                <w:b w:val="1"/>
                <w:bCs w:val="1"/>
                <w:color w:val="auto"/>
              </w:rPr>
              <w:t>stock</w:t>
            </w:r>
          </w:p>
        </w:tc>
        <w:tc>
          <w:tcPr>
            <w:tcW w:w="10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capital</w:t>
            </w:r>
          </w:p>
        </w:tc>
        <w:tc>
          <w:tcPr>
            <w:tcW w:w="1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3"/>
              </w:rPr>
              <w:t>income (loss)</w:t>
            </w:r>
          </w:p>
        </w:tc>
        <w:tc>
          <w:tcPr>
            <w:tcW w:w="100" w:type="dxa"/>
            <w:vAlign w:val="bottom"/>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Arial" w:cs="Arial" w:eastAsia="Arial" w:hAnsi="Arial"/>
                <w:sz w:val="13"/>
                <w:szCs w:val="13"/>
                <w:b w:val="1"/>
                <w:bCs w:val="1"/>
                <w:color w:val="auto"/>
              </w:rPr>
              <w:t>earnings</w:t>
            </w:r>
          </w:p>
        </w:tc>
        <w:tc>
          <w:tcPr>
            <w:tcW w:w="8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equity</w:t>
            </w:r>
          </w:p>
        </w:tc>
        <w:tc>
          <w:tcPr>
            <w:tcW w:w="1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4"/>
              </w:rPr>
              <w:t>interests</w:t>
            </w:r>
          </w:p>
        </w:tc>
        <w:tc>
          <w:tcPr>
            <w:tcW w:w="100" w:type="dxa"/>
            <w:vAlign w:val="bottom"/>
          </w:tcPr>
          <w:p>
            <w:pPr>
              <w:spacing w:after="0"/>
              <w:rPr>
                <w:sz w:val="14"/>
                <w:szCs w:val="14"/>
                <w:color w:val="auto"/>
              </w:rPr>
            </w:pPr>
          </w:p>
        </w:tc>
        <w:tc>
          <w:tcPr>
            <w:tcW w:w="860" w:type="dxa"/>
            <w:vAlign w:val="bottom"/>
          </w:tcPr>
          <w:p>
            <w:pPr>
              <w:jc w:val="center"/>
              <w:ind w:right="57"/>
              <w:spacing w:after="0"/>
              <w:rPr>
                <w:sz w:val="20"/>
                <w:szCs w:val="20"/>
                <w:color w:val="auto"/>
              </w:rPr>
            </w:pPr>
            <w:r>
              <w:rPr>
                <w:rFonts w:ascii="Arial" w:cs="Arial" w:eastAsia="Arial" w:hAnsi="Arial"/>
                <w:sz w:val="13"/>
                <w:szCs w:val="13"/>
                <w:b w:val="1"/>
                <w:bCs w:val="1"/>
                <w:color w:val="auto"/>
                <w:w w:val="88"/>
              </w:rPr>
              <w:t>equity</w:t>
            </w:r>
          </w:p>
        </w:tc>
        <w:tc>
          <w:tcPr>
            <w:tcW w:w="0" w:type="dxa"/>
            <w:vAlign w:val="bottom"/>
          </w:tcPr>
          <w:p>
            <w:pPr>
              <w:spacing w:after="0"/>
              <w:rPr>
                <w:sz w:val="1"/>
                <w:szCs w:val="1"/>
                <w:color w:val="auto"/>
              </w:rPr>
            </w:pPr>
          </w:p>
        </w:tc>
      </w:tr>
      <w:tr>
        <w:trPr>
          <w:trHeight w:val="188"/>
        </w:trPr>
        <w:tc>
          <w:tcPr>
            <w:tcW w:w="2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Balances, January 1, 2017</w:t>
            </w:r>
          </w:p>
        </w:tc>
        <w:tc>
          <w:tcPr>
            <w:tcW w:w="94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101,799,471</w:t>
            </w:r>
          </w:p>
        </w:tc>
        <w:tc>
          <w:tcPr>
            <w:tcW w:w="10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b w:val="1"/>
                <w:bCs w:val="1"/>
                <w:color w:val="auto"/>
                <w:w w:val="92"/>
              </w:rPr>
              <w:t>$ 1,150</w:t>
            </w:r>
          </w:p>
        </w:tc>
        <w:tc>
          <w:tcPr>
            <w:tcW w:w="10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w w:val="90"/>
              </w:rPr>
              <w:t>$ (1,166,697)</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60" w:type="dxa"/>
            <w:vAlign w:val="bottom"/>
            <w:tcBorders>
              <w:top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b w:val="1"/>
                <w:bCs w:val="1"/>
                <w:color w:val="auto"/>
              </w:rPr>
              <w:t>1,226,915</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8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1,484</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64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95,097</w:t>
            </w: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80" w:type="dxa"/>
            <w:vAlign w:val="bottom"/>
            <w:tcBorders>
              <w:top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b w:val="1"/>
                <w:bCs w:val="1"/>
                <w:color w:val="auto"/>
              </w:rPr>
              <w:t>157,949</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8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99,932</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top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b w:val="1"/>
                <w:bCs w:val="1"/>
                <w:color w:val="auto"/>
              </w:rPr>
              <w:t>257,881</w:t>
            </w:r>
          </w:p>
        </w:tc>
        <w:tc>
          <w:tcPr>
            <w:tcW w:w="0" w:type="dxa"/>
            <w:vAlign w:val="bottom"/>
          </w:tcPr>
          <w:p>
            <w:pPr>
              <w:spacing w:after="0"/>
              <w:rPr>
                <w:sz w:val="1"/>
                <w:szCs w:val="1"/>
                <w:color w:val="auto"/>
              </w:rPr>
            </w:pPr>
          </w:p>
        </w:tc>
      </w:tr>
      <w:tr>
        <w:trPr>
          <w:trHeight w:val="148"/>
        </w:trPr>
        <w:tc>
          <w:tcPr>
            <w:tcW w:w="2420" w:type="dxa"/>
            <w:vAlign w:val="bottom"/>
          </w:tcPr>
          <w:p>
            <w:pPr>
              <w:ind w:left="20"/>
              <w:spacing w:after="0" w:line="148" w:lineRule="exact"/>
              <w:rPr>
                <w:sz w:val="20"/>
                <w:szCs w:val="20"/>
                <w:color w:val="auto"/>
              </w:rPr>
            </w:pPr>
            <w:r>
              <w:rPr>
                <w:rFonts w:ascii="Arial" w:cs="Arial" w:eastAsia="Arial" w:hAnsi="Arial"/>
                <w:sz w:val="13"/>
                <w:szCs w:val="13"/>
                <w:color w:val="auto"/>
                <w:w w:val="95"/>
              </w:rPr>
              <w:t>Cumulative effect, change in accounting for</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42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2,807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(2,696)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97"/>
              <w:spacing w:after="0"/>
              <w:rPr>
                <w:sz w:val="20"/>
                <w:szCs w:val="20"/>
                <w:color w:val="auto"/>
              </w:rPr>
            </w:pPr>
            <w:r>
              <w:rPr>
                <w:rFonts w:ascii="Arial" w:cs="Arial" w:eastAsia="Arial" w:hAnsi="Arial"/>
                <w:sz w:val="13"/>
                <w:szCs w:val="13"/>
                <w:color w:val="auto"/>
              </w:rPr>
              <w:t>111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60" w:type="dxa"/>
            <w:vAlign w:val="bottom"/>
          </w:tcPr>
          <w:p>
            <w:pPr>
              <w:jc w:val="right"/>
              <w:ind w:right="97"/>
              <w:spacing w:after="0"/>
              <w:rPr>
                <w:sz w:val="20"/>
                <w:szCs w:val="20"/>
                <w:color w:val="auto"/>
              </w:rPr>
            </w:pPr>
            <w:r>
              <w:rPr>
                <w:rFonts w:ascii="Arial" w:cs="Arial" w:eastAsia="Arial" w:hAnsi="Arial"/>
                <w:sz w:val="13"/>
                <w:szCs w:val="13"/>
                <w:color w:val="auto"/>
              </w:rPr>
              <w:t>111</w:t>
            </w:r>
          </w:p>
        </w:tc>
        <w:tc>
          <w:tcPr>
            <w:tcW w:w="0" w:type="dxa"/>
            <w:vAlign w:val="bottom"/>
          </w:tcPr>
          <w:p>
            <w:pPr>
              <w:spacing w:after="0"/>
              <w:rPr>
                <w:sz w:val="1"/>
                <w:szCs w:val="1"/>
                <w:color w:val="auto"/>
              </w:rPr>
            </w:pPr>
          </w:p>
        </w:tc>
      </w:tr>
      <w:tr>
        <w:trPr>
          <w:trHeight w:val="197"/>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747,181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747,181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142,073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889,254</w:t>
            </w:r>
          </w:p>
        </w:tc>
        <w:tc>
          <w:tcPr>
            <w:tcW w:w="0" w:type="dxa"/>
            <w:vAlign w:val="bottom"/>
          </w:tcPr>
          <w:p>
            <w:pPr>
              <w:spacing w:after="0"/>
              <w:rPr>
                <w:sz w:val="1"/>
                <w:szCs w:val="1"/>
                <w:color w:val="auto"/>
              </w:rPr>
            </w:pPr>
          </w:p>
        </w:tc>
      </w:tr>
      <w:tr>
        <w:trPr>
          <w:trHeight w:val="181"/>
        </w:trPr>
        <w:tc>
          <w:tcPr>
            <w:tcW w:w="2420" w:type="dxa"/>
            <w:vAlign w:val="bottom"/>
          </w:tcPr>
          <w:p>
            <w:pPr>
              <w:ind w:left="20"/>
              <w:spacing w:after="0"/>
              <w:rPr>
                <w:sz w:val="20"/>
                <w:szCs w:val="20"/>
                <w:color w:val="auto"/>
              </w:rPr>
            </w:pPr>
            <w:r>
              <w:rPr>
                <w:rFonts w:ascii="Arial" w:cs="Arial" w:eastAsia="Arial" w:hAnsi="Arial"/>
                <w:sz w:val="13"/>
                <w:szCs w:val="13"/>
                <w:color w:val="auto"/>
              </w:rPr>
              <w:t>Currency translation adjustment</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(2,766)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(2,766)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(1,066)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(3,832)</w:t>
            </w:r>
          </w:p>
        </w:tc>
        <w:tc>
          <w:tcPr>
            <w:tcW w:w="0" w:type="dxa"/>
            <w:vAlign w:val="bottom"/>
          </w:tcPr>
          <w:p>
            <w:pPr>
              <w:spacing w:after="0"/>
              <w:rPr>
                <w:sz w:val="1"/>
                <w:szCs w:val="1"/>
                <w:color w:val="auto"/>
              </w:rPr>
            </w:pPr>
          </w:p>
        </w:tc>
      </w:tr>
      <w:tr>
        <w:trPr>
          <w:trHeight w:val="156"/>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w w:val="92"/>
              </w:rPr>
              <w:t>Change in net unrealized gain on investment</w:t>
            </w: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securities</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(563)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(563)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(563)</w:t>
            </w:r>
          </w:p>
        </w:tc>
        <w:tc>
          <w:tcPr>
            <w:tcW w:w="0" w:type="dxa"/>
            <w:vAlign w:val="bottom"/>
          </w:tcPr>
          <w:p>
            <w:pPr>
              <w:spacing w:after="0"/>
              <w:rPr>
                <w:sz w:val="1"/>
                <w:szCs w:val="1"/>
                <w:color w:val="auto"/>
              </w:rPr>
            </w:pPr>
          </w:p>
        </w:tc>
      </w:tr>
      <w:tr>
        <w:trPr>
          <w:trHeight w:val="181"/>
        </w:trPr>
        <w:tc>
          <w:tcPr>
            <w:tcW w:w="2420" w:type="dxa"/>
            <w:vAlign w:val="bottom"/>
          </w:tcPr>
          <w:p>
            <w:pPr>
              <w:ind w:left="20"/>
              <w:spacing w:after="0"/>
              <w:rPr>
                <w:sz w:val="20"/>
                <w:szCs w:val="20"/>
                <w:color w:val="auto"/>
              </w:rPr>
            </w:pPr>
            <w:r>
              <w:rPr>
                <w:rFonts w:ascii="Arial" w:cs="Arial" w:eastAsia="Arial" w:hAnsi="Arial"/>
                <w:sz w:val="13"/>
                <w:szCs w:val="13"/>
                <w:color w:val="auto"/>
              </w:rPr>
              <w:t>Exercise of stock options</w:t>
            </w: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661,800</w:t>
            </w:r>
          </w:p>
        </w:tc>
        <w:tc>
          <w:tcPr>
            <w:tcW w:w="100" w:type="dxa"/>
            <w:vAlign w:val="bottom"/>
          </w:tcPr>
          <w:p>
            <w:pPr>
              <w:spacing w:after="0"/>
              <w:rPr>
                <w:sz w:val="15"/>
                <w:szCs w:val="15"/>
                <w:color w:val="auto"/>
              </w:rPr>
            </w:pPr>
          </w:p>
        </w:tc>
        <w:tc>
          <w:tcPr>
            <w:tcW w:w="560" w:type="dxa"/>
            <w:vAlign w:val="bottom"/>
          </w:tcPr>
          <w:p>
            <w:pPr>
              <w:jc w:val="right"/>
              <w:ind w:right="77"/>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5"/>
                <w:szCs w:val="15"/>
                <w:color w:val="auto"/>
              </w:rPr>
            </w:pPr>
          </w:p>
        </w:tc>
        <w:tc>
          <w:tcPr>
            <w:tcW w:w="94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61,988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980" w:type="dxa"/>
            <w:vAlign w:val="bottom"/>
          </w:tcPr>
          <w:p>
            <w:pPr>
              <w:jc w:val="right"/>
              <w:ind w:right="97"/>
              <w:spacing w:after="0"/>
              <w:rPr>
                <w:sz w:val="20"/>
                <w:szCs w:val="20"/>
                <w:color w:val="auto"/>
              </w:rPr>
            </w:pPr>
            <w:r>
              <w:rPr>
                <w:rFonts w:ascii="Arial" w:cs="Arial" w:eastAsia="Arial" w:hAnsi="Arial"/>
                <w:sz w:val="13"/>
                <w:szCs w:val="13"/>
                <w:color w:val="auto"/>
              </w:rPr>
              <w:t>61,995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214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97"/>
              <w:spacing w:after="0"/>
              <w:rPr>
                <w:sz w:val="20"/>
                <w:szCs w:val="20"/>
                <w:color w:val="auto"/>
              </w:rPr>
            </w:pPr>
            <w:r>
              <w:rPr>
                <w:rFonts w:ascii="Arial" w:cs="Arial" w:eastAsia="Arial" w:hAnsi="Arial"/>
                <w:sz w:val="13"/>
                <w:szCs w:val="13"/>
                <w:color w:val="auto"/>
              </w:rPr>
              <w:t>62,209</w:t>
            </w:r>
          </w:p>
        </w:tc>
        <w:tc>
          <w:tcPr>
            <w:tcW w:w="0" w:type="dxa"/>
            <w:vAlign w:val="bottom"/>
          </w:tcPr>
          <w:p>
            <w:pPr>
              <w:spacing w:after="0"/>
              <w:rPr>
                <w:sz w:val="1"/>
                <w:szCs w:val="1"/>
                <w:color w:val="auto"/>
              </w:rPr>
            </w:pPr>
          </w:p>
        </w:tc>
      </w:tr>
      <w:tr>
        <w:trPr>
          <w:trHeight w:val="197"/>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restricted stock</w:t>
            </w:r>
          </w:p>
        </w:tc>
        <w:tc>
          <w:tcPr>
            <w:tcW w:w="9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706,341</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18,565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18,572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653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19,225</w:t>
            </w:r>
          </w:p>
        </w:tc>
        <w:tc>
          <w:tcPr>
            <w:tcW w:w="0" w:type="dxa"/>
            <w:vAlign w:val="bottom"/>
          </w:tcPr>
          <w:p>
            <w:pPr>
              <w:spacing w:after="0"/>
              <w:rPr>
                <w:sz w:val="1"/>
                <w:szCs w:val="1"/>
                <w:color w:val="auto"/>
              </w:rPr>
            </w:pPr>
          </w:p>
        </w:tc>
      </w:tr>
      <w:tr>
        <w:trPr>
          <w:trHeight w:val="181"/>
        </w:trPr>
        <w:tc>
          <w:tcPr>
            <w:tcW w:w="2420" w:type="dxa"/>
            <w:vAlign w:val="bottom"/>
          </w:tcPr>
          <w:p>
            <w:pPr>
              <w:ind w:left="20"/>
              <w:spacing w:after="0"/>
              <w:rPr>
                <w:sz w:val="20"/>
                <w:szCs w:val="20"/>
                <w:color w:val="auto"/>
              </w:rPr>
            </w:pPr>
            <w:r>
              <w:rPr>
                <w:rFonts w:ascii="Arial" w:cs="Arial" w:eastAsia="Arial" w:hAnsi="Arial"/>
                <w:sz w:val="13"/>
                <w:szCs w:val="13"/>
                <w:color w:val="auto"/>
              </w:rPr>
              <w:t>Cancellation of restricted stock</w:t>
            </w: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(13,333)</w:t>
            </w:r>
          </w:p>
        </w:tc>
        <w:tc>
          <w:tcPr>
            <w:tcW w:w="100" w:type="dxa"/>
            <w:vAlign w:val="bottom"/>
          </w:tcPr>
          <w:p>
            <w:pPr>
              <w:spacing w:after="0"/>
              <w:rPr>
                <w:sz w:val="15"/>
                <w:szCs w:val="15"/>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w w:val="88"/>
              </w:rPr>
              <w:t>Shares repurchased by the Company and held</w:t>
            </w: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as treasury shares</w:t>
            </w: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(148,413)</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(17,771)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(17,771)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(17,771)</w:t>
            </w:r>
          </w:p>
        </w:tc>
        <w:tc>
          <w:tcPr>
            <w:tcW w:w="0" w:type="dxa"/>
            <w:vAlign w:val="bottom"/>
          </w:tcPr>
          <w:p>
            <w:pPr>
              <w:spacing w:after="0"/>
              <w:rPr>
                <w:sz w:val="1"/>
                <w:szCs w:val="1"/>
                <w:color w:val="auto"/>
              </w:rPr>
            </w:pPr>
          </w:p>
        </w:tc>
      </w:tr>
      <w:tr>
        <w:trPr>
          <w:trHeight w:val="148"/>
        </w:trPr>
        <w:tc>
          <w:tcPr>
            <w:tcW w:w="2420" w:type="dxa"/>
            <w:vAlign w:val="bottom"/>
          </w:tcPr>
          <w:p>
            <w:pPr>
              <w:ind w:left="20"/>
              <w:spacing w:after="0" w:line="148" w:lineRule="exact"/>
              <w:rPr>
                <w:sz w:val="20"/>
                <w:szCs w:val="20"/>
                <w:color w:val="auto"/>
              </w:rPr>
            </w:pPr>
            <w:r>
              <w:rPr>
                <w:rFonts w:ascii="Arial" w:cs="Arial" w:eastAsia="Arial" w:hAnsi="Arial"/>
                <w:sz w:val="13"/>
                <w:szCs w:val="13"/>
                <w:color w:val="auto"/>
                <w:w w:val="95"/>
              </w:rPr>
              <w:t>Shares of subsidiary repurchased for share</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420" w:type="dxa"/>
            <w:vAlign w:val="bottom"/>
          </w:tcPr>
          <w:p>
            <w:pPr>
              <w:ind w:left="20"/>
              <w:spacing w:after="0"/>
              <w:rPr>
                <w:sz w:val="20"/>
                <w:szCs w:val="20"/>
                <w:color w:val="auto"/>
              </w:rPr>
            </w:pPr>
            <w:r>
              <w:rPr>
                <w:rFonts w:ascii="Arial" w:cs="Arial" w:eastAsia="Arial" w:hAnsi="Arial"/>
                <w:sz w:val="13"/>
                <w:szCs w:val="13"/>
                <w:color w:val="auto"/>
              </w:rPr>
              <w:t>award plan</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(283)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(283)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(109)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(392)</w:t>
            </w:r>
          </w:p>
        </w:tc>
        <w:tc>
          <w:tcPr>
            <w:tcW w:w="0" w:type="dxa"/>
            <w:vAlign w:val="bottom"/>
          </w:tcPr>
          <w:p>
            <w:pPr>
              <w:spacing w:after="0"/>
              <w:rPr>
                <w:sz w:val="1"/>
                <w:szCs w:val="1"/>
                <w:color w:val="auto"/>
              </w:rPr>
            </w:pPr>
          </w:p>
        </w:tc>
      </w:tr>
      <w:tr>
        <w:trPr>
          <w:trHeight w:val="130"/>
        </w:trPr>
        <w:tc>
          <w:tcPr>
            <w:tcW w:w="24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w w:val="89"/>
              </w:rPr>
              <w:t>Sale of ownership interest in subsidiary, net of</w:t>
            </w:r>
          </w:p>
        </w:tc>
        <w:tc>
          <w:tcPr>
            <w:tcW w:w="10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vMerge w:val="restart"/>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149,259</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149,259</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ind w:right="77"/>
              <w:spacing w:after="0"/>
              <w:rPr>
                <w:sz w:val="20"/>
                <w:szCs w:val="20"/>
                <w:color w:val="auto"/>
              </w:rPr>
            </w:pPr>
            <w:r>
              <w:rPr>
                <w:rFonts w:ascii="Arial" w:cs="Arial" w:eastAsia="Arial" w:hAnsi="Arial"/>
                <w:sz w:val="13"/>
                <w:szCs w:val="13"/>
                <w:color w:val="auto"/>
              </w:rPr>
              <w:t>13,238</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162,497</w:t>
            </w:r>
          </w:p>
        </w:tc>
        <w:tc>
          <w:tcPr>
            <w:tcW w:w="0" w:type="dxa"/>
            <w:vAlign w:val="bottom"/>
          </w:tcPr>
          <w:p>
            <w:pPr>
              <w:spacing w:after="0"/>
              <w:rPr>
                <w:sz w:val="1"/>
                <w:szCs w:val="1"/>
                <w:color w:val="auto"/>
              </w:rPr>
            </w:pPr>
          </w:p>
        </w:tc>
      </w:tr>
      <w:tr>
        <w:trPr>
          <w:trHeight w:val="176"/>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tax of $17.8 million</w:t>
            </w:r>
          </w:p>
        </w:tc>
        <w:tc>
          <w:tcPr>
            <w:tcW w:w="1040" w:type="dxa"/>
            <w:vAlign w:val="bottom"/>
            <w:gridSpan w:val="2"/>
            <w:vMerge w:val="continue"/>
            <w:shd w:val="clear" w:color="auto" w:fill="CCEEFF"/>
          </w:tcPr>
          <w:p>
            <w:pPr>
              <w:spacing w:after="0"/>
              <w:rPr>
                <w:sz w:val="15"/>
                <w:szCs w:val="15"/>
                <w:color w:val="auto"/>
              </w:rPr>
            </w:pPr>
          </w:p>
        </w:tc>
        <w:tc>
          <w:tcPr>
            <w:tcW w:w="660" w:type="dxa"/>
            <w:vAlign w:val="bottom"/>
            <w:gridSpan w:val="2"/>
            <w:vMerge w:val="continue"/>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420" w:type="dxa"/>
            <w:vAlign w:val="bottom"/>
          </w:tcPr>
          <w:p>
            <w:pPr>
              <w:ind w:left="20"/>
              <w:spacing w:after="0"/>
              <w:rPr>
                <w:sz w:val="20"/>
                <w:szCs w:val="20"/>
                <w:color w:val="auto"/>
              </w:rPr>
            </w:pPr>
            <w:r>
              <w:rPr>
                <w:rFonts w:ascii="Arial" w:cs="Arial" w:eastAsia="Arial" w:hAnsi="Arial"/>
                <w:sz w:val="13"/>
                <w:szCs w:val="13"/>
                <w:color w:val="auto"/>
              </w:rPr>
              <w:t>Cash dividends declared</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w w:val="93"/>
              </w:rPr>
              <w:t>(204,515)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(204,515)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(116,568)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(321,083)</w:t>
            </w:r>
          </w:p>
        </w:tc>
        <w:tc>
          <w:tcPr>
            <w:tcW w:w="0" w:type="dxa"/>
            <w:vAlign w:val="bottom"/>
          </w:tcPr>
          <w:p>
            <w:pPr>
              <w:spacing w:after="0"/>
              <w:rPr>
                <w:sz w:val="1"/>
                <w:szCs w:val="1"/>
                <w:color w:val="auto"/>
              </w:rPr>
            </w:pPr>
          </w:p>
        </w:tc>
      </w:tr>
      <w:tr>
        <w:trPr>
          <w:trHeight w:val="197"/>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Distribution to noncontrolling interest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(11,436)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(11,436)</w:t>
            </w:r>
          </w:p>
        </w:tc>
        <w:tc>
          <w:tcPr>
            <w:tcW w:w="0" w:type="dxa"/>
            <w:vAlign w:val="bottom"/>
          </w:tcPr>
          <w:p>
            <w:pPr>
              <w:spacing w:after="0"/>
              <w:rPr>
                <w:sz w:val="1"/>
                <w:szCs w:val="1"/>
                <w:color w:val="auto"/>
              </w:rPr>
            </w:pPr>
          </w:p>
        </w:tc>
      </w:tr>
      <w:tr>
        <w:trPr>
          <w:trHeight w:val="183"/>
        </w:trPr>
        <w:tc>
          <w:tcPr>
            <w:tcW w:w="242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38,677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980" w:type="dxa"/>
            <w:vAlign w:val="bottom"/>
          </w:tcPr>
          <w:p>
            <w:pPr>
              <w:jc w:val="right"/>
              <w:ind w:right="97"/>
              <w:spacing w:after="0"/>
              <w:rPr>
                <w:sz w:val="20"/>
                <w:szCs w:val="20"/>
                <w:color w:val="auto"/>
              </w:rPr>
            </w:pPr>
            <w:r>
              <w:rPr>
                <w:rFonts w:ascii="Arial" w:cs="Arial" w:eastAsia="Arial" w:hAnsi="Arial"/>
                <w:sz w:val="13"/>
                <w:szCs w:val="13"/>
                <w:color w:val="auto"/>
              </w:rPr>
              <w:t>38,677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3,573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97"/>
              <w:spacing w:after="0"/>
              <w:rPr>
                <w:sz w:val="20"/>
                <w:szCs w:val="20"/>
                <w:color w:val="auto"/>
              </w:rPr>
            </w:pPr>
            <w:r>
              <w:rPr>
                <w:rFonts w:ascii="Arial" w:cs="Arial" w:eastAsia="Arial" w:hAnsi="Arial"/>
                <w:sz w:val="13"/>
                <w:szCs w:val="13"/>
                <w:color w:val="auto"/>
              </w:rPr>
              <w:t>42,250</w:t>
            </w:r>
          </w:p>
        </w:tc>
        <w:tc>
          <w:tcPr>
            <w:tcW w:w="0" w:type="dxa"/>
            <w:vAlign w:val="bottom"/>
          </w:tcPr>
          <w:p>
            <w:pPr>
              <w:spacing w:after="0"/>
              <w:rPr>
                <w:sz w:val="1"/>
                <w:szCs w:val="1"/>
                <w:color w:val="auto"/>
              </w:rPr>
            </w:pPr>
          </w:p>
        </w:tc>
      </w:tr>
      <w:tr>
        <w:trPr>
          <w:trHeight w:val="189"/>
        </w:trPr>
        <w:tc>
          <w:tcPr>
            <w:tcW w:w="2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Balances, December 31, 2017</w:t>
            </w:r>
          </w:p>
        </w:tc>
        <w:tc>
          <w:tcPr>
            <w:tcW w:w="94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103,005,866</w:t>
            </w:r>
          </w:p>
        </w:tc>
        <w:tc>
          <w:tcPr>
            <w:tcW w:w="10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1,164</w:t>
            </w:r>
          </w:p>
        </w:tc>
        <w:tc>
          <w:tcPr>
            <w:tcW w:w="10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(1,184,468)</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b w:val="1"/>
                <w:bCs w:val="1"/>
                <w:color w:val="auto"/>
              </w:rPr>
              <w:t>1,497,928</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(1,845)</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635,067</w:t>
            </w: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b w:val="1"/>
                <w:bCs w:val="1"/>
                <w:color w:val="auto"/>
              </w:rPr>
              <w:t>947,846</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130,504</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b w:val="1"/>
                <w:bCs w:val="1"/>
                <w:color w:val="auto"/>
              </w:rPr>
              <w:t>1,078,350</w:t>
            </w:r>
          </w:p>
        </w:tc>
        <w:tc>
          <w:tcPr>
            <w:tcW w:w="0" w:type="dxa"/>
            <w:vAlign w:val="bottom"/>
          </w:tcPr>
          <w:p>
            <w:pPr>
              <w:spacing w:after="0"/>
              <w:rPr>
                <w:sz w:val="1"/>
                <w:szCs w:val="1"/>
                <w:color w:val="auto"/>
              </w:rPr>
            </w:pPr>
          </w:p>
        </w:tc>
      </w:tr>
      <w:tr>
        <w:trPr>
          <w:trHeight w:val="122"/>
        </w:trPr>
        <w:tc>
          <w:tcPr>
            <w:tcW w:w="2420" w:type="dxa"/>
            <w:vAlign w:val="bottom"/>
          </w:tcPr>
          <w:p>
            <w:pPr>
              <w:ind w:left="20"/>
              <w:spacing w:after="0" w:line="122" w:lineRule="exact"/>
              <w:rPr>
                <w:sz w:val="20"/>
                <w:szCs w:val="20"/>
                <w:color w:val="auto"/>
              </w:rPr>
            </w:pPr>
            <w:r>
              <w:rPr>
                <w:rFonts w:ascii="Arial" w:cs="Arial" w:eastAsia="Arial" w:hAnsi="Arial"/>
                <w:sz w:val="13"/>
                <w:szCs w:val="13"/>
                <w:color w:val="auto"/>
                <w:w w:val="95"/>
              </w:rPr>
              <w:t>Cumulative effect, change in accounting for</w:t>
            </w:r>
          </w:p>
        </w:tc>
        <w:tc>
          <w:tcPr>
            <w:tcW w:w="104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vMerge w:val="restart"/>
          </w:tcPr>
          <w:p>
            <w:pPr>
              <w:ind w:left="5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86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980" w:type="dxa"/>
            <w:vAlign w:val="bottom"/>
            <w:vMerge w:val="restart"/>
          </w:tcPr>
          <w:p>
            <w:pPr>
              <w:jc w:val="right"/>
              <w:ind w:right="57"/>
              <w:spacing w:after="0"/>
              <w:rPr>
                <w:sz w:val="20"/>
                <w:szCs w:val="20"/>
                <w:color w:val="auto"/>
              </w:rPr>
            </w:pPr>
            <w:r>
              <w:rPr>
                <w:rFonts w:ascii="Arial" w:cs="Arial" w:eastAsia="Arial" w:hAnsi="Arial"/>
                <w:sz w:val="13"/>
                <w:szCs w:val="13"/>
                <w:color w:val="auto"/>
              </w:rPr>
              <w:t>(9,211)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ind w:right="77"/>
              <w:spacing w:after="0"/>
              <w:rPr>
                <w:sz w:val="20"/>
                <w:szCs w:val="20"/>
                <w:color w:val="auto"/>
              </w:rPr>
            </w:pPr>
            <w:r>
              <w:rPr>
                <w:rFonts w:ascii="Arial" w:cs="Arial" w:eastAsia="Arial" w:hAnsi="Arial"/>
                <w:sz w:val="13"/>
                <w:szCs w:val="13"/>
                <w:color w:val="auto"/>
              </w:rPr>
              <w:t>9,211</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860" w:type="dxa"/>
            <w:vAlign w:val="bottom"/>
            <w:vMerge w:val="restart"/>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2420" w:type="dxa"/>
            <w:vAlign w:val="bottom"/>
          </w:tcPr>
          <w:p>
            <w:pPr>
              <w:ind w:left="20"/>
              <w:spacing w:after="0"/>
              <w:rPr>
                <w:sz w:val="20"/>
                <w:szCs w:val="20"/>
                <w:color w:val="auto"/>
              </w:rPr>
            </w:pPr>
            <w:r>
              <w:rPr>
                <w:rFonts w:ascii="Arial" w:cs="Arial" w:eastAsia="Arial" w:hAnsi="Arial"/>
                <w:sz w:val="13"/>
                <w:szCs w:val="13"/>
                <w:color w:val="auto"/>
              </w:rPr>
              <w:t>credit risk, net of tax of $2,735</w:t>
            </w:r>
          </w:p>
        </w:tc>
        <w:tc>
          <w:tcPr>
            <w:tcW w:w="104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572,430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572,430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230,654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803,084</w:t>
            </w:r>
          </w:p>
        </w:tc>
        <w:tc>
          <w:tcPr>
            <w:tcW w:w="0" w:type="dxa"/>
            <w:vAlign w:val="bottom"/>
          </w:tcPr>
          <w:p>
            <w:pPr>
              <w:spacing w:after="0"/>
              <w:rPr>
                <w:sz w:val="1"/>
                <w:szCs w:val="1"/>
                <w:color w:val="auto"/>
              </w:rPr>
            </w:pPr>
          </w:p>
        </w:tc>
      </w:tr>
      <w:tr>
        <w:trPr>
          <w:trHeight w:val="181"/>
        </w:trPr>
        <w:tc>
          <w:tcPr>
            <w:tcW w:w="2420" w:type="dxa"/>
            <w:vAlign w:val="bottom"/>
          </w:tcPr>
          <w:p>
            <w:pPr>
              <w:ind w:left="20"/>
              <w:spacing w:after="0"/>
              <w:rPr>
                <w:sz w:val="20"/>
                <w:szCs w:val="20"/>
                <w:color w:val="auto"/>
              </w:rPr>
            </w:pPr>
            <w:r>
              <w:rPr>
                <w:rFonts w:ascii="Arial" w:cs="Arial" w:eastAsia="Arial" w:hAnsi="Arial"/>
                <w:sz w:val="13"/>
                <w:szCs w:val="13"/>
                <w:color w:val="auto"/>
              </w:rPr>
              <w:t>Currency translation adjustment</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(1,397)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(1,397)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(539)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(1,936)</w:t>
            </w:r>
          </w:p>
        </w:tc>
        <w:tc>
          <w:tcPr>
            <w:tcW w:w="0" w:type="dxa"/>
            <w:vAlign w:val="bottom"/>
          </w:tcPr>
          <w:p>
            <w:pPr>
              <w:spacing w:after="0"/>
              <w:rPr>
                <w:sz w:val="1"/>
                <w:szCs w:val="1"/>
                <w:color w:val="auto"/>
              </w:rPr>
            </w:pPr>
          </w:p>
        </w:tc>
      </w:tr>
      <w:tr>
        <w:trPr>
          <w:trHeight w:val="156"/>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w w:val="93"/>
              </w:rPr>
              <w:t>Change in net unrealized loss on investment</w:t>
            </w: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securities</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1,292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1,292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1,292</w:t>
            </w:r>
          </w:p>
        </w:tc>
        <w:tc>
          <w:tcPr>
            <w:tcW w:w="0" w:type="dxa"/>
            <w:vAlign w:val="bottom"/>
          </w:tcPr>
          <w:p>
            <w:pPr>
              <w:spacing w:after="0"/>
              <w:rPr>
                <w:sz w:val="1"/>
                <w:szCs w:val="1"/>
                <w:color w:val="auto"/>
              </w:rPr>
            </w:pPr>
          </w:p>
        </w:tc>
      </w:tr>
      <w:tr>
        <w:trPr>
          <w:trHeight w:val="181"/>
        </w:trPr>
        <w:tc>
          <w:tcPr>
            <w:tcW w:w="2420" w:type="dxa"/>
            <w:vAlign w:val="bottom"/>
          </w:tcPr>
          <w:p>
            <w:pPr>
              <w:ind w:left="20"/>
              <w:spacing w:after="0"/>
              <w:rPr>
                <w:sz w:val="20"/>
                <w:szCs w:val="20"/>
                <w:color w:val="auto"/>
              </w:rPr>
            </w:pPr>
            <w:r>
              <w:rPr>
                <w:rFonts w:ascii="Arial" w:cs="Arial" w:eastAsia="Arial" w:hAnsi="Arial"/>
                <w:sz w:val="13"/>
                <w:szCs w:val="13"/>
                <w:color w:val="auto"/>
              </w:rPr>
              <w:t>Redemption Note settlement</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9,211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980" w:type="dxa"/>
            <w:vAlign w:val="bottom"/>
          </w:tcPr>
          <w:p>
            <w:pPr>
              <w:jc w:val="right"/>
              <w:ind w:right="97"/>
              <w:spacing w:after="0"/>
              <w:rPr>
                <w:sz w:val="20"/>
                <w:szCs w:val="20"/>
                <w:color w:val="auto"/>
              </w:rPr>
            </w:pPr>
            <w:r>
              <w:rPr>
                <w:rFonts w:ascii="Arial" w:cs="Arial" w:eastAsia="Arial" w:hAnsi="Arial"/>
                <w:sz w:val="13"/>
                <w:szCs w:val="13"/>
                <w:color w:val="auto"/>
              </w:rPr>
              <w:t>9,211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60" w:type="dxa"/>
            <w:vAlign w:val="bottom"/>
          </w:tcPr>
          <w:p>
            <w:pPr>
              <w:jc w:val="right"/>
              <w:ind w:right="97"/>
              <w:spacing w:after="0"/>
              <w:rPr>
                <w:sz w:val="20"/>
                <w:szCs w:val="20"/>
                <w:color w:val="auto"/>
              </w:rPr>
            </w:pPr>
            <w:r>
              <w:rPr>
                <w:rFonts w:ascii="Arial" w:cs="Arial" w:eastAsia="Arial" w:hAnsi="Arial"/>
                <w:sz w:val="13"/>
                <w:szCs w:val="13"/>
                <w:color w:val="auto"/>
              </w:rPr>
              <w:t>9,211</w:t>
            </w:r>
          </w:p>
        </w:tc>
        <w:tc>
          <w:tcPr>
            <w:tcW w:w="0" w:type="dxa"/>
            <w:vAlign w:val="bottom"/>
          </w:tcPr>
          <w:p>
            <w:pPr>
              <w:spacing w:after="0"/>
              <w:rPr>
                <w:sz w:val="1"/>
                <w:szCs w:val="1"/>
                <w:color w:val="auto"/>
              </w:rPr>
            </w:pPr>
          </w:p>
        </w:tc>
      </w:tr>
      <w:tr>
        <w:trPr>
          <w:trHeight w:val="197"/>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Exercise of stock options</w:t>
            </w:r>
          </w:p>
        </w:tc>
        <w:tc>
          <w:tcPr>
            <w:tcW w:w="9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261,470</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21,463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21,465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506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21,971</w:t>
            </w:r>
          </w:p>
        </w:tc>
        <w:tc>
          <w:tcPr>
            <w:tcW w:w="0" w:type="dxa"/>
            <w:vAlign w:val="bottom"/>
          </w:tcPr>
          <w:p>
            <w:pPr>
              <w:spacing w:after="0"/>
              <w:rPr>
                <w:sz w:val="1"/>
                <w:szCs w:val="1"/>
                <w:color w:val="auto"/>
              </w:rPr>
            </w:pPr>
          </w:p>
        </w:tc>
      </w:tr>
      <w:tr>
        <w:trPr>
          <w:trHeight w:val="181"/>
        </w:trPr>
        <w:tc>
          <w:tcPr>
            <w:tcW w:w="2420" w:type="dxa"/>
            <w:vAlign w:val="bottom"/>
          </w:tcPr>
          <w:p>
            <w:pPr>
              <w:ind w:left="20"/>
              <w:spacing w:after="0"/>
              <w:rPr>
                <w:sz w:val="20"/>
                <w:szCs w:val="20"/>
                <w:color w:val="auto"/>
              </w:rPr>
            </w:pPr>
            <w:r>
              <w:rPr>
                <w:rFonts w:ascii="Arial" w:cs="Arial" w:eastAsia="Arial" w:hAnsi="Arial"/>
                <w:sz w:val="13"/>
                <w:szCs w:val="13"/>
                <w:color w:val="auto"/>
              </w:rPr>
              <w:t>Issuance of common stock</w:t>
            </w: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5,300,000</w:t>
            </w:r>
          </w:p>
        </w:tc>
        <w:tc>
          <w:tcPr>
            <w:tcW w:w="100" w:type="dxa"/>
            <w:vAlign w:val="bottom"/>
          </w:tcPr>
          <w:p>
            <w:pPr>
              <w:spacing w:after="0"/>
              <w:rPr>
                <w:sz w:val="15"/>
                <w:szCs w:val="15"/>
                <w:color w:val="auto"/>
              </w:rPr>
            </w:pPr>
          </w:p>
        </w:tc>
        <w:tc>
          <w:tcPr>
            <w:tcW w:w="560" w:type="dxa"/>
            <w:vAlign w:val="bottom"/>
          </w:tcPr>
          <w:p>
            <w:pPr>
              <w:jc w:val="right"/>
              <w:ind w:right="77"/>
              <w:spacing w:after="0"/>
              <w:rPr>
                <w:sz w:val="20"/>
                <w:szCs w:val="20"/>
                <w:color w:val="auto"/>
              </w:rPr>
            </w:pPr>
            <w:r>
              <w:rPr>
                <w:rFonts w:ascii="Arial" w:cs="Arial" w:eastAsia="Arial" w:hAnsi="Arial"/>
                <w:sz w:val="13"/>
                <w:szCs w:val="13"/>
                <w:color w:val="auto"/>
              </w:rPr>
              <w:t>53</w:t>
            </w:r>
          </w:p>
        </w:tc>
        <w:tc>
          <w:tcPr>
            <w:tcW w:w="100" w:type="dxa"/>
            <w:vAlign w:val="bottom"/>
          </w:tcPr>
          <w:p>
            <w:pPr>
              <w:spacing w:after="0"/>
              <w:rPr>
                <w:sz w:val="15"/>
                <w:szCs w:val="15"/>
                <w:color w:val="auto"/>
              </w:rPr>
            </w:pPr>
          </w:p>
        </w:tc>
        <w:tc>
          <w:tcPr>
            <w:tcW w:w="94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915,187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980" w:type="dxa"/>
            <w:vAlign w:val="bottom"/>
          </w:tcPr>
          <w:p>
            <w:pPr>
              <w:jc w:val="right"/>
              <w:ind w:right="97"/>
              <w:spacing w:after="0"/>
              <w:rPr>
                <w:sz w:val="20"/>
                <w:szCs w:val="20"/>
                <w:color w:val="auto"/>
              </w:rPr>
            </w:pPr>
            <w:r>
              <w:rPr>
                <w:rFonts w:ascii="Arial" w:cs="Arial" w:eastAsia="Arial" w:hAnsi="Arial"/>
                <w:sz w:val="13"/>
                <w:szCs w:val="13"/>
                <w:color w:val="auto"/>
              </w:rPr>
              <w:t>915,240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60" w:type="dxa"/>
            <w:vAlign w:val="bottom"/>
          </w:tcPr>
          <w:p>
            <w:pPr>
              <w:jc w:val="right"/>
              <w:ind w:right="97"/>
              <w:spacing w:after="0"/>
              <w:rPr>
                <w:sz w:val="20"/>
                <w:szCs w:val="20"/>
                <w:color w:val="auto"/>
              </w:rPr>
            </w:pPr>
            <w:r>
              <w:rPr>
                <w:rFonts w:ascii="Arial" w:cs="Arial" w:eastAsia="Arial" w:hAnsi="Arial"/>
                <w:sz w:val="13"/>
                <w:szCs w:val="13"/>
                <w:color w:val="auto"/>
              </w:rPr>
              <w:t>915,240</w:t>
            </w:r>
          </w:p>
        </w:tc>
        <w:tc>
          <w:tcPr>
            <w:tcW w:w="0" w:type="dxa"/>
            <w:vAlign w:val="bottom"/>
          </w:tcPr>
          <w:p>
            <w:pPr>
              <w:spacing w:after="0"/>
              <w:rPr>
                <w:sz w:val="1"/>
                <w:szCs w:val="1"/>
                <w:color w:val="auto"/>
              </w:rPr>
            </w:pPr>
          </w:p>
        </w:tc>
      </w:tr>
      <w:tr>
        <w:trPr>
          <w:trHeight w:val="197"/>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restricted stock</w:t>
            </w:r>
          </w:p>
        </w:tc>
        <w:tc>
          <w:tcPr>
            <w:tcW w:w="9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288,270</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1,295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1,298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501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1,799</w:t>
            </w:r>
          </w:p>
        </w:tc>
        <w:tc>
          <w:tcPr>
            <w:tcW w:w="0" w:type="dxa"/>
            <w:vAlign w:val="bottom"/>
          </w:tcPr>
          <w:p>
            <w:pPr>
              <w:spacing w:after="0"/>
              <w:rPr>
                <w:sz w:val="1"/>
                <w:szCs w:val="1"/>
                <w:color w:val="auto"/>
              </w:rPr>
            </w:pPr>
          </w:p>
        </w:tc>
      </w:tr>
      <w:tr>
        <w:trPr>
          <w:trHeight w:val="181"/>
        </w:trPr>
        <w:tc>
          <w:tcPr>
            <w:tcW w:w="2420" w:type="dxa"/>
            <w:vAlign w:val="bottom"/>
          </w:tcPr>
          <w:p>
            <w:pPr>
              <w:ind w:left="20"/>
              <w:spacing w:after="0"/>
              <w:rPr>
                <w:sz w:val="20"/>
                <w:szCs w:val="20"/>
                <w:color w:val="auto"/>
              </w:rPr>
            </w:pPr>
            <w:r>
              <w:rPr>
                <w:rFonts w:ascii="Arial" w:cs="Arial" w:eastAsia="Arial" w:hAnsi="Arial"/>
                <w:sz w:val="13"/>
                <w:szCs w:val="13"/>
                <w:color w:val="auto"/>
              </w:rPr>
              <w:t>Cancellation of restricted stock</w:t>
            </w: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(125,908)</w:t>
            </w:r>
          </w:p>
        </w:tc>
        <w:tc>
          <w:tcPr>
            <w:tcW w:w="100" w:type="dxa"/>
            <w:vAlign w:val="bottom"/>
          </w:tcPr>
          <w:p>
            <w:pPr>
              <w:spacing w:after="0"/>
              <w:rPr>
                <w:sz w:val="15"/>
                <w:szCs w:val="15"/>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5"/>
                <w:szCs w:val="15"/>
                <w:color w:val="auto"/>
              </w:rPr>
            </w:pPr>
          </w:p>
        </w:tc>
        <w:tc>
          <w:tcPr>
            <w:tcW w:w="94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w w:val="88"/>
              </w:rPr>
              <w:t>Shares repurchased by the Company and held</w:t>
            </w: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as treasury shares</w:t>
            </w: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(1,497,672)</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(159,544)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(159,544)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(159,544)</w:t>
            </w:r>
          </w:p>
        </w:tc>
        <w:tc>
          <w:tcPr>
            <w:tcW w:w="0" w:type="dxa"/>
            <w:vAlign w:val="bottom"/>
          </w:tcPr>
          <w:p>
            <w:pPr>
              <w:spacing w:after="0"/>
              <w:rPr>
                <w:sz w:val="1"/>
                <w:szCs w:val="1"/>
                <w:color w:val="auto"/>
              </w:rPr>
            </w:pPr>
          </w:p>
        </w:tc>
      </w:tr>
      <w:tr>
        <w:trPr>
          <w:trHeight w:val="148"/>
        </w:trPr>
        <w:tc>
          <w:tcPr>
            <w:tcW w:w="2420" w:type="dxa"/>
            <w:vAlign w:val="bottom"/>
          </w:tcPr>
          <w:p>
            <w:pPr>
              <w:ind w:left="20"/>
              <w:spacing w:after="0" w:line="148" w:lineRule="exact"/>
              <w:rPr>
                <w:sz w:val="20"/>
                <w:szCs w:val="20"/>
                <w:color w:val="auto"/>
              </w:rPr>
            </w:pPr>
            <w:r>
              <w:rPr>
                <w:rFonts w:ascii="Arial" w:cs="Arial" w:eastAsia="Arial" w:hAnsi="Arial"/>
                <w:sz w:val="13"/>
                <w:szCs w:val="13"/>
                <w:color w:val="auto"/>
                <w:w w:val="95"/>
              </w:rPr>
              <w:t>Shares of subsidiary repurchased for share</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420" w:type="dxa"/>
            <w:vAlign w:val="bottom"/>
          </w:tcPr>
          <w:p>
            <w:pPr>
              <w:ind w:left="20"/>
              <w:spacing w:after="0"/>
              <w:rPr>
                <w:sz w:val="20"/>
                <w:szCs w:val="20"/>
                <w:color w:val="auto"/>
              </w:rPr>
            </w:pPr>
            <w:r>
              <w:rPr>
                <w:rFonts w:ascii="Arial" w:cs="Arial" w:eastAsia="Arial" w:hAnsi="Arial"/>
                <w:sz w:val="13"/>
                <w:szCs w:val="13"/>
                <w:color w:val="auto"/>
              </w:rPr>
              <w:t>award plan</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(4,497)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(4,497)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(1,735)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(6,232)</w:t>
            </w:r>
          </w:p>
        </w:tc>
        <w:tc>
          <w:tcPr>
            <w:tcW w:w="0" w:type="dxa"/>
            <w:vAlign w:val="bottom"/>
          </w:tcPr>
          <w:p>
            <w:pPr>
              <w:spacing w:after="0"/>
              <w:rPr>
                <w:sz w:val="1"/>
                <w:szCs w:val="1"/>
                <w:color w:val="auto"/>
              </w:rPr>
            </w:pPr>
          </w:p>
        </w:tc>
      </w:tr>
      <w:tr>
        <w:trPr>
          <w:trHeight w:val="197"/>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dividends declared</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93"/>
              </w:rPr>
              <w:t>(294,923)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(294,923)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(276,528)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(571,451)</w:t>
            </w:r>
          </w:p>
        </w:tc>
        <w:tc>
          <w:tcPr>
            <w:tcW w:w="0" w:type="dxa"/>
            <w:vAlign w:val="bottom"/>
          </w:tcPr>
          <w:p>
            <w:pPr>
              <w:spacing w:after="0"/>
              <w:rPr>
                <w:sz w:val="1"/>
                <w:szCs w:val="1"/>
                <w:color w:val="auto"/>
              </w:rPr>
            </w:pPr>
          </w:p>
        </w:tc>
      </w:tr>
      <w:tr>
        <w:trPr>
          <w:trHeight w:val="181"/>
        </w:trPr>
        <w:tc>
          <w:tcPr>
            <w:tcW w:w="2420" w:type="dxa"/>
            <w:vAlign w:val="bottom"/>
          </w:tcPr>
          <w:p>
            <w:pPr>
              <w:ind w:left="20"/>
              <w:spacing w:after="0"/>
              <w:rPr>
                <w:sz w:val="20"/>
                <w:szCs w:val="20"/>
                <w:color w:val="auto"/>
              </w:rPr>
            </w:pPr>
            <w:r>
              <w:rPr>
                <w:rFonts w:ascii="Arial" w:cs="Arial" w:eastAsia="Arial" w:hAnsi="Arial"/>
                <w:sz w:val="13"/>
                <w:szCs w:val="13"/>
                <w:color w:val="auto"/>
              </w:rPr>
              <w:t>Distribution to noncontrolling interest</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(305,372)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(305,372)</w:t>
            </w:r>
          </w:p>
        </w:tc>
        <w:tc>
          <w:tcPr>
            <w:tcW w:w="0" w:type="dxa"/>
            <w:vAlign w:val="bottom"/>
          </w:tcPr>
          <w:p>
            <w:pPr>
              <w:spacing w:after="0"/>
              <w:rPr>
                <w:sz w:val="1"/>
                <w:szCs w:val="1"/>
                <w:color w:val="auto"/>
              </w:rPr>
            </w:pPr>
          </w:p>
        </w:tc>
      </w:tr>
      <w:tr>
        <w:trPr>
          <w:trHeight w:val="197"/>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25,702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25,702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2,675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28,377</w:t>
            </w:r>
          </w:p>
        </w:tc>
        <w:tc>
          <w:tcPr>
            <w:tcW w:w="0" w:type="dxa"/>
            <w:vAlign w:val="bottom"/>
          </w:tcPr>
          <w:p>
            <w:pPr>
              <w:spacing w:after="0"/>
              <w:rPr>
                <w:sz w:val="1"/>
                <w:szCs w:val="1"/>
                <w:color w:val="auto"/>
              </w:rPr>
            </w:pPr>
          </w:p>
        </w:tc>
      </w:tr>
      <w:tr>
        <w:trPr>
          <w:trHeight w:val="175"/>
        </w:trPr>
        <w:tc>
          <w:tcPr>
            <w:tcW w:w="2420" w:type="dxa"/>
            <w:vAlign w:val="bottom"/>
          </w:tcPr>
          <w:p>
            <w:pPr>
              <w:ind w:left="20"/>
              <w:spacing w:after="0"/>
              <w:rPr>
                <w:sz w:val="20"/>
                <w:szCs w:val="20"/>
                <w:color w:val="auto"/>
              </w:rPr>
            </w:pPr>
            <w:r>
              <w:rPr>
                <w:rFonts w:ascii="Arial" w:cs="Arial" w:eastAsia="Arial" w:hAnsi="Arial"/>
                <w:sz w:val="13"/>
                <w:szCs w:val="13"/>
                <w:b w:val="1"/>
                <w:bCs w:val="1"/>
                <w:color w:val="auto"/>
              </w:rPr>
              <w:t>Balances, December 31, 2018</w:t>
            </w:r>
          </w:p>
        </w:tc>
        <w:tc>
          <w:tcPr>
            <w:tcW w:w="94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107,232,026</w:t>
            </w:r>
          </w:p>
        </w:tc>
        <w:tc>
          <w:tcPr>
            <w:tcW w:w="100" w:type="dxa"/>
            <w:vAlign w:val="bottom"/>
          </w:tcPr>
          <w:p>
            <w:pPr>
              <w:spacing w:after="0"/>
              <w:rPr>
                <w:sz w:val="15"/>
                <w:szCs w:val="15"/>
                <w:color w:val="auto"/>
              </w:rPr>
            </w:pPr>
          </w:p>
        </w:tc>
        <w:tc>
          <w:tcPr>
            <w:tcW w:w="56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1,221</w:t>
            </w:r>
          </w:p>
        </w:tc>
        <w:tc>
          <w:tcPr>
            <w:tcW w:w="100" w:type="dxa"/>
            <w:vAlign w:val="bottom"/>
          </w:tcPr>
          <w:p>
            <w:pPr>
              <w:spacing w:after="0"/>
              <w:rPr>
                <w:sz w:val="15"/>
                <w:szCs w:val="15"/>
                <w:color w:val="auto"/>
              </w:rPr>
            </w:pPr>
          </w:p>
        </w:tc>
        <w:tc>
          <w:tcPr>
            <w:tcW w:w="84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(1,344,012)</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2,457,079</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(1,950)</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921,785</w:t>
            </w: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2,034,123</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(219,334)</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1,814,789</w:t>
            </w:r>
          </w:p>
        </w:tc>
        <w:tc>
          <w:tcPr>
            <w:tcW w:w="0" w:type="dxa"/>
            <w:vAlign w:val="bottom"/>
          </w:tcPr>
          <w:p>
            <w:pPr>
              <w:spacing w:after="0"/>
              <w:rPr>
                <w:sz w:val="1"/>
                <w:szCs w:val="1"/>
                <w:color w:val="auto"/>
              </w:rPr>
            </w:pPr>
          </w:p>
        </w:tc>
      </w:tr>
      <w:tr>
        <w:trPr>
          <w:trHeight w:val="197"/>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122,985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122,985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188,393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311,378</w:t>
            </w:r>
          </w:p>
        </w:tc>
        <w:tc>
          <w:tcPr>
            <w:tcW w:w="0" w:type="dxa"/>
            <w:vAlign w:val="bottom"/>
          </w:tcPr>
          <w:p>
            <w:pPr>
              <w:spacing w:after="0"/>
              <w:rPr>
                <w:sz w:val="1"/>
                <w:szCs w:val="1"/>
                <w:color w:val="auto"/>
              </w:rPr>
            </w:pPr>
          </w:p>
        </w:tc>
      </w:tr>
      <w:tr>
        <w:trPr>
          <w:trHeight w:val="181"/>
        </w:trPr>
        <w:tc>
          <w:tcPr>
            <w:tcW w:w="2420" w:type="dxa"/>
            <w:vAlign w:val="bottom"/>
          </w:tcPr>
          <w:p>
            <w:pPr>
              <w:ind w:left="20"/>
              <w:spacing w:after="0"/>
              <w:rPr>
                <w:sz w:val="20"/>
                <w:szCs w:val="20"/>
                <w:color w:val="auto"/>
              </w:rPr>
            </w:pPr>
            <w:r>
              <w:rPr>
                <w:rFonts w:ascii="Arial" w:cs="Arial" w:eastAsia="Arial" w:hAnsi="Arial"/>
                <w:sz w:val="13"/>
                <w:szCs w:val="13"/>
                <w:color w:val="auto"/>
              </w:rPr>
              <w:t>Currency translation adjustment</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271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980" w:type="dxa"/>
            <w:vAlign w:val="bottom"/>
          </w:tcPr>
          <w:p>
            <w:pPr>
              <w:jc w:val="right"/>
              <w:ind w:right="97"/>
              <w:spacing w:after="0"/>
              <w:rPr>
                <w:sz w:val="20"/>
                <w:szCs w:val="20"/>
                <w:color w:val="auto"/>
              </w:rPr>
            </w:pPr>
            <w:r>
              <w:rPr>
                <w:rFonts w:ascii="Arial" w:cs="Arial" w:eastAsia="Arial" w:hAnsi="Arial"/>
                <w:sz w:val="13"/>
                <w:szCs w:val="13"/>
                <w:color w:val="auto"/>
              </w:rPr>
              <w:t>271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105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97"/>
              <w:spacing w:after="0"/>
              <w:rPr>
                <w:sz w:val="20"/>
                <w:szCs w:val="20"/>
                <w:color w:val="auto"/>
              </w:rPr>
            </w:pPr>
            <w:r>
              <w:rPr>
                <w:rFonts w:ascii="Arial" w:cs="Arial" w:eastAsia="Arial" w:hAnsi="Arial"/>
                <w:sz w:val="13"/>
                <w:szCs w:val="13"/>
                <w:color w:val="auto"/>
              </w:rPr>
              <w:t>376</w:t>
            </w:r>
          </w:p>
        </w:tc>
        <w:tc>
          <w:tcPr>
            <w:tcW w:w="0" w:type="dxa"/>
            <w:vAlign w:val="bottom"/>
          </w:tcPr>
          <w:p>
            <w:pPr>
              <w:spacing w:after="0"/>
              <w:rPr>
                <w:sz w:val="1"/>
                <w:szCs w:val="1"/>
                <w:color w:val="auto"/>
              </w:rPr>
            </w:pPr>
          </w:p>
        </w:tc>
      </w:tr>
      <w:tr>
        <w:trPr>
          <w:trHeight w:val="197"/>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Exercise of stock options</w:t>
            </w:r>
          </w:p>
        </w:tc>
        <w:tc>
          <w:tcPr>
            <w:tcW w:w="9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293,690</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14,693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14,696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14,696</w:t>
            </w:r>
          </w:p>
        </w:tc>
        <w:tc>
          <w:tcPr>
            <w:tcW w:w="0" w:type="dxa"/>
            <w:vAlign w:val="bottom"/>
          </w:tcPr>
          <w:p>
            <w:pPr>
              <w:spacing w:after="0"/>
              <w:rPr>
                <w:sz w:val="1"/>
                <w:szCs w:val="1"/>
                <w:color w:val="auto"/>
              </w:rPr>
            </w:pPr>
          </w:p>
        </w:tc>
      </w:tr>
      <w:tr>
        <w:trPr>
          <w:trHeight w:val="181"/>
        </w:trPr>
        <w:tc>
          <w:tcPr>
            <w:tcW w:w="2420" w:type="dxa"/>
            <w:vAlign w:val="bottom"/>
          </w:tcPr>
          <w:p>
            <w:pPr>
              <w:ind w:left="20"/>
              <w:spacing w:after="0"/>
              <w:rPr>
                <w:sz w:val="20"/>
                <w:szCs w:val="20"/>
                <w:color w:val="auto"/>
              </w:rPr>
            </w:pPr>
            <w:r>
              <w:rPr>
                <w:rFonts w:ascii="Arial" w:cs="Arial" w:eastAsia="Arial" w:hAnsi="Arial"/>
                <w:sz w:val="13"/>
                <w:szCs w:val="13"/>
                <w:color w:val="auto"/>
              </w:rPr>
              <w:t>Issuance of restricted stock</w:t>
            </w: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472,480</w:t>
            </w:r>
          </w:p>
        </w:tc>
        <w:tc>
          <w:tcPr>
            <w:tcW w:w="100" w:type="dxa"/>
            <w:vAlign w:val="bottom"/>
          </w:tcPr>
          <w:p>
            <w:pPr>
              <w:spacing w:after="0"/>
              <w:rPr>
                <w:sz w:val="15"/>
                <w:szCs w:val="15"/>
                <w:color w:val="auto"/>
              </w:rPr>
            </w:pPr>
          </w:p>
        </w:tc>
        <w:tc>
          <w:tcPr>
            <w:tcW w:w="560" w:type="dxa"/>
            <w:vAlign w:val="bottom"/>
          </w:tcPr>
          <w:p>
            <w:pPr>
              <w:jc w:val="right"/>
              <w:ind w:right="77"/>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5"/>
                <w:szCs w:val="15"/>
                <w:color w:val="auto"/>
              </w:rPr>
            </w:pPr>
          </w:p>
        </w:tc>
        <w:tc>
          <w:tcPr>
            <w:tcW w:w="94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14,343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980" w:type="dxa"/>
            <w:vAlign w:val="bottom"/>
          </w:tcPr>
          <w:p>
            <w:pPr>
              <w:jc w:val="right"/>
              <w:ind w:right="97"/>
              <w:spacing w:after="0"/>
              <w:rPr>
                <w:sz w:val="20"/>
                <w:szCs w:val="20"/>
                <w:color w:val="auto"/>
              </w:rPr>
            </w:pPr>
            <w:r>
              <w:rPr>
                <w:rFonts w:ascii="Arial" w:cs="Arial" w:eastAsia="Arial" w:hAnsi="Arial"/>
                <w:sz w:val="13"/>
                <w:szCs w:val="13"/>
                <w:color w:val="auto"/>
              </w:rPr>
              <w:t>14,348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785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97"/>
              <w:spacing w:after="0"/>
              <w:rPr>
                <w:sz w:val="20"/>
                <w:szCs w:val="20"/>
                <w:color w:val="auto"/>
              </w:rPr>
            </w:pPr>
            <w:r>
              <w:rPr>
                <w:rFonts w:ascii="Arial" w:cs="Arial" w:eastAsia="Arial" w:hAnsi="Arial"/>
                <w:sz w:val="13"/>
                <w:szCs w:val="13"/>
                <w:color w:val="auto"/>
              </w:rPr>
              <w:t>15,133</w:t>
            </w:r>
          </w:p>
        </w:tc>
        <w:tc>
          <w:tcPr>
            <w:tcW w:w="0" w:type="dxa"/>
            <w:vAlign w:val="bottom"/>
          </w:tcPr>
          <w:p>
            <w:pPr>
              <w:spacing w:after="0"/>
              <w:rPr>
                <w:sz w:val="1"/>
                <w:szCs w:val="1"/>
                <w:color w:val="auto"/>
              </w:rPr>
            </w:pPr>
          </w:p>
        </w:tc>
      </w:tr>
      <w:tr>
        <w:trPr>
          <w:trHeight w:val="197"/>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Cancellation of restricted stock</w:t>
            </w: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(43,825)</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420" w:type="dxa"/>
            <w:vAlign w:val="bottom"/>
          </w:tcPr>
          <w:p>
            <w:pPr>
              <w:ind w:left="20"/>
              <w:spacing w:after="0" w:line="148" w:lineRule="exact"/>
              <w:rPr>
                <w:sz w:val="20"/>
                <w:szCs w:val="20"/>
                <w:color w:val="auto"/>
              </w:rPr>
            </w:pPr>
            <w:r>
              <w:rPr>
                <w:rFonts w:ascii="Arial" w:cs="Arial" w:eastAsia="Arial" w:hAnsi="Arial"/>
                <w:sz w:val="13"/>
                <w:szCs w:val="13"/>
                <w:color w:val="auto"/>
                <w:w w:val="88"/>
              </w:rPr>
              <w:t>Shares repurchased by the Company and held</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420" w:type="dxa"/>
            <w:vAlign w:val="bottom"/>
          </w:tcPr>
          <w:p>
            <w:pPr>
              <w:ind w:left="20"/>
              <w:spacing w:after="0"/>
              <w:rPr>
                <w:sz w:val="20"/>
                <w:szCs w:val="20"/>
                <w:color w:val="auto"/>
              </w:rPr>
            </w:pPr>
            <w:r>
              <w:rPr>
                <w:rFonts w:ascii="Arial" w:cs="Arial" w:eastAsia="Arial" w:hAnsi="Arial"/>
                <w:sz w:val="13"/>
                <w:szCs w:val="13"/>
                <w:color w:val="auto"/>
              </w:rPr>
              <w:t>as treasury shares</w:t>
            </w: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(590,428)</w:t>
            </w:r>
          </w:p>
        </w:tc>
        <w:tc>
          <w:tcPr>
            <w:tcW w:w="10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(66,986)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(66,986)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(66,986)</w:t>
            </w:r>
          </w:p>
        </w:tc>
        <w:tc>
          <w:tcPr>
            <w:tcW w:w="0" w:type="dxa"/>
            <w:vAlign w:val="bottom"/>
          </w:tcPr>
          <w:p>
            <w:pPr>
              <w:spacing w:after="0"/>
              <w:rPr>
                <w:sz w:val="1"/>
                <w:szCs w:val="1"/>
                <w:color w:val="auto"/>
              </w:rPr>
            </w:pPr>
          </w:p>
        </w:tc>
      </w:tr>
      <w:tr>
        <w:trPr>
          <w:trHeight w:val="156"/>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w w:val="95"/>
              </w:rPr>
              <w:t>Shares of subsidiary repurchased for share</w:t>
            </w: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award plan</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(3,885)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(3,885)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(1,499)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(5,384)</w:t>
            </w:r>
          </w:p>
        </w:tc>
        <w:tc>
          <w:tcPr>
            <w:tcW w:w="0" w:type="dxa"/>
            <w:vAlign w:val="bottom"/>
          </w:tcPr>
          <w:p>
            <w:pPr>
              <w:spacing w:after="0"/>
              <w:rPr>
                <w:sz w:val="1"/>
                <w:szCs w:val="1"/>
                <w:color w:val="auto"/>
              </w:rPr>
            </w:pPr>
          </w:p>
        </w:tc>
      </w:tr>
      <w:tr>
        <w:trPr>
          <w:trHeight w:val="181"/>
        </w:trPr>
        <w:tc>
          <w:tcPr>
            <w:tcW w:w="2420" w:type="dxa"/>
            <w:vAlign w:val="bottom"/>
          </w:tcPr>
          <w:p>
            <w:pPr>
              <w:ind w:left="20"/>
              <w:spacing w:after="0"/>
              <w:rPr>
                <w:sz w:val="20"/>
                <w:szCs w:val="20"/>
                <w:color w:val="auto"/>
              </w:rPr>
            </w:pPr>
            <w:r>
              <w:rPr>
                <w:rFonts w:ascii="Arial" w:cs="Arial" w:eastAsia="Arial" w:hAnsi="Arial"/>
                <w:sz w:val="13"/>
                <w:szCs w:val="13"/>
                <w:color w:val="auto"/>
              </w:rPr>
              <w:t>Cash dividends declared</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w w:val="93"/>
              </w:rPr>
              <w:t>(402,952)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(402,952)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(165,835)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(568,787)</w:t>
            </w:r>
          </w:p>
        </w:tc>
        <w:tc>
          <w:tcPr>
            <w:tcW w:w="0" w:type="dxa"/>
            <w:vAlign w:val="bottom"/>
          </w:tcPr>
          <w:p>
            <w:pPr>
              <w:spacing w:after="0"/>
              <w:rPr>
                <w:sz w:val="1"/>
                <w:szCs w:val="1"/>
                <w:color w:val="auto"/>
              </w:rPr>
            </w:pPr>
          </w:p>
        </w:tc>
      </w:tr>
      <w:tr>
        <w:trPr>
          <w:trHeight w:val="197"/>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Distribution to noncontrolling interest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(7,745)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(7,745)</w:t>
            </w:r>
          </w:p>
        </w:tc>
        <w:tc>
          <w:tcPr>
            <w:tcW w:w="0" w:type="dxa"/>
            <w:vAlign w:val="bottom"/>
          </w:tcPr>
          <w:p>
            <w:pPr>
              <w:spacing w:after="0"/>
              <w:rPr>
                <w:sz w:val="1"/>
                <w:szCs w:val="1"/>
                <w:color w:val="auto"/>
              </w:rPr>
            </w:pPr>
          </w:p>
        </w:tc>
      </w:tr>
      <w:tr>
        <w:trPr>
          <w:trHeight w:val="183"/>
        </w:trPr>
        <w:tc>
          <w:tcPr>
            <w:tcW w:w="242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30,445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980" w:type="dxa"/>
            <w:vAlign w:val="bottom"/>
          </w:tcPr>
          <w:p>
            <w:pPr>
              <w:jc w:val="right"/>
              <w:ind w:right="97"/>
              <w:spacing w:after="0"/>
              <w:rPr>
                <w:sz w:val="20"/>
                <w:szCs w:val="20"/>
                <w:color w:val="auto"/>
              </w:rPr>
            </w:pPr>
            <w:r>
              <w:rPr>
                <w:rFonts w:ascii="Arial" w:cs="Arial" w:eastAsia="Arial" w:hAnsi="Arial"/>
                <w:sz w:val="13"/>
                <w:szCs w:val="13"/>
                <w:color w:val="auto"/>
              </w:rPr>
              <w:t>30,445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3,557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97"/>
              <w:spacing w:after="0"/>
              <w:rPr>
                <w:sz w:val="20"/>
                <w:szCs w:val="20"/>
                <w:color w:val="auto"/>
              </w:rPr>
            </w:pPr>
            <w:r>
              <w:rPr>
                <w:rFonts w:ascii="Arial" w:cs="Arial" w:eastAsia="Arial" w:hAnsi="Arial"/>
                <w:sz w:val="13"/>
                <w:szCs w:val="13"/>
                <w:color w:val="auto"/>
              </w:rPr>
              <w:t>34,002</w:t>
            </w:r>
          </w:p>
        </w:tc>
        <w:tc>
          <w:tcPr>
            <w:tcW w:w="0" w:type="dxa"/>
            <w:vAlign w:val="bottom"/>
          </w:tcPr>
          <w:p>
            <w:pPr>
              <w:spacing w:after="0"/>
              <w:rPr>
                <w:sz w:val="1"/>
                <w:szCs w:val="1"/>
                <w:color w:val="auto"/>
              </w:rPr>
            </w:pPr>
          </w:p>
        </w:tc>
      </w:tr>
      <w:tr>
        <w:trPr>
          <w:trHeight w:val="208"/>
        </w:trPr>
        <w:tc>
          <w:tcPr>
            <w:tcW w:w="2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Balances, December 31, 2019</w:t>
            </w:r>
          </w:p>
        </w:tc>
        <w:tc>
          <w:tcPr>
            <w:tcW w:w="9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107,363,943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b w:val="1"/>
                <w:bCs w:val="1"/>
                <w:color w:val="auto"/>
                <w:w w:val="92"/>
              </w:rPr>
              <w:t>$ 1,228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w w:val="90"/>
              </w:rPr>
              <w:t>$ (1,410,998)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6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b w:val="1"/>
                <w:bCs w:val="1"/>
                <w:color w:val="auto"/>
              </w:rPr>
              <w:t>2,512,676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8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(1,679)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6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641,818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8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b w:val="1"/>
                <w:bCs w:val="1"/>
                <w:color w:val="auto"/>
              </w:rPr>
              <w:t>1,743,045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8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(201,573)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b w:val="1"/>
                <w:bCs w:val="1"/>
                <w:color w:val="auto"/>
              </w:rPr>
              <w:t>1,541,472</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65" w:name="page66"/>
    <w:bookmarkEnd w:id="6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WYNN RESORTS, LIMITED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6"/>
          </w:tcPr>
          <w:p>
            <w:pPr>
              <w:jc w:val="right"/>
              <w:ind w:right="208"/>
              <w:spacing w:after="0"/>
              <w:rPr>
                <w:sz w:val="20"/>
                <w:szCs w:val="20"/>
                <w:color w:val="auto"/>
              </w:rPr>
            </w:pPr>
            <w:r>
              <w:rPr>
                <w:rFonts w:ascii="Arial" w:cs="Arial" w:eastAsia="Arial" w:hAnsi="Arial"/>
                <w:sz w:val="14"/>
                <w:szCs w:val="14"/>
                <w:b w:val="1"/>
                <w:bCs w:val="1"/>
                <w:color w:val="auto"/>
                <w:w w:val="93"/>
              </w:rPr>
              <w:t>Years Ended December 31,</w:t>
            </w:r>
          </w:p>
        </w:tc>
        <w:tc>
          <w:tcPr>
            <w:tcW w:w="1080" w:type="dxa"/>
            <w:vAlign w:val="bottom"/>
            <w:tcBorders>
              <w:bottom w:val="single" w:sz="8" w:color="auto"/>
            </w:tcBorders>
          </w:tcPr>
          <w:p>
            <w:pPr>
              <w:spacing w:after="0"/>
              <w:rPr>
                <w:sz w:val="16"/>
                <w:szCs w:val="16"/>
                <w:color w:val="auto"/>
              </w:rPr>
            </w:pPr>
          </w:p>
        </w:tc>
      </w:tr>
      <w:tr>
        <w:trPr>
          <w:trHeight w:val="196"/>
        </w:trPr>
        <w:tc>
          <w:tcPr>
            <w:tcW w:w="70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2017</w:t>
            </w:r>
          </w:p>
        </w:tc>
      </w:tr>
      <w:tr>
        <w:trPr>
          <w:trHeight w:val="189"/>
        </w:trPr>
        <w:tc>
          <w:tcPr>
            <w:tcW w:w="70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97"/>
        </w:trPr>
        <w:tc>
          <w:tcPr>
            <w:tcW w:w="7040" w:type="dxa"/>
            <w:vAlign w:val="bottom"/>
          </w:tcPr>
          <w:p>
            <w:pPr>
              <w:ind w:left="340"/>
              <w:spacing w:after="0"/>
              <w:rPr>
                <w:sz w:val="20"/>
                <w:szCs w:val="20"/>
                <w:color w:val="auto"/>
              </w:rPr>
            </w:pPr>
            <w:r>
              <w:rPr>
                <w:rFonts w:ascii="Arial" w:cs="Arial" w:eastAsia="Arial" w:hAnsi="Arial"/>
                <w:sz w:val="14"/>
                <w:szCs w:val="14"/>
                <w:color w:val="auto"/>
              </w:rPr>
              <w:t>Net income</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311,378</w:t>
            </w:r>
          </w:p>
        </w:tc>
        <w:tc>
          <w:tcPr>
            <w:tcW w:w="4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803,084</w:t>
            </w:r>
          </w:p>
        </w:tc>
        <w:tc>
          <w:tcPr>
            <w:tcW w:w="120" w:type="dxa"/>
            <w:vAlign w:val="bottom"/>
          </w:tcPr>
          <w:p>
            <w:pPr>
              <w:spacing w:after="0"/>
              <w:rPr>
                <w:sz w:val="17"/>
                <w:szCs w:val="17"/>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889,254</w:t>
            </w:r>
          </w:p>
        </w:tc>
      </w:tr>
      <w:tr>
        <w:trPr>
          <w:trHeight w:val="209"/>
        </w:trPr>
        <w:tc>
          <w:tcPr>
            <w:tcW w:w="7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197"/>
        </w:trPr>
        <w:tc>
          <w:tcPr>
            <w:tcW w:w="7040" w:type="dxa"/>
            <w:vAlign w:val="bottom"/>
          </w:tcPr>
          <w:p>
            <w:pPr>
              <w:ind w:left="340"/>
              <w:spacing w:after="0"/>
              <w:rPr>
                <w:sz w:val="20"/>
                <w:szCs w:val="20"/>
                <w:color w:val="auto"/>
              </w:rPr>
            </w:pPr>
            <w:r>
              <w:rPr>
                <w:rFonts w:ascii="Arial" w:cs="Arial" w:eastAsia="Arial" w:hAnsi="Arial"/>
                <w:sz w:val="14"/>
                <w:szCs w:val="14"/>
                <w:color w:val="auto"/>
              </w:rPr>
              <w:t>Depreciation and amortization</w:t>
            </w:r>
          </w:p>
        </w:tc>
        <w:tc>
          <w:tcPr>
            <w:tcW w:w="32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624,878</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550,596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552,368</w:t>
            </w:r>
          </w:p>
        </w:tc>
      </w:tr>
      <w:tr>
        <w:trPr>
          <w:trHeight w:val="209"/>
        </w:trPr>
        <w:tc>
          <w:tcPr>
            <w:tcW w:w="70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Deferred income taxes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174,190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(498,654)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(310,854)</w:t>
            </w:r>
          </w:p>
        </w:tc>
      </w:tr>
      <w:tr>
        <w:trPr>
          <w:trHeight w:val="197"/>
        </w:trPr>
        <w:tc>
          <w:tcPr>
            <w:tcW w:w="7040" w:type="dxa"/>
            <w:vAlign w:val="bottom"/>
          </w:tcPr>
          <w:p>
            <w:pPr>
              <w:ind w:left="340"/>
              <w:spacing w:after="0"/>
              <w:rPr>
                <w:sz w:val="20"/>
                <w:szCs w:val="20"/>
                <w:color w:val="auto"/>
              </w:rPr>
            </w:pPr>
            <w:r>
              <w:rPr>
                <w:rFonts w:ascii="Arial" w:cs="Arial" w:eastAsia="Arial" w:hAnsi="Arial"/>
                <w:sz w:val="14"/>
                <w:szCs w:val="14"/>
                <w:color w:val="auto"/>
              </w:rPr>
              <w:t>Stock-based compensation expense</w:t>
            </w:r>
          </w:p>
        </w:tc>
        <w:tc>
          <w:tcPr>
            <w:tcW w:w="32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40,372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35,040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43,971</w:t>
            </w:r>
          </w:p>
        </w:tc>
      </w:tr>
      <w:tr>
        <w:trPr>
          <w:trHeight w:val="209"/>
        </w:trPr>
        <w:tc>
          <w:tcPr>
            <w:tcW w:w="70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Amortization of debt issuance costs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28,954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36,917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25,013</w:t>
            </w:r>
          </w:p>
        </w:tc>
      </w:tr>
      <w:tr>
        <w:trPr>
          <w:trHeight w:val="197"/>
        </w:trPr>
        <w:tc>
          <w:tcPr>
            <w:tcW w:w="7040" w:type="dxa"/>
            <w:vAlign w:val="bottom"/>
          </w:tcPr>
          <w:p>
            <w:pPr>
              <w:ind w:left="340"/>
              <w:spacing w:after="0"/>
              <w:rPr>
                <w:sz w:val="20"/>
                <w:szCs w:val="20"/>
                <w:color w:val="auto"/>
              </w:rPr>
            </w:pPr>
            <w:r>
              <w:rPr>
                <w:rFonts w:ascii="Arial" w:cs="Arial" w:eastAsia="Arial" w:hAnsi="Arial"/>
                <w:sz w:val="14"/>
                <w:szCs w:val="14"/>
                <w:color w:val="auto"/>
              </w:rPr>
              <w:t>Loss on extinguishment of debt</w:t>
            </w:r>
          </w:p>
        </w:tc>
        <w:tc>
          <w:tcPr>
            <w:tcW w:w="32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12,437</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4,391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55,360</w:t>
            </w:r>
          </w:p>
        </w:tc>
      </w:tr>
      <w:tr>
        <w:trPr>
          <w:trHeight w:val="209"/>
        </w:trPr>
        <w:tc>
          <w:tcPr>
            <w:tcW w:w="70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Provision (benefit) for doubtful accounts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21,898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6,527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(6,711)</w:t>
            </w:r>
          </w:p>
        </w:tc>
      </w:tr>
      <w:tr>
        <w:trPr>
          <w:trHeight w:val="197"/>
        </w:trPr>
        <w:tc>
          <w:tcPr>
            <w:tcW w:w="7040" w:type="dxa"/>
            <w:vAlign w:val="bottom"/>
          </w:tcPr>
          <w:p>
            <w:pPr>
              <w:ind w:left="340"/>
              <w:spacing w:after="0"/>
              <w:rPr>
                <w:sz w:val="20"/>
                <w:szCs w:val="20"/>
                <w:color w:val="auto"/>
              </w:rPr>
            </w:pPr>
            <w:r>
              <w:rPr>
                <w:rFonts w:ascii="Arial" w:cs="Arial" w:eastAsia="Arial" w:hAnsi="Arial"/>
                <w:sz w:val="14"/>
                <w:szCs w:val="14"/>
                <w:color w:val="auto"/>
              </w:rPr>
              <w:t>Change in derivatives fair value</w:t>
            </w:r>
          </w:p>
        </w:tc>
        <w:tc>
          <w:tcPr>
            <w:tcW w:w="32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3,228</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4,520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1,056</w:t>
            </w:r>
          </w:p>
        </w:tc>
      </w:tr>
      <w:tr>
        <w:trPr>
          <w:trHeight w:val="209"/>
        </w:trPr>
        <w:tc>
          <w:tcPr>
            <w:tcW w:w="70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Change in Redemption Note fair value</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69,331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59,700</w:t>
            </w:r>
          </w:p>
        </w:tc>
      </w:tr>
      <w:tr>
        <w:trPr>
          <w:trHeight w:val="197"/>
        </w:trPr>
        <w:tc>
          <w:tcPr>
            <w:tcW w:w="7040" w:type="dxa"/>
            <w:vAlign w:val="bottom"/>
          </w:tcPr>
          <w:p>
            <w:pPr>
              <w:ind w:left="340"/>
              <w:spacing w:after="0"/>
              <w:rPr>
                <w:sz w:val="20"/>
                <w:szCs w:val="20"/>
                <w:color w:val="auto"/>
              </w:rPr>
            </w:pPr>
            <w:r>
              <w:rPr>
                <w:rFonts w:ascii="Arial" w:cs="Arial" w:eastAsia="Arial" w:hAnsi="Arial"/>
                <w:sz w:val="14"/>
                <w:szCs w:val="14"/>
                <w:color w:val="auto"/>
              </w:rPr>
              <w:t>Property charges and other</w:t>
            </w:r>
          </w:p>
        </w:tc>
        <w:tc>
          <w:tcPr>
            <w:tcW w:w="32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5,122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56,974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44,004</w:t>
            </w:r>
          </w:p>
        </w:tc>
      </w:tr>
      <w:tr>
        <w:trPr>
          <w:trHeight w:val="209"/>
        </w:trPr>
        <w:tc>
          <w:tcPr>
            <w:tcW w:w="70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Increase (decrease) in cash from changes in:</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197"/>
        </w:trPr>
        <w:tc>
          <w:tcPr>
            <w:tcW w:w="7040" w:type="dxa"/>
            <w:vAlign w:val="bottom"/>
          </w:tcPr>
          <w:p>
            <w:pPr>
              <w:ind w:left="660"/>
              <w:spacing w:after="0"/>
              <w:rPr>
                <w:sz w:val="20"/>
                <w:szCs w:val="20"/>
                <w:color w:val="auto"/>
              </w:rPr>
            </w:pPr>
            <w:r>
              <w:rPr>
                <w:rFonts w:ascii="Arial" w:cs="Arial" w:eastAsia="Arial" w:hAnsi="Arial"/>
                <w:sz w:val="14"/>
                <w:szCs w:val="14"/>
                <w:color w:val="auto"/>
              </w:rPr>
              <w:t>Receivables, net</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(86,712)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(59,157)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829</w:t>
            </w:r>
          </w:p>
        </w:tc>
      </w:tr>
      <w:tr>
        <w:trPr>
          <w:trHeight w:val="209"/>
        </w:trPr>
        <w:tc>
          <w:tcPr>
            <w:tcW w:w="70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Inventories, prepaid expenses and other</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(37,907)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(5,212)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(4,372)</w:t>
            </w:r>
          </w:p>
        </w:tc>
      </w:tr>
      <w:tr>
        <w:trPr>
          <w:trHeight w:val="197"/>
        </w:trPr>
        <w:tc>
          <w:tcPr>
            <w:tcW w:w="7040" w:type="dxa"/>
            <w:vAlign w:val="bottom"/>
          </w:tcPr>
          <w:p>
            <w:pPr>
              <w:ind w:left="660"/>
              <w:spacing w:after="0"/>
              <w:rPr>
                <w:sz w:val="20"/>
                <w:szCs w:val="20"/>
                <w:color w:val="auto"/>
              </w:rPr>
            </w:pPr>
            <w:r>
              <w:rPr>
                <w:rFonts w:ascii="Arial" w:cs="Arial" w:eastAsia="Arial" w:hAnsi="Arial"/>
                <w:sz w:val="14"/>
                <w:szCs w:val="14"/>
                <w:color w:val="auto"/>
              </w:rPr>
              <w:t>Customer deposits</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(134,858)</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(92,395)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456,005</w:t>
            </w:r>
          </w:p>
        </w:tc>
      </w:tr>
      <w:tr>
        <w:trPr>
          <w:trHeight w:val="209"/>
        </w:trPr>
        <w:tc>
          <w:tcPr>
            <w:tcW w:w="70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Accounts payable and accrued expenses</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(61,910)</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49,527</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70,954</w:t>
            </w:r>
          </w:p>
        </w:tc>
      </w:tr>
      <w:tr>
        <w:trPr>
          <w:trHeight w:val="190"/>
        </w:trPr>
        <w:tc>
          <w:tcPr>
            <w:tcW w:w="7040" w:type="dxa"/>
            <w:vAlign w:val="bottom"/>
            <w:tcBorders>
              <w:bottom w:val="single" w:sz="8" w:color="CCEEFF"/>
            </w:tcBorders>
          </w:tcPr>
          <w:p>
            <w:pPr>
              <w:ind w:left="1100"/>
              <w:spacing w:after="0"/>
              <w:rPr>
                <w:sz w:val="20"/>
                <w:szCs w:val="20"/>
                <w:color w:val="auto"/>
              </w:rPr>
            </w:pPr>
            <w:r>
              <w:rPr>
                <w:rFonts w:ascii="Arial" w:cs="Arial" w:eastAsia="Arial" w:hAnsi="Arial"/>
                <w:sz w:val="14"/>
                <w:szCs w:val="14"/>
                <w:b w:val="1"/>
                <w:bCs w:val="1"/>
                <w:color w:val="auto"/>
              </w:rPr>
              <w:t>Net cash provided by operating activities</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901,070</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961,489</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1,876,577</w:t>
            </w:r>
          </w:p>
        </w:tc>
      </w:tr>
      <w:tr>
        <w:trPr>
          <w:trHeight w:val="189"/>
        </w:trPr>
        <w:tc>
          <w:tcPr>
            <w:tcW w:w="70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97"/>
        </w:trPr>
        <w:tc>
          <w:tcPr>
            <w:tcW w:w="7040" w:type="dxa"/>
            <w:vAlign w:val="bottom"/>
          </w:tcPr>
          <w:p>
            <w:pPr>
              <w:ind w:left="340"/>
              <w:spacing w:after="0"/>
              <w:rPr>
                <w:sz w:val="20"/>
                <w:szCs w:val="20"/>
                <w:color w:val="auto"/>
              </w:rPr>
            </w:pPr>
            <w:r>
              <w:rPr>
                <w:rFonts w:ascii="Arial" w:cs="Arial" w:eastAsia="Arial" w:hAnsi="Arial"/>
                <w:sz w:val="14"/>
                <w:szCs w:val="14"/>
                <w:color w:val="auto"/>
              </w:rPr>
              <w:t>Capital expenditures, net of construction payables and retention</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(1,063,293)</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(1,475,972)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(935,474)</w:t>
            </w:r>
          </w:p>
        </w:tc>
      </w:tr>
      <w:tr>
        <w:trPr>
          <w:trHeight w:val="209"/>
        </w:trPr>
        <w:tc>
          <w:tcPr>
            <w:tcW w:w="70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Purchase of intangible and other assets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(126,414)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(13,571)</w:t>
            </w:r>
          </w:p>
        </w:tc>
      </w:tr>
      <w:tr>
        <w:trPr>
          <w:trHeight w:val="197"/>
        </w:trPr>
        <w:tc>
          <w:tcPr>
            <w:tcW w:w="7040" w:type="dxa"/>
            <w:vAlign w:val="bottom"/>
          </w:tcPr>
          <w:p>
            <w:pPr>
              <w:ind w:left="340"/>
              <w:spacing w:after="0"/>
              <w:rPr>
                <w:sz w:val="20"/>
                <w:szCs w:val="20"/>
                <w:color w:val="auto"/>
              </w:rPr>
            </w:pPr>
            <w:r>
              <w:rPr>
                <w:rFonts w:ascii="Arial" w:cs="Arial" w:eastAsia="Arial" w:hAnsi="Arial"/>
                <w:sz w:val="14"/>
                <w:szCs w:val="14"/>
                <w:color w:val="auto"/>
              </w:rPr>
              <w:t>Proceeds from the sale or maturity of investment securities</w:t>
            </w:r>
          </w:p>
        </w:tc>
        <w:tc>
          <w:tcPr>
            <w:tcW w:w="32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359,461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200,366</w:t>
            </w:r>
          </w:p>
        </w:tc>
      </w:tr>
      <w:tr>
        <w:trPr>
          <w:trHeight w:val="209"/>
        </w:trPr>
        <w:tc>
          <w:tcPr>
            <w:tcW w:w="70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Purchase of investment securities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(34,098)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(229,328)</w:t>
            </w:r>
          </w:p>
        </w:tc>
      </w:tr>
      <w:tr>
        <w:trPr>
          <w:trHeight w:val="197"/>
        </w:trPr>
        <w:tc>
          <w:tcPr>
            <w:tcW w:w="704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Proceeds from sale of assets</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695</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54,213</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20,374</w:t>
            </w:r>
          </w:p>
        </w:tc>
      </w:tr>
      <w:tr>
        <w:trPr>
          <w:trHeight w:val="202"/>
        </w:trPr>
        <w:tc>
          <w:tcPr>
            <w:tcW w:w="7040" w:type="dxa"/>
            <w:vAlign w:val="bottom"/>
            <w:shd w:val="clear" w:color="auto" w:fill="CCEEFF"/>
          </w:tcPr>
          <w:p>
            <w:pPr>
              <w:ind w:left="1100"/>
              <w:spacing w:after="0"/>
              <w:rPr>
                <w:sz w:val="20"/>
                <w:szCs w:val="20"/>
                <w:color w:val="auto"/>
              </w:rPr>
            </w:pPr>
            <w:r>
              <w:rPr>
                <w:rFonts w:ascii="Arial" w:cs="Arial" w:eastAsia="Arial" w:hAnsi="Arial"/>
                <w:sz w:val="14"/>
                <w:szCs w:val="14"/>
                <w:b w:val="1"/>
                <w:bCs w:val="1"/>
                <w:color w:val="auto"/>
              </w:rPr>
              <w:t>Net cash used in investing activities</w:t>
            </w:r>
          </w:p>
        </w:tc>
        <w:tc>
          <w:tcPr>
            <w:tcW w:w="3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(1,068,598)</w:t>
            </w: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(1,222,810)</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(957,633)</w:t>
            </w:r>
          </w:p>
        </w:tc>
      </w:tr>
      <w:tr>
        <w:trPr>
          <w:trHeight w:val="177"/>
        </w:trPr>
        <w:tc>
          <w:tcPr>
            <w:tcW w:w="704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9"/>
        </w:trPr>
        <w:tc>
          <w:tcPr>
            <w:tcW w:w="70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Proceeds from issuance of long-term debt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3,893,778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2,788,925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2,429,988</w:t>
            </w:r>
          </w:p>
        </w:tc>
      </w:tr>
      <w:tr>
        <w:trPr>
          <w:trHeight w:val="197"/>
        </w:trPr>
        <w:tc>
          <w:tcPr>
            <w:tcW w:w="7040" w:type="dxa"/>
            <w:vAlign w:val="bottom"/>
          </w:tcPr>
          <w:p>
            <w:pPr>
              <w:ind w:left="340"/>
              <w:spacing w:after="0"/>
              <w:rPr>
                <w:sz w:val="20"/>
                <w:szCs w:val="20"/>
                <w:color w:val="auto"/>
              </w:rPr>
            </w:pPr>
            <w:r>
              <w:rPr>
                <w:rFonts w:ascii="Arial" w:cs="Arial" w:eastAsia="Arial" w:hAnsi="Arial"/>
                <w:sz w:val="14"/>
                <w:szCs w:val="14"/>
                <w:color w:val="auto"/>
              </w:rPr>
              <w:t>Repayments of long-term debt</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(2,930,015)</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(3,032,267)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(2,959,843)</w:t>
            </w:r>
          </w:p>
        </w:tc>
      </w:tr>
      <w:tr>
        <w:trPr>
          <w:trHeight w:val="209"/>
        </w:trPr>
        <w:tc>
          <w:tcPr>
            <w:tcW w:w="70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Proceeds from note receivable from sale of ownership interest in subsidiary</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75,000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180,000</w:t>
            </w:r>
          </w:p>
        </w:tc>
      </w:tr>
      <w:tr>
        <w:trPr>
          <w:trHeight w:val="197"/>
        </w:trPr>
        <w:tc>
          <w:tcPr>
            <w:tcW w:w="7040" w:type="dxa"/>
            <w:vAlign w:val="bottom"/>
          </w:tcPr>
          <w:p>
            <w:pPr>
              <w:ind w:left="340"/>
              <w:spacing w:after="0"/>
              <w:rPr>
                <w:sz w:val="20"/>
                <w:szCs w:val="20"/>
                <w:color w:val="auto"/>
              </w:rPr>
            </w:pPr>
            <w:r>
              <w:rPr>
                <w:rFonts w:ascii="Arial" w:cs="Arial" w:eastAsia="Arial" w:hAnsi="Arial"/>
                <w:sz w:val="14"/>
                <w:szCs w:val="14"/>
                <w:color w:val="auto"/>
              </w:rPr>
              <w:t>Proceeds from issuance of common stock, net of issuance costs</w:t>
            </w:r>
          </w:p>
        </w:tc>
        <w:tc>
          <w:tcPr>
            <w:tcW w:w="32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915,240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209"/>
        </w:trPr>
        <w:tc>
          <w:tcPr>
            <w:tcW w:w="70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Repurchase of common stock</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(66,986)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(159,544)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(17,771)</w:t>
            </w:r>
          </w:p>
        </w:tc>
      </w:tr>
      <w:tr>
        <w:trPr>
          <w:trHeight w:val="197"/>
        </w:trPr>
        <w:tc>
          <w:tcPr>
            <w:tcW w:w="7040" w:type="dxa"/>
            <w:vAlign w:val="bottom"/>
          </w:tcPr>
          <w:p>
            <w:pPr>
              <w:ind w:left="340"/>
              <w:spacing w:after="0"/>
              <w:rPr>
                <w:sz w:val="20"/>
                <w:szCs w:val="20"/>
                <w:color w:val="auto"/>
              </w:rPr>
            </w:pPr>
            <w:r>
              <w:rPr>
                <w:rFonts w:ascii="Arial" w:cs="Arial" w:eastAsia="Arial" w:hAnsi="Arial"/>
                <w:sz w:val="14"/>
                <w:szCs w:val="14"/>
                <w:color w:val="auto"/>
              </w:rPr>
              <w:t>Finance lease payment</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(73)</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209"/>
        </w:trPr>
        <w:tc>
          <w:tcPr>
            <w:tcW w:w="70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Proceeds from exercise of stock options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14,696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21,971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62,209</w:t>
            </w:r>
          </w:p>
        </w:tc>
      </w:tr>
      <w:tr>
        <w:trPr>
          <w:trHeight w:val="197"/>
        </w:trPr>
        <w:tc>
          <w:tcPr>
            <w:tcW w:w="7040" w:type="dxa"/>
            <w:vAlign w:val="bottom"/>
          </w:tcPr>
          <w:p>
            <w:pPr>
              <w:ind w:left="340"/>
              <w:spacing w:after="0"/>
              <w:rPr>
                <w:sz w:val="20"/>
                <w:szCs w:val="20"/>
                <w:color w:val="auto"/>
              </w:rPr>
            </w:pPr>
            <w:r>
              <w:rPr>
                <w:rFonts w:ascii="Arial" w:cs="Arial" w:eastAsia="Arial" w:hAnsi="Arial"/>
                <w:sz w:val="14"/>
                <w:szCs w:val="14"/>
                <w:color w:val="auto"/>
              </w:rPr>
              <w:t>Shares of subsidiary repurchased for share award plan</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(5,384)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(6,232)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(392)</w:t>
            </w:r>
          </w:p>
        </w:tc>
      </w:tr>
      <w:tr>
        <w:trPr>
          <w:trHeight w:val="209"/>
        </w:trPr>
        <w:tc>
          <w:tcPr>
            <w:tcW w:w="70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Dividends paid</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(566,521)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(569,781)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(320,760)</w:t>
            </w:r>
          </w:p>
        </w:tc>
      </w:tr>
      <w:tr>
        <w:trPr>
          <w:trHeight w:val="197"/>
        </w:trPr>
        <w:tc>
          <w:tcPr>
            <w:tcW w:w="7040" w:type="dxa"/>
            <w:vAlign w:val="bottom"/>
          </w:tcPr>
          <w:p>
            <w:pPr>
              <w:ind w:left="340"/>
              <w:spacing w:after="0"/>
              <w:rPr>
                <w:sz w:val="20"/>
                <w:szCs w:val="20"/>
                <w:color w:val="auto"/>
              </w:rPr>
            </w:pPr>
            <w:r>
              <w:rPr>
                <w:rFonts w:ascii="Arial" w:cs="Arial" w:eastAsia="Arial" w:hAnsi="Arial"/>
                <w:sz w:val="14"/>
                <w:szCs w:val="14"/>
                <w:color w:val="auto"/>
              </w:rPr>
              <w:t>Distribution to noncontrolling interest</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(7,745)</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(305,372)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(11,436)</w:t>
            </w:r>
          </w:p>
        </w:tc>
      </w:tr>
      <w:tr>
        <w:trPr>
          <w:trHeight w:val="209"/>
        </w:trPr>
        <w:tc>
          <w:tcPr>
            <w:tcW w:w="70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Income taxes paid from sale of ownership interest in subsidiary</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(25,176)</w:t>
            </w:r>
          </w:p>
        </w:tc>
      </w:tr>
      <w:tr>
        <w:trPr>
          <w:trHeight w:val="197"/>
        </w:trPr>
        <w:tc>
          <w:tcPr>
            <w:tcW w:w="7040" w:type="dxa"/>
            <w:vAlign w:val="bottom"/>
          </w:tcPr>
          <w:p>
            <w:pPr>
              <w:ind w:left="340"/>
              <w:spacing w:after="0"/>
              <w:rPr>
                <w:sz w:val="20"/>
                <w:szCs w:val="20"/>
                <w:color w:val="auto"/>
              </w:rPr>
            </w:pPr>
            <w:r>
              <w:rPr>
                <w:rFonts w:ascii="Arial" w:cs="Arial" w:eastAsia="Arial" w:hAnsi="Arial"/>
                <w:sz w:val="14"/>
                <w:szCs w:val="14"/>
                <w:color w:val="auto"/>
              </w:rPr>
              <w:t>Payment to acquire derivatives</w:t>
            </w:r>
          </w:p>
        </w:tc>
        <w:tc>
          <w:tcPr>
            <w:tcW w:w="32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(3,900)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209"/>
        </w:trPr>
        <w:tc>
          <w:tcPr>
            <w:tcW w:w="70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Payments for financing costs</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(32,738)</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(48,297)</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(91,174)</w:t>
            </w:r>
          </w:p>
        </w:tc>
      </w:tr>
      <w:tr>
        <w:trPr>
          <w:trHeight w:val="190"/>
        </w:trPr>
        <w:tc>
          <w:tcPr>
            <w:tcW w:w="7040" w:type="dxa"/>
            <w:vAlign w:val="bottom"/>
          </w:tcPr>
          <w:p>
            <w:pPr>
              <w:ind w:left="1100"/>
              <w:spacing w:after="0"/>
              <w:rPr>
                <w:sz w:val="20"/>
                <w:szCs w:val="20"/>
                <w:color w:val="auto"/>
              </w:rPr>
            </w:pPr>
            <w:r>
              <w:rPr>
                <w:rFonts w:ascii="Arial" w:cs="Arial" w:eastAsia="Arial" w:hAnsi="Arial"/>
                <w:sz w:val="14"/>
                <w:szCs w:val="14"/>
                <w:b w:val="1"/>
                <w:bCs w:val="1"/>
                <w:color w:val="auto"/>
              </w:rPr>
              <w:t>Net cash provided by (used in) financing activities</w:t>
            </w:r>
          </w:p>
        </w:tc>
        <w:tc>
          <w:tcPr>
            <w:tcW w:w="32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b w:val="1"/>
                <w:bCs w:val="1"/>
                <w:color w:val="auto"/>
              </w:rPr>
              <w:t>299,012</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b w:val="1"/>
                <w:bCs w:val="1"/>
                <w:color w:val="auto"/>
              </w:rPr>
              <w:t>(324,257)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b w:val="1"/>
                <w:bCs w:val="1"/>
                <w:color w:val="auto"/>
              </w:rPr>
              <w:t>(754,355)</w:t>
            </w:r>
          </w:p>
        </w:tc>
      </w:tr>
      <w:tr>
        <w:trPr>
          <w:trHeight w:val="209"/>
        </w:trPr>
        <w:tc>
          <w:tcPr>
            <w:tcW w:w="70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Effect of exchange rate on cash, cash equivalents and restricted cash</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7,485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(1,733)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(3,900)</w:t>
            </w:r>
          </w:p>
        </w:tc>
      </w:tr>
      <w:tr>
        <w:trPr>
          <w:trHeight w:val="197"/>
        </w:trPr>
        <w:tc>
          <w:tcPr>
            <w:tcW w:w="7040" w:type="dxa"/>
            <w:vAlign w:val="bottom"/>
          </w:tcPr>
          <w:p>
            <w:pPr>
              <w:ind w:left="20"/>
              <w:spacing w:after="0"/>
              <w:rPr>
                <w:sz w:val="20"/>
                <w:szCs w:val="20"/>
                <w:color w:val="auto"/>
              </w:rPr>
            </w:pPr>
            <w:r>
              <w:rPr>
                <w:rFonts w:ascii="Arial" w:cs="Arial" w:eastAsia="Arial" w:hAnsi="Arial"/>
                <w:sz w:val="14"/>
                <w:szCs w:val="14"/>
                <w:b w:val="1"/>
                <w:bCs w:val="1"/>
                <w:color w:val="auto"/>
              </w:rPr>
              <w:t>Cash, cash equivalents and restricted cash:</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9"/>
        </w:trPr>
        <w:tc>
          <w:tcPr>
            <w:tcW w:w="7040" w:type="dxa"/>
            <w:vAlign w:val="bottom"/>
            <w:shd w:val="clear" w:color="auto" w:fill="CCEEFF"/>
          </w:tcPr>
          <w:p>
            <w:pPr>
              <w:ind w:left="340"/>
              <w:spacing w:after="0"/>
              <w:rPr>
                <w:sz w:val="20"/>
                <w:szCs w:val="20"/>
                <w:color w:val="auto"/>
              </w:rPr>
            </w:pPr>
            <w:r>
              <w:rPr>
                <w:rFonts w:ascii="Arial" w:cs="Arial" w:eastAsia="Arial" w:hAnsi="Arial"/>
                <w:sz w:val="14"/>
                <w:szCs w:val="14"/>
                <w:b w:val="1"/>
                <w:bCs w:val="1"/>
                <w:color w:val="auto"/>
              </w:rPr>
              <w:t>Increase (decrease) in cash, cash equivalents and restricted cash</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138,969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(587,311)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160,689</w:t>
            </w:r>
          </w:p>
        </w:tc>
      </w:tr>
      <w:tr>
        <w:trPr>
          <w:trHeight w:val="197"/>
        </w:trPr>
        <w:tc>
          <w:tcPr>
            <w:tcW w:w="7040" w:type="dxa"/>
            <w:vAlign w:val="bottom"/>
            <w:tcBorders>
              <w:bottom w:val="single" w:sz="8" w:color="CCEEFF"/>
            </w:tcBorders>
          </w:tcPr>
          <w:p>
            <w:pPr>
              <w:ind w:left="340"/>
              <w:spacing w:after="0"/>
              <w:rPr>
                <w:sz w:val="20"/>
                <w:szCs w:val="20"/>
                <w:color w:val="auto"/>
              </w:rPr>
            </w:pPr>
            <w:r>
              <w:rPr>
                <w:rFonts w:ascii="Arial" w:cs="Arial" w:eastAsia="Arial" w:hAnsi="Arial"/>
                <w:sz w:val="14"/>
                <w:szCs w:val="14"/>
                <w:b w:val="1"/>
                <w:bCs w:val="1"/>
                <w:color w:val="auto"/>
              </w:rPr>
              <w:t>Balance, beginning of period</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2,219,323</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2,806,634</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2,645,945</w:t>
            </w:r>
          </w:p>
        </w:tc>
      </w:tr>
      <w:tr>
        <w:trPr>
          <w:trHeight w:val="216"/>
        </w:trPr>
        <w:tc>
          <w:tcPr>
            <w:tcW w:w="7040" w:type="dxa"/>
            <w:vAlign w:val="bottom"/>
            <w:shd w:val="clear" w:color="auto" w:fill="CCEEFF"/>
          </w:tcPr>
          <w:p>
            <w:pPr>
              <w:ind w:left="340"/>
              <w:spacing w:after="0"/>
              <w:rPr>
                <w:sz w:val="20"/>
                <w:szCs w:val="20"/>
                <w:color w:val="auto"/>
              </w:rPr>
            </w:pPr>
            <w:r>
              <w:rPr>
                <w:rFonts w:ascii="Arial" w:cs="Arial" w:eastAsia="Arial" w:hAnsi="Arial"/>
                <w:sz w:val="14"/>
                <w:szCs w:val="14"/>
                <w:b w:val="1"/>
                <w:bCs w:val="1"/>
                <w:color w:val="auto"/>
              </w:rPr>
              <w:t>Balance, end of period</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2,358,292</w:t>
            </w:r>
          </w:p>
        </w:tc>
        <w:tc>
          <w:tcPr>
            <w:tcW w:w="4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2,219,323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w w:val="76"/>
              </w:rPr>
              <w:t>$</w:t>
            </w: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2,806,634</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115"/>
        </w:trPr>
        <w:tc>
          <w:tcPr>
            <w:tcW w:w="70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203"/>
        </w:trPr>
        <w:tc>
          <w:tcPr>
            <w:tcW w:w="70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cash flow disclosures</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97"/>
        </w:trPr>
        <w:tc>
          <w:tcPr>
            <w:tcW w:w="7040" w:type="dxa"/>
            <w:vAlign w:val="bottom"/>
          </w:tcPr>
          <w:p>
            <w:pPr>
              <w:ind w:left="340"/>
              <w:spacing w:after="0"/>
              <w:rPr>
                <w:sz w:val="20"/>
                <w:szCs w:val="20"/>
                <w:color w:val="auto"/>
              </w:rPr>
            </w:pPr>
            <w:r>
              <w:rPr>
                <w:rFonts w:ascii="Arial" w:cs="Arial" w:eastAsia="Arial" w:hAnsi="Arial"/>
                <w:sz w:val="14"/>
                <w:szCs w:val="14"/>
                <w:color w:val="auto"/>
              </w:rPr>
              <w:t>Cash paid for interest, net of amounts capitalized</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373,052</w:t>
            </w:r>
          </w:p>
        </w:tc>
        <w:tc>
          <w:tcPr>
            <w:tcW w:w="4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378,023</w:t>
            </w:r>
          </w:p>
        </w:tc>
        <w:tc>
          <w:tcPr>
            <w:tcW w:w="120" w:type="dxa"/>
            <w:vAlign w:val="bottom"/>
          </w:tcPr>
          <w:p>
            <w:pPr>
              <w:spacing w:after="0"/>
              <w:rPr>
                <w:sz w:val="17"/>
                <w:szCs w:val="17"/>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367,074</w:t>
            </w:r>
          </w:p>
        </w:tc>
      </w:tr>
      <w:tr>
        <w:trPr>
          <w:trHeight w:val="209"/>
        </w:trPr>
        <w:tc>
          <w:tcPr>
            <w:tcW w:w="70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Capitalized stock-based compensation</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350</w:t>
            </w:r>
          </w:p>
        </w:tc>
        <w:tc>
          <w:tcPr>
            <w:tcW w:w="4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80</w:t>
            </w:r>
          </w:p>
        </w:tc>
      </w:tr>
      <w:tr>
        <w:trPr>
          <w:trHeight w:val="197"/>
        </w:trPr>
        <w:tc>
          <w:tcPr>
            <w:tcW w:w="7040" w:type="dxa"/>
            <w:vAlign w:val="bottom"/>
          </w:tcPr>
          <w:p>
            <w:pPr>
              <w:ind w:left="360"/>
              <w:spacing w:after="0"/>
              <w:rPr>
                <w:sz w:val="20"/>
                <w:szCs w:val="20"/>
                <w:color w:val="auto"/>
              </w:rPr>
            </w:pPr>
            <w:r>
              <w:rPr>
                <w:rFonts w:ascii="Arial" w:cs="Arial" w:eastAsia="Arial" w:hAnsi="Arial"/>
                <w:sz w:val="14"/>
                <w:szCs w:val="14"/>
                <w:color w:val="auto"/>
              </w:rPr>
              <w:t>(Income tax refunds received) cash paid for income taxes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(16,811)</w:t>
            </w:r>
          </w:p>
        </w:tc>
        <w:tc>
          <w:tcPr>
            <w:tcW w:w="4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1,885</w:t>
            </w:r>
          </w:p>
        </w:tc>
        <w:tc>
          <w:tcPr>
            <w:tcW w:w="120" w:type="dxa"/>
            <w:vAlign w:val="bottom"/>
          </w:tcPr>
          <w:p>
            <w:pPr>
              <w:spacing w:after="0"/>
              <w:rPr>
                <w:sz w:val="17"/>
                <w:szCs w:val="17"/>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37,089</w:t>
            </w:r>
          </w:p>
        </w:tc>
      </w:tr>
      <w:tr>
        <w:trPr>
          <w:trHeight w:val="209"/>
        </w:trPr>
        <w:tc>
          <w:tcPr>
            <w:tcW w:w="70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Property and equipment acquired under capital lease</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1,413</w:t>
            </w:r>
          </w:p>
        </w:tc>
        <w:tc>
          <w:tcPr>
            <w:tcW w:w="4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16,593</w:t>
            </w:r>
          </w:p>
        </w:tc>
      </w:tr>
      <w:tr>
        <w:trPr>
          <w:trHeight w:val="197"/>
        </w:trPr>
        <w:tc>
          <w:tcPr>
            <w:tcW w:w="7040" w:type="dxa"/>
            <w:vAlign w:val="bottom"/>
          </w:tcPr>
          <w:p>
            <w:pPr>
              <w:ind w:left="340"/>
              <w:spacing w:after="0"/>
              <w:rPr>
                <w:sz w:val="20"/>
                <w:szCs w:val="20"/>
                <w:color w:val="auto"/>
              </w:rPr>
            </w:pPr>
            <w:r>
              <w:rPr>
                <w:rFonts w:ascii="Arial" w:cs="Arial" w:eastAsia="Arial" w:hAnsi="Arial"/>
                <w:sz w:val="14"/>
                <w:szCs w:val="14"/>
                <w:color w:val="auto"/>
              </w:rPr>
              <w:t>Liability settled with shares of common stock</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15,134</w:t>
            </w:r>
          </w:p>
        </w:tc>
        <w:tc>
          <w:tcPr>
            <w:tcW w:w="4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1,800</w:t>
            </w:r>
          </w:p>
        </w:tc>
        <w:tc>
          <w:tcPr>
            <w:tcW w:w="120" w:type="dxa"/>
            <w:vAlign w:val="bottom"/>
          </w:tcPr>
          <w:p>
            <w:pPr>
              <w:spacing w:after="0"/>
              <w:rPr>
                <w:sz w:val="17"/>
                <w:szCs w:val="17"/>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19,225</w:t>
            </w:r>
          </w:p>
        </w:tc>
      </w:tr>
      <w:tr>
        <w:trPr>
          <w:trHeight w:val="209"/>
        </w:trPr>
        <w:tc>
          <w:tcPr>
            <w:tcW w:w="70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Accounts and construction payables related to property and equipment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163,471</w:t>
            </w:r>
          </w:p>
        </w:tc>
        <w:tc>
          <w:tcPr>
            <w:tcW w:w="4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202,981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166,790</w:t>
            </w:r>
          </w:p>
        </w:tc>
      </w:tr>
      <w:tr>
        <w:trPr>
          <w:trHeight w:val="197"/>
        </w:trPr>
        <w:tc>
          <w:tcPr>
            <w:tcW w:w="7040" w:type="dxa"/>
            <w:vAlign w:val="bottom"/>
          </w:tcPr>
          <w:p>
            <w:pPr>
              <w:ind w:left="340"/>
              <w:spacing w:after="0"/>
              <w:rPr>
                <w:sz w:val="20"/>
                <w:szCs w:val="20"/>
                <w:color w:val="auto"/>
              </w:rPr>
            </w:pPr>
            <w:r>
              <w:rPr>
                <w:rFonts w:ascii="Arial" w:cs="Arial" w:eastAsia="Arial" w:hAnsi="Arial"/>
                <w:sz w:val="14"/>
                <w:szCs w:val="14"/>
                <w:color w:val="auto"/>
              </w:rPr>
              <w:t>Other liabilities related to intangible assets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13,945</w:t>
            </w:r>
          </w:p>
        </w:tc>
        <w:tc>
          <w:tcPr>
            <w:tcW w:w="4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209"/>
        </w:trPr>
        <w:tc>
          <w:tcPr>
            <w:tcW w:w="70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Financing costs included in accounts payable and other liabilities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1,857</w:t>
            </w:r>
          </w:p>
        </w:tc>
        <w:tc>
          <w:tcPr>
            <w:tcW w:w="4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r>
      <w:tr>
        <w:trPr>
          <w:trHeight w:val="191"/>
        </w:trPr>
        <w:tc>
          <w:tcPr>
            <w:tcW w:w="7040" w:type="dxa"/>
            <w:vAlign w:val="bottom"/>
          </w:tcPr>
          <w:p>
            <w:pPr>
              <w:ind w:left="340"/>
              <w:spacing w:after="0"/>
              <w:rPr>
                <w:sz w:val="20"/>
                <w:szCs w:val="20"/>
                <w:color w:val="auto"/>
              </w:rPr>
            </w:pPr>
            <w:r>
              <w:rPr>
                <w:rFonts w:ascii="Arial" w:cs="Arial" w:eastAsia="Arial" w:hAnsi="Arial"/>
                <w:sz w:val="14"/>
                <w:szCs w:val="14"/>
                <w:color w:val="auto"/>
              </w:rPr>
              <w:t>Dividends payable on unvested restricted stock included in other accrued liabilities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6,690</w:t>
            </w:r>
          </w:p>
        </w:tc>
        <w:tc>
          <w:tcPr>
            <w:tcW w:w="4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4,375</w:t>
            </w:r>
          </w:p>
        </w:tc>
        <w:tc>
          <w:tcPr>
            <w:tcW w:w="12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3,220</w:t>
            </w:r>
          </w:p>
        </w:tc>
      </w:tr>
    </w:tbl>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Business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25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Wynn Resorts, Limited, a Nevada corporation (together with its subsidiaries, "Wynn Resorts" or the "Company") is a designer, developer, and operator of integrated resorts featuring luxury hotel rooms, high-end retail space, an array of dining and entertainment options, meeting and convention facilities, and gaming.</w:t>
      </w:r>
    </w:p>
    <w:p>
      <w:pPr>
        <w:spacing w:after="0" w:line="208"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 the Macau Special Administrative Region of the People's Republic of China ("Macau"), the Company owns approximately 72% of Wynn Macau, Limited ("WML"), which includes the operations of the Wynn Palace and Wynn Macau resorts. The Company refers to Wynn Palace and Wynn Macau as its Macau Operations. In Las Vegas, Nevada, the Company operates and, with the exception of certain retail space, owns 100% of Wynn Las Vegas. Additionally, the Company is a 50.1% owner and managing member of a joint venture that owns and leases certain retail space at Wynn Las Vegas (the "Retail Joint Venture"). The Company refers to Wynn Las Vegas and the Retail Joint Venture as its Las Vegas Operations. On June 23, 2019, the Company opened Encore Boston Harbor, an integrated resort in Everett, Massachusetts, that is owned 100% by the Company.</w:t>
      </w:r>
    </w:p>
    <w:p>
      <w:pPr>
        <w:spacing w:after="0" w:line="20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September 20, 2019, and concurrently with the Refinancing Transactions (as defined and discussed in Note 7, "Long-Term Debt"), Wynn Resorts contributed all of its equity interests in Wynn Group Asia, Inc. ("Wynn Asia") to Wynn Resorts Finance, LLC, which was formerly known as Wynn America, LLC ("WRF"), making Wynn Asia a wholly owned subsidiary of WRF. WRF is an indirect wholly owned subsidiary of Wynn Resorts. Wynn Asia is a holding company that holds Wynn Resorts' approximately 72% controlling interest in WML.</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Macau Operations</w:t>
      </w:r>
    </w:p>
    <w:p>
      <w:pPr>
        <w:spacing w:after="0" w:line="252"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Wynn Palace, which opened in August 2016, features a luxury hotel tower with 1,706 guest rooms, suites and villas, approximately 424,000 square feet of casino space, 14 food and beverage outlets, approximately 37,000 square feet of meeting and convention space, approximately 106,000 square feet of retail space, public attractions including a performance lake and floral art displays, and recreation and leisure facilities.</w:t>
      </w:r>
    </w:p>
    <w:p>
      <w:pPr>
        <w:spacing w:after="0" w:line="19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Wynn Macau features two luxury hotel towers with a total of 1,010 guest rooms and suites, approximately 252,000 square feet of casino space, 12 food and beverage outlets, approximately 31,000 square feet of meeting and convention space, approximately 59,000 square feet of retail space, a rotunda show and recreation and leisure facilities.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Las Vegas Operations</w:t>
      </w:r>
    </w:p>
    <w:p>
      <w:pPr>
        <w:spacing w:after="0" w:line="25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Wynn Las Vegas features two luxury hotel towers with a total of 4,748 guest rooms, suites and villas, approximately 192,000 square feet of casino space, 33 food and beverage outlets, approximately 507,000 square feet of meeting and convention space (including the 217,000 square foot Meeting and Convention Expansion that opened in February 2020, as discussed in </w:t>
      </w:r>
      <w:r>
        <w:rPr>
          <w:rFonts w:ascii="Arial" w:cs="Arial" w:eastAsia="Arial" w:hAnsi="Arial"/>
          <w:sz w:val="18"/>
          <w:szCs w:val="18"/>
          <w:i w:val="1"/>
          <w:iCs w:val="1"/>
          <w:color w:val="auto"/>
        </w:rPr>
        <w:t>Development Projects</w:t>
      </w:r>
      <w:r>
        <w:rPr>
          <w:rFonts w:ascii="Arial" w:cs="Arial" w:eastAsia="Arial" w:hAnsi="Arial"/>
          <w:sz w:val="18"/>
          <w:szCs w:val="18"/>
          <w:color w:val="auto"/>
        </w:rPr>
        <w:t xml:space="preserve"> below), approximately 160,000 square feet of retail space (the majority of which is owned and operated under a joint venture of which the Company owns 50.1%), as well as two theaters, three nightclubs and a beach club and recreation and leisure facilities.</w:t>
      </w:r>
    </w:p>
    <w:p>
      <w:pPr>
        <w:spacing w:after="0" w:line="21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December 2016, the Company entered into a joint venture arrangement (the "Retail Joint Venture") with Crown Acquisitions Inc. ("Crown") to own and operate approximately 88,000 square feet of existing retail space. In November 2017, the Company contributed approximately 74,000 square feet of additional retail space to the Retail Joint Venture. The Company opened the additional retail space during the fourth quarter of 2018. For more information on the Retail Joint Venture, see Note 18, "Retail Joint Venture."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Encore Boston Harbor</w:t>
      </w:r>
    </w:p>
    <w:p>
      <w:pPr>
        <w:spacing w:after="0" w:line="25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June 23, 2019, the Company opened Encore Boston Harbor, an integrated resort in Everett, Massachusetts, adjacent to Boston along the Mystic River. The property features a luxury hotel tower with a total of 671 guest rooms and suites, approximately 210,000 square feet of casino space, 16 food and beverage outlets, approximately 71,000 square feet of meeting and convention space, and approximately 8,000 square feet of retail space. Public attractions include a waterfront park, floral displays, and water shuttle service to downtown Boston.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7" w:name="page68"/>
    <w:bookmarkEnd w:id="6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Development Projects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 February 2020, the Company opened its meeting and convention space expansion at Wynn Las Vegas (the "Meeting and Convention Expansion").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facility features approximately 217,000 square feet of state-of-the-art meeting and convention space available for group reservations.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Subsequent Events</w:t>
      </w:r>
    </w:p>
    <w:p>
      <w:pPr>
        <w:spacing w:after="0" w:line="252"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In January 2020, an outbreak of a new strain of coronavirus, COVID-19, was identified in Wuhan, China. Currently, no fully effective vaccines have been developed and there can be no assurance that an effective vaccine can be discovered in time to protect against a potential pandemic.</w:t>
      </w:r>
    </w:p>
    <w:p>
      <w:pPr>
        <w:spacing w:after="0" w:line="174"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 response, on February 4, 2020, the Macau government announced the closure of all casino operations in Macau, including those at Wynn Palace and Wynn Macau, for a period of 15 days. On February 20, 2020, the Company's casino operations at Wynn Palace and Wynn Macau reopened on a reduced basis, and are expected to fully reopen by March 20, 2020 (the deadline set by the Macau government for Macau casinos to fully reopen). Since reopening, all casinos in Macau are subject to a number of government procedures which address the health and safety of staff and patrons, including limitations on the spacing of open tables and slot machines to ensure adequate distance between people, stopping patrons from congregating together, limiting the number of players and spectators at a table to three to four, temperature checks, mask protection, and health declarations.</w:t>
      </w:r>
    </w:p>
    <w:p>
      <w:pPr>
        <w:spacing w:after="0" w:line="20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Visitation to Macau has fallen precipitously since the outbreak of Coronavirus, driven by the Chinese government's suspension of its visa and group tour schemes that allow mainland Chinese residents to travel to Macau, quarantines in certain cities in mainland China, and the suspension by the Hong Kong government of ferry service from Hong Kong to Macau until further notice.</w:t>
      </w:r>
    </w:p>
    <w:p>
      <w:pPr>
        <w:spacing w:after="0" w:line="20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US government has put in place restrictions on travel to the US from mainland China, and could expand the restrictions. A significant portion of the Company's US business relies on the willingness and ability of premium international customers to travel to the US, including from mainland China. As such, the Company's Las Vegas Operations and operations at Encore Boston Harbor may also be adversely impacted.</w:t>
      </w:r>
    </w:p>
    <w:p>
      <w:pPr>
        <w:spacing w:after="0" w:line="193"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Coronavirus outbreak has had and will have an adverse effect on the Company's results of operations. Given the uncertainty around the extent and timing of the potential future spread or mitigation of the Coronavirus and around the imposition or relaxation of protective measures, management cannot reasonably estimate the impact to the Company's future results of operations, cash flows, or financial condition.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and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 and Principles of Consolidation</w:t>
      </w:r>
    </w:p>
    <w:p>
      <w:pPr>
        <w:spacing w:after="0" w:line="252"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The accompanying consolidated financial statements have been prepared in accordance with U.S. generally accepted accounting principles ("GAAP") and include the accounts of the Company, its majority-owned subsidiaries, and entities the Company identifies as variable interest entities ("VIEs") of which the Company is determined to be the primary beneficiary. For information on the Company's VIEs, see Note 18, "Retail Joint Venture." All significant intercompany accounts and transactions have been eliminated.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52"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Cash Equivalents and Restricted Cash</w:t>
      </w:r>
    </w:p>
    <w:p>
      <w:pPr>
        <w:spacing w:after="0" w:line="252"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Cash and cash equivalents consist of cash and highly liquid investments with original maturities of three months or less and include both U.S. dollar-denominated and foreign currency-denominated securities. Cash equivalents are carried at cost,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8" w:name="page69"/>
    <w:bookmarkEnd w:id="6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which approximates fair value. Restricted cash primarily represents those amounts reserved in accordance with WML's share award plan.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and Credit Risk</w:t>
      </w:r>
    </w:p>
    <w:p>
      <w:pPr>
        <w:spacing w:after="0" w:line="252"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w:t>
      </w:r>
    </w:p>
    <w:p>
      <w:pPr>
        <w:spacing w:after="0" w:line="19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Accounts receivable, including casino and hotel receivables, are typically non-interest bearing and are initially recorded at cost. An estimated allowance for doubtful accounts is maintained to reduce the Company's receivables to their carrying amount, which approximates fair value. The allowance estimate reflects specific review of customer accounts and outstanding gaming promoter accounts as well as management's experience with historical and current collection trends and current economic and business conditions. Accounts are written off when management deems them to be uncollectible. Recoveries of accounts previously written off are recorded when received.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25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Inventories consist of retail merchandise and food and beverage items, which are stated at the lower of cost or net realizable value, and certain operating supplies. Cost is determined by the first-in, first-out, weighted average and specific identification methods.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25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Purchases of property and equipment are stated at cost, and when placed into service, are depreciated over the estimated useful lives of the assets using the straight-line method as follows:</w:t>
      </w:r>
    </w:p>
    <w:tbl>
      <w:tblPr>
        <w:tblLayout w:type="fixed"/>
        <w:tblInd w:w="0" w:type="dxa"/>
        <w:tblCellMar>
          <w:top w:w="0" w:type="dxa"/>
          <w:left w:w="0" w:type="dxa"/>
          <w:bottom w:w="0" w:type="dxa"/>
          <w:right w:w="0" w:type="dxa"/>
        </w:tblCellMar>
      </w:tblPr>
      <w:tr>
        <w:trPr>
          <w:trHeight w:val="192"/>
        </w:trPr>
        <w:tc>
          <w:tcPr>
            <w:tcW w:w="6700" w:type="dxa"/>
            <w:vAlign w:val="bottom"/>
            <w:tcBorders>
              <w:bottom w:val="single" w:sz="8" w:color="CCEEFF"/>
            </w:tcBorders>
          </w:tcPr>
          <w:p>
            <w:pPr>
              <w:spacing w:after="0"/>
              <w:rPr>
                <w:sz w:val="16"/>
                <w:szCs w:val="16"/>
                <w:color w:val="auto"/>
              </w:rPr>
            </w:pPr>
          </w:p>
        </w:tc>
        <w:tc>
          <w:tcPr>
            <w:tcW w:w="4720" w:type="dxa"/>
            <w:vAlign w:val="bottom"/>
            <w:tcBorders>
              <w:bottom w:val="single" w:sz="8" w:color="auto"/>
            </w:tcBorders>
          </w:tcPr>
          <w:p>
            <w:pPr>
              <w:ind w:left="1420"/>
              <w:spacing w:after="0"/>
              <w:rPr>
                <w:sz w:val="20"/>
                <w:szCs w:val="20"/>
                <w:color w:val="auto"/>
              </w:rPr>
            </w:pPr>
            <w:r>
              <w:rPr>
                <w:rFonts w:ascii="Arial" w:cs="Arial" w:eastAsia="Arial" w:hAnsi="Arial"/>
                <w:sz w:val="14"/>
                <w:szCs w:val="14"/>
                <w:b w:val="1"/>
                <w:bCs w:val="1"/>
                <w:color w:val="auto"/>
              </w:rPr>
              <w:t>Estimated Useful Life in Years</w:t>
            </w:r>
          </w:p>
        </w:tc>
      </w:tr>
      <w:tr>
        <w:trPr>
          <w:trHeight w:val="256"/>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 and improvements</w:t>
            </w:r>
          </w:p>
        </w:tc>
        <w:tc>
          <w:tcPr>
            <w:tcW w:w="4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10 - 45</w:t>
            </w:r>
          </w:p>
        </w:tc>
      </w:tr>
      <w:tr>
        <w:trPr>
          <w:trHeight w:val="270"/>
        </w:trPr>
        <w:tc>
          <w:tcPr>
            <w:tcW w:w="6700" w:type="dxa"/>
            <w:vAlign w:val="bottom"/>
          </w:tcPr>
          <w:p>
            <w:pPr>
              <w:ind w:left="20"/>
              <w:spacing w:after="0"/>
              <w:rPr>
                <w:sz w:val="20"/>
                <w:szCs w:val="20"/>
                <w:color w:val="auto"/>
              </w:rPr>
            </w:pPr>
            <w:r>
              <w:rPr>
                <w:rFonts w:ascii="Arial" w:cs="Arial" w:eastAsia="Arial" w:hAnsi="Arial"/>
                <w:sz w:val="18"/>
                <w:szCs w:val="18"/>
                <w:color w:val="auto"/>
              </w:rPr>
              <w:t>Land improvements</w:t>
            </w:r>
          </w:p>
        </w:tc>
        <w:tc>
          <w:tcPr>
            <w:tcW w:w="4720" w:type="dxa"/>
            <w:vAlign w:val="bottom"/>
          </w:tcPr>
          <w:p>
            <w:pPr>
              <w:jc w:val="center"/>
              <w:spacing w:after="0"/>
              <w:rPr>
                <w:sz w:val="20"/>
                <w:szCs w:val="20"/>
                <w:color w:val="auto"/>
              </w:rPr>
            </w:pPr>
            <w:r>
              <w:rPr>
                <w:rFonts w:ascii="Arial" w:cs="Arial" w:eastAsia="Arial" w:hAnsi="Arial"/>
                <w:sz w:val="18"/>
                <w:szCs w:val="18"/>
                <w:color w:val="auto"/>
                <w:w w:val="92"/>
              </w:rPr>
              <w:t>10 - 45</w:t>
            </w:r>
          </w:p>
        </w:tc>
      </w:tr>
      <w:tr>
        <w:trPr>
          <w:trHeight w:val="27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fixtures and equipment</w:t>
            </w:r>
          </w:p>
        </w:tc>
        <w:tc>
          <w:tcPr>
            <w:tcW w:w="4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3 - 20</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Leasehold interest in land</w:t>
            </w:r>
          </w:p>
        </w:tc>
        <w:tc>
          <w:tcPr>
            <w:tcW w:w="4720" w:type="dxa"/>
            <w:vAlign w:val="bottom"/>
          </w:tcPr>
          <w:p>
            <w:pPr>
              <w:jc w:val="center"/>
              <w:spacing w:after="0"/>
              <w:rPr>
                <w:sz w:val="20"/>
                <w:szCs w:val="20"/>
                <w:color w:val="auto"/>
              </w:rPr>
            </w:pPr>
            <w:r>
              <w:rPr>
                <w:rFonts w:ascii="Arial" w:cs="Arial" w:eastAsia="Arial" w:hAnsi="Arial"/>
                <w:sz w:val="18"/>
                <w:szCs w:val="18"/>
                <w:color w:val="auto"/>
                <w:w w:val="89"/>
              </w:rPr>
              <w:t>25</w:t>
            </w:r>
          </w:p>
        </w:tc>
      </w:tr>
      <w:tr>
        <w:trPr>
          <w:trHeight w:val="27"/>
        </w:trPr>
        <w:tc>
          <w:tcPr>
            <w:tcW w:w="670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4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Airplanes</w:t>
            </w:r>
          </w:p>
        </w:tc>
        <w:tc>
          <w:tcPr>
            <w:tcW w:w="4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w:t>
            </w:r>
          </w:p>
        </w:tc>
      </w:tr>
      <w:tr>
        <w:trPr>
          <w:trHeight w:val="27"/>
        </w:trPr>
        <w:tc>
          <w:tcPr>
            <w:tcW w:w="6700" w:type="dxa"/>
            <w:vAlign w:val="bottom"/>
            <w:shd w:val="clear" w:color="auto" w:fill="CCEEFF"/>
          </w:tcPr>
          <w:p>
            <w:pPr>
              <w:spacing w:after="0"/>
              <w:rPr>
                <w:sz w:val="2"/>
                <w:szCs w:val="2"/>
                <w:color w:val="auto"/>
              </w:rPr>
            </w:pPr>
          </w:p>
        </w:tc>
        <w:tc>
          <w:tcPr>
            <w:tcW w:w="472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Costs related to improvements are capitalized, while costs of repairs and maintenance are charged to expense as incurred. The cost and accumulated depreciation of property and equipment retired or otherwise disposed of are eliminated from the respective accounts and any resulting gain or loss is included in property charges and other.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Capitalized Interest</w:t>
      </w:r>
    </w:p>
    <w:p>
      <w:pPr>
        <w:spacing w:after="0" w:line="25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interest cost associated with major development and construction projects is capitalized and included in the cost of the project. Interest capitalization ceases once a project is substantially complete or no longer undergoing construction activities to prepare it for its intended use. When no debt is specifically identified as being incurred in connection with a construction project, the Company capitalizes interest on amounts expended on the project using the weighted average cost of the Company's outstanding borrowings. Interest of $53.9 million, $57.3 million, and $18.4 million was capitalized for the years ended December 31, 2019, 2018, and 2017,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25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Company's intangible assets consist primarily of finite-lived intangible assets, including its Macau gaming concession and Massachusetts gaming license. Finite-lived intangible assets are amortized over the shorter of their contractual terms or estimated useful lives. The Company's indefinite-lived intangible assets are not amortized, but are reviewed for impairment annually.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9" w:name="page70"/>
    <w:bookmarkEnd w:id="6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w:t>
      </w:r>
    </w:p>
    <w:p>
      <w:pPr>
        <w:spacing w:after="0" w:line="252"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Long-lived assets, which are to be held and used, including finite-lived intangible assets and property and equipment, are periodically reviewed by management for impairment whenever events or changes in circumstances indicate that the carrying value of the asset may not be recoverable. If an indicator of impairment exists, the Company compares the estimated future cash flows of the asset, on an undiscounted basis, to the carrying value of the asset. If the undiscounted cash flows exceed the carrying value, no impairment is indicated. If the undiscounted cash flows do not exceed the carrying value, then impairment is measured as the difference between fair value and carrying value, with fair value typically based on a discounted cash flow model. If an asset is still under development, future cash flows include remaining construction costs.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Lessee Arrangements</w:t>
      </w:r>
    </w:p>
    <w:p>
      <w:pPr>
        <w:spacing w:after="0" w:line="252"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The Company is the lessee under non-cancelable real estate and equipment leases. Beginning on January 1, 2019 (the date of the Company's adoption of Topic 842, as defined and discussed further in "Recently Adopted Accounting Standards"), operating lease assets and liabilities are measured and recorded upon lease commencement at the present value of the future minimum lease payments. The Company combines lease and nonlease components in its determination of minimum lease payments, except for certain asset classes that have significant nonlease components. As the interest rate implicit in its leases is not readily determinable, the Company uses its incremental borrowing rate to determine the present value of lease payments. The Company does not record an asset or liability for operating leases with a term of less than one year. Variable lease costs generally arise from changes in an index, such as the consumer price index. Variable lease costs are expensed as incurred and are not included in the determination of lease assets or liabilities. Prior to the adoption of Topic 842 on January 1, 2019, the Company did not record an asset or liability for any of its operating leases.</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Lessor Arrangements</w:t>
      </w:r>
    </w:p>
    <w:p>
      <w:pPr>
        <w:spacing w:after="0" w:line="252"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The Company is the lessor under non-cancelable operating leases for retail and food and beverage outlet space at its integrated resorts, which represents approximately 100,000, 59,000, 140,000, and 35,500 square feet of space at Wynn Palace, Wynn Macau, Wynn Las Vegas, and Encore Boston Harbor, respectively. The lease arrangements generally include minimum base rent and contingent rental clauses based on a percentage of net sales. Generally, the terms of the leases range between five and 10 years. The Company records revenue on a straight-line basis over the term of the lease, and recognizes revenue for contingent rentals when the contingency has been resolved. The Company has elected to combine lease and nonlease components for the purpose of measuring lease revenue. Lease revenue is recorded in Entertainment, retail and other revenue in the accompanying Consolidated Statements of Income.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Costs</w:t>
      </w:r>
    </w:p>
    <w:p>
      <w:pPr>
        <w:spacing w:after="0" w:line="252"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Direct and incremental costs and original issue discounts and premiums incurred in connection with the issuance of long-term debt are deferred and amortized to interest expense using the effective interest method or, if the amounts approximate the effective interest method, on a straight-line basis. Debt issuance costs incurred in connection with the issuance of the Company's revolving credit facilities are presented in noncurrent assets on the Consolidated Balance Sheets. All other debt issuance costs are presented as a direct reduction of long-term debt on the Consolidated Balance Sheets. Approximately $29.0 million, $36.9 million, and $25.0 million was amortized to interest expense during the years ended December 31, 2019, 2018, and 2017,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Price Promissory Note</w:t>
      </w:r>
    </w:p>
    <w:p>
      <w:pPr>
        <w:spacing w:after="0" w:line="252"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On February 18, 2012, pursuant to its articles of incorporation, the Company redeemed and canceled all Aruze USA, Inc.’s ("Aruze") 24,549,222 shares of Wynn Resorts’ common stock. In connection with the redemption of the shares, the Company issued a promissory note (the "Redemption Note") with a principal amount of $1.94 billion, a maturity date of February 18, 2022 and an interest rate of 2% per annum, payable annually in arrears on each anniversary of the date of the Redemption Note. The Redemption Note was recorded at fair value in accordance with applicable accounting guidance. The Company repaid the principal amount in full on March 30, 2018. As of December 31, 2017, the fair value of the Redemption Note was $1.88 billion.</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0" w:name="page71"/>
    <w:bookmarkEnd w:id="7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determining this fair value, the Company estimated the Redemption Note's present value using discounted cash flows with a probability weighted expected return for redemption assumptions and a discount rate, which included time value and non-performance risk adjustments commensurate with the risk of the Redemption Note.</w:t>
      </w:r>
    </w:p>
    <w:p>
      <w:pPr>
        <w:spacing w:after="0" w:line="208"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In determining the appropriate discount rate to be used to calculate the estimated present value, the Company considered the Redemption Note's subordinated position and credit risk relative to all other debt in the Company's capital structure and credit ratings associated with the Company's traded debt. Observable inputs for the risk free rate were based on Federal Reserve rates for U.S. Treasury securities and the credit risk spread was based on a yield curve index of similarly rated debt.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23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7"/>
          <w:szCs w:val="17"/>
          <w:color w:val="auto"/>
        </w:rPr>
        <w:t>The Company has an interest rate collar to manage interest rate exposure on its Retail Term Loan (as defined in Note 7, "Long-Term Debt"). The Company measures the fair value of the interest rate collar at each balance sheet date based on a Black-Scholes option pricing model, which incorporates observable market inputs such as market volatility and interest rates. The fair value of the interest rate collar is recognized as an asset or liability at each balance sheet date, with changes in fair value recorded in earnings as the Company's interest rate collar does not qualify for hedge accounting. The fair value approximates the amount the Company would pay if the interest rate collar was settled at the respective valuation date.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5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Company's revenue from contracts with customers primarily consists of casino wagers and sales of rooms, food and beverage, entertainment, retail and other goods and services.</w:t>
      </w:r>
    </w:p>
    <w:p>
      <w:pPr>
        <w:spacing w:after="0" w:line="103"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Gross casino revenues are measured by the aggregate net difference between gaming wins and losses. The Company applies a practical expedient by accounting for its casino wagering transactions on a portfolio basis versus an individual basis as all wagers have similar characteristics. Commissions rebated to customers either directly or indirectly through games promoters and cash discounts and other cash incentives earned by customers are recorded as a reduction of casino revenues. In addition to the wager, casino transactions typically include performance obligations related to complimentary goods or services provided to incentivize future gaming or in exchange for points earned under the Company's loyalty programs.</w:t>
      </w:r>
    </w:p>
    <w:p>
      <w:pPr>
        <w:spacing w:after="0" w:line="7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For casino transactions that include complimentary goods or services provided by the Company to incentivize future gaming, the Company allocates the standalone selling price of each good or service to the appropriate revenue type based on the good or service provided. Complimentary goods or services that are provided under the Company's control and discretion and supplied by third parties are recorded as an operating expense.</w:t>
      </w:r>
    </w:p>
    <w:p>
      <w:pPr>
        <w:spacing w:after="0" w:line="98"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Company offers loyalty programs at each of its resorts. Under the programs at Encore Boston Harbor and the Company's Macau Operations, customers earn points based on their level of table games and slots play, which can be redeemed for free play, gifts and complimentary goods or services provided by the Company. Under the program at its Las Vegas Operations, customers earn points based on their level of slots play, which can be redeemed for free play. For casino transactions that include points earned under the Company's loyalty programs, the Company defers a portion of the revenue by recording the estimated standalone selling price of the earned points that are expected to be redeemed as a liability.</w:t>
      </w:r>
    </w:p>
    <w:p>
      <w:pPr>
        <w:spacing w:after="0" w:line="105" w:lineRule="exact"/>
        <w:rPr>
          <w:sz w:val="20"/>
          <w:szCs w:val="20"/>
          <w:color w:val="auto"/>
        </w:rPr>
      </w:pPr>
    </w:p>
    <w:p>
      <w:pPr>
        <w:jc w:val="both"/>
        <w:ind w:firstLine="405"/>
        <w:spacing w:after="0" w:line="243" w:lineRule="auto"/>
        <w:rPr>
          <w:sz w:val="20"/>
          <w:szCs w:val="20"/>
          <w:color w:val="auto"/>
        </w:rPr>
      </w:pPr>
      <w:r>
        <w:rPr>
          <w:rFonts w:ascii="Arial" w:cs="Arial" w:eastAsia="Arial" w:hAnsi="Arial"/>
          <w:sz w:val="18"/>
          <w:szCs w:val="18"/>
          <w:color w:val="auto"/>
        </w:rPr>
        <w:t>Upon redemption of the points for Company-owned goods or services, the standalone selling price of each good or service is allocated to the appropriate revenue type based on the good or service provided. Upon the redemption of points with third parties, the redemption amount is deducted from the liability and paid directly to the third party with any difference between the amount paid and the stand-alone selling price recorded as Entertainment, retail and other revenue in the accompanying Consolidated Statements of Income.</w:t>
      </w:r>
    </w:p>
    <w:p>
      <w:pPr>
        <w:spacing w:after="0" w:line="21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After allocating amounts to the complimentary goods or services provided and to the points earned under the Company's loyalty programs, the residual amount is recorded as casino revenue when the wager is settled.</w:t>
      </w:r>
    </w:p>
    <w:p>
      <w:pPr>
        <w:spacing w:after="0" w:line="8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transaction price for rooms, food and beverage, entertainment, retail and other transactions is the net amount collected from the customer for such goods and services and is recorded as revenue when the goods are provided, services are performed or events are held. Sales tax and other applicable taxes collected by the Company are excluded from revenues. Advance deposits on rooms and advance ticket sales are performance obligations that are recorded as customer deposits until services are provided to the customer. Revenues from contracts with multiple goods or services are allocated to each good or service based on its relative standalone selling price. As previously noted, Entertainment, retail and other revenue also includes lease revenue, which is recognized in accordance with Topic 842.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1" w:name="page72"/>
    <w:bookmarkEnd w:id="7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Gaming Taxes</w:t>
      </w:r>
    </w:p>
    <w:p>
      <w:pPr>
        <w:spacing w:after="0" w:line="252"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The Company is subject to taxes based on gross gaming revenues in the jurisdictions in which it operates, subject to applicable jurisdictional adjustments. These gaming taxes are recorded as casino expenses in the accompanying Consolidated Statements of Income. These taxes totaled $2.24 billion, $2.44 billion, and $2.17 billion for the years ended December 31, 2019, 2018, and 2017,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Costs</w:t>
      </w:r>
    </w:p>
    <w:p>
      <w:pPr>
        <w:spacing w:after="0" w:line="252"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The cost of advertising is expensed as incurred, and totaled $61.3 million, $40.6 million, and $37.8 million for the years ended December 31, 2019, 2018, and 2017,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Pre-opening Expenses</w:t>
      </w:r>
    </w:p>
    <w:p>
      <w:pPr>
        <w:spacing w:after="0" w:line="252"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Pre-opening expenses represent personnel, advertising, and other costs incurred prior to the opening of new ventures and are expensed as incurred. During the years ended December 31, 2019, 2018, and 2017, the Company incurred pre-opening expenses primarily in connection with the development of Encore Boston Harbor.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52" w:lineRule="exact"/>
        <w:rPr>
          <w:sz w:val="20"/>
          <w:szCs w:val="20"/>
          <w:color w:val="auto"/>
        </w:rPr>
      </w:pPr>
    </w:p>
    <w:p>
      <w:pPr>
        <w:jc w:val="both"/>
        <w:ind w:firstLine="446"/>
        <w:spacing w:after="0" w:line="272" w:lineRule="auto"/>
        <w:rPr>
          <w:sz w:val="20"/>
          <w:szCs w:val="20"/>
          <w:color w:val="auto"/>
        </w:rPr>
      </w:pPr>
      <w:r>
        <w:rPr>
          <w:rFonts w:ascii="Arial" w:cs="Arial" w:eastAsia="Arial" w:hAnsi="Arial"/>
          <w:sz w:val="17"/>
          <w:szCs w:val="17"/>
          <w:color w:val="auto"/>
        </w:rPr>
        <w:t>The Company is subject to income taxes in the U.S. and foreign jurisdictions where it operates. Accounting standards require the recognition of deferred tax assets, net of applicable reserves, and liabilities for the estimated future tax consequences attributable to differences between financial statement carrying amounts of existing assets and liabilities and their respective tax bases and operating loss and tax credit carryforwards. Deferred tax assets and liabilities are measured using enacted tax rates in effect for the year in which those temporary differences are expected to be recovered or settled. The effect of a change in tax rates on the income tax provision and deferred tax assets and liabilities generally is recognized in the results of operations in the period that includes the enactment date. Accounting standards also require recognition of a future tax benefit to the extent that realization of such benefit is more likely than not; otherwise, a valuation allowance is applied.</w:t>
      </w:r>
    </w:p>
    <w:p>
      <w:pPr>
        <w:spacing w:after="0" w:line="205" w:lineRule="exact"/>
        <w:rPr>
          <w:sz w:val="20"/>
          <w:szCs w:val="20"/>
          <w:color w:val="auto"/>
        </w:rPr>
      </w:pPr>
    </w:p>
    <w:p>
      <w:pPr>
        <w:jc w:val="both"/>
        <w:ind w:firstLine="446"/>
        <w:spacing w:after="0" w:line="312" w:lineRule="auto"/>
        <w:rPr>
          <w:sz w:val="20"/>
          <w:szCs w:val="20"/>
          <w:color w:val="auto"/>
        </w:rPr>
      </w:pPr>
      <w:r>
        <w:rPr>
          <w:rFonts w:ascii="Arial" w:cs="Arial" w:eastAsia="Arial" w:hAnsi="Arial"/>
          <w:sz w:val="16"/>
          <w:szCs w:val="16"/>
          <w:color w:val="auto"/>
        </w:rPr>
        <w:t>The Company's income tax returns are subject to examination by the Internal Revenue Service ("IRS") and other tax authorities in the locations where it operates. The Company assesses potentially unfavorable outcomes of such examinations based on accounting standards for uncertain income taxes. The accounting standards prescribe a minimum recognition threshold a tax position is required to meet before being recognized in the financial statements.</w:t>
      </w:r>
    </w:p>
    <w:p>
      <w:pPr>
        <w:spacing w:after="0" w:line="174"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Uncertain tax position accounting standards apply to all tax positions related to income taxes. These accounting standards utilize a two-step approach for evaluating tax positions. If a tax position, based on its technical merits, is deemed more likely than not to be sustained, then the tax benefit is measured as the largest amount of benefit that is more likely than not to be realized upon settlement.</w:t>
      </w:r>
    </w:p>
    <w:p>
      <w:pPr>
        <w:spacing w:after="0" w:line="20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applicable, the Company will recognize accrued penalties and interest related to unrecognized tax benefits in the provision for income taxes.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252"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Gains or losses from foreign currency remeasurements are included in Other income (expense) in the accompanying Consolidated Statements of Income. Balance sheet accounts are translated at the exchange rate in effect at each balance sheet date and income statement accounts are translated at the average rate of exchange prevailing during the year. Translation adjustments resulting from this process are charged or credited to other comprehensive income (loss).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Income and Accumulated Other Comprehensive Income (Loss)</w:t>
      </w:r>
    </w:p>
    <w:p>
      <w:pPr>
        <w:spacing w:after="0" w:line="252"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Comprehensive income includes net income and all other non-stockholder changes in equity or other comprehensive income (loss). Components of the Company's comprehensive income are reported in the accompanying Consolidated Statements of Stockholders' Equity and Consolidated Statements of Comprehensive Income.</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72" w:name="page73"/>
    <w:bookmarkEnd w:id="7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252"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The Company measures certain of its financial assets and liabilities, at fair value on a recurring basis pursuant to accounting standards for fair value measurements. Fair value is the price that would be received to sell an asset or paid to transfer a liability in an orderly transaction between market participants at the measurement date. These accounting standards establish a three-tier fair value hierarchy, which prioritizes the inputs used to measure fair value. These tiers include:</w:t>
      </w:r>
    </w:p>
    <w:p>
      <w:pPr>
        <w:spacing w:after="0" w:line="210"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Observable inputs such as quoted prices in active markets.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Inputs other than quoted prices in active markets that are either directly or indirectly observable.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Unobservable inputs in which little or no market data exists, therefore requiring an entity to develop its own assumptions.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52" w:lineRule="exact"/>
        <w:rPr>
          <w:sz w:val="20"/>
          <w:szCs w:val="20"/>
          <w:color w:val="auto"/>
        </w:rPr>
      </w:pPr>
    </w:p>
    <w:p>
      <w:pPr>
        <w:jc w:val="both"/>
        <w:ind w:firstLine="446"/>
        <w:spacing w:after="0" w:line="269" w:lineRule="auto"/>
        <w:rPr>
          <w:sz w:val="20"/>
          <w:szCs w:val="20"/>
          <w:color w:val="auto"/>
        </w:rPr>
      </w:pPr>
      <w:r>
        <w:rPr>
          <w:rFonts w:ascii="Arial" w:cs="Arial" w:eastAsia="Arial" w:hAnsi="Arial"/>
          <w:sz w:val="17"/>
          <w:szCs w:val="17"/>
          <w:color w:val="auto"/>
        </w:rPr>
        <w:t>The Company accounts for stock-based compensation in accordance with accounting standards, which require the compensation cost relating to share-based payment transactions be recognized in the Company's Consolidated Statements of Income. The cost is measured at the grant date, based on the estimated fair value of the award using the Black-Scholes option pricing model for stock options, and based on the closing share price of the Company's stock on the grant date for nonvested share awards. Dividend yield is based on the estimate of annual dividends expected to be paid at the time of the grant. Expected volatility is based on implied and historical factors related to the Company's common stock. The risk-free interest rate used for each period presented is based on the U.S. Treasury yield curve for stock options issued under the Omnibus Plan (as defined in Note 12, "Stock-Based Compensation") and the Hong Kong Exchange Fund rates for stock options issued under the Share Option Plan (as defined in Note 12, "Stock-Based Compensation"), both at the time of grant for the period equal to the expected term. Expected term represents the weighted average time between the option's grant date and its exercise date. The Company uses historical award exercise activity and termination activity in estimating the expected term for the Omnibus Plan and Share Option Plan. The cost is recognized as an expense on a straight-line basis over the employee's requisite service period (the vesting period of the award), and forfeitures are recognized as they occur. The Company's stock-based employee compensation arrangements are more fully discussed in Note 12, "Stock-Based Compensation."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Leases</w:t>
      </w:r>
    </w:p>
    <w:p>
      <w:pPr>
        <w:spacing w:after="0" w:line="25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February 2016, the Financial Accounting Standards Board ("FASB") issued Accounting Standards Update ("ASU") No. 2016-02, Leases ("Topic 842"), which requires recognition of lease assets and liabilities on the balance sheet and disclosure of additional information about leasing activities. The Company adopted this standard using a modified retrospective transition approach with an initial application date of January 1, 2019. As a result, prior periods were not retrospectively adjusted and are not comparable to current periods. The Company elected the practical expedient permitting lessees to carry forward historical lease classifications for existing arrangements. The following is a summary of the significant impacts on the Company's balance sheet as of January 1, 2019:</w:t>
      </w:r>
    </w:p>
    <w:p>
      <w:pPr>
        <w:spacing w:after="0" w:line="126" w:lineRule="exact"/>
        <w:rPr>
          <w:sz w:val="20"/>
          <w:szCs w:val="20"/>
          <w:color w:val="auto"/>
        </w:rPr>
      </w:pPr>
    </w:p>
    <w:p>
      <w:pPr>
        <w:ind w:left="700" w:hanging="327"/>
        <w:spacing w:after="0" w:line="258" w:lineRule="auto"/>
        <w:tabs>
          <w:tab w:leader="none" w:pos="6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 recognized operating lease assets and liabilities of $154.1 million, which represented the discounted future minimum lease payments of all existing leases on the initial application date.</w:t>
      </w:r>
    </w:p>
    <w:p>
      <w:pPr>
        <w:spacing w:after="0" w:line="1" w:lineRule="exact"/>
        <w:rPr>
          <w:rFonts w:ascii="Arial" w:cs="Arial" w:eastAsia="Arial" w:hAnsi="Arial"/>
          <w:sz w:val="18"/>
          <w:szCs w:val="18"/>
          <w:color w:val="auto"/>
        </w:rPr>
      </w:pPr>
    </w:p>
    <w:p>
      <w:pPr>
        <w:ind w:left="700" w:hanging="327"/>
        <w:spacing w:after="0" w:line="250" w:lineRule="auto"/>
        <w:tabs>
          <w:tab w:leader="none" w:pos="6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net carrying amount of a definite-lived intangible asset, which related to a leasehold interest in land and totaled $88.1 million, was reclassified to operating lease assets.</w:t>
      </w:r>
    </w:p>
    <w:p>
      <w:pPr>
        <w:ind w:left="700" w:hanging="327"/>
        <w:spacing w:after="0"/>
        <w:tabs>
          <w:tab w:leader="none" w:pos="7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Leasehold interests in land, net, which totaled $206.9 million, were reclassified to operating lease assets from property and equipment, net.</w:t>
      </w:r>
    </w:p>
    <w:p>
      <w:pPr>
        <w:spacing w:after="0" w:line="20" w:lineRule="exact"/>
        <w:rPr>
          <w:rFonts w:ascii="Arial" w:cs="Arial" w:eastAsia="Arial" w:hAnsi="Arial"/>
          <w:sz w:val="17"/>
          <w:szCs w:val="17"/>
          <w:color w:val="auto"/>
        </w:rPr>
      </w:pPr>
    </w:p>
    <w:p>
      <w:pPr>
        <w:ind w:left="700" w:hanging="327"/>
        <w:spacing w:after="0"/>
        <w:tabs>
          <w:tab w:leader="none" w:pos="7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Certain other initial direct cost assets, prepaid lease assets, and deferred rent accrued liabilities were reclassified to operating lease assets.</w:t>
      </w:r>
    </w:p>
    <w:p>
      <w:pPr>
        <w:spacing w:after="0" w:line="249"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As the Company elected to carry forward historical lease classifications, an arrangement concluded to contain a capital lease under the previous standard was deemed a finance lease under Topic 842, with no resultant change in accounting other than the reclassification of associated initial direct costs from other assets to property and equipment, net. There was no impact on the Company's operating income, net income or cash flows as a result of adopting Topic 842.</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3" w:name="page74"/>
    <w:bookmarkEnd w:id="7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Issued But Not Yet Adopted</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Financial Instruments - Credit Losses</w:t>
      </w:r>
    </w:p>
    <w:p>
      <w:pPr>
        <w:spacing w:after="0" w:line="25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7"/>
          <w:szCs w:val="17"/>
          <w:color w:val="auto"/>
        </w:rPr>
        <w:t xml:space="preserve">The FASB issued ASU No. 2016-13, </w:t>
      </w:r>
      <w:r>
        <w:rPr>
          <w:rFonts w:ascii="Arial" w:cs="Arial" w:eastAsia="Arial" w:hAnsi="Arial"/>
          <w:sz w:val="17"/>
          <w:szCs w:val="17"/>
          <w:i w:val="1"/>
          <w:iCs w:val="1"/>
          <w:color w:val="auto"/>
        </w:rPr>
        <w:t>Financial Instruments - Credit Losses (Topic 326)</w:t>
      </w:r>
      <w:r>
        <w:rPr>
          <w:rFonts w:ascii="Arial" w:cs="Arial" w:eastAsia="Arial" w:hAnsi="Arial"/>
          <w:sz w:val="17"/>
          <w:szCs w:val="17"/>
          <w:color w:val="auto"/>
        </w:rPr>
        <w:t xml:space="preserve"> in 2016. The new guidance replaces the incurred loss impairment methodology in current U.S. GAAP with a methodology that reflects expected credit losses and requires consideration of a broader range of reasonable and supportable information to inform credit loss estimates. For trade and other receivables, loans and other financial instruments, the Company is required to use a forward-looking expected loss model rather than the incurred loss model for recognizing credit losses which reflects losses that are probable. Application of the amendments is through a cumulative-effect adjustment to retained earnings. The Company adopted the guidance effective January 1, 2020, and this adoption did not have a material effect on its Consolidated Financial Statements.</w:t>
      </w:r>
    </w:p>
    <w:p>
      <w:pPr>
        <w:spacing w:after="0" w:line="20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Cloud Computing Arrangement Implementation Costs</w:t>
      </w:r>
    </w:p>
    <w:p>
      <w:pPr>
        <w:spacing w:after="0" w:line="239" w:lineRule="exact"/>
        <w:rPr>
          <w:sz w:val="20"/>
          <w:szCs w:val="20"/>
          <w:color w:val="auto"/>
        </w:rPr>
      </w:pPr>
    </w:p>
    <w:p>
      <w:pPr>
        <w:jc w:val="both"/>
        <w:ind w:firstLine="405"/>
        <w:spacing w:after="0"/>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Customer's Accounting for Implementation Costs Incurred in a Cloud Computing Arrangement</w:t>
      </w:r>
      <w:r>
        <w:rPr>
          <w:rFonts w:ascii="Arial" w:cs="Arial" w:eastAsia="Arial" w:hAnsi="Arial"/>
          <w:sz w:val="18"/>
          <w:szCs w:val="18"/>
          <w:color w:val="auto"/>
        </w:rPr>
        <w:t xml:space="preserve"> </w:t>
      </w:r>
      <w:r>
        <w:rPr>
          <w:rFonts w:ascii="Arial" w:cs="Arial" w:eastAsia="Arial" w:hAnsi="Arial"/>
          <w:sz w:val="18"/>
          <w:szCs w:val="18"/>
          <w:i w:val="1"/>
          <w:iCs w:val="1"/>
          <w:color w:val="auto"/>
        </w:rPr>
        <w:t>That Is a Service Contract</w:t>
      </w:r>
      <w:r>
        <w:rPr>
          <w:rFonts w:ascii="Arial" w:cs="Arial" w:eastAsia="Arial" w:hAnsi="Arial"/>
          <w:sz w:val="18"/>
          <w:szCs w:val="18"/>
          <w:color w:val="auto"/>
        </w:rPr>
        <w:t>. The ASU is intended to eliminate potential diversity in practice in accounting for costs incurred to implement cloud computing</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arrangements that are service contracts by requiring customers in such arrangements to follow internal-use software guidance with respect to such costs, with any resulting deferred implementation costs recognized over the term of the contract in the same income statement line item as the fees associated with the hosting element of the arrangement. The Company adopted the guidance effective January 1, 2020, and this adoption did not have a material effect on its Consolidated Financial Statements.</w:t>
      </w:r>
    </w:p>
    <w:p>
      <w:pPr>
        <w:spacing w:after="0" w:line="2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Changes to the Disclosure Requirements for Fair Value Measurement</w:t>
      </w:r>
    </w:p>
    <w:p>
      <w:pPr>
        <w:spacing w:after="0" w:line="25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7"/>
          <w:szCs w:val="17"/>
          <w:color w:val="auto"/>
        </w:rPr>
        <w:t xml:space="preserve">In August 2018, the FASB issued ASU No. 2018-13, </w:t>
      </w:r>
      <w:r>
        <w:rPr>
          <w:rFonts w:ascii="Arial" w:cs="Arial" w:eastAsia="Arial" w:hAnsi="Arial"/>
          <w:sz w:val="17"/>
          <w:szCs w:val="17"/>
          <w:i w:val="1"/>
          <w:iCs w:val="1"/>
          <w:color w:val="auto"/>
        </w:rPr>
        <w:t>Fair Value Measurement (Topic 820): Disclosure Framework—Changes to the Disclosure</w:t>
      </w:r>
      <w:r>
        <w:rPr>
          <w:rFonts w:ascii="Arial" w:cs="Arial" w:eastAsia="Arial" w:hAnsi="Arial"/>
          <w:sz w:val="17"/>
          <w:szCs w:val="17"/>
          <w:color w:val="auto"/>
        </w:rPr>
        <w:t xml:space="preserve"> </w:t>
      </w:r>
      <w:r>
        <w:rPr>
          <w:rFonts w:ascii="Arial" w:cs="Arial" w:eastAsia="Arial" w:hAnsi="Arial"/>
          <w:sz w:val="17"/>
          <w:szCs w:val="17"/>
          <w:i w:val="1"/>
          <w:iCs w:val="1"/>
          <w:color w:val="auto"/>
        </w:rPr>
        <w:t>Requirements for Fair Value Measurement</w:t>
      </w:r>
      <w:r>
        <w:rPr>
          <w:rFonts w:ascii="Arial" w:cs="Arial" w:eastAsia="Arial" w:hAnsi="Arial"/>
          <w:sz w:val="17"/>
          <w:szCs w:val="17"/>
          <w:color w:val="auto"/>
        </w:rPr>
        <w:t>. The new guidance amends the disclosure requirements for recurring and nonrecurring fair value measurements by</w:t>
      </w:r>
      <w:r>
        <w:rPr>
          <w:rFonts w:ascii="Arial" w:cs="Arial" w:eastAsia="Arial" w:hAnsi="Arial"/>
          <w:sz w:val="17"/>
          <w:szCs w:val="17"/>
          <w:i w:val="1"/>
          <w:iCs w:val="1"/>
          <w:color w:val="auto"/>
        </w:rPr>
        <w:t xml:space="preserve"> </w:t>
      </w:r>
      <w:r>
        <w:rPr>
          <w:rFonts w:ascii="Arial" w:cs="Arial" w:eastAsia="Arial" w:hAnsi="Arial"/>
          <w:sz w:val="17"/>
          <w:szCs w:val="17"/>
          <w:color w:val="auto"/>
        </w:rPr>
        <w:t>removing, modifying, and adding certain disclosures on fair value measurements in ASC 820. The amendments on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The Company adopted the guidance effective January 1, 2020, and this adoption did not have a material effect on its Consolidated Financial Statements.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Cash, Cash Equivalents and Restricted Cash</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Cash, cash equivalents and restricted cash consisted of the following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196"/>
        </w:trPr>
        <w:tc>
          <w:tcPr>
            <w:tcW w:w="84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r>
      <w:tr>
        <w:trPr>
          <w:trHeight w:val="236"/>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8420" w:type="dxa"/>
            <w:vAlign w:val="bottom"/>
          </w:tcPr>
          <w:p>
            <w:pPr>
              <w:ind w:left="220"/>
              <w:spacing w:after="0"/>
              <w:rPr>
                <w:sz w:val="20"/>
                <w:szCs w:val="20"/>
                <w:color w:val="auto"/>
              </w:rPr>
            </w:pPr>
            <w:r>
              <w:rPr>
                <w:rFonts w:ascii="Arial" w:cs="Arial" w:eastAsia="Arial" w:hAnsi="Arial"/>
                <w:sz w:val="18"/>
                <w:szCs w:val="18"/>
                <w:color w:val="auto"/>
              </w:rPr>
              <w:t xml:space="preserve">Cash </w:t>
            </w:r>
            <w:r>
              <w:rPr>
                <w:rFonts w:ascii="Arial" w:cs="Arial" w:eastAsia="Arial" w:hAnsi="Arial"/>
                <w:sz w:val="14"/>
                <w:szCs w:val="14"/>
                <w:color w:val="auto"/>
              </w:rPr>
              <w:t>(1)</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55"/>
              <w:spacing w:after="0"/>
              <w:rPr>
                <w:sz w:val="20"/>
                <w:szCs w:val="20"/>
                <w:color w:val="auto"/>
              </w:rPr>
            </w:pPr>
            <w:r>
              <w:rPr>
                <w:rFonts w:ascii="Arial" w:cs="Arial" w:eastAsia="Arial" w:hAnsi="Arial"/>
                <w:sz w:val="18"/>
                <w:szCs w:val="18"/>
                <w:color w:val="auto"/>
              </w:rPr>
              <w:t>1,265,502</w:t>
            </w:r>
          </w:p>
        </w:tc>
        <w:tc>
          <w:tcPr>
            <w:tcW w:w="1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73"/>
              <w:spacing w:after="0"/>
              <w:rPr>
                <w:sz w:val="20"/>
                <w:szCs w:val="20"/>
                <w:color w:val="auto"/>
              </w:rPr>
            </w:pPr>
            <w:r>
              <w:rPr>
                <w:rFonts w:ascii="Arial" w:cs="Arial" w:eastAsia="Arial" w:hAnsi="Arial"/>
                <w:sz w:val="18"/>
                <w:szCs w:val="18"/>
                <w:color w:val="auto"/>
                <w:w w:val="99"/>
              </w:rPr>
              <w:t>1,455,744</w:t>
            </w:r>
          </w:p>
        </w:tc>
      </w:tr>
      <w:tr>
        <w:trPr>
          <w:trHeight w:val="27"/>
        </w:trPr>
        <w:tc>
          <w:tcPr>
            <w:tcW w:w="8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 xml:space="preserve">Cash equivalents </w:t>
            </w:r>
            <w:r>
              <w:rPr>
                <w:rFonts w:ascii="Arial" w:cs="Arial" w:eastAsia="Arial" w:hAnsi="Arial"/>
                <w:sz w:val="14"/>
                <w:szCs w:val="14"/>
                <w:color w:val="auto"/>
              </w:rPr>
              <w:t>(2)</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1,086,402</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759,257</w:t>
            </w:r>
          </w:p>
        </w:tc>
      </w:tr>
      <w:tr>
        <w:trPr>
          <w:trHeight w:val="237"/>
        </w:trPr>
        <w:tc>
          <w:tcPr>
            <w:tcW w:w="8420" w:type="dxa"/>
            <w:vAlign w:val="bottom"/>
          </w:tcPr>
          <w:p>
            <w:pPr>
              <w:ind w:left="460"/>
              <w:spacing w:after="0"/>
              <w:rPr>
                <w:sz w:val="20"/>
                <w:szCs w:val="20"/>
                <w:color w:val="auto"/>
              </w:rPr>
            </w:pPr>
            <w:r>
              <w:rPr>
                <w:rFonts w:ascii="Arial" w:cs="Arial" w:eastAsia="Arial" w:hAnsi="Arial"/>
                <w:sz w:val="18"/>
                <w:szCs w:val="18"/>
                <w:b w:val="1"/>
                <w:bCs w:val="1"/>
                <w:color w:val="auto"/>
              </w:rPr>
              <w:t>Total cash and cash equivalents</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2,351,904</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b w:val="1"/>
                <w:bCs w:val="1"/>
                <w:color w:val="auto"/>
                <w:w w:val="99"/>
              </w:rPr>
              <w:t>2,215,001</w:t>
            </w:r>
          </w:p>
        </w:tc>
      </w:tr>
      <w:tr>
        <w:trPr>
          <w:trHeight w:val="27"/>
        </w:trPr>
        <w:tc>
          <w:tcPr>
            <w:tcW w:w="8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 xml:space="preserve">Restricted cash </w:t>
            </w:r>
            <w:r>
              <w:rPr>
                <w:rFonts w:ascii="Arial" w:cs="Arial" w:eastAsia="Arial" w:hAnsi="Arial"/>
                <w:sz w:val="14"/>
                <w:szCs w:val="14"/>
                <w:color w:val="auto"/>
              </w:rPr>
              <w:t>(3)</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6,388</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4,322</w:t>
            </w:r>
          </w:p>
        </w:tc>
      </w:tr>
      <w:tr>
        <w:trPr>
          <w:trHeight w:val="237"/>
        </w:trPr>
        <w:tc>
          <w:tcPr>
            <w:tcW w:w="8420" w:type="dxa"/>
            <w:vAlign w:val="bottom"/>
          </w:tcPr>
          <w:p>
            <w:pPr>
              <w:ind w:left="20"/>
              <w:spacing w:after="0"/>
              <w:rPr>
                <w:sz w:val="20"/>
                <w:szCs w:val="20"/>
                <w:color w:val="auto"/>
              </w:rPr>
            </w:pPr>
            <w:r>
              <w:rPr>
                <w:rFonts w:ascii="Arial" w:cs="Arial" w:eastAsia="Arial" w:hAnsi="Arial"/>
                <w:sz w:val="18"/>
                <w:szCs w:val="18"/>
                <w:b w:val="1"/>
                <w:bCs w:val="1"/>
                <w:color w:val="auto"/>
              </w:rPr>
              <w:t>Total cash, cash equivalents and restricted cash</w:t>
            </w: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2,358,292</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b w:val="1"/>
                <w:bCs w:val="1"/>
                <w:color w:val="auto"/>
                <w:w w:val="99"/>
              </w:rPr>
              <w:t>2,219,323</w:t>
            </w:r>
          </w:p>
        </w:tc>
      </w:tr>
      <w:tr>
        <w:trPr>
          <w:trHeight w:val="27"/>
        </w:trPr>
        <w:tc>
          <w:tcPr>
            <w:tcW w:w="84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
        </w:trPr>
        <w:tc>
          <w:tcPr>
            <w:tcW w:w="8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ind w:left="220" w:hanging="212"/>
        <w:spacing w:after="0"/>
        <w:tabs>
          <w:tab w:leader="none" w:pos="2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Cash consists of cash on hand and bank deposits.</w:t>
      </w:r>
    </w:p>
    <w:p>
      <w:pPr>
        <w:spacing w:after="0" w:line="13" w:lineRule="exact"/>
        <w:rPr>
          <w:rFonts w:ascii="Arial" w:cs="Arial" w:eastAsia="Arial" w:hAnsi="Arial"/>
          <w:sz w:val="14"/>
          <w:szCs w:val="14"/>
          <w:color w:val="auto"/>
        </w:rPr>
      </w:pPr>
    </w:p>
    <w:p>
      <w:pPr>
        <w:ind w:left="220" w:hanging="212"/>
        <w:spacing w:after="0"/>
        <w:tabs>
          <w:tab w:leader="none" w:pos="2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Cash equivalents consist of bank time deposits and money market funds.</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Restricted cash consists of cash collateral associated with obligations and cash held in a trust in accordance with WML's share award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4" w:name="page75"/>
    <w:bookmarkEnd w:id="7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Receivables, net</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Receivables, net consisted of the following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196"/>
        </w:trPr>
        <w:tc>
          <w:tcPr>
            <w:tcW w:w="84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r>
      <w:tr>
        <w:trPr>
          <w:trHeight w:val="250"/>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Casino</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304,137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229,594</w:t>
            </w:r>
          </w:p>
        </w:tc>
      </w:tr>
      <w:tr>
        <w:trPr>
          <w:trHeight w:val="243"/>
        </w:trPr>
        <w:tc>
          <w:tcPr>
            <w:tcW w:w="8420" w:type="dxa"/>
            <w:vAlign w:val="bottom"/>
          </w:tcPr>
          <w:p>
            <w:pPr>
              <w:ind w:left="20"/>
              <w:spacing w:after="0"/>
              <w:rPr>
                <w:sz w:val="20"/>
                <w:szCs w:val="20"/>
                <w:color w:val="auto"/>
              </w:rPr>
            </w:pPr>
            <w:r>
              <w:rPr>
                <w:rFonts w:ascii="Arial" w:cs="Arial" w:eastAsia="Arial" w:hAnsi="Arial"/>
                <w:sz w:val="18"/>
                <w:szCs w:val="18"/>
                <w:color w:val="auto"/>
              </w:rPr>
              <w:t>Hotel</w:t>
            </w:r>
          </w:p>
        </w:tc>
        <w:tc>
          <w:tcPr>
            <w:tcW w:w="340" w:type="dxa"/>
            <w:vAlign w:val="bottom"/>
          </w:tcPr>
          <w:p>
            <w:pPr>
              <w:spacing w:after="0"/>
              <w:rPr>
                <w:sz w:val="21"/>
                <w:szCs w:val="21"/>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22,114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22,086</w:t>
            </w:r>
          </w:p>
        </w:tc>
      </w:tr>
      <w:tr>
        <w:trPr>
          <w:trHeight w:val="27"/>
        </w:trPr>
        <w:tc>
          <w:tcPr>
            <w:tcW w:w="8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59,495</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57,658</w:t>
            </w:r>
          </w:p>
        </w:tc>
      </w:tr>
      <w:tr>
        <w:trPr>
          <w:trHeight w:val="237"/>
        </w:trPr>
        <w:tc>
          <w:tcPr>
            <w:tcW w:w="84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385,746</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309,338</w:t>
            </w:r>
          </w:p>
        </w:tc>
      </w:tr>
      <w:tr>
        <w:trPr>
          <w:trHeight w:val="27"/>
        </w:trPr>
        <w:tc>
          <w:tcPr>
            <w:tcW w:w="8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allowance for doubtful accounts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(39,317)</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(32,694)</w:t>
            </w:r>
          </w:p>
        </w:tc>
      </w:tr>
      <w:tr>
        <w:trPr>
          <w:trHeight w:val="237"/>
        </w:trPr>
        <w:tc>
          <w:tcPr>
            <w:tcW w:w="84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346,429</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276,644</w:t>
            </w:r>
          </w:p>
        </w:tc>
      </w:tr>
      <w:tr>
        <w:trPr>
          <w:trHeight w:val="27"/>
        </w:trPr>
        <w:tc>
          <w:tcPr>
            <w:tcW w:w="84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
        </w:trPr>
        <w:tc>
          <w:tcPr>
            <w:tcW w:w="8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As of December 31, 2019 and 2018, approximately 79.0% and 85.0%, respectively, of the Company's markers were due from customers residing outside the United States, primarily in Asia. Business or economic conditions or other significant events in the countries in which our customers reside could affect the collectability of such receivables.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Property and Equipment, net</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020" w:type="dxa"/>
            <w:vAlign w:val="bottom"/>
            <w:tcBorders>
              <w:bottom w:val="single" w:sz="8" w:color="auto"/>
            </w:tcBorders>
          </w:tcPr>
          <w:p>
            <w:pPr>
              <w:spacing w:after="0"/>
              <w:rPr>
                <w:sz w:val="16"/>
                <w:szCs w:val="16"/>
                <w:color w:val="auto"/>
              </w:rPr>
            </w:pPr>
          </w:p>
        </w:tc>
      </w:tr>
      <w:tr>
        <w:trPr>
          <w:trHeight w:val="196"/>
        </w:trPr>
        <w:tc>
          <w:tcPr>
            <w:tcW w:w="84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r>
      <w:tr>
        <w:trPr>
          <w:trHeight w:val="250"/>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Buildings and improvements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9,367,241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7,707,467</w:t>
            </w:r>
          </w:p>
        </w:tc>
      </w:tr>
      <w:tr>
        <w:trPr>
          <w:trHeight w:val="243"/>
        </w:trPr>
        <w:tc>
          <w:tcPr>
            <w:tcW w:w="8420" w:type="dxa"/>
            <w:vAlign w:val="bottom"/>
          </w:tcPr>
          <w:p>
            <w:pPr>
              <w:ind w:left="20"/>
              <w:spacing w:after="0"/>
              <w:rPr>
                <w:sz w:val="20"/>
                <w:szCs w:val="20"/>
                <w:color w:val="auto"/>
              </w:rPr>
            </w:pPr>
            <w:r>
              <w:rPr>
                <w:rFonts w:ascii="Arial" w:cs="Arial" w:eastAsia="Arial" w:hAnsi="Arial"/>
                <w:sz w:val="18"/>
                <w:szCs w:val="18"/>
                <w:color w:val="auto"/>
              </w:rPr>
              <w:t>Land and improvements</w:t>
            </w:r>
          </w:p>
        </w:tc>
        <w:tc>
          <w:tcPr>
            <w:tcW w:w="300" w:type="dxa"/>
            <w:vAlign w:val="bottom"/>
          </w:tcPr>
          <w:p>
            <w:pPr>
              <w:spacing w:after="0"/>
              <w:rPr>
                <w:sz w:val="21"/>
                <w:szCs w:val="21"/>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1,246,679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1,141,032</w:t>
            </w:r>
          </w:p>
        </w:tc>
      </w:tr>
      <w:tr>
        <w:trPr>
          <w:trHeight w:val="27"/>
        </w:trPr>
        <w:tc>
          <w:tcPr>
            <w:tcW w:w="8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Furniture, fixtures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2,932,483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2,288,370</w:t>
            </w:r>
          </w:p>
        </w:tc>
      </w:tr>
      <w:tr>
        <w:trPr>
          <w:trHeight w:val="243"/>
        </w:trPr>
        <w:tc>
          <w:tcPr>
            <w:tcW w:w="8420" w:type="dxa"/>
            <w:vAlign w:val="bottom"/>
          </w:tcPr>
          <w:p>
            <w:pPr>
              <w:ind w:left="20"/>
              <w:spacing w:after="0"/>
              <w:rPr>
                <w:sz w:val="20"/>
                <w:szCs w:val="20"/>
                <w:color w:val="auto"/>
              </w:rPr>
            </w:pPr>
            <w:r>
              <w:rPr>
                <w:rFonts w:ascii="Arial" w:cs="Arial" w:eastAsia="Arial" w:hAnsi="Arial"/>
                <w:sz w:val="18"/>
                <w:szCs w:val="18"/>
                <w:color w:val="auto"/>
              </w:rPr>
              <w:t>Leasehold interests in land</w:t>
            </w:r>
          </w:p>
        </w:tc>
        <w:tc>
          <w:tcPr>
            <w:tcW w:w="30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313,516</w:t>
            </w:r>
          </w:p>
        </w:tc>
      </w:tr>
      <w:tr>
        <w:trPr>
          <w:trHeight w:val="27"/>
        </w:trPr>
        <w:tc>
          <w:tcPr>
            <w:tcW w:w="8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Airplanes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110,623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110,623</w:t>
            </w:r>
          </w:p>
        </w:tc>
      </w:tr>
      <w:tr>
        <w:trPr>
          <w:trHeight w:val="243"/>
        </w:trPr>
        <w:tc>
          <w:tcPr>
            <w:tcW w:w="8420" w:type="dxa"/>
            <w:vAlign w:val="bottom"/>
          </w:tcPr>
          <w:p>
            <w:pPr>
              <w:ind w:left="20"/>
              <w:spacing w:after="0"/>
              <w:rPr>
                <w:sz w:val="20"/>
                <w:szCs w:val="20"/>
                <w:color w:val="auto"/>
              </w:rPr>
            </w:pPr>
            <w:r>
              <w:rPr>
                <w:rFonts w:ascii="Arial" w:cs="Arial" w:eastAsia="Arial" w:hAnsi="Arial"/>
                <w:sz w:val="18"/>
                <w:szCs w:val="18"/>
                <w:color w:val="auto"/>
              </w:rPr>
              <w:t>Construction in progress</w:t>
            </w:r>
          </w:p>
        </w:tc>
        <w:tc>
          <w:tcPr>
            <w:tcW w:w="300" w:type="dxa"/>
            <w:vAlign w:val="bottom"/>
          </w:tcPr>
          <w:p>
            <w:pPr>
              <w:spacing w:after="0"/>
              <w:rPr>
                <w:sz w:val="21"/>
                <w:szCs w:val="21"/>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477,333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1,912,801</w:t>
            </w:r>
          </w:p>
        </w:tc>
      </w:tr>
      <w:tr>
        <w:trPr>
          <w:trHeight w:val="27"/>
        </w:trPr>
        <w:tc>
          <w:tcPr>
            <w:tcW w:w="8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4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14,134,359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w w:val="93"/>
              </w:rPr>
              <w:t>13,473,809</w:t>
            </w:r>
          </w:p>
        </w:tc>
      </w:tr>
      <w:tr>
        <w:trPr>
          <w:trHeight w:val="243"/>
        </w:trPr>
        <w:tc>
          <w:tcPr>
            <w:tcW w:w="842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30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(4,510,527)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w w:val="97"/>
              </w:rPr>
              <w:t>(4,087,889)</w:t>
            </w:r>
          </w:p>
        </w:tc>
      </w:tr>
      <w:tr>
        <w:trPr>
          <w:trHeight w:val="27"/>
        </w:trPr>
        <w:tc>
          <w:tcPr>
            <w:tcW w:w="8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9"/>
        </w:trPr>
        <w:tc>
          <w:tcPr>
            <w:tcW w:w="84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9,623,832</w:t>
            </w: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9,385,920</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of December 31, 2019, construction in progress consisted primarily of costs capitalized, including interest, for the construction of the additional meeting and convention space at Wynn Las Vegas. As of December 31, 2018, construction in progress consisted primarily of costs capitalized, including interest, for the construction of Encore Boston Harbor. On June 23, 2019, Encore Boston Harbor opened and its associated construction in progress balance was placed into service.</w:t>
      </w:r>
    </w:p>
    <w:p>
      <w:pPr>
        <w:spacing w:after="0" w:line="21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Depreciation expense for the years ended December 31, 2019, 2018 and 2017 was $602.9 million, $546.1 million, and $547.9 million, respectively.</w:t>
      </w:r>
    </w:p>
    <w:p>
      <w:pPr>
        <w:spacing w:after="0" w:line="2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Beginning January 1, 2019, leasehold interests in land, net of related accumulated amortization were reclassified to operating lease assets with the adoption of Topic 842.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Land Acquisition</w:t>
      </w:r>
    </w:p>
    <w:p>
      <w:pPr>
        <w:spacing w:after="0" w:line="25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During the first quarter of 2018, the Company acquired approximately 38 acres of land on the Las Vegas Strip directly across from Wynn Las Vegas for $336.2 million, approximately 16 acres of which are subject to a ground lease that expires in 2097. The Company expects to use this land for future development.</w:t>
      </w:r>
    </w:p>
    <w:p>
      <w:pPr>
        <w:spacing w:after="0" w:line="20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accordance with asset acquisition accounting standards, the Company allocated the purchase price to the identifiable assets acquired based on the relative fair value of each component. As a result, the Company recorded $247.0 million of the purchase price as land and $89.1 million of the purchase price as a finite-lived intangible asset, which was reclassified to Operating lease assets upon the adoption of Topic 842 on January 1, 2019. For more information regarding the lease, see Note 15,"Leases."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75" w:name="page76"/>
    <w:bookmarkEnd w:id="75"/>
    <w:p>
      <w:pPr>
        <w:ind w:left="2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6 - Intangible Assets, net</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Intangible assets, net consisted of the following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4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84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r>
      <w:tr>
        <w:trPr>
          <w:trHeight w:val="236"/>
        </w:trPr>
        <w:tc>
          <w:tcPr>
            <w:tcW w:w="20" w:type="dxa"/>
            <w:vAlign w:val="bottom"/>
          </w:tcPr>
          <w:p>
            <w:pPr>
              <w:spacing w:after="0"/>
              <w:rPr>
                <w:sz w:val="20"/>
                <w:szCs w:val="20"/>
                <w:color w:val="auto"/>
              </w:rPr>
            </w:pPr>
          </w:p>
        </w:tc>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Finite-lived intangible assets:</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8420" w:type="dxa"/>
            <w:vAlign w:val="bottom"/>
          </w:tcPr>
          <w:p>
            <w:pPr>
              <w:ind w:left="260"/>
              <w:spacing w:after="0"/>
              <w:rPr>
                <w:sz w:val="20"/>
                <w:szCs w:val="20"/>
                <w:color w:val="auto"/>
              </w:rPr>
            </w:pPr>
            <w:r>
              <w:rPr>
                <w:rFonts w:ascii="Arial" w:cs="Arial" w:eastAsia="Arial" w:hAnsi="Arial"/>
                <w:sz w:val="18"/>
                <w:szCs w:val="18"/>
                <w:color w:val="auto"/>
              </w:rPr>
              <w:t>Macau gaming concession</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42,300</w:t>
            </w:r>
          </w:p>
        </w:tc>
        <w:tc>
          <w:tcPr>
            <w:tcW w:w="12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42,300</w:t>
            </w:r>
          </w:p>
        </w:tc>
      </w:tr>
      <w:tr>
        <w:trPr>
          <w:trHeight w:val="27"/>
        </w:trPr>
        <w:tc>
          <w:tcPr>
            <w:tcW w:w="20" w:type="dxa"/>
            <w:vAlign w:val="bottom"/>
          </w:tcPr>
          <w:p>
            <w:pPr>
              <w:spacing w:after="0"/>
              <w:rPr>
                <w:sz w:val="2"/>
                <w:szCs w:val="2"/>
                <w:color w:val="auto"/>
              </w:rPr>
            </w:pPr>
          </w:p>
        </w:tc>
        <w:tc>
          <w:tcPr>
            <w:tcW w:w="8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84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Less: accumulated amortization</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(36,348)</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(33,965)</w:t>
            </w:r>
          </w:p>
        </w:tc>
      </w:tr>
      <w:tr>
        <w:trPr>
          <w:trHeight w:val="237"/>
        </w:trPr>
        <w:tc>
          <w:tcPr>
            <w:tcW w:w="20" w:type="dxa"/>
            <w:vAlign w:val="bottom"/>
          </w:tcPr>
          <w:p>
            <w:pPr>
              <w:spacing w:after="0"/>
              <w:rPr>
                <w:sz w:val="20"/>
                <w:szCs w:val="20"/>
                <w:color w:val="auto"/>
              </w:rPr>
            </w:pPr>
          </w:p>
        </w:tc>
        <w:tc>
          <w:tcPr>
            <w:tcW w:w="84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5,952</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8,335</w:t>
            </w:r>
          </w:p>
        </w:tc>
      </w:tr>
      <w:tr>
        <w:trPr>
          <w:trHeight w:val="27"/>
        </w:trPr>
        <w:tc>
          <w:tcPr>
            <w:tcW w:w="20" w:type="dxa"/>
            <w:vAlign w:val="bottom"/>
          </w:tcPr>
          <w:p>
            <w:pPr>
              <w:spacing w:after="0"/>
              <w:rPr>
                <w:sz w:val="2"/>
                <w:szCs w:val="2"/>
                <w:color w:val="auto"/>
              </w:rPr>
            </w:pPr>
          </w:p>
        </w:tc>
        <w:tc>
          <w:tcPr>
            <w:tcW w:w="8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84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43"/>
        </w:trPr>
        <w:tc>
          <w:tcPr>
            <w:tcW w:w="20" w:type="dxa"/>
            <w:vAlign w:val="bottom"/>
          </w:tcPr>
          <w:p>
            <w:pPr>
              <w:spacing w:after="0"/>
              <w:rPr>
                <w:sz w:val="21"/>
                <w:szCs w:val="21"/>
                <w:color w:val="auto"/>
              </w:rPr>
            </w:pPr>
          </w:p>
        </w:tc>
        <w:tc>
          <w:tcPr>
            <w:tcW w:w="8420" w:type="dxa"/>
            <w:vAlign w:val="bottom"/>
          </w:tcPr>
          <w:p>
            <w:pPr>
              <w:ind w:left="260"/>
              <w:spacing w:after="0"/>
              <w:rPr>
                <w:sz w:val="20"/>
                <w:szCs w:val="20"/>
                <w:color w:val="auto"/>
              </w:rPr>
            </w:pPr>
            <w:r>
              <w:rPr>
                <w:rFonts w:ascii="Arial" w:cs="Arial" w:eastAsia="Arial" w:hAnsi="Arial"/>
                <w:sz w:val="18"/>
                <w:szCs w:val="18"/>
                <w:color w:val="auto"/>
              </w:rPr>
              <w:t>Massachusetts gaming license</w:t>
            </w:r>
          </w:p>
        </w:tc>
        <w:tc>
          <w:tcPr>
            <w:tcW w:w="34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117,700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117,700</w:t>
            </w:r>
          </w:p>
        </w:tc>
      </w:tr>
      <w:tr>
        <w:trPr>
          <w:trHeight w:val="27"/>
        </w:trPr>
        <w:tc>
          <w:tcPr>
            <w:tcW w:w="20" w:type="dxa"/>
            <w:vAlign w:val="bottom"/>
          </w:tcPr>
          <w:p>
            <w:pPr>
              <w:spacing w:after="0"/>
              <w:rPr>
                <w:sz w:val="2"/>
                <w:szCs w:val="2"/>
                <w:color w:val="auto"/>
              </w:rPr>
            </w:pPr>
          </w:p>
        </w:tc>
        <w:tc>
          <w:tcPr>
            <w:tcW w:w="8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84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Less: accumulated amortization</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(4,098)</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84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113,602</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117,700</w:t>
            </w:r>
          </w:p>
        </w:tc>
      </w:tr>
      <w:tr>
        <w:trPr>
          <w:trHeight w:val="27"/>
        </w:trPr>
        <w:tc>
          <w:tcPr>
            <w:tcW w:w="20" w:type="dxa"/>
            <w:vAlign w:val="bottom"/>
          </w:tcPr>
          <w:p>
            <w:pPr>
              <w:spacing w:after="0"/>
              <w:rPr>
                <w:sz w:val="2"/>
                <w:szCs w:val="2"/>
                <w:color w:val="auto"/>
              </w:rPr>
            </w:pPr>
          </w:p>
        </w:tc>
        <w:tc>
          <w:tcPr>
            <w:tcW w:w="8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84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43"/>
        </w:trPr>
        <w:tc>
          <w:tcPr>
            <w:tcW w:w="20" w:type="dxa"/>
            <w:vAlign w:val="bottom"/>
          </w:tcPr>
          <w:p>
            <w:pPr>
              <w:spacing w:after="0"/>
              <w:rPr>
                <w:sz w:val="21"/>
                <w:szCs w:val="21"/>
                <w:color w:val="auto"/>
              </w:rPr>
            </w:pPr>
          </w:p>
        </w:tc>
        <w:tc>
          <w:tcPr>
            <w:tcW w:w="8420" w:type="dxa"/>
            <w:vAlign w:val="bottom"/>
          </w:tcPr>
          <w:p>
            <w:pPr>
              <w:ind w:left="260"/>
              <w:spacing w:after="0"/>
              <w:rPr>
                <w:sz w:val="20"/>
                <w:szCs w:val="20"/>
                <w:color w:val="auto"/>
              </w:rPr>
            </w:pPr>
            <w:r>
              <w:rPr>
                <w:rFonts w:ascii="Arial" w:cs="Arial" w:eastAsia="Arial" w:hAnsi="Arial"/>
                <w:sz w:val="18"/>
                <w:szCs w:val="18"/>
                <w:color w:val="auto"/>
              </w:rPr>
              <w:t>Undeveloped land - Las Vegas</w:t>
            </w:r>
          </w:p>
        </w:tc>
        <w:tc>
          <w:tcPr>
            <w:tcW w:w="34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89,101</w:t>
            </w:r>
          </w:p>
        </w:tc>
      </w:tr>
      <w:tr>
        <w:trPr>
          <w:trHeight w:val="27"/>
        </w:trPr>
        <w:tc>
          <w:tcPr>
            <w:tcW w:w="20" w:type="dxa"/>
            <w:vAlign w:val="bottom"/>
          </w:tcPr>
          <w:p>
            <w:pPr>
              <w:spacing w:after="0"/>
              <w:rPr>
                <w:sz w:val="2"/>
                <w:szCs w:val="2"/>
                <w:color w:val="auto"/>
              </w:rPr>
            </w:pPr>
          </w:p>
        </w:tc>
        <w:tc>
          <w:tcPr>
            <w:tcW w:w="8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84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Less: accumulated amortization</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(1,027)</w:t>
            </w:r>
          </w:p>
        </w:tc>
      </w:tr>
      <w:tr>
        <w:trPr>
          <w:trHeight w:val="237"/>
        </w:trPr>
        <w:tc>
          <w:tcPr>
            <w:tcW w:w="20" w:type="dxa"/>
            <w:vAlign w:val="bottom"/>
          </w:tcPr>
          <w:p>
            <w:pPr>
              <w:spacing w:after="0"/>
              <w:rPr>
                <w:sz w:val="20"/>
                <w:szCs w:val="20"/>
                <w:color w:val="auto"/>
              </w:rPr>
            </w:pPr>
          </w:p>
        </w:tc>
        <w:tc>
          <w:tcPr>
            <w:tcW w:w="84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88,074</w:t>
            </w:r>
          </w:p>
        </w:tc>
      </w:tr>
      <w:tr>
        <w:trPr>
          <w:trHeight w:val="27"/>
        </w:trPr>
        <w:tc>
          <w:tcPr>
            <w:tcW w:w="20" w:type="dxa"/>
            <w:vAlign w:val="bottom"/>
          </w:tcPr>
          <w:p>
            <w:pPr>
              <w:spacing w:after="0"/>
              <w:rPr>
                <w:sz w:val="2"/>
                <w:szCs w:val="2"/>
                <w:color w:val="auto"/>
              </w:rPr>
            </w:pPr>
          </w:p>
        </w:tc>
        <w:tc>
          <w:tcPr>
            <w:tcW w:w="8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84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8420" w:type="dxa"/>
            <w:vAlign w:val="bottom"/>
          </w:tcPr>
          <w:p>
            <w:pPr>
              <w:ind w:left="440"/>
              <w:spacing w:after="0"/>
              <w:rPr>
                <w:sz w:val="20"/>
                <w:szCs w:val="20"/>
                <w:color w:val="auto"/>
              </w:rPr>
            </w:pPr>
            <w:r>
              <w:rPr>
                <w:rFonts w:ascii="Arial" w:cs="Arial" w:eastAsia="Arial" w:hAnsi="Arial"/>
                <w:sz w:val="18"/>
                <w:szCs w:val="18"/>
                <w:b w:val="1"/>
                <w:bCs w:val="1"/>
                <w:color w:val="auto"/>
              </w:rPr>
              <w:t>Total finite-lived intangible assets</w:t>
            </w:r>
          </w:p>
        </w:tc>
        <w:tc>
          <w:tcPr>
            <w:tcW w:w="340" w:type="dxa"/>
            <w:vAlign w:val="bottom"/>
          </w:tcPr>
          <w:p>
            <w:pPr>
              <w:spacing w:after="0"/>
              <w:rPr>
                <w:sz w:val="20"/>
                <w:szCs w:val="20"/>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b w:val="1"/>
                <w:bCs w:val="1"/>
                <w:color w:val="auto"/>
              </w:rPr>
              <w:t>119,554</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b w:val="1"/>
                <w:bCs w:val="1"/>
                <w:color w:val="auto"/>
              </w:rPr>
              <w:t>214,109</w:t>
            </w:r>
          </w:p>
        </w:tc>
      </w:tr>
      <w:tr>
        <w:trPr>
          <w:trHeight w:val="27"/>
        </w:trPr>
        <w:tc>
          <w:tcPr>
            <w:tcW w:w="20" w:type="dxa"/>
            <w:vAlign w:val="bottom"/>
          </w:tcPr>
          <w:p>
            <w:pPr>
              <w:spacing w:after="0"/>
              <w:rPr>
                <w:sz w:val="2"/>
                <w:szCs w:val="2"/>
                <w:color w:val="auto"/>
              </w:rPr>
            </w:pPr>
          </w:p>
        </w:tc>
        <w:tc>
          <w:tcPr>
            <w:tcW w:w="84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4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420" w:type="dxa"/>
            <w:vAlign w:val="bottom"/>
          </w:tcPr>
          <w:p>
            <w:pPr>
              <w:ind w:left="20"/>
              <w:spacing w:after="0"/>
              <w:rPr>
                <w:sz w:val="20"/>
                <w:szCs w:val="20"/>
                <w:color w:val="auto"/>
              </w:rPr>
            </w:pPr>
            <w:r>
              <w:rPr>
                <w:rFonts w:ascii="Arial" w:cs="Arial" w:eastAsia="Arial" w:hAnsi="Arial"/>
                <w:sz w:val="18"/>
                <w:szCs w:val="18"/>
                <w:b w:val="1"/>
                <w:bCs w:val="1"/>
                <w:color w:val="auto"/>
              </w:rPr>
              <w:t>Indefinite-lived intangible assets: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8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8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Water rights and other</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26,860</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8,397</w:t>
            </w:r>
          </w:p>
        </w:tc>
      </w:tr>
      <w:tr>
        <w:trPr>
          <w:trHeight w:val="237"/>
        </w:trPr>
        <w:tc>
          <w:tcPr>
            <w:tcW w:w="20" w:type="dxa"/>
            <w:vAlign w:val="bottom"/>
          </w:tcPr>
          <w:p>
            <w:pPr>
              <w:spacing w:after="0"/>
              <w:rPr>
                <w:sz w:val="20"/>
                <w:szCs w:val="20"/>
                <w:color w:val="auto"/>
              </w:rPr>
            </w:pPr>
          </w:p>
        </w:tc>
        <w:tc>
          <w:tcPr>
            <w:tcW w:w="8420" w:type="dxa"/>
            <w:vAlign w:val="bottom"/>
          </w:tcPr>
          <w:p>
            <w:pPr>
              <w:ind w:left="440"/>
              <w:spacing w:after="0"/>
              <w:rPr>
                <w:sz w:val="20"/>
                <w:szCs w:val="20"/>
                <w:color w:val="auto"/>
              </w:rPr>
            </w:pPr>
            <w:r>
              <w:rPr>
                <w:rFonts w:ascii="Arial" w:cs="Arial" w:eastAsia="Arial" w:hAnsi="Arial"/>
                <w:sz w:val="18"/>
                <w:szCs w:val="18"/>
                <w:b w:val="1"/>
                <w:bCs w:val="1"/>
                <w:color w:val="auto"/>
              </w:rPr>
              <w:t>Total indefinite-lived intangible assets</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26,860</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8,397</w:t>
            </w:r>
          </w:p>
        </w:tc>
      </w:tr>
      <w:tr>
        <w:trPr>
          <w:trHeight w:val="27"/>
        </w:trPr>
        <w:tc>
          <w:tcPr>
            <w:tcW w:w="84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42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Total intangible assets, net</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146,414</w:t>
            </w:r>
          </w:p>
        </w:tc>
        <w:tc>
          <w:tcPr>
            <w:tcW w:w="120" w:type="dxa"/>
            <w:vAlign w:val="bottom"/>
          </w:tcPr>
          <w:p>
            <w:pPr>
              <w:spacing w:after="0"/>
              <w:rPr>
                <w:sz w:val="23"/>
                <w:szCs w:val="23"/>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222,506</w:t>
            </w:r>
          </w:p>
        </w:tc>
      </w:tr>
      <w:tr>
        <w:trPr>
          <w:trHeight w:val="21"/>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20" w:firstLine="405"/>
        <w:spacing w:after="0" w:line="277" w:lineRule="auto"/>
        <w:rPr>
          <w:sz w:val="20"/>
          <w:szCs w:val="20"/>
          <w:color w:val="auto"/>
        </w:rPr>
      </w:pPr>
      <w:r>
        <w:rPr>
          <w:rFonts w:ascii="Arial" w:cs="Arial" w:eastAsia="Arial" w:hAnsi="Arial"/>
          <w:sz w:val="18"/>
          <w:szCs w:val="18"/>
          <w:color w:val="auto"/>
        </w:rPr>
        <w:t>The Macau gaming concession is a finite-lived intangible asset that is being amortized over the 20 year life of the concession. The Company expects that amortization of the Macau gaming concession will be $2.4 million each year in 2020 and 2021, and $1.2 million in 2022.</w:t>
      </w:r>
    </w:p>
    <w:p>
      <w:pPr>
        <w:spacing w:after="0" w:line="197" w:lineRule="exact"/>
        <w:rPr>
          <w:sz w:val="20"/>
          <w:szCs w:val="20"/>
          <w:color w:val="auto"/>
        </w:rPr>
      </w:pPr>
    </w:p>
    <w:p>
      <w:pPr>
        <w:ind w:left="20" w:firstLine="405"/>
        <w:spacing w:after="0" w:line="308" w:lineRule="auto"/>
        <w:rPr>
          <w:sz w:val="20"/>
          <w:szCs w:val="20"/>
          <w:color w:val="auto"/>
        </w:rPr>
      </w:pPr>
      <w:r>
        <w:rPr>
          <w:rFonts w:ascii="Arial" w:cs="Arial" w:eastAsia="Arial" w:hAnsi="Arial"/>
          <w:sz w:val="17"/>
          <w:szCs w:val="17"/>
          <w:color w:val="auto"/>
        </w:rPr>
        <w:t>The Massachusetts gaming license is a finite-lived intangible asset that is being amortized over the 15 year life of the license. The Company expects that amortization of the Massachusetts gaming license will be $7.8 million each year from 2020 through 2033, and $3.7 million in 2034.</w:t>
      </w:r>
    </w:p>
    <w:p>
      <w:pPr>
        <w:spacing w:after="0" w:line="174" w:lineRule="exact"/>
        <w:rPr>
          <w:sz w:val="20"/>
          <w:szCs w:val="20"/>
          <w:color w:val="auto"/>
        </w:rPr>
      </w:pPr>
    </w:p>
    <w:p>
      <w:pPr>
        <w:ind w:left="20" w:firstLine="405"/>
        <w:spacing w:after="0" w:line="277" w:lineRule="auto"/>
        <w:rPr>
          <w:sz w:val="20"/>
          <w:szCs w:val="20"/>
          <w:color w:val="auto"/>
        </w:rPr>
      </w:pPr>
      <w:r>
        <w:rPr>
          <w:rFonts w:ascii="Arial" w:cs="Arial" w:eastAsia="Arial" w:hAnsi="Arial"/>
          <w:sz w:val="18"/>
          <w:szCs w:val="18"/>
          <w:color w:val="auto"/>
        </w:rPr>
        <w:t>On January 1, 2019, the Company reclassified the Undeveloped land - Las Vegas, net of related accumulated amortization to operating lease assets with the adoption of Topic 842.</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720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40"/>
          </w:cols>
          <w:pgMar w:left="220" w:top="122" w:right="239" w:bottom="1440" w:gutter="0" w:footer="0" w:header="0"/>
        </w:sectPr>
      </w:pPr>
    </w:p>
    <w:bookmarkStart w:id="76" w:name="page77"/>
    <w:bookmarkEnd w:id="7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Long-Term Debt</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Long-term debt consisted of the following (in thousands):</w:t>
      </w:r>
    </w:p>
    <w:p>
      <w:pPr>
        <w:spacing w:after="0" w:line="55" w:lineRule="exact"/>
        <w:rPr>
          <w:sz w:val="20"/>
          <w:szCs w:val="20"/>
          <w:color w:val="auto"/>
        </w:rPr>
      </w:pPr>
    </w:p>
    <w:p>
      <w:pPr>
        <w:jc w:val="center"/>
        <w:ind w:left="84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5347970</wp:posOffset>
            </wp:positionH>
            <wp:positionV relativeFrom="paragraph">
              <wp:posOffset>23495</wp:posOffset>
            </wp:positionV>
            <wp:extent cx="190373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35" w:lineRule="exact"/>
        <w:rPr>
          <w:sz w:val="20"/>
          <w:szCs w:val="20"/>
          <w:color w:val="auto"/>
        </w:rPr>
      </w:pPr>
    </w:p>
    <w:p>
      <w:pPr>
        <w:jc w:val="both"/>
        <w:ind w:left="9000"/>
        <w:spacing w:after="0"/>
        <w:tabs>
          <w:tab w:leader="none" w:pos="1054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Macau Related:</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Wynn Macau Credit Facilities:</w:t>
      </w:r>
    </w:p>
    <w:p>
      <w:pPr>
        <w:spacing w:after="0" w:line="9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 xml:space="preserve">Wynn Macau Term Loan, due 2022 </w:t>
      </w:r>
      <w:r>
        <w:rPr>
          <w:rFonts w:ascii="Arial" w:cs="Arial" w:eastAsia="Arial" w:hAnsi="Arial"/>
          <w:sz w:val="13"/>
          <w:szCs w:val="13"/>
          <w:color w:val="auto"/>
        </w:rPr>
        <w:t>(1)</w:t>
      </w:r>
    </w:p>
    <w:p>
      <w:pPr>
        <w:spacing w:after="0" w:line="8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 xml:space="preserve">Wynn Macau Revolver, due 2022 </w:t>
      </w:r>
      <w:r>
        <w:rPr>
          <w:rFonts w:ascii="Arial" w:cs="Arial" w:eastAsia="Arial" w:hAnsi="Arial"/>
          <w:sz w:val="13"/>
          <w:szCs w:val="13"/>
          <w:color w:val="auto"/>
        </w:rPr>
        <w:t>(2)</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7"/>
          <w:szCs w:val="17"/>
          <w:color w:val="auto"/>
        </w:rPr>
        <w:t>WML 4 7/8% Senior Notes, due 2024</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7"/>
          <w:szCs w:val="17"/>
          <w:color w:val="auto"/>
        </w:rPr>
        <w:t>WML 5 1/2% Senior Notes, due 2027</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7"/>
          <w:szCs w:val="17"/>
          <w:color w:val="auto"/>
        </w:rPr>
        <w:t>WML 5 1/8% Senior Notes, due 2029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2,302,540</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2,296,999</w:t>
            </w:r>
          </w:p>
        </w:tc>
      </w:tr>
      <w:tr>
        <w:trPr>
          <w:trHeight w:val="270"/>
        </w:trPr>
        <w:tc>
          <w:tcPr>
            <w:tcW w:w="320" w:type="dxa"/>
            <w:vAlign w:val="bottom"/>
          </w:tcPr>
          <w:p>
            <w:pPr>
              <w:spacing w:after="0"/>
              <w:rPr>
                <w:sz w:val="23"/>
                <w:szCs w:val="23"/>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350,232</w:t>
            </w:r>
          </w:p>
        </w:tc>
        <w:tc>
          <w:tcPr>
            <w:tcW w:w="4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623,921</w:t>
            </w:r>
          </w:p>
        </w:tc>
      </w:tr>
      <w:tr>
        <w:trPr>
          <w:trHeight w:val="270"/>
        </w:trPr>
        <w:tc>
          <w:tcPr>
            <w:tcW w:w="320" w:type="dxa"/>
            <w:vAlign w:val="bottom"/>
          </w:tcPr>
          <w:p>
            <w:pPr>
              <w:spacing w:after="0"/>
              <w:rPr>
                <w:sz w:val="23"/>
                <w:szCs w:val="23"/>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600,000</w:t>
            </w:r>
          </w:p>
        </w:tc>
        <w:tc>
          <w:tcPr>
            <w:tcW w:w="4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600,000</w:t>
            </w:r>
          </w:p>
        </w:tc>
      </w:tr>
      <w:tr>
        <w:trPr>
          <w:trHeight w:val="270"/>
        </w:trPr>
        <w:tc>
          <w:tcPr>
            <w:tcW w:w="320" w:type="dxa"/>
            <w:vAlign w:val="bottom"/>
          </w:tcPr>
          <w:p>
            <w:pPr>
              <w:spacing w:after="0"/>
              <w:rPr>
                <w:sz w:val="23"/>
                <w:szCs w:val="23"/>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750,000</w:t>
            </w:r>
          </w:p>
        </w:tc>
        <w:tc>
          <w:tcPr>
            <w:tcW w:w="4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750,000</w:t>
            </w:r>
          </w:p>
        </w:tc>
      </w:tr>
      <w:tr>
        <w:trPr>
          <w:trHeight w:val="270"/>
        </w:trPr>
        <w:tc>
          <w:tcPr>
            <w:tcW w:w="320" w:type="dxa"/>
            <w:vAlign w:val="bottom"/>
          </w:tcPr>
          <w:p>
            <w:pPr>
              <w:spacing w:after="0"/>
              <w:rPr>
                <w:sz w:val="23"/>
                <w:szCs w:val="23"/>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1,000,000</w:t>
            </w:r>
          </w:p>
        </w:tc>
        <w:tc>
          <w:tcPr>
            <w:tcW w:w="4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-5353685</wp:posOffset>
            </wp:positionH>
            <wp:positionV relativeFrom="paragraph">
              <wp:posOffset>-839470</wp:posOffset>
            </wp:positionV>
            <wp:extent cx="7246620"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-5353685</wp:posOffset>
            </wp:positionH>
            <wp:positionV relativeFrom="paragraph">
              <wp:posOffset>-496570</wp:posOffset>
            </wp:positionV>
            <wp:extent cx="724662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-5353685</wp:posOffset>
            </wp:positionH>
            <wp:positionV relativeFrom="paragraph">
              <wp:posOffset>-153670</wp:posOffset>
            </wp:positionV>
            <wp:extent cx="7246620"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-5353685</wp:posOffset>
            </wp:positionH>
            <wp:positionV relativeFrom="paragraph">
              <wp:posOffset>188595</wp:posOffset>
            </wp:positionV>
            <wp:extent cx="724662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720" w:space="720"/>
            <w:col w:w="2980"/>
          </w:cols>
          <w:pgMar w:left="240" w:top="121" w:right="239" w:bottom="1440" w:gutter="0" w:footer="0" w:header="0"/>
          <w:type w:val="continuous"/>
        </w:sectPr>
      </w:pPr>
    </w:p>
    <w:p>
      <w:pPr>
        <w:spacing w:after="0" w:line="110"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U.S. and Corporate Related:</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WRF Credit Facilities </w:t>
      </w:r>
      <w:r>
        <w:rPr>
          <w:rFonts w:ascii="Arial" w:cs="Arial" w:eastAsia="Arial" w:hAnsi="Arial"/>
          <w:sz w:val="14"/>
          <w:szCs w:val="14"/>
          <w:color w:val="auto"/>
        </w:rPr>
        <w:t>(3)</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WRF Term Loan, due 2024</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WRF Revolver, due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WLV 4 1/4% Senior Notes, due 2023</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WLV 5 1/2% Senior Notes, due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WLV 5 1/4% Senior Notes, due 2027</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WRF 5 1/8% Senior Notes, due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Retail Term Loan, due 2025 </w:t>
      </w:r>
      <w:r>
        <w:rPr>
          <w:rFonts w:ascii="Arial" w:cs="Arial" w:eastAsia="Arial" w:hAnsi="Arial"/>
          <w:sz w:val="14"/>
          <w:szCs w:val="14"/>
          <w:color w:val="auto"/>
        </w:rPr>
        <w:t>(4)</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Wynn America Senior Term Loan Facility, due 2021 </w:t>
      </w: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Wynn Resorts Term Loan, due 2024 </w:t>
      </w: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00" w:lineRule="exact"/>
        <w:rPr>
          <w:sz w:val="20"/>
          <w:szCs w:val="20"/>
          <w:color w:val="auto"/>
        </w:rPr>
      </w:pPr>
    </w:p>
    <w:p>
      <w:pPr>
        <w:ind w:left="20"/>
        <w:spacing w:after="0"/>
        <w:rPr>
          <w:sz w:val="20"/>
          <w:szCs w:val="20"/>
          <w:color w:val="auto"/>
        </w:rPr>
      </w:pPr>
      <w:r>
        <w:rPr>
          <w:rFonts w:ascii="Arial" w:cs="Arial" w:eastAsia="Arial" w:hAnsi="Arial"/>
          <w:sz w:val="16"/>
          <w:szCs w:val="16"/>
          <w:color w:val="auto"/>
        </w:rPr>
        <w:t>Less: Unamortized debt issuance costs and original issue discounts and premium,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226695</wp:posOffset>
            </wp:positionV>
            <wp:extent cx="7246620"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Less: Current portion of long-term debt</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Total long-term debt, net of current portion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9" w:lineRule="exact"/>
        <w:rPr>
          <w:sz w:val="20"/>
          <w:szCs w:val="20"/>
          <w:color w:val="auto"/>
        </w:rPr>
      </w:pPr>
    </w:p>
    <w:p>
      <w:pPr>
        <w:spacing w:after="0" w:line="1" w:lineRule="exact"/>
        <w:rPr>
          <w:sz w:val="1"/>
          <w:szCs w:val="1"/>
          <w:color w:val="auto"/>
        </w:rPr>
      </w:pPr>
    </w:p>
    <w:tbl>
      <w:tblPr>
        <w:tblLayout w:type="fixed"/>
        <w:tblInd w:w="560" w:type="dxa"/>
        <w:tblCellMar>
          <w:top w:w="0" w:type="dxa"/>
          <w:left w:w="0" w:type="dxa"/>
          <w:bottom w:w="0" w:type="dxa"/>
          <w:right w:w="0" w:type="dxa"/>
        </w:tblCellMar>
      </w:tblPr>
      <w:tr>
        <w:trPr>
          <w:trHeight w:val="230"/>
        </w:trPr>
        <w:tc>
          <w:tcPr>
            <w:tcW w:w="1140" w:type="dxa"/>
            <w:vAlign w:val="bottom"/>
          </w:tcPr>
          <w:p>
            <w:pPr>
              <w:jc w:val="right"/>
              <w:ind w:right="330"/>
              <w:spacing w:after="0"/>
              <w:rPr>
                <w:sz w:val="20"/>
                <w:szCs w:val="20"/>
                <w:color w:val="auto"/>
              </w:rPr>
            </w:pPr>
            <w:r>
              <w:rPr>
                <w:rFonts w:ascii="Arial" w:cs="Arial" w:eastAsia="Arial" w:hAnsi="Arial"/>
                <w:sz w:val="18"/>
                <w:szCs w:val="18"/>
                <w:color w:val="auto"/>
              </w:rPr>
              <w:t>987,500</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11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1140" w:type="dxa"/>
            <w:vAlign w:val="bottom"/>
          </w:tcPr>
          <w:p>
            <w:pPr>
              <w:jc w:val="right"/>
              <w:ind w:right="330"/>
              <w:spacing w:after="0"/>
              <w:rPr>
                <w:sz w:val="20"/>
                <w:szCs w:val="20"/>
                <w:color w:val="auto"/>
              </w:rPr>
            </w:pPr>
            <w:r>
              <w:rPr>
                <w:rFonts w:ascii="Arial" w:cs="Arial" w:eastAsia="Arial" w:hAnsi="Arial"/>
                <w:sz w:val="18"/>
                <w:szCs w:val="18"/>
                <w:color w:val="auto"/>
              </w:rPr>
              <w:t>500,000</w:t>
            </w:r>
          </w:p>
        </w:tc>
        <w:tc>
          <w:tcPr>
            <w:tcW w:w="1120" w:type="dxa"/>
            <w:vAlign w:val="bottom"/>
          </w:tcPr>
          <w:p>
            <w:pPr>
              <w:jc w:val="right"/>
              <w:spacing w:after="0"/>
              <w:rPr>
                <w:sz w:val="20"/>
                <w:szCs w:val="20"/>
                <w:color w:val="auto"/>
              </w:rPr>
            </w:pPr>
            <w:r>
              <w:rPr>
                <w:rFonts w:ascii="Arial" w:cs="Arial" w:eastAsia="Arial" w:hAnsi="Arial"/>
                <w:sz w:val="18"/>
                <w:szCs w:val="18"/>
                <w:color w:val="auto"/>
              </w:rPr>
              <w:t>500,000</w:t>
            </w:r>
          </w:p>
        </w:tc>
      </w:tr>
      <w:tr>
        <w:trPr>
          <w:trHeight w:val="270"/>
        </w:trPr>
        <w:tc>
          <w:tcPr>
            <w:tcW w:w="1140" w:type="dxa"/>
            <w:vAlign w:val="bottom"/>
          </w:tcPr>
          <w:p>
            <w:pPr>
              <w:jc w:val="right"/>
              <w:ind w:right="330"/>
              <w:spacing w:after="0"/>
              <w:rPr>
                <w:sz w:val="20"/>
                <w:szCs w:val="20"/>
                <w:color w:val="auto"/>
              </w:rPr>
            </w:pPr>
            <w:r>
              <w:rPr>
                <w:rFonts w:ascii="Arial" w:cs="Arial" w:eastAsia="Arial" w:hAnsi="Arial"/>
                <w:sz w:val="18"/>
                <w:szCs w:val="18"/>
                <w:color w:val="auto"/>
                <w:w w:val="87"/>
              </w:rPr>
              <w:t>1,780,000</w:t>
            </w:r>
          </w:p>
        </w:tc>
        <w:tc>
          <w:tcPr>
            <w:tcW w:w="1120" w:type="dxa"/>
            <w:vAlign w:val="bottom"/>
          </w:tcPr>
          <w:p>
            <w:pPr>
              <w:jc w:val="right"/>
              <w:spacing w:after="0"/>
              <w:rPr>
                <w:sz w:val="20"/>
                <w:szCs w:val="20"/>
                <w:color w:val="auto"/>
              </w:rPr>
            </w:pPr>
            <w:r>
              <w:rPr>
                <w:rFonts w:ascii="Arial" w:cs="Arial" w:eastAsia="Arial" w:hAnsi="Arial"/>
                <w:sz w:val="18"/>
                <w:szCs w:val="18"/>
                <w:color w:val="auto"/>
              </w:rPr>
              <w:t>1,780,000</w:t>
            </w:r>
          </w:p>
        </w:tc>
      </w:tr>
      <w:tr>
        <w:trPr>
          <w:trHeight w:val="270"/>
        </w:trPr>
        <w:tc>
          <w:tcPr>
            <w:tcW w:w="1140" w:type="dxa"/>
            <w:vAlign w:val="bottom"/>
          </w:tcPr>
          <w:p>
            <w:pPr>
              <w:jc w:val="right"/>
              <w:ind w:right="330"/>
              <w:spacing w:after="0"/>
              <w:rPr>
                <w:sz w:val="20"/>
                <w:szCs w:val="20"/>
                <w:color w:val="auto"/>
              </w:rPr>
            </w:pPr>
            <w:r>
              <w:rPr>
                <w:rFonts w:ascii="Arial" w:cs="Arial" w:eastAsia="Arial" w:hAnsi="Arial"/>
                <w:sz w:val="18"/>
                <w:szCs w:val="18"/>
                <w:color w:val="auto"/>
              </w:rPr>
              <w:t>880,000</w:t>
            </w:r>
          </w:p>
        </w:tc>
        <w:tc>
          <w:tcPr>
            <w:tcW w:w="1120" w:type="dxa"/>
            <w:vAlign w:val="bottom"/>
          </w:tcPr>
          <w:p>
            <w:pPr>
              <w:jc w:val="right"/>
              <w:spacing w:after="0"/>
              <w:rPr>
                <w:sz w:val="20"/>
                <w:szCs w:val="20"/>
                <w:color w:val="auto"/>
              </w:rPr>
            </w:pPr>
            <w:r>
              <w:rPr>
                <w:rFonts w:ascii="Arial" w:cs="Arial" w:eastAsia="Arial" w:hAnsi="Arial"/>
                <w:sz w:val="18"/>
                <w:szCs w:val="18"/>
                <w:color w:val="auto"/>
              </w:rPr>
              <w:t>880,000</w:t>
            </w:r>
          </w:p>
        </w:tc>
      </w:tr>
      <w:tr>
        <w:trPr>
          <w:trHeight w:val="270"/>
        </w:trPr>
        <w:tc>
          <w:tcPr>
            <w:tcW w:w="1140" w:type="dxa"/>
            <w:vAlign w:val="bottom"/>
          </w:tcPr>
          <w:p>
            <w:pPr>
              <w:jc w:val="right"/>
              <w:ind w:right="330"/>
              <w:spacing w:after="0"/>
              <w:rPr>
                <w:sz w:val="20"/>
                <w:szCs w:val="20"/>
                <w:color w:val="auto"/>
              </w:rPr>
            </w:pPr>
            <w:r>
              <w:rPr>
                <w:rFonts w:ascii="Arial" w:cs="Arial" w:eastAsia="Arial" w:hAnsi="Arial"/>
                <w:sz w:val="18"/>
                <w:szCs w:val="18"/>
                <w:color w:val="auto"/>
              </w:rPr>
              <w:t>750,000</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1140" w:type="dxa"/>
            <w:vAlign w:val="bottom"/>
          </w:tcPr>
          <w:p>
            <w:pPr>
              <w:jc w:val="right"/>
              <w:ind w:right="330"/>
              <w:spacing w:after="0"/>
              <w:rPr>
                <w:sz w:val="20"/>
                <w:szCs w:val="20"/>
                <w:color w:val="auto"/>
              </w:rPr>
            </w:pPr>
            <w:r>
              <w:rPr>
                <w:rFonts w:ascii="Arial" w:cs="Arial" w:eastAsia="Arial" w:hAnsi="Arial"/>
                <w:sz w:val="18"/>
                <w:szCs w:val="18"/>
                <w:color w:val="auto"/>
              </w:rPr>
              <w:t>615,000</w:t>
            </w:r>
          </w:p>
        </w:tc>
        <w:tc>
          <w:tcPr>
            <w:tcW w:w="1120" w:type="dxa"/>
            <w:vAlign w:val="bottom"/>
          </w:tcPr>
          <w:p>
            <w:pPr>
              <w:jc w:val="right"/>
              <w:spacing w:after="0"/>
              <w:rPr>
                <w:sz w:val="20"/>
                <w:szCs w:val="20"/>
                <w:color w:val="auto"/>
              </w:rPr>
            </w:pPr>
            <w:r>
              <w:rPr>
                <w:rFonts w:ascii="Arial" w:cs="Arial" w:eastAsia="Arial" w:hAnsi="Arial"/>
                <w:sz w:val="18"/>
                <w:szCs w:val="18"/>
                <w:color w:val="auto"/>
              </w:rPr>
              <w:t>615,000</w:t>
            </w:r>
          </w:p>
        </w:tc>
      </w:tr>
    </w:tbl>
    <w:p>
      <w:pPr>
        <w:spacing w:after="0" w:line="4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994,780</w:t>
      </w:r>
    </w:p>
    <w:p>
      <w:pPr>
        <w:spacing w:after="0" w:line="6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500,000</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10,515,272</w:t>
      </w:r>
      <w:r>
        <w:rPr>
          <w:rFonts w:ascii="Arial" w:cs="Arial" w:eastAsia="Arial" w:hAnsi="Arial"/>
          <w:sz w:val="16"/>
          <w:szCs w:val="16"/>
          <w:b w:val="1"/>
          <w:bCs w:val="1"/>
          <w:color w:val="auto"/>
        </w:rPr>
        <w:t>9,540,700</w:t>
      </w:r>
    </w:p>
    <w:p>
      <w:pPr>
        <w:spacing w:after="0" w:line="6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(111,413)</w:t>
      </w:r>
      <w:r>
        <w:rPr>
          <w:rFonts w:ascii="Arial" w:cs="Arial" w:eastAsia="Arial" w:hAnsi="Arial"/>
          <w:sz w:val="16"/>
          <w:szCs w:val="16"/>
          <w:color w:val="auto"/>
        </w:rPr>
        <w:t>(117,600)</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10,403,859</w:t>
      </w:r>
      <w:r>
        <w:rPr>
          <w:rFonts w:ascii="Arial" w:cs="Arial" w:eastAsia="Arial" w:hAnsi="Arial"/>
          <w:sz w:val="16"/>
          <w:szCs w:val="16"/>
          <w:b w:val="1"/>
          <w:bCs w:val="1"/>
          <w:color w:val="auto"/>
        </w:rPr>
        <w:t>9,423,100</w:t>
      </w:r>
    </w:p>
    <w:p>
      <w:pPr>
        <w:spacing w:after="0" w:line="6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(323,876)</w:t>
      </w:r>
      <w:r>
        <w:rPr>
          <w:rFonts w:ascii="Arial" w:cs="Arial" w:eastAsia="Arial" w:hAnsi="Arial"/>
          <w:sz w:val="16"/>
          <w:szCs w:val="16"/>
          <w:color w:val="auto"/>
        </w:rPr>
        <w:t>(11,960)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31750</wp:posOffset>
            </wp:positionV>
            <wp:extent cx="190373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903730"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-318770</wp:posOffset>
            </wp:positionV>
            <wp:extent cx="190373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903730"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-670560</wp:posOffset>
            </wp:positionV>
            <wp:extent cx="190373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53" w:lineRule="exact"/>
        <w:rPr>
          <w:sz w:val="20"/>
          <w:szCs w:val="20"/>
          <w:color w:val="auto"/>
        </w:rPr>
      </w:pPr>
    </w:p>
    <w:p>
      <w:pPr>
        <w:spacing w:after="0"/>
        <w:tabs>
          <w:tab w:leader="none" w:pos="440" w:val="left"/>
          <w:tab w:leader="none" w:pos="1540" w:val="left"/>
          <w:tab w:leader="none" w:pos="210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10,079,983</w:t>
        <w:tab/>
        <w:t>$</w:t>
      </w:r>
      <w:r>
        <w:rPr>
          <w:sz w:val="20"/>
          <w:szCs w:val="20"/>
          <w:color w:val="auto"/>
        </w:rPr>
        <w:tab/>
      </w:r>
      <w:r>
        <w:rPr>
          <w:rFonts w:ascii="Arial" w:cs="Arial" w:eastAsia="Arial" w:hAnsi="Arial"/>
          <w:sz w:val="15"/>
          <w:szCs w:val="15"/>
          <w:b w:val="1"/>
          <w:bCs w:val="1"/>
          <w:color w:val="auto"/>
        </w:rPr>
        <w:t>9,411,140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34290</wp:posOffset>
            </wp:positionV>
            <wp:extent cx="1903730" cy="342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903730" cy="34290"/>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7720" w:space="720"/>
            <w:col w:w="2980"/>
          </w:cols>
          <w:pgMar w:left="240" w:top="121" w:right="239" w:bottom="1440" w:gutter="0" w:footer="0" w:header="0"/>
          <w:type w:val="continuous"/>
        </w:sectPr>
      </w:pPr>
    </w:p>
    <w:p>
      <w:pPr>
        <w:spacing w:after="0" w:line="214" w:lineRule="exact"/>
        <w:rPr>
          <w:sz w:val="20"/>
          <w:szCs w:val="20"/>
          <w:color w:val="auto"/>
        </w:rPr>
      </w:pPr>
    </w:p>
    <w:p>
      <w:pPr>
        <w:ind w:left="260" w:hanging="252"/>
        <w:spacing w:after="0" w:line="250" w:lineRule="auto"/>
        <w:tabs>
          <w:tab w:leader="none" w:pos="234" w:val="left"/>
        </w:tabs>
        <w:numPr>
          <w:ilvl w:val="0"/>
          <w:numId w:val="33"/>
        </w:numPr>
        <w:rPr>
          <w:rFonts w:ascii="Arial" w:cs="Arial" w:eastAsia="Arial" w:hAnsi="Arial"/>
          <w:sz w:val="14"/>
          <w:szCs w:val="14"/>
          <w:color w:val="auto"/>
        </w:rPr>
      </w:pPr>
      <w:r>
        <w:rPr>
          <w:rFonts w:ascii="Arial" w:cs="Arial" w:eastAsia="Arial" w:hAnsi="Arial"/>
          <w:sz w:val="14"/>
          <w:szCs w:val="14"/>
          <w:color w:val="auto"/>
        </w:rPr>
        <w:t>Approximately $1.31 billion and $997.5 million of the Wynn Macau Term Loan bears interest at a rate of LIBOR plus 1.75% per year and HIBOR plus 1.75% per year, respectively. As of December 31, 2019 and 2018, the weighted average interest rate was approximately 3.95% and 4.17%, respectively.</w:t>
      </w:r>
    </w:p>
    <w:p>
      <w:pPr>
        <w:jc w:val="both"/>
        <w:ind w:left="260" w:hanging="252"/>
        <w:spacing w:after="0" w:line="241" w:lineRule="auto"/>
        <w:tabs>
          <w:tab w:leader="none" w:pos="235" w:val="left"/>
        </w:tabs>
        <w:numPr>
          <w:ilvl w:val="0"/>
          <w:numId w:val="33"/>
        </w:numPr>
        <w:rPr>
          <w:rFonts w:ascii="Arial" w:cs="Arial" w:eastAsia="Arial" w:hAnsi="Arial"/>
          <w:sz w:val="14"/>
          <w:szCs w:val="14"/>
          <w:color w:val="auto"/>
        </w:rPr>
      </w:pPr>
      <w:r>
        <w:rPr>
          <w:rFonts w:ascii="Arial" w:cs="Arial" w:eastAsia="Arial" w:hAnsi="Arial"/>
          <w:sz w:val="14"/>
          <w:szCs w:val="14"/>
          <w:color w:val="auto"/>
        </w:rPr>
        <w:t>Approximately $199.5 million and $150.7 million of the Wynn Macau Revolver bears interest at a rate of LIBOR plus 1.75% per year and HIBOR plus 1.75% per year, respectively. As of December 31, 2019 and 2018, the weighted average interest rate was approximately 3.92% and 4.17%, respectively. As of December 31, 2019, the available borrowing capacity under the Wynn Macau Revolver was $399.3 million.</w:t>
      </w:r>
    </w:p>
    <w:p>
      <w:pPr>
        <w:spacing w:after="0" w:line="1" w:lineRule="exact"/>
        <w:rPr>
          <w:rFonts w:ascii="Arial" w:cs="Arial" w:eastAsia="Arial" w:hAnsi="Arial"/>
          <w:sz w:val="14"/>
          <w:szCs w:val="14"/>
          <w:color w:val="auto"/>
        </w:rPr>
      </w:pPr>
    </w:p>
    <w:p>
      <w:pPr>
        <w:ind w:left="260" w:hanging="252"/>
        <w:spacing w:after="0" w:line="241" w:lineRule="auto"/>
        <w:tabs>
          <w:tab w:leader="none" w:pos="231"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WRF Credit Facilities bear interest at a rate of LIBOR plus 1.75% per year. As of December 31, 2019, the interest rate was 3.55%. Additionally, as of December 31, 2019, the available borrowing capacity under the WRF Revolver was $831.9 million, net of $18.1 million in outstanding letters of credit.</w:t>
      </w:r>
    </w:p>
    <w:p>
      <w:pPr>
        <w:ind w:left="220" w:hanging="212"/>
        <w:spacing w:after="0"/>
        <w:tabs>
          <w:tab w:leader="none" w:pos="2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Retail Term Loan bears interest at a rate of LIBOR plus 1.70% per year. As of December 31, 2019 and 2018, the interest rate was 3.41% and 4.78%, respectively.</w:t>
      </w:r>
    </w:p>
    <w:p>
      <w:pPr>
        <w:spacing w:after="0" w:line="1" w:lineRule="exact"/>
        <w:rPr>
          <w:rFonts w:ascii="Arial" w:cs="Arial" w:eastAsia="Arial" w:hAnsi="Arial"/>
          <w:sz w:val="14"/>
          <w:szCs w:val="14"/>
          <w:color w:val="auto"/>
        </w:rPr>
      </w:pPr>
    </w:p>
    <w:p>
      <w:pPr>
        <w:ind w:left="260" w:hanging="252"/>
        <w:spacing w:after="0" w:line="255" w:lineRule="auto"/>
        <w:tabs>
          <w:tab w:leader="none" w:pos="228"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Wynn America Senior Term Loan Facility, and the Wynn Resorts Term Loan were prepaid in full on September 20, 2019, in connection with the Refinancing Transactions, as defined and discussed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77" w:name="page78"/>
    <w:bookmarkEnd w:id="7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Macau Related Debt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Wynn Macau Credit Facilities</w:t>
      </w:r>
    </w:p>
    <w:p>
      <w:pPr>
        <w:spacing w:after="0" w:line="252"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Company's Wynn Macau credit facilities consist of an approximately $2.30 billion equivalent senior secured term loan facility (the "Wynn Macau Term Loan") and an approximately $750 million equivalent senior secured revolving credit facility (the "Wynn Macau Revolver" and together with the Wynn Macau Term Loan, the "Wynn Macau Credit Facilities"). The borrower is Wynn Resorts (Macau) S.A. ("Wynn Macau SA"), an indirect subsidiary of WML. Wynn Macau SA has the ability to upsize the Wynn Macau Credit Facilities by an additional $1.0 billion in equivalent senior secured loans upon satisfaction of various conditions. Wynn Macau SA borrows and repays its revolving credit facility from time to time as cash needs permit.</w:t>
      </w:r>
    </w:p>
    <w:p>
      <w:pPr>
        <w:spacing w:after="0" w:line="132"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In December 2018, Wynn Macau SA amended the Wynn Macau Credit Facilities by entering into the Amended Common Terms Agreement. The Wynn Macau Term Loan was previously repayable in graduating installments of between 2.50% to 7.33% of the principal amount on a quarterly basis commencing December 2018, with a final installment of 50% of the principal amount repayable in September 2021; and the final maturity of any outstanding borrowings from the Wynn Macau Revolver was previously repayable by September 2020. Following the execution of the Amended Common Terms Agreement, the Wynn Macau Term Loan is repayable in graduating installments of between 2.875% to 4.50% of the principal amount on a quarterly basis commencing September 30, 2020, with a final installment of 75% of the principal amount repayable in June 2022; and the final maturity of any outstanding borrowings from the Wynn Macau Revolver is in June 2022. The commitment fee required to be paid for unborrowed amounts under the Wynn Macau Revolver, if any, is between 0.52% and 0.79%, per annum, based on Wynn Macau SA's Leverage Ratio. The annual commitment fee is payable quarterly in arrears and is calculated based on the daily average of the unborrowed amounts.</w:t>
      </w:r>
    </w:p>
    <w:p>
      <w:pPr>
        <w:spacing w:after="0" w:line="155"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The Wynn Macau Credit Facilities contain a requirement that Wynn Macau SA must make mandatory repayments of indebtedness from specified percentages of excess cash flow. If Wynn Macau SA's Leverage Ratio is greater than 4.5 to 1, then 25% of Excess Cash Flow (as defined in the Wynn Macau Credit Facilities) must be used for prepayment of indebtedness and cancellation of available borrowings under the Wynn Macau Credit Facilities. There is no mandatory prepayment in respect of Excess Cash Flow if Wynn Macau SA's Leverage Ratio is equal to or less than 4.5 to 1. The Wynn Macau Credit Facilities contain customary covenants restricting certain activities including, but not limited to: the incurrence of additional indebtedness, the incurrence or creation of liens on any of its property, sale and leaseback transactions, the ability to dispose of assets, and making loans or other investments. In addition, Wynn Macau SA is required by the financial covenants to maintain a Leverage Ratio of not greater than 4.25 to 1 and 4.00 to 1 for the fiscal years ending December 31, 2019 and December 31, 2020 and thereafter, respectively, and an Interest Coverage Ratio (as defined in the Wynn Macau Credit Facilities) of not less than 2.00 to 1 at any time.</w:t>
      </w:r>
    </w:p>
    <w:p>
      <w:pPr>
        <w:spacing w:after="0" w:line="224"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Borrowings under the Wynn Macau Credit Facilities are guaranteed by Palo Real Estate Company Limited ("Palo"), a subsidiary of Wynn Macau SA, and by certain subsidiaries of the Company that own equity interests in Wynn Macau SA, and are secured by substantially all of the assets of Wynn Macau SA and Palo, and the equity interests in Wynn Macau SA. Borrowings under the Wynn Macau Credit Facilities are not guaranteed by the Company or WML.</w:t>
      </w:r>
    </w:p>
    <w:p>
      <w:pPr>
        <w:spacing w:after="0" w:line="174"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In connection with the gaming concession contract of Wynn Macau SA, Wynn Macau SA entered into a Bank Guarantee Reimbursement Agreement with Banco Nacional Ultramarino, S.A. ("BNU") for the benefit of the Macau government. This guarantee assures Wynn Macau SA's performance under the casino concession agreement, including the payment of premiums, fines and indemnity for any material failure to perform under the terms of the concession agreement and the payment of any gaming taxes. As of December 31, 2019, the guarantee was in the amount of 300 million Macau patacas ("MOP") (approximately $37.4 million) and will remain at such amount until 180 days after the end of the term of the concession agreement in 2022. BNU, as issuer of the guarantee, is currently secured by a second priority security interest in the senior lender collateral package. From and after repayment of all indebtedness under the Wynn Macau Credit Facilities, Wynn Macau SA is obligated to promptly, upon demand by BNU, repay any claim made on the guarantee by the Macau government. BNU is paid an annual fee for the guarantee of MOP 2.3 million (approximately $0.3 million).</w:t>
      </w:r>
    </w:p>
    <w:p>
      <w:pPr>
        <w:spacing w:after="0" w:line="193" w:lineRule="exact"/>
        <w:rPr>
          <w:sz w:val="20"/>
          <w:szCs w:val="20"/>
          <w:color w:val="auto"/>
        </w:rPr>
      </w:pPr>
    </w:p>
    <w:p>
      <w:pPr>
        <w:jc w:val="both"/>
        <w:ind w:firstLine="405"/>
        <w:spacing w:after="0" w:line="243" w:lineRule="auto"/>
        <w:rPr>
          <w:sz w:val="20"/>
          <w:szCs w:val="20"/>
          <w:color w:val="auto"/>
        </w:rPr>
      </w:pPr>
      <w:r>
        <w:rPr>
          <w:rFonts w:ascii="Arial" w:cs="Arial" w:eastAsia="Arial" w:hAnsi="Arial"/>
          <w:sz w:val="18"/>
          <w:szCs w:val="18"/>
          <w:color w:val="auto"/>
        </w:rPr>
        <w:t>The Company expects to repay the Wynn Macau Term Loan in an aggregate amount equivalent to the $1.0 billion of gross proceeds from the issuance of the 2029 WML Notes, as defined below, over the next two years, subject to generating sufficient future operating cash flows from its Macau Operations. In February 2020, the Company prepaid $150.0 million of the Wynn Macau Term Loan, and accordingly, has presented that amount as a current liability on the accompany Consolidated Balance Sheet as of December 31, 2019.</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8" w:name="page79"/>
    <w:bookmarkEnd w:id="7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WML 4 7/8% Senior Notes due 2024 and 5 1/2% Senior Notes due 2027</w:t>
      </w:r>
    </w:p>
    <w:p>
      <w:pPr>
        <w:spacing w:after="0" w:line="25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On September 20, 2017, WML issued the $600 million 4 7/8% Senior Notes due 2024 (the "2024 WML Notes") and the $750 million of 5 1/2% Senior Notes due 2027 (the "2027 WML Notes" and together with the 2024 WML Notes, the "WML Notes"). WML used the net proceeds from the WML Notes and cash on hand to fund the cost of extinguishing the 5 1/4% Senior Notes due 2021.</w:t>
      </w:r>
    </w:p>
    <w:p>
      <w:pPr>
        <w:spacing w:after="0" w:line="20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2024 WML Notes bear interest at the rate of 4 7/8% per annum and mature on October 1, 2024. The 2027 WML Notes bear interest at the rate of 5 1/2% per annum and mature on October 1, 2027. Interest on the WML Notes is payable semi-annually in arrears on April 1 and October 1 of each year, beginning on April 1, 2018.</w:t>
      </w:r>
    </w:p>
    <w:p>
      <w:pPr>
        <w:spacing w:after="0" w:line="11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At any time prior to October 1, 2020 and October 1, 2022, WML may redeem the 2024 WML Notes and 2027 WML Notes, respectively, in whole or in part, at a redemption price equal to the greater of (a) 100% of the principal amount of the WML Notes or (b) a "make-whole" amount as determined by an independent investment banker in accordance with the terms of the indentures for the WML Notes, dated as of September 20, 2017 (the "WML Indentures"). In either case, the redemption price would include accrued and unpaid interest. In addition, at any time prior to October 1, 2020, WML may use the net cash proceeds from certain equity offerings to redeem up to 35% of the aggregate principal amount of the 2024 WML Notes and the 2027 WML Notes, at a redemption price equal to 104.875% of the aggregate principal amount of the 2024 WML Notes and 105.5% of the aggregate principal amount of the 2027 WML Notes, as applicable.</w:t>
      </w:r>
    </w:p>
    <w:p>
      <w:pPr>
        <w:spacing w:after="0" w:line="108"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On or after October 1, 2020 and October 1, 2022, WML may redeem the 2024 WML Notes and 2027 WML Notes, respectively, in whole or in part, at a premium decreasing annually from 102.438% and 102.75%, respectively, of the applicable principal amount to 100% of the applicable principal amount, plus accrued and unpaid interest. If WML undergoes a change of control (as defined in the WML Indentures), it must offer to repurchase the WML Notes at a price equal to 101% of the aggregate principal amount thereof, plus accrued and unpaid interest. In addition, WML may redeem the WML Notes, in whole but not in part, at a redemption price equal to 100% of the principal amount, plus accrued and unpaid interest, in response to any change in or amendment to certain tax laws or tax positions. Further, if a holder or beneficial owner of the WML Notes fails to meet certain requirements imposed by any Gaming Authority (as defined in the WML Indentures), WML may require the holder or beneficial owner to dispose of or redeem its WML Notes.</w:t>
      </w:r>
    </w:p>
    <w:p>
      <w:pPr>
        <w:spacing w:after="0" w:line="100"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Upon the occurrence of (1) any event after which none of WML or any of its subsidiaries have such licenses, concessions, subconcessions or other permits or authorizations as necessary to conduct gaming activities in substantially the same scope as it does on the date of the WML Notes issuance, for a period of ten consecutive days or more, and such event has a material adverse effect on the financial condition, business, properties, or results of operations of WML and its subsidiaries, taken as a whole, or (2) the termination, rescission, revocation or modification of any such licenses, concessions, subconcessions or other permits or authorizations which has had a material adverse effect on the financial condition, business, properties, or results of operations of WML and its subsidiaries, taken as a whole, each holder of the WML Notes will have the right to require WML to repurchase all or any part of such holders' WML Notes at a purchase price in cash equal to 100% of the principal amount thereof, plus accrued and unpaid interest.</w:t>
      </w:r>
    </w:p>
    <w:p>
      <w:pPr>
        <w:spacing w:after="0" w:line="110"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WML Notes are WML's general unsecured obligations and rank pari passu in right of payment with all of WML's existing and future senior unsecured indebtedness, will rank senior to all of WML's future subordinated indebtedness, if any; will be effectively subordinated to all of WML's future secured indebtedness to the extent of the value of the assets securing such debt; and will be structurally subordinated to all existing and future obligations of WML's subsidiaries, including the Wynn Macau Credit Facilities and the WML Finance Credit Facility. The WML Notes are not registered under the Securities Act of 1933, as amended (the "Securities Act") and the WML Notes are subject to restrictions on transferability and resale.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WML 5 1/8% Senior Notes due 2029</w:t>
      </w:r>
    </w:p>
    <w:p>
      <w:pPr>
        <w:spacing w:after="0" w:line="18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On December 17, 2019, WML issued $1.0 billion 5 1/8% Senior Notes due 2029 (the "2029 WML Notes") pursuant to an indenture (the "WML 2029 Indenture"). WML expects to use the net proceeds from the 2029 WML Notes to facilitate the repayment of $1.0 billion of amounts outstanding under the Wynn Macau Term Loan, as described under </w:t>
      </w:r>
      <w:r>
        <w:rPr>
          <w:rFonts w:ascii="Arial" w:cs="Arial" w:eastAsia="Arial" w:hAnsi="Arial"/>
          <w:sz w:val="18"/>
          <w:szCs w:val="18"/>
          <w:i w:val="1"/>
          <w:iCs w:val="1"/>
          <w:color w:val="auto"/>
        </w:rPr>
        <w:t>Wynn Macau Credit Facilities</w:t>
      </w:r>
      <w:r>
        <w:rPr>
          <w:rFonts w:ascii="Arial" w:cs="Arial" w:eastAsia="Arial" w:hAnsi="Arial"/>
          <w:sz w:val="18"/>
          <w:szCs w:val="18"/>
          <w:color w:val="auto"/>
        </w:rPr>
        <w:t>. The 2029 WML Notes bear interest at the rate of 5 1/8% per annum and mature on December 15, 2029. Interest on the 2029 WML Notes is payable semi-annually in arrears on June 15 and December 15 of each year, beginning on June 15, 2020.</w:t>
      </w:r>
    </w:p>
    <w:p>
      <w:pPr>
        <w:spacing w:after="0" w:line="21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At any time prior to December 15, 2022, WML may use the net cash proceeds from certain equity offerings to redeem up to 35% of the aggregate principal amount of the 2029 WML Notes at a redemption price equal to 105.125% of the aggregate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9" w:name="page80"/>
    <w:bookmarkEnd w:id="7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principal amount of the 2029 WML Notes, plus accrued and unpaid interest, if any. At any time prior to December 15, 2024, WML may redeem the 2029 WML Notes in whole or in part at a redemption price equal to the greater of (a) 100% of the aggregate principal amount of the 2029 WML Notes to be redeemed, or (b) a make-whole amount as determined by an independent investment banker in accordance with the terms of the WML 2029 Indenture, in either case, plus accrued and unpaid interest.</w:t>
      </w:r>
    </w:p>
    <w:p>
      <w:pPr>
        <w:spacing w:after="0" w:line="214"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In addition, on or after December 15, 2024, WML may redeem the 2029 WML Notes in whole or in part at a premium decreasing annually from 102.563% of the applicable principal amount to 100.000%, plus accrued and unpaid interest. If WML undergoes a Change of Control (as defined in the WML 2029 Indenture), it must offer to repurchase the 2029 WML Notes at a price equal to 101% of the aggregate principal amount thereof, plus accrued and unpaid interest. In addition, WML may redeem the 2029 WML Notes, in whole but not in part, at a redemption price equal to 100% of the principal amount, plus accrued and unpaid interest, in response to any change in or amendment to certain tax laws or tax positions. Further, if a holder or beneficial owner of the 2029 WML Notes fails to meet certain requirements imposed by any Gaming Authority (as defined in the WML 2029 Indenture), WML may require the holder or beneficial owner to dispose of or redeem its 2029 WML Notes.</w:t>
      </w:r>
    </w:p>
    <w:p>
      <w:pPr>
        <w:spacing w:after="0" w:line="20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Upon the occurrence of (a) any event after which none of WML or any subsidiary of WML has the applicable gaming concessions or authorizations in Macau in substantially the same manner and scope as WML and its subsidiaries are entitled to at the date on which the 2029 WML Notes are issued, for a period of ten consecutive days or more, and such event has a material adverse effect on WML and its subsidiaries, taken as a whole; or (b) the termination or modification of any such concessions or authorizations which has a material adverse effect on WML and its subsidiaries, taken as a whole, each holder of the 2029 WML Notes will have the right to require WML to repurchase all or any part of such holder's 2029 WML Notes at a purchase price in cash equal to 100% of the principal amount thereof, plus accrued and unpaid interest.</w:t>
      </w:r>
    </w:p>
    <w:p>
      <w:pPr>
        <w:spacing w:after="0" w:line="20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2029 WML Notes are WML's general unsecured obligations and rank pari passu in right of payment with all of WML's existing and future senior unsecured indebtedness; will rank senior to all of WML's future subordinated indebtedness, if any; will be effectively subordinated to all of WML's future secured indebtedness to the extent of the value of the assets securing such debt; and will be structurally subordinated to all existing and future obligations of WML's subsidiaries, including WML's existing credit facilities. The 2029 WML Notes are not registered under the Securities Act of 1933, as amended (the "Securities Act"), and the 2029 WML Notes are subject to restrictions on transferability and resale.</w:t>
      </w:r>
    </w:p>
    <w:p>
      <w:pPr>
        <w:spacing w:after="0" w:line="200"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The WML 2029 Indenture contains covenants limiting WML's (and certain of its subsidiaries') ability to, among other things: merge or consolidate with another company; transfer or sell all or substantially all of its properties or assets; and lease all or substantially all of its properties or assets. The terms of the WML 2029 Indenture contain customary events of default, including, but not limited to: default for 30 days in the payment when due of interest on the 2029 WML Notes; default in the payment when due of the principal of, or premium, if any, on the 2029 WML Notes; failure to comply with any payment obligations relating to the repurchase by WML of the 2029 WML Notes upon a change of control; failure to comply with certain covenants in the WML 2029 Indenture; certain defaults on certain other indebtedness; failure to pay judgments against WML or certain subsidiaries that, in the aggregate, exceed $50 million; and certain events of bankruptcy or insolvency. In the case of an event of default arising from certain events of bankruptcy or insolvency, all 2029 WML Notes then outstanding in an amount up to $1.0 billion will become due and payable immediately without further action or notice.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and Corporate Related Debt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Refinancing Transactions</w:t>
      </w:r>
    </w:p>
    <w:p>
      <w:pPr>
        <w:spacing w:after="0" w:line="25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September 20, 2019, WRF and its subsidiary Wynn Resorts Capital Corp. (collectively with WRF, the "WRF Issuers"), each an indirect wholly owned subsidiary of the Company, issued $750.0 million aggregate principal amount of 5 1/8% Senior Notes due 2029 (the "2029 WRF Notes") pursuant to an indenture (the "2029 Indenture") among the WRF Issuers, the guarantors party thereto, and U.S. Bank National Association, as trustee (the "Trustee"), in a private offering. The 2029 WRF Notes were issued at par.</w:t>
      </w:r>
    </w:p>
    <w:p>
      <w:pPr>
        <w:spacing w:after="0" w:line="21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Concurrently with the issuance of the 2029 WRF Notes, WRF entered into a credit agreement (the "WRF Credit Agreement") providing for a new first lien term loan facility in an aggregate principal amount of $1.0 billion (the "WRF Term Loan") and a new first lien revolving credit facility in an aggregate principal amount of $850.0 million (the "WRF Revolver" and together with the WRF Term Loan, the "WRF Credit Facilities") (the WRF Credit Facilities and 2029 WRF Notes are collectively referred to as the "Refinancing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80" w:name="page81"/>
    <w:bookmarkEnd w:id="8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WRF used the net proceeds from the Refinancing Transactions to refinance the existing Wynn America credit facilities and the Wynn Resorts term loan and to pay related fees and expenses totaling $19.3 million, of which $15.1 million was recorded as debt issuance costs within the Consolidated Balance Sheet. The Company recognized the Refinancing Transactions primarily as a modification of existing debt with the related unamortized debt issuance costs reallocated to the new debt instruments. For those components of debt that were deemed extinguished, the Company recognized a loss on extinguishment of debt of $12.4 million.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WRF Credit Facilities</w:t>
      </w:r>
    </w:p>
    <w:p>
      <w:pPr>
        <w:spacing w:after="0" w:line="25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Subject to certain exceptions, the WRF Credit Facilities bear interest at LIBOR plus 1.75% per annum. The annual fee required to pay for unborrowed amounts under the WRF Revolver, if any, is 0.25% per annum, payable quarterly in arrears, calculated based on the daily average of the unborrowed amounts under such credit facilities. The Company is required to make quarterly repayments on the WRF Term Loan of $12.5 million beginning in the fourth quarter of 2019, with any remaining principal amount outstanding repayable in full on September 20, 2024.</w:t>
      </w:r>
    </w:p>
    <w:p>
      <w:pPr>
        <w:spacing w:after="0" w:line="214"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 WRF Credit Agreement contains customary representations and warranties, events of default and negative and affirmative covenants, including, but not limited to, covenants that restrict our ability to pay dividends or distributions to any direct or indirect subsidiaries, to incur and/or repay indebtedness, to make certain restricted payments, and to enter into mergers and acquisitions, negative pledges, liens, transactions with affiliates, and sales of assets. In addition, Wynn Resorts Finance is subject to financial covenants, including maintaining a Consolidated First Lien Net Leverage Ratio, as defined in the WRF Credit Agreement. Commencing with the fourth quarter of 2019, the Consolidated Senior Secured Net Leverage Ratio is not to exceed 3.75 to 1.00.</w:t>
      </w:r>
    </w:p>
    <w:p>
      <w:pPr>
        <w:spacing w:after="0" w:line="18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WRF Credit Facilities are guaranteed by each of WRF's existing and future wholly owned domestic restricted subsidiaries (the "Guarantors"), subject to certain exceptions, and are secured by a first priority lien on substantially all of WRF's and each of the guarantors' existing and future property and assets, subject to certain exceptions, including a limitation on the amount of collateral granted by Wynn Las Vegas, LLC ("WLV") and its subsidiaries so as to not violate the indenture governing WLV's outstanding senior notes.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WRF 5 1/8% Senior Notes, due 2029</w:t>
      </w:r>
    </w:p>
    <w:p>
      <w:pPr>
        <w:spacing w:after="0" w:line="252"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2029 WRF Notes will mature on October 1, 2029 and bear interest at the rate of 5 1/8% per annum, payable in arrears semi-annually on April 1 and October 1 of each year, beginning on April 1, 2020. The WRF Issuers may redeem some or all of the 2029 WRF Notes at any time at a redemption price equal to 100% of the aggregate principal amount of the 2029 WRF Notes to be redeemed plus a make-whole premium, as defined in the 2029 Indenture, and accrued and unpaid interest. On or after July 1, 2029, the WRF Issuers may redeem some or all of the 2029 WRF Notes at the redemption prices set forth in the 2029 Indenture plus accrued and unpaid interest. In the event of a change of control triggering event, the WRF Issuers will be required to offer to repurchase the 2029 WRF Notes at 101% of the principal amount, plus accrued and unpaid interest, if any, to, but not including, the repurchase date. The 2029 WRF Notes are also subject to disposition and redemption requirements imposed by gaming laws and regulations of applicable gaming regulatory authorities.</w:t>
      </w:r>
    </w:p>
    <w:p>
      <w:pPr>
        <w:spacing w:after="0" w:line="219"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2029 WRF Notes are the WRF Issuers' senior unsecured obligations and rank pari passu in right of payment with the WLV senior notes due 2023, 2025, and 2027, and rank equally in right of payment with Wynn Las Vegas' guarantee of the WRF Credit Facilities, and rank senior in right of payment to all of the Issuers' existing and future subordinated debt. The 2029 WRF Notes are effectively subordinated in right of payment to all of the WRF Issuers' existing and future secured debt (to the extent of the value of the collateral securing such debt), and structurally subordinated to all of the liabilities of any of the WRF Issuers' subsidiaries that do not guarantee the 2029 WRF Notes, including WML and its subsidiaries.</w:t>
      </w:r>
    </w:p>
    <w:p>
      <w:pPr>
        <w:spacing w:after="0" w:line="200"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 2029 WRF Notes are jointly and severally guaranteed by each of WRF's existing domestic restricted subsidiaries that guarantee indebtedness under the Credit Agreement, including Wynn Las Vegas, LLC and each of its subsidiaries that guarantees its existing senior notes due 2023, 2025, and 2027. The guarantees are senior unsecured obligations of the Guarantors and rank senior in right of payment to all of their future subordinated debt. The guarantees rank equally in right of payment with all existing and future liabilities of the Guarantors that are not so subordinated and will be effectively subordinated in right of payment to all of such Guarantors' existing and future secured debt (to the extent of the collateral securing such debt).</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1" w:name="page82"/>
    <w:bookmarkEnd w:id="8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2029 Indenture contains covenants that limit the ability of the WRF Issuers and the guarantors to, among other things, enter into sale-leaseback transactions, create or incur liens to secure debt, and merge, consolidate or sell all or substantially all of the WRF Issuers' assets. These covenants are subject to exceptions and qualifications set forth in the 2029 Indenture.</w:t>
      </w:r>
    </w:p>
    <w:p>
      <w:pPr>
        <w:spacing w:after="0" w:line="20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2029 Indenture also contains customary events of default, including, but not limited to, failure to make required payments, failure to comply with certain covenants, certain events of bankruptcy and insolvency, and failure to pay certain judgments. An event of default under the 2029 Indenture allows either the Trustee or the holders of at least 25% in aggregate principal amount of the 2029 WRF Notes, as applicable, issued under such 2029 Indenture to accelerate the amounts due under the 2029 WRF Notes, or in the case of bankruptcy or insolvency, will automatically cause the acceleration of the amounts due under the 2029 WRF Notes.</w:t>
      </w:r>
    </w:p>
    <w:p>
      <w:pPr>
        <w:spacing w:after="0" w:line="21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2029 WRF Notes were offered pursuant to an exemption under the Securities Act of 1933, as amended (the "Securities Act"). The 2029 WRF Notes were offered only to qualified institutional buyers in reliance on Rule 144A under the Securities Act or outside the United States to certain persons in reliance on Regulation S under the Securities Act. The 2029 WRF Notes have not been and will not be registered under the Securities Act or under any state securities laws. Therefore, the 2029 WRF Notes may not be offered or sold within the United States to, or for the account or benefit of, any United States person unless the offer or sale would qualify for a registration exemption from the Securities Act and applicable state securities laws.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Wynn America Credit Facilities</w:t>
      </w:r>
    </w:p>
    <w:p>
      <w:pPr>
        <w:spacing w:after="0" w:line="25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Company's credit facilities included an $875.0 million fully funded senior secured term loan facility (the "WA Senior Term Loan Facility I"), a $125.0 million fully funded senior term loan facility (the "WA Senior Term Loan Facility II") and a $375.0 million senior secured revolving credit facility (the "WA Senior Revolving Credit Facility," and collectively, the "Wynn America Credit Facilities"). The borrower was Wynn America, LLC, an indirect wholly owned subsidiary of Wynn Resorts, Limited.</w:t>
      </w:r>
    </w:p>
    <w:p>
      <w:pPr>
        <w:spacing w:after="0" w:line="214"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On September 20, 2019, the Wynn America credit facilities were repaid in full in connection with the Refinancing Transactions and the Wynn America credit agreement was terminated.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Wynn Resorts Term Loan</w:t>
      </w:r>
    </w:p>
    <w:p>
      <w:pPr>
        <w:spacing w:after="0" w:line="252"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On October 30, 2018, the Company and certain subsidiaries of the Company entered into a credit agreement (as subsequently amended, the "WRL Credit Agreement") to provide for a $500.0 million six year term loan facility (the "WRL Term Loan I"). On March 8, 2019, the Company, certain subsidiaries of the Company, and certain incremental term facility lenders entered into an incremental joinder agreement that amended the WRL Credit Agreement to, among other things, provide the Company with an additional $250.0 million term loan (the "WRL Term Loan II," and, collectively with the WRL Term Loan I, the "Wynn Resorts Term Loan"), on substantially similar terms as the WRL Term Loan I. On September 20, 2019, the Wynn Resorts Term Loan was prepaid in full in connection with the Refinancing Transactions and the WRL Credit Agreement was terminated.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 Letter</w:t>
      </w:r>
    </w:p>
    <w:p>
      <w:pPr>
        <w:spacing w:after="0" w:line="25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September 19, 2018, the Company entered into a commitment letter (the "Commitment Letter") to provide for a 364-day term loan facility to the Company of up to $750.0 million. On October 24, 2018, the Company agreed to terminate $500.0 million of the lenders' commitments under the Commitment Letter, in anticipation of entering into the WRL Credit Agreement. On March 8, 2019, in connection with the WRL Term Loan II, the Company agreed to terminate the remaining $250.0 million of the lenders' commitments under the commitment letter. Accordingly, there are no remaining commitments under the commitment letter.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Price Promissory Note</w:t>
      </w:r>
    </w:p>
    <w:p>
      <w:pPr>
        <w:spacing w:after="0" w:line="25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February 18, 2012, pursuant to its articles of incorporation, the Company redeemed and canceled all Aruze USA, Inc.'s ("Aruze") 24,549,222 shares of Wynn Resorts' common stock. In connection with the redemption of the shares, the Company issued a promissory note (the "Redemption Note") with a principal amount of $1.94 billion, a maturity date of February 18, 2022 and an interest rate of 2% per annum, payable annually in arrears on each anniversary of the date of the Redemption Note. The Redemption Note was recorded at fair value in accordance with applicable accounting guidance. The Company repaid the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2" w:name="page83"/>
    <w:bookmarkEnd w:id="8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principal amount in full on March 30, 2018. On March 30, 2018, the Company also paid an additional $463.6 million in settlement of certain legal claims concerning the Redemption Note, which is recorded as a Litigation settlement expense on the Consolidated Statements of Income for the year ended December 31, 2018.</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WLV 4 1/4% Senior Notes due 2023</w:t>
      </w:r>
    </w:p>
    <w:p>
      <w:pPr>
        <w:spacing w:after="0" w:line="252"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In May 2013, Wynn Las Vegas, LLC and Wynn Las Vegas Capital Corp. ("Capital Corp." and together with Wynn Las Vegas, LLC, the "Issuers") issued the $500.0 million 4 1/4% Senior Notes due 2023 (the "2023 WLV Notes") pursuant to an indenture, dated as of May 22, 2013 (the "2023 Indenture"), among the Issuers, the Guarantors (as defined below) and U.S. Bank National Association, as trustee (the "Trustee"). The 2023 WLV Notes were issued at par. The Issuers used the net proceeds from the 2023 WLV Notes to cover the cost of extinguishing the 7 7/8% First Mortgage Notes due November 2017.</w:t>
      </w:r>
    </w:p>
    <w:p>
      <w:pPr>
        <w:spacing w:after="0" w:line="181"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The 2023 WLV Notes will mature on May 30, 2023 and bear interest at the rate of 4 1/4% per annum. The Issuers may, at their option, redeem the 2023 WLV Notes, in whole or in part, at any time or from time to time prior to their stated maturity. The redemption price for the 2023 WLV Notes that are redeemed before February 28, 2023 will be equal to the greater of (a) 100% of the principal amount of the 2023 WLV Notes to be redeemed or (b) a "make-whole" amount described in the 2023 Indenture, plus in either case accrued and unpaid interest to, but not including, the redemption date. The redemption price for the 2023 WLV Notes that are redeemed on or after February 28, 2023 will be equal to 100% of the principal amount of the 2023 WLV Notes to be redeemed, plus accrued and unpaid interest to, but not including, the redemption date. In the event of a change of control triggering event, the Issuers will be required to offer to repurchase the 2023 WLV Notes at 101% of the principal amount, plus accrued and unpaid interest to but not including the repurchase date. The 2023 WLV Notes are also subject to mandatory redemption requirements imposed by gaming laws and regulations of gaming authorities in Nevada.</w:t>
      </w:r>
    </w:p>
    <w:p>
      <w:pPr>
        <w:spacing w:after="0" w:line="19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2023 WLV Notes are the Issuers' senior unsecured obligations and rank pari passu in right of payment with the Issuers' 2025 WLV Notes and 2027 WLV Notes (both defined below). The 2023 WLV Notes are unsecured, except by the first priority pledge by Wynn Las Vegas Holdings, LLC ("WLVH"), a direct wholly owned subsidiary of Wynn Resorts Finance, LLC, of its equity interests in Wynn Las Vegas, LLC. Such equity interests in Wynn Las Vegas, LLC also secure the Issuers' 2025 WLV Notes and 2027 WLV Notes. If Wynn Resorts receives an investment grade rating from one or more ratings agencies, the first priority pledge securing the 2023 WLV Notes will be released.</w:t>
      </w:r>
    </w:p>
    <w:p>
      <w:pPr>
        <w:spacing w:after="0" w:line="21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2023 WLV Notes are jointly and severally guaranteed by all of the Issuers' subsidiaries, other than Capital Corp., which was a co-issuer (the "Guarantors"). The guarantees are senior unsecured obligations of the Guarantors and rank senior in right of payment to all of their existing and future subordinated debt. The guarantees rank equally in right of payment with all existing and future liabilities of the Guarantors that are not so subordinated and will be effectively subordinated in right of payment to all of such Guarantors' existing and future secured debt (to the extent of the collateral securing such debt).</w:t>
      </w:r>
    </w:p>
    <w:p>
      <w:pPr>
        <w:spacing w:after="0" w:line="21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2023 Indenture contains covenants limiting the Issuers' and the Guarantors' ability to create liens on assets to secure debt; enter into sale-leaseback transactions; and merge or consolidate with another company. These covenants are subject to a number of important and significant limitations, qualifications and exceptions.</w:t>
      </w:r>
    </w:p>
    <w:p>
      <w:pPr>
        <w:spacing w:after="0" w:line="208"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Events of default under the 2023 Indenture include, among others, the following: default for 30 days in the payment of interest when due on the 2023 WLV Notes; default in payment of the principal or premium, if any, when due on the 2023 WLV Notes; failure to comply with certain covenants in the 2023 Indenture; and certain events of bankruptcy or insolvency. In the case of an event of default arising from certain events of bankruptcy or insolvency with respect to the Issuers or any Guarantor, all 2023 WLV Notes then outstanding will become due and payable immediately without further action or notice.</w:t>
      </w:r>
    </w:p>
    <w:p>
      <w:pPr>
        <w:spacing w:after="0" w:line="181"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On March 20, 2018, the Issuers executed a second supplemental indenture (the "Supplemental Indenture") to the 2023 Indenture, as supplemented by the 2025 Indenture, relating to the Issuers' 2023 WLV Notes. The Supplemental Indenture amended the 2023 Indenture by conforming the definition of "Change of Control" relating to ownership of equity interests in the Company in the Indenture to the terms of the indentures governing the Issuers' other outstanding notes. As part of executing the Supplemental Indenture, the Issuers paid $25.0 million to consenting holders of the 2023 WLV Notes. The Company accounted for this transaction as a modification and recorded the $25.0 million as debt issuance costs on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3" w:name="page84"/>
    <w:bookmarkEnd w:id="8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WLV 5 1/2% Senior Notes due 2025</w:t>
      </w:r>
    </w:p>
    <w:p>
      <w:pPr>
        <w:spacing w:after="0" w:line="25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February 2015, the Issuers issued the $1.8 billion 5 1/2% Senior Notes due 2025 (the "2025 WLV Notes") pursuant to an indenture, dated as of February 18, 2015 (the "2025 Indenture"), among the Issuers, the Guarantors and the Trustee. The 2025 WLV Notes were issued at par. The Company used the net proceeds from the 2025 WLV Notes to cover the cost of extinguishing the 7 7/8% First Mortgage Notes due May 1, 2020 (the "7 7/8% 2020 Notes") and the 7 3/4% First Mortgage Notes due August 15, 2020 (the "7 3/4% 2020 Notes" and together with the 7 7/8% 2020 Notes, the "2020 Notes") and for general corporate purposes.</w:t>
      </w:r>
    </w:p>
    <w:p>
      <w:pPr>
        <w:spacing w:after="0" w:line="215"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The 2025 WLV Notes will mature on March 1, 2025 and bear interest at the rate of 5 1/2% per annum. The Issuers may, at their option, redeem the 2025 WLV Notes, in whole or in part, at any time or from time to time prior to their stated maturity. The redemption price for the 2025 WLV Notes that are redeemed before December 1, 2024 will be equal to the greater of (a) 100% of the principal amount of the 2025 WLV Notes to be redeemed and (b) a "make-whole" amount described in the 2025 Indenture, plus in either case accrued and unpaid interest, if any, to, but not including, the redemption date. The redemption price for the 2025 WLV Notes that are redeemed on or after December 1, 2024 will be equal to 100% of the principal amount of the 2025 WLV Notes to be redeemed, plus accrued and unpaid interest, if any, to, but not including, the redemption date. In the event of a change of control triggering event, the Issuers will be required to offer to repurchase the 2025 WLV Notes at 101% of the principal amount, plus accrued and unpaid interest, if any, to, but not including, the repurchase date. The 2025 WLV Notes also are subject to mandatory redemption requirements imposed by gaming laws and regulations of gaming authorities in Nevada.</w:t>
      </w:r>
    </w:p>
    <w:p>
      <w:pPr>
        <w:spacing w:after="0" w:line="22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2025 WLV Notes are the Issuers' senior unsecured obligations and rank pari passu in right of payment with the Issuers' 2023 WLV Notes and 2027 WLV Notes. The 2025 WLV Notes are unsecured, except by the first priority pledge by WLVH of its equity interests in Wynn Las Vegas, LLC. Such equity interests in Wynn Las Vegas, LLC also secure the 2023 WLV Notes and 2027 WLV Notes. If Wynn Resorts receives an investment grade rating from one or more ratings agencies, the first priority pledge securing the 2025 WLV Notes will be released.</w:t>
      </w:r>
    </w:p>
    <w:p>
      <w:pPr>
        <w:spacing w:after="0" w:line="21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2025 WLV Notes are jointly and severally guaranteed by all of the Guarantors. The guarantees are senior unsecured obligations and rank senior in right of payment to all of their existing and future subordinated debt. The guarantees rank equally in right of payment with all existing and future liabilities of the Issuers' subsidiaries that are not so subordinated and will be effectively subordinated in right of payment to all of such existing and future secured debt (to the extent of the collateral securing such debt).</w:t>
      </w:r>
    </w:p>
    <w:p>
      <w:pPr>
        <w:spacing w:after="0" w:line="21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2025 Indenture contains covenants limiting the Issuers' and the Guarantors' ability to create liens on assets to secure debt, enter into sale-leaseback transactions and merge or consolidate with another company. These covenants are subject to a number of important and significant limitations, qualifications and exceptions.</w:t>
      </w:r>
    </w:p>
    <w:p>
      <w:pPr>
        <w:spacing w:after="0" w:line="208"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Events of default under the 2025 Indenture include, among others, the following: default for 30 days in the payment of interest when due on the 2025 WLV Notes; default in payment of the principal, or premium, if any, when due on the 2025 WLV Notes; failure to comply with certain covenants in the 2025 Indenture; and certain events of bankruptcy or insolvency. In the case of an event of default arising from certain events of bankruptcy or insolvency with respect to the Issuers or any Guarantor, all 2025 WLV Notes then outstanding will become due and payable immediately without further action or notice.</w:t>
      </w:r>
    </w:p>
    <w:p>
      <w:pPr>
        <w:spacing w:after="0" w:line="18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2018, Wynn Resorts purchased $20.0 million principal amount of the 2025 WLV Notes through open market purchases. As of December 31, 2019, Wynn Resorts holds this debt and has not contributed it to its wholly owned subsidiary, Wynn Las Vegas, LLC.</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WLV 5 1/4% Senior Notes due 2027</w:t>
      </w:r>
    </w:p>
    <w:p>
      <w:pPr>
        <w:spacing w:after="0" w:line="252"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In May 2017, the Issuers issued the $900.0 million 5 1/4% Senior Notes due 2027 (the "2027 WLV Notes") pursuant to an indenture, dated as of May 11, 2017 (the "2027 Indenture"), among the Issuers, the Guarantors and the Trustee. The 2027 WLV Notes were issued at par. The Issuers used the net proceeds from the 2027 WLV Notes and cash on hand to fund the cost of extinguishing the 5 3/8% First Mortgage Notes due 2022 (the "2022 Notes").</w:t>
      </w:r>
    </w:p>
    <w:p>
      <w:pPr>
        <w:spacing w:after="0" w:line="17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2027 WLV Notes will mature on May 15, 2027 and bear interest at the rate of 5 1/4% per annum. The Issuers may, at their option, redeem the 2027 WLV Notes, in whole or in part, at any time or from time to time prior to their stated maturity. The redemption price for 2027 WLV Notes that are redeemed before February 15, 2027 will be equal to the greater of (a) 100%</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4" w:name="page85"/>
    <w:bookmarkEnd w:id="8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of the principal amount of the 2027 WLV Notes to be redeemed and (b) a "make-whole" amount described in the 2027 Indenture, plus in either case accrued and unpaid interest, if any, to, but not including, the redemption date. The redemption price for the 2027 WLV Notes that are redeemed on or after February 15, 2027 will be equal to 100% of the principal amount of the 2027 WLV Notes to be redeemed, plus accrued and unpaid interest, if any, to, but not including, the redemption date. In the event of a change of control triggering event, the Issuers will be required to offer to repurchase the 2027 WLV Notes at 101% of the principal amount, plus accrued and unpaid interest, if any, to, but not including, the repurchase date. The 2027 WLV Notes are also subject to mandatory redemption requirements imposed by gaming laws and regulations of gaming authorities in Nevada.</w:t>
      </w:r>
    </w:p>
    <w:p>
      <w:pPr>
        <w:spacing w:after="0" w:line="20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2027 WLV Notes are the Issuers' senior unsecured obligations and rank pari passu in right of payment with the Issuers' 2023 WLV Notes and 2025 WLV Notes and rank equally in right of payment with the Issuers' guarantee of the WRF Credit Facilities, and rank senior in right of payment to all of the Issuers' existing and future subordinated debt. The 2027 WLV Notes are effectively subordinated in right of payment to all of the Issuers' existing and future secured debt (to the extent of the value of the collateral securing such debt), and structurally subordinated to all of the liabilities of any of the Issuers' subsidiaries that do not guarantee the 2027 WLV Notes.</w:t>
      </w:r>
    </w:p>
    <w:p>
      <w:pPr>
        <w:spacing w:after="0" w:line="21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2027 WLV Notes are unsecured, except for the first priority pledge by WLVH of its equity interests in Wynn Las Vegas, LLC. Such equity interests in Wynn Las Vegas, LLC also secure the 2023 WLV Notes and 2025 WLV Notes. If Wynn Resorts, Limited receives an investment grade rating from one or more ratings agencies, the first priority pledge securing the 2027 WLV Notes will be released.</w:t>
      </w:r>
    </w:p>
    <w:p>
      <w:pPr>
        <w:spacing w:after="0" w:line="20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2027 WLV Notes are jointly and severally guaranteed by all of the Guarantors. The guarantees are senior unsecured obligations of the Guarantors and rank senior in right of payment to all of their existing and future subordinated debt. The guarantees rank equally in right of payment with all existing and future liabilities of the Guarantors that are not so subordinated and will be effectively subordinated in right of payment to all of such Guarantors' existing and future secured debt (to the extent of the collateral securing such debt).</w:t>
      </w:r>
    </w:p>
    <w:p>
      <w:pPr>
        <w:spacing w:after="0" w:line="21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2027 Indenture contains covenants limiting the Issuers' and the Guarantors' ability to: create liens on assets to secure debt; enter into sale-leaseback transactions; and merge or consolidate with another company. These covenants are subject to a number of important and significant limitations, qualifications and exceptions. The 2027 Indenture also provides that Wynn Resorts Finance, LLC may assume all of Wynn Las Vegas, LLC's obligations under the 2027 Indenture and the 2027 WLV Notes if certain conditions set forth in the 2027 Indenture are met.</w:t>
      </w:r>
    </w:p>
    <w:p>
      <w:pPr>
        <w:spacing w:after="0" w:line="198"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Events of default under the 2027 Indenture include, among others, the following: default for 30 days in the payment of interest when due on the 2027 WLV Notes; default in payment of the principal, or premium, if any, when due on the 2027 WLV Notes; failure to comply with certain covenants in the 2027 Indenture; and certain events of bankruptcy or insolvency. In the case of an event of default arising from certain events of bankruptcy or insolvency with respect to the Issuers or any Guarantor, all 2027 WLV Notes then outstanding will become due and payable immediately without further action or notice.</w:t>
      </w:r>
    </w:p>
    <w:p>
      <w:pPr>
        <w:spacing w:after="0" w:line="18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2018, Wynn Resorts purchased $20.0 million principal amount of the 2027 WLV Notes through open market purchases. As of December 31, 2019, Wynn Resorts holds this debt and has not contributed it to its wholly owned subsidiary, Wynn Las Vegas, LLC.</w:t>
      </w:r>
    </w:p>
    <w:p>
      <w:pPr>
        <w:spacing w:after="0" w:line="19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Issuers and certain of their subsidiaries will guarantee and secure their obligation under the WRF Credit Facilities with liens on substantially all of their assets, with such liens limiting the amount of such obligations secured to 15% of their Total Assets (as defined in the indenture for the 2025 WLV Notes).</w:t>
      </w:r>
    </w:p>
    <w:p>
      <w:pPr>
        <w:spacing w:after="0" w:line="208"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2023 WLV Notes, 2025 WLV Notes and 2027 WLV Notes were offered pursuant to an exemption under the Securities Act. The 2023 WLV Notes, 2025 WLV Notes and 2027 WLV Notes were offered only to qualified institutional buyers in reliance on Rule 144A under the Securities Act or outside the United States to certain persons in reliance on Regulation S under the Securities Act. The 2023 WLV Notes, 2025 WLV Notes and 2027 WLV Notes have not been and will not be registered under the Securities Act or under any state securities laws. Therefore, the 2023 WLV Notes, 2025 WLV Notes and 2027 WLV Notes may not be offered or sold within the United States to, or for the account or benefit of, any United States person unless the offer or sale would qualify for a registration exemption from the Securities Act and applicable state securities laws.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5" w:name="page86"/>
    <w:bookmarkEnd w:id="8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Retail Term Loan</w:t>
      </w:r>
    </w:p>
    <w:p>
      <w:pPr>
        <w:spacing w:after="0" w:line="25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July 25, 2018, Wynn/CA Plaza Property Owner, LLC and Wynn/CA Property Owner, LLC (collectively, the "Retail Borrowers"), subsidiaries of the Retail Joint Venture, entered into a term loan agreement (the "Retail Term Loan Agreement").</w:t>
      </w:r>
    </w:p>
    <w:p>
      <w:pPr>
        <w:spacing w:after="0" w:line="197"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Retail Term Loan Agreement provides for a term loan facility to the Retail Borrowers of $615.0 million (the "Retail Term Loan"). The Retail Term Loan is secured by substantially all of the assets of the Retail Borrowers. The Retail Term Loan matures on July 24, 2025 and bears interest at a rate of LIBOR plus 1.70% per annum. In accordance with the Retail Term Loan Agreement, the Retail Borrowers entered into an interest rate collar agreement with a LIBOR floor of 1.00% and a ceiling of 3.75%. The Retail Borrowers distributed approximately $589 million of the net proceeds of the Retail Term Loan to their members on a proportionate basis to each member's ownership percentage. At any time subsequent to July 25, 2019, the Retail Borrowers may prepay the Retail Term Loan, in whole or in part, with no premium above the principal amount.</w:t>
      </w:r>
    </w:p>
    <w:p>
      <w:pPr>
        <w:spacing w:after="0" w:line="205"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The Retail Term Loan Agreement contains customary representations and warranties, events of default and affirmative and negative covenants for debt facilities of this type, including, among other things, limitations on leasing matters, incurrence of indebtedness, distributions and transactions with affiliates. The Retail Term Loan Agreement also provides for customary sweeps of the Retail Borrowers' excess cash in the event of a default or in the event the Retail Borrowers fail to maintain certain financial ratios as defined in the Retail Term Loan Agreement. In addition, the Company will indemnify the lenders under the Retail Term Loan and be liable, in each case, for certain customary environmental and non-recourse carve out matters pursuant to a hazardous materials indemnity agreement and a recourse indemnity agreement, each entered into concurrently with the execution of the Retail Term Loan Agreement.</w:t>
      </w:r>
    </w:p>
    <w:p>
      <w:pPr>
        <w:spacing w:after="0" w:line="192" w:lineRule="exact"/>
        <w:rPr>
          <w:sz w:val="20"/>
          <w:szCs w:val="20"/>
          <w:color w:val="auto"/>
        </w:rPr>
      </w:pPr>
    </w:p>
    <w:p>
      <w:pPr>
        <w:jc w:val="both"/>
        <w:ind w:firstLine="405"/>
        <w:spacing w:after="0" w:line="238" w:lineRule="auto"/>
        <w:rPr>
          <w:sz w:val="20"/>
          <w:szCs w:val="20"/>
          <w:color w:val="auto"/>
        </w:rPr>
      </w:pPr>
      <w:r>
        <w:rPr>
          <w:rFonts w:ascii="Arial" w:cs="Arial" w:eastAsia="Arial" w:hAnsi="Arial"/>
          <w:sz w:val="18"/>
          <w:szCs w:val="18"/>
          <w:color w:val="auto"/>
        </w:rPr>
        <w:t>In accordance with the terms of the Retail Term Loan Agreement, the Retail Borrowers entered into a five year interest rate collar with a notional value of $615.0 million for a cash payment of $3.9 million in July 2018. The interest rate collar establishes a range whereby the Retail Borrowers will pay the counterparty if one-month LIBOR falls below the established floor rate of 1.00%, and the counterparty will pay the Retail Borrowers if one-month LIBOR exceeds the ceiling rate of 3.75%. The interest rate collar settles monthly commencing in August 2019 through the termination date in August 2024. No payments or receipts are exchanged on interest rate collar contracts unless interest rates rise above or fall below the pre-determined ceiling or floor rate, respectively. The Company measures the fair value of the interest rate collar at each balance sheet date based on a Black-Scholes option pricing model, which incorporates observable market inputs such as market volatility and interest rates, with changes in fair value recorded in earnings. As of December 31, 2019, the fair value of the interest rate collar was a liability of $3.8 million and was recorded in Other long-term liabilities in the accompanying Consolidated Balance Sheet.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Covenant Compliance</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December 31, 2019, management believes the Company was in compliance with all debt covenants.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Scheduled Maturities of Long-Term Debt</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Scheduled maturities of long-term debt as of December 31, 2019 were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80" w:type="dxa"/>
            <w:vAlign w:val="bottom"/>
          </w:tcPr>
          <w:p>
            <w:pPr>
              <w:ind w:left="20"/>
              <w:spacing w:after="0"/>
              <w:rPr>
                <w:sz w:val="20"/>
                <w:szCs w:val="20"/>
                <w:color w:val="auto"/>
              </w:rPr>
            </w:pPr>
            <w:r>
              <w:rPr>
                <w:rFonts w:ascii="Arial" w:cs="Arial" w:eastAsia="Arial" w:hAnsi="Arial"/>
                <w:sz w:val="14"/>
                <w:szCs w:val="14"/>
                <w:b w:val="1"/>
                <w:bCs w:val="1"/>
                <w:color w:val="auto"/>
              </w:rPr>
              <w:t>Years Ending December 31,</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56"/>
        </w:trPr>
        <w:tc>
          <w:tcPr>
            <w:tcW w:w="9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2020 </w:t>
            </w:r>
            <w:r>
              <w:rPr>
                <w:rFonts w:ascii="Arial" w:cs="Arial" w:eastAsia="Arial" w:hAnsi="Arial"/>
                <w:sz w:val="14"/>
                <w:szCs w:val="14"/>
                <w:color w:val="auto"/>
              </w:rPr>
              <w:t>(1)</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323,876</w:t>
            </w:r>
          </w:p>
        </w:tc>
      </w:tr>
      <w:tr>
        <w:trPr>
          <w:trHeight w:val="243"/>
        </w:trPr>
        <w:tc>
          <w:tcPr>
            <w:tcW w:w="9980" w:type="dxa"/>
            <w:vAlign w:val="bottom"/>
          </w:tcPr>
          <w:p>
            <w:pPr>
              <w:ind w:left="20"/>
              <w:spacing w:after="0"/>
              <w:rPr>
                <w:sz w:val="20"/>
                <w:szCs w:val="20"/>
                <w:color w:val="auto"/>
              </w:rPr>
            </w:pPr>
            <w:r>
              <w:rPr>
                <w:rFonts w:ascii="Arial" w:cs="Arial" w:eastAsia="Arial" w:hAnsi="Arial"/>
                <w:sz w:val="18"/>
                <w:szCs w:val="18"/>
                <w:color w:val="auto"/>
              </w:rPr>
              <w:t>2021</w:t>
            </w:r>
          </w:p>
        </w:tc>
        <w:tc>
          <w:tcPr>
            <w:tcW w:w="28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367,511</w:t>
            </w:r>
          </w:p>
        </w:tc>
      </w:tr>
      <w:tr>
        <w:trPr>
          <w:trHeight w:val="27"/>
        </w:trPr>
        <w:tc>
          <w:tcPr>
            <w:tcW w:w="9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9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2,111,385</w:t>
            </w:r>
          </w:p>
        </w:tc>
      </w:tr>
      <w:tr>
        <w:trPr>
          <w:trHeight w:val="243"/>
        </w:trPr>
        <w:tc>
          <w:tcPr>
            <w:tcW w:w="9980" w:type="dxa"/>
            <w:vAlign w:val="bottom"/>
          </w:tcPr>
          <w:p>
            <w:pPr>
              <w:ind w:left="20"/>
              <w:spacing w:after="0"/>
              <w:rPr>
                <w:sz w:val="20"/>
                <w:szCs w:val="20"/>
                <w:color w:val="auto"/>
              </w:rPr>
            </w:pPr>
            <w:r>
              <w:rPr>
                <w:rFonts w:ascii="Arial" w:cs="Arial" w:eastAsia="Arial" w:hAnsi="Arial"/>
                <w:sz w:val="18"/>
                <w:szCs w:val="18"/>
                <w:color w:val="auto"/>
              </w:rPr>
              <w:t>2023</w:t>
            </w:r>
          </w:p>
        </w:tc>
        <w:tc>
          <w:tcPr>
            <w:tcW w:w="28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550,000</w:t>
            </w:r>
          </w:p>
        </w:tc>
      </w:tr>
      <w:tr>
        <w:trPr>
          <w:trHeight w:val="27"/>
        </w:trPr>
        <w:tc>
          <w:tcPr>
            <w:tcW w:w="9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9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1,387,500</w:t>
            </w:r>
          </w:p>
        </w:tc>
      </w:tr>
      <w:tr>
        <w:trPr>
          <w:trHeight w:val="243"/>
        </w:trPr>
        <w:tc>
          <w:tcPr>
            <w:tcW w:w="99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8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5,775,000</w:t>
            </w:r>
          </w:p>
        </w:tc>
      </w:tr>
      <w:tr>
        <w:trPr>
          <w:trHeight w:val="27"/>
        </w:trPr>
        <w:tc>
          <w:tcPr>
            <w:tcW w:w="9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99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10,515,272</w:t>
            </w:r>
          </w:p>
        </w:tc>
      </w:tr>
      <w:tr>
        <w:trPr>
          <w:trHeight w:val="243"/>
        </w:trPr>
        <w:tc>
          <w:tcPr>
            <w:tcW w:w="9980" w:type="dxa"/>
            <w:vAlign w:val="bottom"/>
          </w:tcPr>
          <w:p>
            <w:pPr>
              <w:ind w:left="20"/>
              <w:spacing w:after="0"/>
              <w:rPr>
                <w:sz w:val="20"/>
                <w:szCs w:val="20"/>
                <w:color w:val="auto"/>
              </w:rPr>
            </w:pPr>
            <w:r>
              <w:rPr>
                <w:rFonts w:ascii="Arial" w:cs="Arial" w:eastAsia="Arial" w:hAnsi="Arial"/>
                <w:sz w:val="18"/>
                <w:szCs w:val="18"/>
                <w:color w:val="auto"/>
              </w:rPr>
              <w:t>Unamortized debt issuance costs and original issue discounts and premium, net</w:t>
            </w:r>
          </w:p>
        </w:tc>
        <w:tc>
          <w:tcPr>
            <w:tcW w:w="2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(111,413)</w:t>
            </w:r>
          </w:p>
        </w:tc>
      </w:tr>
      <w:tr>
        <w:trPr>
          <w:trHeight w:val="27"/>
        </w:trPr>
        <w:tc>
          <w:tcPr>
            <w:tcW w:w="9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89"/>
        </w:trPr>
        <w:tc>
          <w:tcPr>
            <w:tcW w:w="99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10,403,859</w:t>
            </w:r>
          </w:p>
        </w:tc>
      </w:tr>
      <w:tr>
        <w:trPr>
          <w:trHeight w:val="20"/>
        </w:trPr>
        <w:tc>
          <w:tcPr>
            <w:tcW w:w="9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firstLine="8"/>
        <w:spacing w:after="0" w:line="273" w:lineRule="auto"/>
        <w:tabs>
          <w:tab w:leader="none" w:pos="209"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Includes $150.0 million related to the prepayment of the Wynn Macau Term Loan paid in February 2020. The remaining contractual amortization payments were reduced on a pro rata basis by $150.0 million.</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86" w:name="page87"/>
    <w:bookmarkEnd w:id="8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Long-Term Debt</w:t>
      </w:r>
    </w:p>
    <w:p>
      <w:pPr>
        <w:spacing w:after="0" w:line="25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estimated fair value of the Company's long-term debt as of December 31, 2019 and 2018, was approximately $10.80 billion and $8.97 billion, respectively, compared to its carrying value, excluding debt issuance costs and original issue discount and premium, of $10.52 billion, and $9.54 billion, respectively. The estimated fair value of the Company's long-term debt is based on recent trades, if available, and indicative pricing from market information (Level 2 inputs).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Stockholders' Equity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Offering</w:t>
      </w:r>
    </w:p>
    <w:p>
      <w:pPr>
        <w:spacing w:after="0" w:line="252"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On April 3, 2018, the Company completed a registered public offering (the "Equity Offering") of 5,300,000 newly issued shares of its common stock, par value $0.01 per share, at a price of $175 per share for proceeds of $915.2 million, net of $11.7 million in underwriting discounts and $0.6 million in offering expenses. The Company used the net proceeds from the Equity Offering to repay all amounts borrowed under a Wynn Resorts bridge facility, together with all interest accrued thereon, and used the remaining net proceeds to repay certain other indebtedness of the Company in April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252"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Company's Board of Directors has authorized an equity repurchase program of up to $1.0 billion, which may include repurchases from time to time through open market purchases or negotiated transactions, depending on market conditions. During the years ended December 31, 2019 and December 31, 2018, the Company repurchased 413,439 and 1,478,552 shares, respectively, at a net cost of $43.2 million and $156.7 million, respectively, under the equity repurchase program. During the year ended December 31, 2017, no repurchases were made under the equity repurchase program. As of December 31, 2019, the Company had $800.1 million in repurchase authority under the program.</w:t>
      </w:r>
    </w:p>
    <w:p>
      <w:pPr>
        <w:spacing w:after="0" w:line="20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During the years ended December 31, 2019, 2018, and 2017, the Company withheld a total of 176,989 shares, 19,120 shares, and 148,413 shares, respectively, in satisfaction of tax withholding obligations on vested restricted stock and stock option exercises.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52"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During the first quarter of 2019, the Company paid a cash dividend of $0.75 per share and $1.00 per share for the three subsequent quarters, for annual cash dividends of $3.75 per share. During the first quarter of 2018, the Company paid a cash dividend of $0.50 per share and $0.75 per share for the three subsequent quarters, for annual cash dividends of $2.75 per share. In each quarter of 2017, the Company paid a cash dividend of $0.50 per share, for annual cash dividends of $2.00 per share. During the years ended December 31, 2019, 2018 and 2017, the Company recorded $403.0 million, $294.9 million, and $204.5 million, respectively, as a reduction of retained earnings from cash dividends declared.</w:t>
      </w:r>
    </w:p>
    <w:p>
      <w:pPr>
        <w:spacing w:after="0" w:line="200"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On February 6, 2020, the Company announced a cash dividend of $1.00 per share, payable on March 6, 2020, to stockholders of record as of February 26, 2020.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Noncontrolling Interests</w:t>
      </w:r>
    </w:p>
    <w:p>
      <w:pPr>
        <w:spacing w:after="0" w:line="25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October 2009, WML, the developer, owner and operator of Wynn Macau and Wynn Palace, listed its ordinary shares of common stock on The Stock Exchange of Hong Kong Limited through an initial public offering. The Company currently owns approximately 72% of this subsidiary's common stock. The shares of WML were not and will not be registered under the Securities Act and may not be offered or sold in the United States absent a registration under the Securities Act, or an applicable exception from such registration requirements.</w:t>
      </w:r>
    </w:p>
    <w:p>
      <w:pPr>
        <w:spacing w:after="0" w:line="214"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On September 16, 2019, WML paid a cash dividend of HK$0.45 per share for a total of $298.0 million. The Company's share of this dividend was $215.1 million with a reduction of $82.9 million to noncontrolling interest in the accompanying Consolidated Balance Sheet.</w:t>
      </w:r>
    </w:p>
    <w:p>
      <w:pPr>
        <w:spacing w:after="0" w:line="19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June 19, 2019, WML paid a cash dividend of HK$0.45 per share for a total of $298.0 million. The Company's share of this dividend was $215.0 million with a reduction of $82.9 million to noncontrolling interest in the accompanying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87" w:name="page88"/>
    <w:bookmarkEnd w:id="8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October 5, 2018, WML paid a cash dividend of HK$0.75 per share for a total of $496.6 million. The Company's share of this dividend was $358.3 million with a reduction of $138.3 million to noncontrolling interest in the accompanying Consolidated Balance Sheet.</w:t>
      </w:r>
    </w:p>
    <w:p>
      <w:pPr>
        <w:spacing w:after="0" w:line="19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April 25, 2018, WML paid a cash dividend of HK$0.75 per share for a total of $497.1 million. The Company's share of this dividend was $358.8 million with a reduction of $138.3 million to noncontrolling interest in the accompanying Consolidated Balance Sheet.</w:t>
      </w:r>
    </w:p>
    <w:p>
      <w:pPr>
        <w:spacing w:after="0" w:line="197"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On September 15, 2017, WML paid a dividend of HK$0.21 per share for a total of $139.4 million. The Company's share of this dividend was $100.6 million with a reduction of $38.8 million to noncontrolling interest in the accompanying Consolidated Balance Sheet.</w:t>
      </w:r>
    </w:p>
    <w:p>
      <w:pPr>
        <w:spacing w:after="0" w:line="19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June 20, 2017, WML paid a dividend of HK$0.42 per share for a total of $279.9 million. The Company's share of this dividend was $202.0 million with a reduction of $77.9 million to noncontrolling interest in the accompanying Consolidated Balance Sheet.</w:t>
      </w:r>
    </w:p>
    <w:p>
      <w:pPr>
        <w:spacing w:after="0" w:line="19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the year ended December 31, 2019, the Retail Joint Venture made aggregate distributions of $7.7 million to its non-controlling interest holder made in the normal course of business. During the year ended December 31, 2018, the Retail Joint Venture made aggregate distributions of $305.4 million to its non-controlling interest holder in connection with the distribution of the net proceeds of the Retail Term Loan and distributions made in the normal course of business. For more information on the Retail Joint Venture, see Note 18, "Retail Joint Venture".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of Securities</w:t>
      </w:r>
    </w:p>
    <w:p>
      <w:pPr>
        <w:spacing w:after="0" w:line="252"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Wynn Resorts' articles of incorporation provide that, to the extent a gaming authority makes a determination of unsuitability or to the extent the Board of Directors determines, in its sole discretion, that a person is likely to jeopardize the Company or any affiliates application for, receipt of, approval for, right to the use of, or entitlement to, any gaming license, Wynn Resorts may redeem shares of its capital stock that are owned or controlled by an unsuitable person or its affiliates. The redemption price will be the amount, if any, required by the gaming authority or, if the gaming authority does not determine the price, the sum deemed by the Board of Directors to be the fair value of the securities to be redeemed. If Wynn Resorts determines the redemption price, the redemption price will be capped at the closing price of the shares on the principal national securities exchange on which the shares are listed on the trading day before the redemption notice is given. If the shares are not listed on a national securities exchange, the redemption price will be capped at the closing sale price of the shares as quoted on The Nasdaq Global Select Market or if the closing price is not reported, the mean between the bid and ask prices, as quoted by any other generally recognized reporting system. Wynn Resorts' right of redemption is not exclusive of any other rights that it may have or later acquire under any agreement, its bylaws or otherwise. The redemption price may be paid in cash, by promissory note, or both, as required, and pursuant to the terms established by, the applicable Gaming Authority and, if not, as the Board of Directors of Wynn Resorts elects.</w:t>
      </w:r>
    </w:p>
    <w:p>
      <w:pPr>
        <w:spacing w:after="0" w:line="20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Based on the Board of Directors' finding of "unsuitability," on February 18, 2012, Wynn Resorts redeemed and canceled Aruze's 24,549,222 shares of Wynn Resorts' common stock.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Income (Loss) and Accumulated Other Comprehensive Income (Loss)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tables presents the changes by component, net of tax and noncontrolling interests, in accumulated other comprehensive loss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 (in thousands):</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88" w:name="page89"/>
    <w:bookmarkEnd w:id="8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loss on</w:t>
            </w: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currency</w:t>
            </w:r>
          </w:p>
        </w:tc>
        <w:tc>
          <w:tcPr>
            <w:tcW w:w="16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investment</w:t>
            </w:r>
          </w:p>
        </w:tc>
        <w:tc>
          <w:tcPr>
            <w:tcW w:w="1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Redemption Note</w:t>
            </w:r>
          </w:p>
        </w:tc>
        <w:tc>
          <w:tcPr>
            <w:tcW w:w="14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2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4"/>
              </w:rPr>
              <w:t>translation</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8"/>
              </w:rPr>
              <w:t>securities</w:t>
            </w: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January 1, 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2,213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(729)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1,484</w:t>
            </w:r>
          </w:p>
        </w:tc>
        <w:tc>
          <w:tcPr>
            <w:tcW w:w="0" w:type="dxa"/>
            <w:vAlign w:val="bottom"/>
          </w:tcPr>
          <w:p>
            <w:pPr>
              <w:spacing w:after="0"/>
              <w:rPr>
                <w:sz w:val="1"/>
                <w:szCs w:val="1"/>
                <w:color w:val="auto"/>
              </w:rPr>
            </w:pPr>
          </w:p>
        </w:tc>
      </w:tr>
      <w:tr>
        <w:trPr>
          <w:trHeight w:val="243"/>
        </w:trPr>
        <w:tc>
          <w:tcPr>
            <w:tcW w:w="6260" w:type="dxa"/>
            <w:vAlign w:val="bottom"/>
          </w:tcPr>
          <w:p>
            <w:pPr>
              <w:ind w:left="20"/>
              <w:spacing w:after="0"/>
              <w:rPr>
                <w:sz w:val="20"/>
                <w:szCs w:val="20"/>
                <w:color w:val="auto"/>
              </w:rPr>
            </w:pPr>
            <w:r>
              <w:rPr>
                <w:rFonts w:ascii="Arial" w:cs="Arial" w:eastAsia="Arial" w:hAnsi="Arial"/>
                <w:sz w:val="18"/>
                <w:szCs w:val="18"/>
                <w:color w:val="auto"/>
              </w:rPr>
              <w:t>Change in net unrealized loss</w:t>
            </w:r>
          </w:p>
        </w:tc>
        <w:tc>
          <w:tcPr>
            <w:tcW w:w="16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(2,766)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(563)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(3,329)</w:t>
            </w:r>
          </w:p>
        </w:tc>
        <w:tc>
          <w:tcPr>
            <w:tcW w:w="0" w:type="dxa"/>
            <w:vAlign w:val="bottom"/>
          </w:tcPr>
          <w:p>
            <w:pPr>
              <w:spacing w:after="0"/>
              <w:rPr>
                <w:sz w:val="1"/>
                <w:szCs w:val="1"/>
                <w:color w:val="auto"/>
              </w:rPr>
            </w:pPr>
          </w:p>
        </w:tc>
      </w:tr>
      <w:tr>
        <w:trPr>
          <w:trHeight w:val="27"/>
        </w:trPr>
        <w:tc>
          <w:tcPr>
            <w:tcW w:w="62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2017</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(553)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(1,292)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(1,845)</w:t>
            </w:r>
          </w:p>
        </w:tc>
        <w:tc>
          <w:tcPr>
            <w:tcW w:w="0" w:type="dxa"/>
            <w:vAlign w:val="bottom"/>
          </w:tcPr>
          <w:p>
            <w:pPr>
              <w:spacing w:after="0"/>
              <w:rPr>
                <w:sz w:val="1"/>
                <w:szCs w:val="1"/>
                <w:color w:val="auto"/>
              </w:rPr>
            </w:pPr>
          </w:p>
        </w:tc>
      </w:tr>
      <w:tr>
        <w:trPr>
          <w:trHeight w:val="243"/>
        </w:trPr>
        <w:tc>
          <w:tcPr>
            <w:tcW w:w="6260" w:type="dxa"/>
            <w:vAlign w:val="bottom"/>
          </w:tcPr>
          <w:p>
            <w:pPr>
              <w:ind w:left="20"/>
              <w:spacing w:after="0"/>
              <w:rPr>
                <w:sz w:val="20"/>
                <w:szCs w:val="20"/>
                <w:color w:val="auto"/>
              </w:rPr>
            </w:pPr>
            <w:r>
              <w:rPr>
                <w:rFonts w:ascii="Arial" w:cs="Arial" w:eastAsia="Arial" w:hAnsi="Arial"/>
                <w:sz w:val="18"/>
                <w:szCs w:val="18"/>
                <w:color w:val="auto"/>
              </w:rPr>
              <w:t xml:space="preserve">Cumulative credit risk adjustment </w:t>
            </w:r>
            <w:r>
              <w:rPr>
                <w:rFonts w:ascii="Arial" w:cs="Arial" w:eastAsia="Arial" w:hAnsi="Arial"/>
                <w:sz w:val="14"/>
                <w:szCs w:val="14"/>
                <w:color w:val="auto"/>
              </w:rPr>
              <w:t>(1)</w:t>
            </w:r>
          </w:p>
        </w:tc>
        <w:tc>
          <w:tcPr>
            <w:tcW w:w="160" w:type="dxa"/>
            <w:vAlign w:val="bottom"/>
          </w:tcPr>
          <w:p>
            <w:pPr>
              <w:spacing w:after="0"/>
              <w:rPr>
                <w:sz w:val="21"/>
                <w:szCs w:val="21"/>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(9,211)</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(9,211)</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net unrealized gain (loss)</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7,690</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4,783</w:t>
            </w:r>
          </w:p>
        </w:tc>
        <w:tc>
          <w:tcPr>
            <w:tcW w:w="0" w:type="dxa"/>
            <w:vAlign w:val="bottom"/>
          </w:tcPr>
          <w:p>
            <w:pPr>
              <w:spacing w:after="0"/>
              <w:rPr>
                <w:sz w:val="1"/>
                <w:szCs w:val="1"/>
                <w:color w:val="auto"/>
              </w:rPr>
            </w:pPr>
          </w:p>
        </w:tc>
      </w:tr>
      <w:tr>
        <w:trPr>
          <w:trHeight w:val="243"/>
        </w:trPr>
        <w:tc>
          <w:tcPr>
            <w:tcW w:w="6260" w:type="dxa"/>
            <w:vAlign w:val="bottom"/>
          </w:tcPr>
          <w:p>
            <w:pPr>
              <w:ind w:left="20"/>
              <w:spacing w:after="0"/>
              <w:rPr>
                <w:sz w:val="20"/>
                <w:szCs w:val="20"/>
                <w:color w:val="auto"/>
              </w:rPr>
            </w:pPr>
            <w:r>
              <w:rPr>
                <w:rFonts w:ascii="Arial" w:cs="Arial" w:eastAsia="Arial" w:hAnsi="Arial"/>
                <w:sz w:val="18"/>
                <w:szCs w:val="18"/>
                <w:color w:val="auto"/>
              </w:rPr>
              <w:t xml:space="preserve">Amounts reclassified to net income </w:t>
            </w:r>
            <w:r>
              <w:rPr>
                <w:rFonts w:ascii="Arial" w:cs="Arial" w:eastAsia="Arial" w:hAnsi="Arial"/>
                <w:sz w:val="14"/>
                <w:szCs w:val="14"/>
                <w:color w:val="auto"/>
              </w:rPr>
              <w:t>(2)</w:t>
            </w:r>
          </w:p>
        </w:tc>
        <w:tc>
          <w:tcPr>
            <w:tcW w:w="160" w:type="dxa"/>
            <w:vAlign w:val="bottom"/>
          </w:tcPr>
          <w:p>
            <w:pPr>
              <w:spacing w:after="0"/>
              <w:rPr>
                <w:sz w:val="21"/>
                <w:szCs w:val="21"/>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75"/>
              <w:spacing w:after="0"/>
              <w:rPr>
                <w:sz w:val="20"/>
                <w:szCs w:val="20"/>
                <w:color w:val="auto"/>
              </w:rPr>
            </w:pPr>
            <w:r>
              <w:rPr>
                <w:rFonts w:ascii="Arial" w:cs="Arial" w:eastAsia="Arial" w:hAnsi="Arial"/>
                <w:sz w:val="18"/>
                <w:szCs w:val="18"/>
                <w:color w:val="auto"/>
              </w:rPr>
              <w:t>2,802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1,521</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4,323</w:t>
            </w:r>
          </w:p>
        </w:tc>
        <w:tc>
          <w:tcPr>
            <w:tcW w:w="0" w:type="dxa"/>
            <w:vAlign w:val="bottom"/>
          </w:tcPr>
          <w:p>
            <w:pPr>
              <w:spacing w:after="0"/>
              <w:rPr>
                <w:sz w:val="1"/>
                <w:szCs w:val="1"/>
                <w:color w:val="auto"/>
              </w:rPr>
            </w:pPr>
          </w:p>
        </w:tc>
      </w:tr>
      <w:tr>
        <w:trPr>
          <w:trHeight w:val="27"/>
        </w:trPr>
        <w:tc>
          <w:tcPr>
            <w:tcW w:w="62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(1,397)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1,292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9,211</w:t>
            </w:r>
          </w:p>
        </w:tc>
        <w:tc>
          <w:tcPr>
            <w:tcW w:w="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9,106</w:t>
            </w:r>
          </w:p>
        </w:tc>
        <w:tc>
          <w:tcPr>
            <w:tcW w:w="0" w:type="dxa"/>
            <w:vAlign w:val="bottom"/>
          </w:tcPr>
          <w:p>
            <w:pPr>
              <w:spacing w:after="0"/>
              <w:rPr>
                <w:sz w:val="1"/>
                <w:szCs w:val="1"/>
                <w:color w:val="auto"/>
              </w:rPr>
            </w:pPr>
          </w:p>
        </w:tc>
      </w:tr>
      <w:tr>
        <w:trPr>
          <w:trHeight w:val="237"/>
        </w:trPr>
        <w:tc>
          <w:tcPr>
            <w:tcW w:w="6260" w:type="dxa"/>
            <w:vAlign w:val="bottom"/>
          </w:tcPr>
          <w:p>
            <w:pPr>
              <w:ind w:left="20"/>
              <w:spacing w:after="0"/>
              <w:rPr>
                <w:sz w:val="20"/>
                <w:szCs w:val="20"/>
                <w:color w:val="auto"/>
              </w:rPr>
            </w:pPr>
            <w:r>
              <w:rPr>
                <w:rFonts w:ascii="Arial" w:cs="Arial" w:eastAsia="Arial" w:hAnsi="Arial"/>
                <w:sz w:val="18"/>
                <w:szCs w:val="18"/>
                <w:b w:val="1"/>
                <w:bCs w:val="1"/>
                <w:color w:val="auto"/>
              </w:rPr>
              <w:t>December 31, 2018</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(1,950)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(1,950)</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net unrealized gain</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271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37"/>
        </w:trPr>
        <w:tc>
          <w:tcPr>
            <w:tcW w:w="626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271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271</w:t>
            </w:r>
          </w:p>
        </w:tc>
        <w:tc>
          <w:tcPr>
            <w:tcW w:w="0" w:type="dxa"/>
            <w:vAlign w:val="bottom"/>
          </w:tcPr>
          <w:p>
            <w:pPr>
              <w:spacing w:after="0"/>
              <w:rPr>
                <w:sz w:val="1"/>
                <w:szCs w:val="1"/>
                <w:color w:val="auto"/>
              </w:rPr>
            </w:pPr>
          </w:p>
        </w:tc>
      </w:tr>
      <w:tr>
        <w:trPr>
          <w:trHeight w:val="27"/>
        </w:trPr>
        <w:tc>
          <w:tcPr>
            <w:tcW w:w="62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(1,679)</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(1,679)</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2" w:lineRule="exact"/>
        <w:rPr>
          <w:sz w:val="20"/>
          <w:szCs w:val="20"/>
          <w:color w:val="auto"/>
        </w:rPr>
      </w:pPr>
    </w:p>
    <w:p>
      <w:pPr>
        <w:ind w:left="260" w:hanging="252"/>
        <w:spacing w:after="0" w:line="250" w:lineRule="auto"/>
        <w:tabs>
          <w:tab w:leader="none" w:pos="224" w:val="left"/>
        </w:tabs>
        <w:numPr>
          <w:ilvl w:val="0"/>
          <w:numId w:val="35"/>
        </w:numPr>
        <w:rPr>
          <w:rFonts w:ascii="Arial" w:cs="Arial" w:eastAsia="Arial" w:hAnsi="Arial"/>
          <w:sz w:val="14"/>
          <w:szCs w:val="14"/>
          <w:color w:val="auto"/>
        </w:rPr>
      </w:pPr>
      <w:r>
        <w:rPr>
          <w:rFonts w:ascii="Arial" w:cs="Arial" w:eastAsia="Arial" w:hAnsi="Arial"/>
          <w:sz w:val="14"/>
          <w:szCs w:val="14"/>
          <w:color w:val="auto"/>
        </w:rPr>
        <w:t>On January 1, 2018, the Company adopted Accounting Standards Update ("ASU") No. 2016-01, Financial Instruments. The adjustment to the beginning balance represents the cumulative effect of the change in instrument-specific credit risk on the Redemption Note.</w:t>
      </w:r>
    </w:p>
    <w:p>
      <w:pPr>
        <w:ind w:left="260" w:right="20" w:hanging="252"/>
        <w:spacing w:after="0" w:line="255" w:lineRule="auto"/>
        <w:tabs>
          <w:tab w:leader="none" w:pos="234"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amounts reclassified to net income include $1.8 million for other-than-temporary impairment losses and $1.0 million in realized losses, both related to investment securities, and a $1.5 million realized gain related to the repayment of the Redemption Note.</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Fair Value Measurements</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present assets and liabilities carried at fair value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6"/>
          </w:tcPr>
          <w:p>
            <w:pPr>
              <w:jc w:val="center"/>
              <w:ind w:left="863"/>
              <w:spacing w:after="0"/>
              <w:rPr>
                <w:sz w:val="20"/>
                <w:szCs w:val="20"/>
                <w:color w:val="auto"/>
              </w:rPr>
            </w:pPr>
            <w:r>
              <w:rPr>
                <w:rFonts w:ascii="Arial" w:cs="Arial" w:eastAsia="Arial" w:hAnsi="Arial"/>
                <w:sz w:val="14"/>
                <w:szCs w:val="14"/>
                <w:b w:val="1"/>
                <w:bCs w:val="1"/>
                <w:color w:val="auto"/>
                <w:w w:val="93"/>
              </w:rPr>
              <w:t>Fair Value Measurements Using:</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3"/>
              </w:rPr>
              <w:t>Quoted</w:t>
            </w: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rPr>
              <w:t>Market</w:t>
            </w:r>
          </w:p>
        </w:tc>
        <w:tc>
          <w:tcPr>
            <w:tcW w:w="240" w:type="dxa"/>
            <w:vAlign w:val="bottom"/>
          </w:tcPr>
          <w:p>
            <w:pPr>
              <w:spacing w:after="0"/>
              <w:rPr>
                <w:sz w:val="12"/>
                <w:szCs w:val="12"/>
                <w:color w:val="auto"/>
              </w:rPr>
            </w:pPr>
          </w:p>
        </w:tc>
        <w:tc>
          <w:tcPr>
            <w:tcW w:w="13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Prices in</w:t>
            </w:r>
          </w:p>
        </w:tc>
        <w:tc>
          <w:tcPr>
            <w:tcW w:w="2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vMerge w:val="restart"/>
          </w:tcPr>
          <w:p>
            <w:pPr>
              <w:jc w:val="center"/>
              <w:ind w:right="159"/>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Active</w:t>
            </w:r>
          </w:p>
        </w:tc>
        <w:tc>
          <w:tcPr>
            <w:tcW w:w="240" w:type="dxa"/>
            <w:vAlign w:val="bottom"/>
          </w:tcPr>
          <w:p>
            <w:pPr>
              <w:spacing w:after="0"/>
              <w:rPr>
                <w:sz w:val="12"/>
                <w:szCs w:val="12"/>
                <w:color w:val="auto"/>
              </w:rPr>
            </w:pPr>
          </w:p>
        </w:tc>
        <w:tc>
          <w:tcPr>
            <w:tcW w:w="13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4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 2019</w:t>
            </w:r>
          </w:p>
        </w:tc>
        <w:tc>
          <w:tcPr>
            <w:tcW w:w="280" w:type="dxa"/>
            <w:vAlign w:val="bottom"/>
          </w:tcPr>
          <w:p>
            <w:pPr>
              <w:spacing w:after="0"/>
              <w:rPr>
                <w:sz w:val="12"/>
                <w:szCs w:val="12"/>
                <w:color w:val="auto"/>
              </w:rPr>
            </w:pPr>
          </w:p>
        </w:tc>
        <w:tc>
          <w:tcPr>
            <w:tcW w:w="12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8"/>
              </w:rPr>
              <w:t>Markets</w:t>
            </w:r>
          </w:p>
        </w:tc>
        <w:tc>
          <w:tcPr>
            <w:tcW w:w="24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2"/>
                <w:szCs w:val="12"/>
                <w:color w:val="auto"/>
              </w:rPr>
            </w:pPr>
          </w:p>
        </w:tc>
        <w:tc>
          <w:tcPr>
            <w:tcW w:w="120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92"/>
        </w:trPr>
        <w:tc>
          <w:tcPr>
            <w:tcW w:w="5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(Level 1)</w:t>
            </w:r>
          </w:p>
        </w:tc>
        <w:tc>
          <w:tcPr>
            <w:tcW w:w="24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2)</w:t>
            </w:r>
          </w:p>
        </w:tc>
        <w:tc>
          <w:tcPr>
            <w:tcW w:w="240" w:type="dxa"/>
            <w:vAlign w:val="bottom"/>
          </w:tcPr>
          <w:p>
            <w:pPr>
              <w:spacing w:after="0"/>
              <w:rPr>
                <w:sz w:val="16"/>
                <w:szCs w:val="16"/>
                <w:color w:val="auto"/>
              </w:rPr>
            </w:pPr>
          </w:p>
        </w:tc>
        <w:tc>
          <w:tcPr>
            <w:tcW w:w="1200" w:type="dxa"/>
            <w:vAlign w:val="bottom"/>
          </w:tcPr>
          <w:p>
            <w:pPr>
              <w:jc w:val="center"/>
              <w:ind w:right="179"/>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36"/>
        </w:trPr>
        <w:tc>
          <w:tcPr>
            <w:tcW w:w="5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Pr>
          <w:p>
            <w:pPr>
              <w:jc w:val="right"/>
              <w:ind w:right="74"/>
              <w:spacing w:after="0"/>
              <w:rPr>
                <w:sz w:val="20"/>
                <w:szCs w:val="20"/>
                <w:color w:val="auto"/>
              </w:rPr>
            </w:pPr>
            <w:r>
              <w:rPr>
                <w:rFonts w:ascii="Arial" w:cs="Arial" w:eastAsia="Arial" w:hAnsi="Arial"/>
                <w:sz w:val="18"/>
                <w:szCs w:val="18"/>
                <w:b w:val="1"/>
                <w:bCs w:val="1"/>
                <w:color w:val="auto"/>
              </w:rPr>
              <w:t>1,086,402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60"/>
              <w:spacing w:after="0"/>
              <w:rPr>
                <w:sz w:val="20"/>
                <w:szCs w:val="20"/>
                <w:color w:val="auto"/>
              </w:rPr>
            </w:pPr>
            <w:r>
              <w:rPr>
                <w:rFonts w:ascii="Arial" w:cs="Arial" w:eastAsia="Arial" w:hAnsi="Arial"/>
                <w:sz w:val="18"/>
                <w:szCs w:val="18"/>
                <w:color w:val="auto"/>
              </w:rPr>
              <w:t>1,086,402</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6,388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8"/>
                <w:szCs w:val="18"/>
                <w:color w:val="auto"/>
              </w:rPr>
              <w:t>2,048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8"/>
                <w:szCs w:val="18"/>
                <w:color w:val="auto"/>
              </w:rPr>
              <w:t>4,340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rPr>
              <w:t>Interest rate collar</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Pr>
          <w:p>
            <w:pPr>
              <w:jc w:val="right"/>
              <w:ind w:right="74"/>
              <w:spacing w:after="0"/>
              <w:rPr>
                <w:sz w:val="20"/>
                <w:szCs w:val="20"/>
                <w:color w:val="auto"/>
              </w:rPr>
            </w:pPr>
            <w:r>
              <w:rPr>
                <w:rFonts w:ascii="Arial" w:cs="Arial" w:eastAsia="Arial" w:hAnsi="Arial"/>
                <w:sz w:val="18"/>
                <w:szCs w:val="18"/>
                <w:b w:val="1"/>
                <w:bCs w:val="1"/>
                <w:color w:val="auto"/>
              </w:rPr>
              <w:t>3,847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60"/>
              <w:spacing w:after="0"/>
              <w:rPr>
                <w:sz w:val="20"/>
                <w:szCs w:val="20"/>
                <w:color w:val="auto"/>
              </w:rPr>
            </w:pPr>
            <w:r>
              <w:rPr>
                <w:rFonts w:ascii="Arial" w:cs="Arial" w:eastAsia="Arial" w:hAnsi="Arial"/>
                <w:sz w:val="18"/>
                <w:szCs w:val="18"/>
                <w:color w:val="auto"/>
              </w:rPr>
              <w:t>3,847</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2"/>
        </w:trPr>
        <w:tc>
          <w:tcPr>
            <w:tcW w:w="5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6"/>
          </w:tcPr>
          <w:p>
            <w:pPr>
              <w:jc w:val="center"/>
              <w:ind w:left="863"/>
              <w:spacing w:after="0"/>
              <w:rPr>
                <w:sz w:val="20"/>
                <w:szCs w:val="20"/>
                <w:color w:val="auto"/>
              </w:rPr>
            </w:pPr>
            <w:r>
              <w:rPr>
                <w:rFonts w:ascii="Arial" w:cs="Arial" w:eastAsia="Arial" w:hAnsi="Arial"/>
                <w:sz w:val="14"/>
                <w:szCs w:val="14"/>
                <w:b w:val="1"/>
                <w:bCs w:val="1"/>
                <w:color w:val="auto"/>
                <w:w w:val="93"/>
              </w:rPr>
              <w:t>Fair Value Measurements Using:</w:t>
            </w: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3"/>
              </w:rPr>
              <w:t>Quoted</w:t>
            </w: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rPr>
              <w:t>Market</w:t>
            </w:r>
          </w:p>
        </w:tc>
        <w:tc>
          <w:tcPr>
            <w:tcW w:w="240" w:type="dxa"/>
            <w:vAlign w:val="bottom"/>
          </w:tcPr>
          <w:p>
            <w:pPr>
              <w:spacing w:after="0"/>
              <w:rPr>
                <w:sz w:val="12"/>
                <w:szCs w:val="12"/>
                <w:color w:val="auto"/>
              </w:rPr>
            </w:pPr>
          </w:p>
        </w:tc>
        <w:tc>
          <w:tcPr>
            <w:tcW w:w="13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Prices in</w:t>
            </w:r>
          </w:p>
        </w:tc>
        <w:tc>
          <w:tcPr>
            <w:tcW w:w="2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vMerge w:val="restart"/>
          </w:tcPr>
          <w:p>
            <w:pPr>
              <w:jc w:val="center"/>
              <w:ind w:right="159"/>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Active</w:t>
            </w:r>
          </w:p>
        </w:tc>
        <w:tc>
          <w:tcPr>
            <w:tcW w:w="240" w:type="dxa"/>
            <w:vAlign w:val="bottom"/>
          </w:tcPr>
          <w:p>
            <w:pPr>
              <w:spacing w:after="0"/>
              <w:rPr>
                <w:sz w:val="12"/>
                <w:szCs w:val="12"/>
                <w:color w:val="auto"/>
              </w:rPr>
            </w:pPr>
          </w:p>
        </w:tc>
        <w:tc>
          <w:tcPr>
            <w:tcW w:w="13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4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 2018</w:t>
            </w:r>
          </w:p>
        </w:tc>
        <w:tc>
          <w:tcPr>
            <w:tcW w:w="280" w:type="dxa"/>
            <w:vAlign w:val="bottom"/>
          </w:tcPr>
          <w:p>
            <w:pPr>
              <w:spacing w:after="0"/>
              <w:rPr>
                <w:sz w:val="12"/>
                <w:szCs w:val="12"/>
                <w:color w:val="auto"/>
              </w:rPr>
            </w:pPr>
          </w:p>
        </w:tc>
        <w:tc>
          <w:tcPr>
            <w:tcW w:w="12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8"/>
              </w:rPr>
              <w:t>Markets</w:t>
            </w:r>
          </w:p>
        </w:tc>
        <w:tc>
          <w:tcPr>
            <w:tcW w:w="24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2"/>
                <w:szCs w:val="12"/>
                <w:color w:val="auto"/>
              </w:rPr>
            </w:pPr>
          </w:p>
        </w:tc>
        <w:tc>
          <w:tcPr>
            <w:tcW w:w="120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92"/>
        </w:trPr>
        <w:tc>
          <w:tcPr>
            <w:tcW w:w="5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(Level 1)</w:t>
            </w:r>
          </w:p>
        </w:tc>
        <w:tc>
          <w:tcPr>
            <w:tcW w:w="24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2)</w:t>
            </w:r>
          </w:p>
        </w:tc>
        <w:tc>
          <w:tcPr>
            <w:tcW w:w="240" w:type="dxa"/>
            <w:vAlign w:val="bottom"/>
          </w:tcPr>
          <w:p>
            <w:pPr>
              <w:spacing w:after="0"/>
              <w:rPr>
                <w:sz w:val="16"/>
                <w:szCs w:val="16"/>
                <w:color w:val="auto"/>
              </w:rPr>
            </w:pPr>
          </w:p>
        </w:tc>
        <w:tc>
          <w:tcPr>
            <w:tcW w:w="1200" w:type="dxa"/>
            <w:vAlign w:val="bottom"/>
          </w:tcPr>
          <w:p>
            <w:pPr>
              <w:jc w:val="center"/>
              <w:ind w:right="179"/>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36"/>
        </w:trPr>
        <w:tc>
          <w:tcPr>
            <w:tcW w:w="5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Pr>
          <w:p>
            <w:pPr>
              <w:jc w:val="right"/>
              <w:ind w:right="74"/>
              <w:spacing w:after="0"/>
              <w:rPr>
                <w:sz w:val="20"/>
                <w:szCs w:val="20"/>
                <w:color w:val="auto"/>
              </w:rPr>
            </w:pPr>
            <w:r>
              <w:rPr>
                <w:rFonts w:ascii="Arial" w:cs="Arial" w:eastAsia="Arial" w:hAnsi="Arial"/>
                <w:sz w:val="18"/>
                <w:szCs w:val="18"/>
                <w:b w:val="1"/>
                <w:bCs w:val="1"/>
                <w:color w:val="auto"/>
              </w:rPr>
              <w:t>759,257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60"/>
              <w:spacing w:after="0"/>
              <w:rPr>
                <w:sz w:val="20"/>
                <w:szCs w:val="20"/>
                <w:color w:val="auto"/>
              </w:rPr>
            </w:pPr>
            <w:r>
              <w:rPr>
                <w:rFonts w:ascii="Arial" w:cs="Arial" w:eastAsia="Arial" w:hAnsi="Arial"/>
                <w:sz w:val="18"/>
                <w:szCs w:val="18"/>
                <w:color w:val="auto"/>
              </w:rPr>
              <w:t>759,257</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4,322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8"/>
                <w:szCs w:val="18"/>
                <w:color w:val="auto"/>
              </w:rPr>
              <w:t>2,307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rPr>
              <w:t>Interest rate collar</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Pr>
          <w:p>
            <w:pPr>
              <w:jc w:val="right"/>
              <w:ind w:right="74"/>
              <w:spacing w:after="0"/>
              <w:rPr>
                <w:sz w:val="20"/>
                <w:szCs w:val="20"/>
                <w:color w:val="auto"/>
              </w:rPr>
            </w:pPr>
            <w:r>
              <w:rPr>
                <w:rFonts w:ascii="Arial" w:cs="Arial" w:eastAsia="Arial" w:hAnsi="Arial"/>
                <w:sz w:val="18"/>
                <w:szCs w:val="18"/>
                <w:b w:val="1"/>
                <w:bCs w:val="1"/>
                <w:color w:val="auto"/>
              </w:rPr>
              <w:t>619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60"/>
              <w:spacing w:after="0"/>
              <w:rPr>
                <w:sz w:val="20"/>
                <w:szCs w:val="20"/>
                <w:color w:val="auto"/>
              </w:rPr>
            </w:pPr>
            <w:r>
              <w:rPr>
                <w:rFonts w:ascii="Arial" w:cs="Arial" w:eastAsia="Arial" w:hAnsi="Arial"/>
                <w:sz w:val="18"/>
                <w:szCs w:val="18"/>
                <w:color w:val="auto"/>
              </w:rPr>
              <w:t>619</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89" w:name="page90"/>
    <w:bookmarkEnd w:id="8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Benefit Plans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Contribution Plans</w:t>
      </w:r>
    </w:p>
    <w:p>
      <w:pPr>
        <w:spacing w:after="0" w:line="252"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Company established a retirement savings plan under Section 401(k) of the Internal Revenue Code covering its U.S. non-union employees in July 2000. The plan allows employees to defer, within prescribed limits, a percentage of their income on a pre-tax basis through contributions to this plan. The Company matches 50% of employee contributions, up to 6% of employees' eligible compensation. During the years ended December 31, 2019, 2018 and 2017, the Company recorded matching contribution expenses of $6.9 million, $6.4 million, and $6.1 million, respectively.</w:t>
      </w:r>
    </w:p>
    <w:p>
      <w:pPr>
        <w:spacing w:after="0" w:line="198"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Wynn Macau SA also operates a defined contribution retirement benefit plan (the "Wynn Macau Plan"). Eligible employees are allowed to contribute 5% of their base salary to the Wynn Macau Plan and the Company matches any contributions. On July 1 2019, the Company offered the option for the eligible Macau resident employees to join the non-mandatory central provident fund (the "CPF") system. Eligible Macau resident employees joining the Company from July 1, 2019 onwards will enroll in the CPF system while the Company's existing Macau resident employees who are currently members of the Wynn Macau Plan will be provided with the option of joining the CPF system or staying in the existing Wynn Macau Plan, which will continue to be in effect in parallel. The CPF system allows eligible employees to contribute 5% or more of their base salary to the CPF while the Company matches with a 5% of such salary as employer's contribution to the CPF. The Company's matching contributions vest to the employee at 10% per year with full vesting in ten years. The assets of the Wynn Macau Plan and the CPF are held separately from those of the Company in independently administered funds, and the assets of the CPF are also overseen by the Macau government.</w:t>
      </w:r>
    </w:p>
    <w:p>
      <w:pPr>
        <w:spacing w:after="0" w:line="209"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Forfeitures of unvested contributions are used to reduce the Company's liability for its contributions payable. During the years ended December 31, 2019, 2018 and 2017, the Company recorded matching contribution expenses of $17.8 million, $16.6 million, and $15.8 million,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Multi-Employer Pension Plan</w:t>
      </w:r>
    </w:p>
    <w:p>
      <w:pPr>
        <w:spacing w:after="0" w:line="252"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Wynn Las Vegas, LLC contributes to a multi-employer defined benefit pension plan for certain of its union employees under the terms of the Southern Nevada Culinary and Bartenders Union collective-bargaining agreement, which expires in July 2021. The legal name of the multi-employer pension plan is the Southern Nevada Culinary and Bartenders Pension Plan (the "Plan") (EIN: 88-6016617 Plan Number: 1). The Company recorded expenses of $11.9 million, $11.9 million, and $11.5 million for contributions to the Plan for the years ended December 31, 2019, 2018 and 2017, respectively. For the 2018 plan year, the most recent for which plan data is available, the Company's contributions were identified by the Plan to exceed 5% of total contributions for that year. Based on information the Company received from the Plan, it was certified to be in neither endangered nor critical status for the 2018 plan year. Risks of participating in a multi-employer plan differ from single-employer plans for the following reasons: (1) assets contributed to a multi-employer plan by one employer may be used to provide benefits to employees of other participating employers; (2) if a participating employer stops contributing to the plan, the unfunded obligations of the plan may be borne by the remaining participating employers; (3) if a participating employer stops participating, it may be required to pay those plans an amount based on the underfunded status of the plan, referred to as a withdrawal liability; and (4) if the plan is terminated by withdrawal of all employers and if the value of the nonforfeitable benefits exceeds plan assets and withdrawal liability payments, employers are required by law to make up the insufficient difference.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Customer Contract Liabilities</w:t>
      </w:r>
    </w:p>
    <w:p>
      <w:pPr>
        <w:spacing w:after="0" w:line="256"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In providing goods and services to its customers, there is often a timing difference between the Company receiving cash and the Company recording revenue for providing services or holding events.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0" w:name="page91"/>
    <w:bookmarkEnd w:id="9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primary liabilities associated with customer contracts are as follows (in thousands):</w:t>
      </w:r>
    </w:p>
    <w:p>
      <w:pPr>
        <w:spacing w:after="0" w:line="19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3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December 31, 2019</w:t>
            </w:r>
          </w:p>
        </w:tc>
        <w:tc>
          <w:tcPr>
            <w:tcW w:w="13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December 31, 2018</w:t>
            </w:r>
          </w:p>
        </w:tc>
        <w:tc>
          <w:tcPr>
            <w:tcW w:w="14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Increase/</w:t>
            </w:r>
          </w:p>
        </w:tc>
        <w:tc>
          <w:tcPr>
            <w:tcW w:w="13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December 31, 2018</w:t>
            </w:r>
          </w:p>
        </w:tc>
        <w:tc>
          <w:tcPr>
            <w:tcW w:w="13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December 31, 2017</w:t>
            </w:r>
          </w:p>
        </w:tc>
        <w:tc>
          <w:tcPr>
            <w:tcW w:w="160" w:type="dxa"/>
            <w:vAlign w:val="bottom"/>
          </w:tcPr>
          <w:p>
            <w:pPr>
              <w:spacing w:after="0"/>
              <w:rPr>
                <w:sz w:val="14"/>
                <w:szCs w:val="14"/>
                <w:color w:val="auto"/>
              </w:rPr>
            </w:pPr>
          </w:p>
        </w:tc>
        <w:tc>
          <w:tcPr>
            <w:tcW w:w="900" w:type="dxa"/>
            <w:vAlign w:val="bottom"/>
          </w:tcPr>
          <w:p>
            <w:pPr>
              <w:jc w:val="right"/>
              <w:ind w:right="175"/>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3820" w:type="dxa"/>
            <w:vAlign w:val="bottom"/>
          </w:tcPr>
          <w:p>
            <w:pPr>
              <w:spacing w:after="0"/>
              <w:rPr>
                <w:sz w:val="16"/>
                <w:szCs w:val="16"/>
                <w:color w:val="auto"/>
              </w:rPr>
            </w:pPr>
          </w:p>
        </w:tc>
        <w:tc>
          <w:tcPr>
            <w:tcW w:w="1320" w:type="dxa"/>
            <w:vAlign w:val="bottom"/>
            <w:gridSpan w:val="3"/>
            <w:vMerge w:val="continue"/>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(Decrease)</w:t>
            </w:r>
          </w:p>
        </w:tc>
        <w:tc>
          <w:tcPr>
            <w:tcW w:w="1320" w:type="dxa"/>
            <w:vAlign w:val="bottom"/>
            <w:gridSpan w:val="3"/>
            <w:vMerge w:val="continue"/>
          </w:tcPr>
          <w:p>
            <w:pPr>
              <w:spacing w:after="0"/>
              <w:rPr>
                <w:sz w:val="16"/>
                <w:szCs w:val="16"/>
                <w:color w:val="auto"/>
              </w:rPr>
            </w:pPr>
          </w:p>
        </w:tc>
        <w:tc>
          <w:tcPr>
            <w:tcW w:w="132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ind w:right="135"/>
              <w:spacing w:after="0"/>
              <w:rPr>
                <w:sz w:val="20"/>
                <w:szCs w:val="20"/>
                <w:color w:val="auto"/>
              </w:rPr>
            </w:pPr>
            <w:r>
              <w:rPr>
                <w:rFonts w:ascii="Arial" w:cs="Arial" w:eastAsia="Arial" w:hAnsi="Arial"/>
                <w:sz w:val="14"/>
                <w:szCs w:val="14"/>
                <w:b w:val="1"/>
                <w:bCs w:val="1"/>
                <w:color w:val="auto"/>
                <w:w w:val="92"/>
              </w:rPr>
              <w:t>(Decrease)</w:t>
            </w:r>
          </w:p>
        </w:tc>
        <w:tc>
          <w:tcPr>
            <w:tcW w:w="0" w:type="dxa"/>
            <w:vAlign w:val="bottom"/>
          </w:tcPr>
          <w:p>
            <w:pPr>
              <w:spacing w:after="0"/>
              <w:rPr>
                <w:sz w:val="1"/>
                <w:szCs w:val="1"/>
                <w:color w:val="auto"/>
              </w:rPr>
            </w:pPr>
          </w:p>
        </w:tc>
      </w:tr>
      <w:tr>
        <w:trPr>
          <w:trHeight w:val="162"/>
        </w:trPr>
        <w:tc>
          <w:tcPr>
            <w:tcW w:w="3820" w:type="dxa"/>
            <w:vAlign w:val="bottom"/>
            <w:tcBorders>
              <w:top w:val="single" w:sz="8" w:color="CCEEFF"/>
            </w:tcBorders>
            <w:shd w:val="clear" w:color="auto" w:fill="CCEEFF"/>
          </w:tcPr>
          <w:p>
            <w:pPr>
              <w:ind w:left="20"/>
              <w:spacing w:after="0" w:line="162" w:lineRule="exact"/>
              <w:rPr>
                <w:sz w:val="20"/>
                <w:szCs w:val="20"/>
                <w:color w:val="auto"/>
              </w:rPr>
            </w:pPr>
            <w:r>
              <w:rPr>
                <w:rFonts w:ascii="Arial" w:cs="Arial" w:eastAsia="Arial" w:hAnsi="Arial"/>
                <w:sz w:val="18"/>
                <w:szCs w:val="18"/>
                <w:color w:val="auto"/>
                <w:w w:val="92"/>
              </w:rPr>
              <w:t>Casino outstanding chips and front money deposits</w:t>
            </w:r>
          </w:p>
        </w:tc>
        <w:tc>
          <w:tcPr>
            <w:tcW w:w="30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769,053</w:t>
            </w: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905,561</w:t>
            </w: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vMerge w:val="restart"/>
            <w:shd w:val="clear" w:color="auto" w:fill="CCEEFF"/>
          </w:tcPr>
          <w:p>
            <w:pPr>
              <w:jc w:val="right"/>
              <w:ind w:right="35"/>
              <w:spacing w:after="0"/>
              <w:rPr>
                <w:sz w:val="20"/>
                <w:szCs w:val="20"/>
                <w:color w:val="auto"/>
              </w:rPr>
            </w:pPr>
            <w:r>
              <w:rPr>
                <w:rFonts w:ascii="Arial" w:cs="Arial" w:eastAsia="Arial" w:hAnsi="Arial"/>
                <w:sz w:val="18"/>
                <w:szCs w:val="18"/>
                <w:color w:val="auto"/>
                <w:w w:val="98"/>
              </w:rPr>
              <w:t>(136,508)</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905,561</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991,957</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(86,396)</w:t>
            </w:r>
          </w:p>
        </w:tc>
        <w:tc>
          <w:tcPr>
            <w:tcW w:w="0" w:type="dxa"/>
            <w:vAlign w:val="bottom"/>
          </w:tcPr>
          <w:p>
            <w:pPr>
              <w:spacing w:after="0"/>
              <w:rPr>
                <w:sz w:val="1"/>
                <w:szCs w:val="1"/>
                <w:color w:val="auto"/>
              </w:rPr>
            </w:pPr>
          </w:p>
        </w:tc>
      </w:tr>
      <w:tr>
        <w:trPr>
          <w:trHeight w:val="189"/>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(1)</w:t>
            </w:r>
          </w:p>
        </w:tc>
        <w:tc>
          <w:tcPr>
            <w:tcW w:w="300" w:type="dxa"/>
            <w:vAlign w:val="bottom"/>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vMerge w:val="continue"/>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 xml:space="preserve">Advance room deposits and ticket sales </w:t>
            </w:r>
            <w:r>
              <w:rPr>
                <w:rFonts w:ascii="Arial" w:cs="Arial" w:eastAsia="Arial" w:hAnsi="Arial"/>
                <w:sz w:val="14"/>
                <w:szCs w:val="14"/>
                <w:color w:val="auto"/>
              </w:rPr>
              <w:t>(2)</w:t>
            </w:r>
          </w:p>
        </w:tc>
        <w:tc>
          <w:tcPr>
            <w:tcW w:w="30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49,834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42,197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75"/>
              <w:spacing w:after="0"/>
              <w:rPr>
                <w:sz w:val="20"/>
                <w:szCs w:val="20"/>
                <w:color w:val="auto"/>
              </w:rPr>
            </w:pPr>
            <w:r>
              <w:rPr>
                <w:rFonts w:ascii="Arial" w:cs="Arial" w:eastAsia="Arial" w:hAnsi="Arial"/>
                <w:sz w:val="18"/>
                <w:szCs w:val="18"/>
                <w:color w:val="auto"/>
              </w:rPr>
              <w:t>7,637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42,197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48,065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(5,868)</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Other gaming-related liabilities </w:t>
            </w:r>
            <w:r>
              <w:rPr>
                <w:rFonts w:ascii="Arial" w:cs="Arial" w:eastAsia="Arial" w:hAnsi="Arial"/>
                <w:sz w:val="14"/>
                <w:szCs w:val="14"/>
                <w:color w:val="auto"/>
              </w:rPr>
              <w:t>(3)</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13,970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12,694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1,276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12,694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12,765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 xml:space="preserve">Loyalty program and related liabilities </w:t>
            </w:r>
            <w:r>
              <w:rPr>
                <w:rFonts w:ascii="Arial" w:cs="Arial" w:eastAsia="Arial" w:hAnsi="Arial"/>
                <w:sz w:val="14"/>
                <w:szCs w:val="14"/>
                <w:color w:val="auto"/>
              </w:rPr>
              <w:t>(4)</w:t>
            </w:r>
          </w:p>
        </w:tc>
        <w:tc>
          <w:tcPr>
            <w:tcW w:w="30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21,148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18,148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75"/>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18,148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18,421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7"/>
        </w:trPr>
        <w:tc>
          <w:tcPr>
            <w:tcW w:w="3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38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854,005</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978,600</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w w:val="98"/>
              </w:rPr>
              <w:t>(124,595)</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978,600</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1,071,208</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(92,608)</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2" w:lineRule="exact"/>
        <w:rPr>
          <w:sz w:val="20"/>
          <w:szCs w:val="20"/>
          <w:color w:val="auto"/>
        </w:rPr>
      </w:pPr>
    </w:p>
    <w:p>
      <w:pPr>
        <w:ind w:left="260" w:hanging="252"/>
        <w:spacing w:after="0" w:line="269" w:lineRule="auto"/>
        <w:tabs>
          <w:tab w:leader="none" w:pos="234" w:val="left"/>
        </w:tabs>
        <w:numPr>
          <w:ilvl w:val="0"/>
          <w:numId w:val="36"/>
        </w:numPr>
        <w:rPr>
          <w:rFonts w:ascii="Arial" w:cs="Arial" w:eastAsia="Arial" w:hAnsi="Arial"/>
          <w:sz w:val="13"/>
          <w:szCs w:val="13"/>
          <w:color w:val="auto"/>
        </w:rPr>
      </w:pPr>
      <w:r>
        <w:rPr>
          <w:rFonts w:ascii="Arial" w:cs="Arial" w:eastAsia="Arial" w:hAnsi="Arial"/>
          <w:sz w:val="13"/>
          <w:szCs w:val="13"/>
          <w:color w:val="auto"/>
        </w:rPr>
        <w:t>Casino outstanding chips represent amounts owed to gaming promoters and customers for chips in their possession, and casino front money deposits represent funds deposited by customers before gaming play occurs. These amounts are included in customer deposits on the Consolidated Balance Sheets and may be recognized as revenue or redeemed for cash in the future.</w:t>
      </w:r>
    </w:p>
    <w:p>
      <w:pPr>
        <w:spacing w:after="0" w:line="1" w:lineRule="exact"/>
        <w:rPr>
          <w:rFonts w:ascii="Arial" w:cs="Arial" w:eastAsia="Arial" w:hAnsi="Arial"/>
          <w:sz w:val="13"/>
          <w:szCs w:val="13"/>
          <w:color w:val="auto"/>
        </w:rPr>
      </w:pPr>
    </w:p>
    <w:p>
      <w:pPr>
        <w:jc w:val="both"/>
        <w:ind w:left="260" w:hanging="252"/>
        <w:spacing w:after="0" w:line="260" w:lineRule="auto"/>
        <w:tabs>
          <w:tab w:leader="none" w:pos="234" w:val="left"/>
        </w:tabs>
        <w:numPr>
          <w:ilvl w:val="0"/>
          <w:numId w:val="36"/>
        </w:numPr>
        <w:rPr>
          <w:rFonts w:ascii="Arial" w:cs="Arial" w:eastAsia="Arial" w:hAnsi="Arial"/>
          <w:sz w:val="13"/>
          <w:szCs w:val="13"/>
          <w:color w:val="auto"/>
        </w:rPr>
      </w:pPr>
      <w:r>
        <w:rPr>
          <w:rFonts w:ascii="Arial" w:cs="Arial" w:eastAsia="Arial" w:hAnsi="Arial"/>
          <w:sz w:val="13"/>
          <w:szCs w:val="13"/>
          <w:color w:val="auto"/>
        </w:rPr>
        <w:t>Advance room deposits and ticket sales represent cash received in advance for goods or services to be provided in the future. These amounts are included in customer deposits on the Consolidated Balance Sheets and will be recognized as revenue when the goods or services are provided or the events are held. Decreases in this balance generally represent the recognition of revenue and increases in the balance represent additional deposits made by customers. The deposits are expected to primarily be recognized as revenue within one year.</w:t>
      </w:r>
    </w:p>
    <w:p>
      <w:pPr>
        <w:ind w:left="260" w:hanging="252"/>
        <w:spacing w:after="0" w:line="241" w:lineRule="auto"/>
        <w:tabs>
          <w:tab w:leader="none" w:pos="230" w:val="left"/>
        </w:tabs>
        <w:numPr>
          <w:ilvl w:val="0"/>
          <w:numId w:val="36"/>
        </w:numPr>
        <w:rPr>
          <w:rFonts w:ascii="Arial" w:cs="Arial" w:eastAsia="Arial" w:hAnsi="Arial"/>
          <w:sz w:val="14"/>
          <w:szCs w:val="14"/>
          <w:color w:val="auto"/>
        </w:rPr>
      </w:pPr>
      <w:r>
        <w:rPr>
          <w:rFonts w:ascii="Arial" w:cs="Arial" w:eastAsia="Arial" w:hAnsi="Arial"/>
          <w:sz w:val="14"/>
          <w:szCs w:val="14"/>
          <w:color w:val="auto"/>
        </w:rPr>
        <w:t>Other gaming-related liabilities generally represent unpaid wagers primarily in the form of unredeemed slot, race and sportsbook tickets or wagers for future sporting events. The amounts are included in other accrued liabilities on the Consolidated Balance Sheets.</w:t>
      </w:r>
    </w:p>
    <w:p>
      <w:pPr>
        <w:ind w:left="260" w:right="20" w:hanging="252"/>
        <w:spacing w:after="0" w:line="255" w:lineRule="auto"/>
        <w:tabs>
          <w:tab w:leader="none" w:pos="2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Loyalty program and related liabilities represent the deferral of revenue until the loyalty points or other complimentaries are redeemed. The amounts are included in other accrued liabilities on the Consolidated Balance Sheets and are expected to be recognized as revenue within one year of being earned by customers.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Stock-Based Compensation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Wynn Resorts, Limited</w:t>
      </w:r>
    </w:p>
    <w:p>
      <w:pPr>
        <w:spacing w:after="0" w:line="252"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The Company's 2002 Stock Incentive Plan, as amended and restated (the "WRL 2002 Plan"), allowed it to grant stock options and nonvested shares of Wynn Resorts' common stock to eligible directors, officers, employees, and consultants of the Company. Under the WRL 2002 Plan, a maximum of 12,750,000 shares of the Company's common stock was reserved for issuance.</w:t>
      </w:r>
    </w:p>
    <w:p>
      <w:pPr>
        <w:spacing w:after="0" w:line="208"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On May 16, 2014, the Company adopted the Wynn Resorts, Limited 2014 Omnibus Incentive Plan (the "Omnibus Plan") after approval from its stockholders. The Omnibus Plan allows for the grant of stock options, restricted stock, restricted stock units, stock appreciation rights, performance awards, and other share-based awards to the same eligible participants as the WRL 2002 Plan. Under the approval of the Omnibus Plan, no new awards may be made under the WRL 2002 Plan. The outstanding awards under the WRL 2002 Plan were transferred to the Omnibus Plan and will remain pursuant to their existing terms and related award agreements. The Company reserved 4,409,390 shares of its common stock for issuance under the Omnibus Plan. These shares were transferred from the remaining available amount under the WRL 2002 Plan.</w:t>
      </w:r>
    </w:p>
    <w:p>
      <w:pPr>
        <w:spacing w:after="0" w:line="20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Omnibus Plan is administered by the Compensation Committee (the "Committee") of the Wynn Resorts Board of Directors. The Committee has discretion under the Omnibus Plan regarding which type of awards to grant, the vesting and service requirements, exercise price, and other conditions, in all cases subject to certain limits. For stock options, the exercise price of stock options must be at least equal to the fair market value of the stock on the date of grant and the maximum term of such an award is 10 years.</w:t>
      </w:r>
    </w:p>
    <w:p>
      <w:pPr>
        <w:spacing w:after="0" w:line="21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December 31, 2019, the Company had an aggregate of 2,640,796 shares of its common stock available for grant as share-based awards under the Omnibus Plan.</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1" w:name="page92"/>
    <w:bookmarkEnd w:id="9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Stock Options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summary of stock option activity under the Omnibus Plan for the year ended December 31, 2019 is presented below:</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vMerge w:val="restart"/>
          </w:tcPr>
          <w:p>
            <w:pPr>
              <w:jc w:val="center"/>
              <w:ind w:right="176"/>
              <w:spacing w:after="0"/>
              <w:rPr>
                <w:sz w:val="20"/>
                <w:szCs w:val="20"/>
                <w:color w:val="auto"/>
              </w:rPr>
            </w:pPr>
            <w:r>
              <w:rPr>
                <w:rFonts w:ascii="Arial" w:cs="Arial" w:eastAsia="Arial" w:hAnsi="Arial"/>
                <w:sz w:val="14"/>
                <w:szCs w:val="14"/>
                <w:b w:val="1"/>
                <w:bCs w:val="1"/>
                <w:color w:val="auto"/>
                <w:w w:val="91"/>
              </w:rPr>
              <w:t>Weighted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4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1"/>
                <w:szCs w:val="11"/>
                <w:color w:val="auto"/>
              </w:rPr>
            </w:pPr>
          </w:p>
        </w:tc>
        <w:tc>
          <w:tcPr>
            <w:tcW w:w="1180" w:type="dxa"/>
            <w:vAlign w:val="bottom"/>
            <w:vMerge w:val="restart"/>
          </w:tcPr>
          <w:p>
            <w:pPr>
              <w:jc w:val="center"/>
              <w:ind w:right="178"/>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35"/>
        </w:trPr>
        <w:tc>
          <w:tcPr>
            <w:tcW w:w="54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jc w:val="center"/>
              <w:ind w:right="176"/>
              <w:spacing w:after="0" w:line="135" w:lineRule="exact"/>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2"/>
              </w:rPr>
              <w:t>Remaining</w:t>
            </w:r>
          </w:p>
        </w:tc>
        <w:tc>
          <w:tcPr>
            <w:tcW w:w="26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480" w:type="dxa"/>
            <w:vAlign w:val="bottom"/>
          </w:tcPr>
          <w:p>
            <w:pPr>
              <w:spacing w:after="0"/>
              <w:rPr>
                <w:sz w:val="11"/>
                <w:szCs w:val="11"/>
                <w:color w:val="auto"/>
              </w:rPr>
            </w:pPr>
          </w:p>
        </w:tc>
        <w:tc>
          <w:tcPr>
            <w:tcW w:w="130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Options</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jc w:val="center"/>
              <w:ind w:right="196"/>
              <w:spacing w:after="0" w:line="135" w:lineRule="exact"/>
              <w:rPr>
                <w:sz w:val="20"/>
                <w:szCs w:val="20"/>
                <w:color w:val="auto"/>
              </w:rPr>
            </w:pPr>
            <w:r>
              <w:rPr>
                <w:rFonts w:ascii="Arial" w:cs="Arial" w:eastAsia="Arial" w:hAnsi="Arial"/>
                <w:sz w:val="14"/>
                <w:szCs w:val="14"/>
                <w:b w:val="1"/>
                <w:bCs w:val="1"/>
                <w:color w:val="auto"/>
                <w:w w:val="90"/>
              </w:rPr>
              <w:t>Exercise</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5"/>
              </w:rPr>
              <w:t>Contractual</w:t>
            </w:r>
          </w:p>
        </w:tc>
        <w:tc>
          <w:tcPr>
            <w:tcW w:w="260" w:type="dxa"/>
            <w:vAlign w:val="bottom"/>
          </w:tcPr>
          <w:p>
            <w:pPr>
              <w:spacing w:after="0"/>
              <w:rPr>
                <w:sz w:val="11"/>
                <w:szCs w:val="11"/>
                <w:color w:val="auto"/>
              </w:rPr>
            </w:pPr>
          </w:p>
        </w:tc>
        <w:tc>
          <w:tcPr>
            <w:tcW w:w="1180" w:type="dxa"/>
            <w:vAlign w:val="bottom"/>
          </w:tcPr>
          <w:p>
            <w:pPr>
              <w:jc w:val="center"/>
              <w:ind w:right="178"/>
              <w:spacing w:after="0" w:line="135"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88"/>
        </w:trPr>
        <w:tc>
          <w:tcPr>
            <w:tcW w:w="548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93"/>
              </w:rPr>
              <w:t>Price</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99"/>
              </w:rPr>
              <w:t>Term</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45"/>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January 1, 2019</w:t>
            </w: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345,790</w:t>
            </w:r>
          </w:p>
        </w:tc>
        <w:tc>
          <w:tcPr>
            <w:tcW w:w="3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60.99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80" w:type="dxa"/>
            <w:vAlign w:val="bottom"/>
          </w:tcPr>
          <w:p>
            <w:pPr>
              <w:ind w:left="20"/>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(293,690)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50.04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80" w:type="dxa"/>
            <w:vAlign w:val="bottom"/>
          </w:tcPr>
          <w:p>
            <w:pPr>
              <w:ind w:left="20"/>
              <w:spacing w:after="0"/>
              <w:rPr>
                <w:sz w:val="20"/>
                <w:szCs w:val="20"/>
                <w:color w:val="auto"/>
              </w:rPr>
            </w:pPr>
            <w:r>
              <w:rPr>
                <w:rFonts w:ascii="Arial" w:cs="Arial" w:eastAsia="Arial" w:hAnsi="Arial"/>
                <w:sz w:val="18"/>
                <w:szCs w:val="18"/>
                <w:color w:val="auto"/>
              </w:rPr>
              <w:t>Forfeited or expired</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(28,400)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56"/>
              <w:spacing w:after="0"/>
              <w:rPr>
                <w:sz w:val="20"/>
                <w:szCs w:val="20"/>
                <w:color w:val="auto"/>
              </w:rPr>
            </w:pPr>
            <w:r>
              <w:rPr>
                <w:rFonts w:ascii="Arial" w:cs="Arial" w:eastAsia="Arial" w:hAnsi="Arial"/>
                <w:sz w:val="18"/>
                <w:szCs w:val="18"/>
                <w:color w:val="auto"/>
              </w:rPr>
              <w:t>158.09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as of December 31, 2019</w:t>
            </w:r>
          </w:p>
        </w:tc>
        <w:tc>
          <w:tcPr>
            <w:tcW w:w="13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23,700</w:t>
            </w:r>
          </w:p>
        </w:tc>
        <w:tc>
          <w:tcPr>
            <w:tcW w:w="3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b w:val="1"/>
                <w:bCs w:val="1"/>
                <w:color w:val="auto"/>
              </w:rPr>
              <w:t>80.42</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6.16</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b w:val="1"/>
                <w:bCs w:val="1"/>
                <w:color w:val="auto"/>
              </w:rPr>
              <w:t>1,385,194</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Fully vested and expected to vest as of December 31, 2019</w:t>
            </w: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480" w:type="dxa"/>
            <w:vAlign w:val="bottom"/>
            <w:vMerge w:val="continue"/>
          </w:tcPr>
          <w:p>
            <w:pPr>
              <w:spacing w:after="0"/>
              <w:rPr>
                <w:sz w:val="21"/>
                <w:szCs w:val="21"/>
                <w:color w:val="auto"/>
              </w:rPr>
            </w:pPr>
          </w:p>
        </w:tc>
        <w:tc>
          <w:tcPr>
            <w:tcW w:w="13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23,700</w:t>
            </w:r>
          </w:p>
        </w:tc>
        <w:tc>
          <w:tcPr>
            <w:tcW w:w="3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6"/>
              <w:spacing w:after="0"/>
              <w:rPr>
                <w:sz w:val="20"/>
                <w:szCs w:val="20"/>
                <w:color w:val="auto"/>
              </w:rPr>
            </w:pPr>
            <w:r>
              <w:rPr>
                <w:rFonts w:ascii="Arial" w:cs="Arial" w:eastAsia="Arial" w:hAnsi="Arial"/>
                <w:sz w:val="18"/>
                <w:szCs w:val="18"/>
                <w:color w:val="auto"/>
              </w:rPr>
              <w:t>80.42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6.16</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78"/>
              <w:spacing w:after="0"/>
              <w:rPr>
                <w:sz w:val="20"/>
                <w:szCs w:val="20"/>
                <w:color w:val="auto"/>
              </w:rPr>
            </w:pPr>
            <w:r>
              <w:rPr>
                <w:rFonts w:ascii="Arial" w:cs="Arial" w:eastAsia="Arial" w:hAnsi="Arial"/>
                <w:sz w:val="18"/>
                <w:szCs w:val="18"/>
                <w:color w:val="auto"/>
              </w:rPr>
              <w:t>1,385,194</w:t>
            </w:r>
          </w:p>
        </w:tc>
        <w:tc>
          <w:tcPr>
            <w:tcW w:w="0" w:type="dxa"/>
            <w:vAlign w:val="bottom"/>
          </w:tcPr>
          <w:p>
            <w:pPr>
              <w:spacing w:after="0"/>
              <w:rPr>
                <w:sz w:val="1"/>
                <w:szCs w:val="1"/>
                <w:color w:val="auto"/>
              </w:rPr>
            </w:pP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as of December 31, 2019</w:t>
            </w:r>
          </w:p>
        </w:tc>
        <w:tc>
          <w:tcPr>
            <w:tcW w:w="13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23,700</w:t>
            </w:r>
          </w:p>
        </w:tc>
        <w:tc>
          <w:tcPr>
            <w:tcW w:w="3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80.42</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1,385,194</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6780" w:type="dxa"/>
            <w:vAlign w:val="bottom"/>
            <w:gridSpan w:val="2"/>
          </w:tcPr>
          <w:p>
            <w:pPr>
              <w:ind w:left="420"/>
              <w:spacing w:after="0"/>
              <w:rPr>
                <w:sz w:val="20"/>
                <w:szCs w:val="20"/>
                <w:color w:val="auto"/>
              </w:rPr>
            </w:pPr>
            <w:r>
              <w:rPr>
                <w:rFonts w:ascii="Arial" w:cs="Arial" w:eastAsia="Arial" w:hAnsi="Arial"/>
                <w:sz w:val="18"/>
                <w:szCs w:val="18"/>
                <w:color w:val="auto"/>
                <w:w w:val="96"/>
              </w:rPr>
              <w:t>The following is provided for stock options under the Omnibus Plan (in thousands):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4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480" w:type="dxa"/>
            <w:vAlign w:val="bottom"/>
            <w:tcBorders>
              <w:bottom w:val="single" w:sz="8" w:color="CCEEFF"/>
            </w:tcBorders>
          </w:tcPr>
          <w:p>
            <w:pPr>
              <w:spacing w:after="0"/>
              <w:rPr>
                <w:sz w:val="17"/>
                <w:szCs w:val="17"/>
                <w:color w:val="auto"/>
              </w:rPr>
            </w:pPr>
          </w:p>
        </w:tc>
        <w:tc>
          <w:tcPr>
            <w:tcW w:w="13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w w:val="96"/>
              </w:rPr>
              <w:t>2019</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50"/>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Intrinsic value of stock options exercised</w:t>
            </w:r>
          </w:p>
        </w:tc>
        <w:tc>
          <w:tcPr>
            <w:tcW w:w="13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24,731</w:t>
            </w:r>
          </w:p>
        </w:tc>
        <w:tc>
          <w:tcPr>
            <w:tcW w:w="34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8"/>
                <w:szCs w:val="18"/>
                <w:color w:val="auto"/>
              </w:rPr>
              <w:t>22,387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29,716</w:t>
            </w:r>
          </w:p>
        </w:tc>
        <w:tc>
          <w:tcPr>
            <w:tcW w:w="0" w:type="dxa"/>
            <w:vAlign w:val="bottom"/>
          </w:tcPr>
          <w:p>
            <w:pPr>
              <w:spacing w:after="0"/>
              <w:rPr>
                <w:sz w:val="1"/>
                <w:szCs w:val="1"/>
                <w:color w:val="auto"/>
              </w:rPr>
            </w:pPr>
          </w:p>
        </w:tc>
      </w:tr>
      <w:tr>
        <w:trPr>
          <w:trHeight w:val="243"/>
        </w:trPr>
        <w:tc>
          <w:tcPr>
            <w:tcW w:w="5480" w:type="dxa"/>
            <w:vAlign w:val="bottom"/>
          </w:tcPr>
          <w:p>
            <w:pPr>
              <w:ind w:left="20"/>
              <w:spacing w:after="0"/>
              <w:rPr>
                <w:sz w:val="20"/>
                <w:szCs w:val="20"/>
                <w:color w:val="auto"/>
              </w:rPr>
            </w:pPr>
            <w:r>
              <w:rPr>
                <w:rFonts w:ascii="Arial" w:cs="Arial" w:eastAsia="Arial" w:hAnsi="Arial"/>
                <w:sz w:val="18"/>
                <w:szCs w:val="18"/>
                <w:color w:val="auto"/>
              </w:rPr>
              <w:t>Cash received from the exercise of stock options</w:t>
            </w:r>
          </w:p>
        </w:tc>
        <w:tc>
          <w:tcPr>
            <w:tcW w:w="1300" w:type="dxa"/>
            <w:vAlign w:val="bottom"/>
          </w:tcPr>
          <w:p>
            <w:pPr>
              <w:spacing w:after="0"/>
              <w:rPr>
                <w:sz w:val="21"/>
                <w:szCs w:val="21"/>
                <w:color w:val="auto"/>
              </w:rPr>
            </w:pPr>
          </w:p>
        </w:tc>
        <w:tc>
          <w:tcPr>
            <w:tcW w:w="3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6"/>
              <w:spacing w:after="0"/>
              <w:rPr>
                <w:sz w:val="20"/>
                <w:szCs w:val="20"/>
                <w:color w:val="auto"/>
              </w:rPr>
            </w:pPr>
            <w:r>
              <w:rPr>
                <w:rFonts w:ascii="Arial" w:cs="Arial" w:eastAsia="Arial" w:hAnsi="Arial"/>
                <w:sz w:val="18"/>
                <w:szCs w:val="18"/>
                <w:color w:val="auto"/>
              </w:rPr>
              <w:t>14,696</w:t>
            </w:r>
          </w:p>
        </w:tc>
        <w:tc>
          <w:tcPr>
            <w:tcW w:w="340" w:type="dxa"/>
            <w:vAlign w:val="bottom"/>
            <w:gridSpan w:val="4"/>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60"/>
              <w:spacing w:after="0"/>
              <w:rPr>
                <w:sz w:val="20"/>
                <w:szCs w:val="20"/>
                <w:color w:val="auto"/>
              </w:rPr>
            </w:pPr>
            <w:r>
              <w:rPr>
                <w:rFonts w:ascii="Arial" w:cs="Arial" w:eastAsia="Arial" w:hAnsi="Arial"/>
                <w:sz w:val="18"/>
                <w:szCs w:val="18"/>
                <w:color w:val="auto"/>
              </w:rPr>
              <w:t>20,148</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78"/>
              <w:spacing w:after="0"/>
              <w:rPr>
                <w:sz w:val="20"/>
                <w:szCs w:val="20"/>
                <w:color w:val="auto"/>
              </w:rPr>
            </w:pPr>
            <w:r>
              <w:rPr>
                <w:rFonts w:ascii="Arial" w:cs="Arial" w:eastAsia="Arial" w:hAnsi="Arial"/>
                <w:sz w:val="18"/>
                <w:szCs w:val="18"/>
                <w:color w:val="auto"/>
              </w:rPr>
              <w:t>61,506</w:t>
            </w:r>
          </w:p>
        </w:tc>
        <w:tc>
          <w:tcPr>
            <w:tcW w:w="0" w:type="dxa"/>
            <w:vAlign w:val="bottom"/>
          </w:tcPr>
          <w:p>
            <w:pPr>
              <w:spacing w:after="0"/>
              <w:rPr>
                <w:sz w:val="1"/>
                <w:szCs w:val="1"/>
                <w:color w:val="auto"/>
              </w:rPr>
            </w:pPr>
          </w:p>
        </w:tc>
      </w:tr>
    </w:tbl>
    <w:p>
      <w:pPr>
        <w:spacing w:after="0" w:line="36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December 31, 2019, there was no unamortized compensation expense related to stock options.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Nonvested and performance nonvested shares</w:t>
      </w:r>
    </w:p>
    <w:p>
      <w:pPr>
        <w:spacing w:after="0" w:line="252"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8"/>
          <w:szCs w:val="18"/>
          <w:color w:val="auto"/>
        </w:rPr>
        <w:t>The summary of nonvested and performance nonvested share activity under the Omnibus Plan for the year ended December 31, 2019 is presented below:</w:t>
      </w:r>
    </w:p>
    <w:tbl>
      <w:tblPr>
        <w:tblLayout w:type="fixed"/>
        <w:tblInd w:w="0" w:type="dxa"/>
        <w:tblCellMar>
          <w:top w:w="0" w:type="dxa"/>
          <w:left w:w="0" w:type="dxa"/>
          <w:bottom w:w="0" w:type="dxa"/>
          <w:right w:w="0" w:type="dxa"/>
        </w:tblCellMar>
      </w:tblPr>
      <w:tr>
        <w:trPr>
          <w:trHeight w:val="145"/>
        </w:trPr>
        <w:tc>
          <w:tcPr>
            <w:tcW w:w="84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jc w:val="center"/>
              <w:ind w:right="158"/>
              <w:spacing w:after="0" w:line="145"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84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jc w:val="center"/>
              <w:ind w:right="158"/>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8400" w:type="dxa"/>
            <w:vAlign w:val="bottom"/>
          </w:tcPr>
          <w:p>
            <w:pPr>
              <w:spacing w:after="0"/>
              <w:rPr>
                <w:sz w:val="11"/>
                <w:szCs w:val="11"/>
                <w:color w:val="auto"/>
              </w:rPr>
            </w:pPr>
          </w:p>
        </w:tc>
        <w:tc>
          <w:tcPr>
            <w:tcW w:w="154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1"/>
                <w:szCs w:val="11"/>
                <w:color w:val="auto"/>
              </w:rPr>
            </w:pPr>
          </w:p>
        </w:tc>
        <w:tc>
          <w:tcPr>
            <w:tcW w:w="1220" w:type="dxa"/>
            <w:vAlign w:val="bottom"/>
          </w:tcPr>
          <w:p>
            <w:pPr>
              <w:jc w:val="center"/>
              <w:ind w:right="158"/>
              <w:spacing w:after="0" w:line="135"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88"/>
        </w:trPr>
        <w:tc>
          <w:tcPr>
            <w:tcW w:w="840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center"/>
              <w:ind w:right="17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45"/>
        </w:trPr>
        <w:tc>
          <w:tcPr>
            <w:tcW w:w="8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as of January 1, 2019</w:t>
            </w:r>
          </w:p>
        </w:tc>
        <w:tc>
          <w:tcPr>
            <w:tcW w:w="142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526,387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CCEEFF"/>
            </w:tcBorders>
            <w:shd w:val="clear" w:color="auto" w:fill="CCEEFF"/>
          </w:tcPr>
          <w:p>
            <w:pPr>
              <w:jc w:val="right"/>
              <w:ind w:right="98"/>
              <w:spacing w:after="0"/>
              <w:rPr>
                <w:sz w:val="20"/>
                <w:szCs w:val="20"/>
                <w:color w:val="auto"/>
              </w:rPr>
            </w:pPr>
            <w:r>
              <w:rPr>
                <w:rFonts w:ascii="Arial" w:cs="Arial" w:eastAsia="Arial" w:hAnsi="Arial"/>
                <w:sz w:val="18"/>
                <w:szCs w:val="18"/>
                <w:color w:val="auto"/>
              </w:rPr>
              <w:t>127.84</w:t>
            </w:r>
          </w:p>
        </w:tc>
        <w:tc>
          <w:tcPr>
            <w:tcW w:w="0" w:type="dxa"/>
            <w:vAlign w:val="bottom"/>
          </w:tcPr>
          <w:p>
            <w:pPr>
              <w:spacing w:after="0"/>
              <w:rPr>
                <w:sz w:val="1"/>
                <w:szCs w:val="1"/>
                <w:color w:val="auto"/>
              </w:rPr>
            </w:pP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Granted</w:t>
            </w:r>
          </w:p>
        </w:tc>
        <w:tc>
          <w:tcPr>
            <w:tcW w:w="1420" w:type="dxa"/>
            <w:vAlign w:val="bottom"/>
          </w:tcPr>
          <w:p>
            <w:pPr>
              <w:jc w:val="right"/>
              <w:ind w:right="53"/>
              <w:spacing w:after="0"/>
              <w:rPr>
                <w:sz w:val="20"/>
                <w:szCs w:val="20"/>
                <w:color w:val="auto"/>
              </w:rPr>
            </w:pPr>
            <w:r>
              <w:rPr>
                <w:rFonts w:ascii="Arial" w:cs="Arial" w:eastAsia="Arial" w:hAnsi="Arial"/>
                <w:sz w:val="18"/>
                <w:szCs w:val="18"/>
                <w:color w:val="auto"/>
              </w:rPr>
              <w:t>413,697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98"/>
              <w:spacing w:after="0"/>
              <w:rPr>
                <w:sz w:val="20"/>
                <w:szCs w:val="20"/>
                <w:color w:val="auto"/>
              </w:rPr>
            </w:pPr>
            <w:r>
              <w:rPr>
                <w:rFonts w:ascii="Arial" w:cs="Arial" w:eastAsia="Arial" w:hAnsi="Arial"/>
                <w:sz w:val="18"/>
                <w:szCs w:val="18"/>
                <w:color w:val="auto"/>
              </w:rPr>
              <w:t>119.61</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(151,808)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8"/>
                <w:szCs w:val="18"/>
                <w:color w:val="auto"/>
              </w:rPr>
              <w:t>117.88</w:t>
            </w:r>
          </w:p>
        </w:tc>
        <w:tc>
          <w:tcPr>
            <w:tcW w:w="0" w:type="dxa"/>
            <w:vAlign w:val="bottom"/>
          </w:tcPr>
          <w:p>
            <w:pPr>
              <w:spacing w:after="0"/>
              <w:rPr>
                <w:sz w:val="1"/>
                <w:szCs w:val="1"/>
                <w:color w:val="auto"/>
              </w:rPr>
            </w:pP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(43,825)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98"/>
              <w:spacing w:after="0"/>
              <w:rPr>
                <w:sz w:val="20"/>
                <w:szCs w:val="20"/>
                <w:color w:val="auto"/>
              </w:rPr>
            </w:pPr>
            <w:r>
              <w:rPr>
                <w:rFonts w:ascii="Arial" w:cs="Arial" w:eastAsia="Arial" w:hAnsi="Arial"/>
                <w:sz w:val="18"/>
                <w:szCs w:val="18"/>
                <w:color w:val="auto"/>
              </w:rPr>
              <w:t>138.78</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Nonvested as of December 31, 2019</w:t>
            </w:r>
          </w:p>
        </w:tc>
        <w:tc>
          <w:tcPr>
            <w:tcW w:w="14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744,451</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8"/>
                <w:szCs w:val="18"/>
                <w:b w:val="1"/>
                <w:bCs w:val="1"/>
                <w:color w:val="auto"/>
              </w:rPr>
              <w:t>123.62</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Certain members of the executive management team receive grants of nonvested share awards that are subject to service and performance conditions. Generally, these awards vest if certain revenue and Adjusted Property EBITDA fair share metrics (as approved by the Company's Compensation Committee of the Board of Directors) are attained over either a one or three-year performance period. The Company records expense for these awards if it determines that vesting is probable. At December 31, 2019, all performance nonvested awards were deemed to be probable of vesting; however, none of the performance criteria contingencies have been resolved. The activity for these performance nonvested shares is included in the table above.</w:t>
      </w:r>
    </w:p>
    <w:p>
      <w:pPr>
        <w:spacing w:after="0" w:line="18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provided for the share awards under the Omnibus Plan (in thousands, except weighted average grant date fair value):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0"/>
              </w:rPr>
              <w:t>Years Ended December 31,</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96"/>
        </w:trPr>
        <w:tc>
          <w:tcPr>
            <w:tcW w:w="68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2017</w:t>
            </w:r>
          </w:p>
        </w:tc>
      </w:tr>
      <w:tr>
        <w:trPr>
          <w:trHeight w:val="250"/>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grant date fair value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119.61</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170.13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109.28</w:t>
            </w:r>
          </w:p>
        </w:tc>
      </w:tr>
      <w:tr>
        <w:trPr>
          <w:trHeight w:val="243"/>
        </w:trPr>
        <w:tc>
          <w:tcPr>
            <w:tcW w:w="6840" w:type="dxa"/>
            <w:vAlign w:val="bottom"/>
          </w:tcPr>
          <w:p>
            <w:pPr>
              <w:ind w:left="20"/>
              <w:spacing w:after="0"/>
              <w:rPr>
                <w:sz w:val="20"/>
                <w:szCs w:val="20"/>
                <w:color w:val="auto"/>
              </w:rPr>
            </w:pPr>
            <w:r>
              <w:rPr>
                <w:rFonts w:ascii="Arial" w:cs="Arial" w:eastAsia="Arial" w:hAnsi="Arial"/>
                <w:sz w:val="18"/>
                <w:szCs w:val="18"/>
                <w:color w:val="auto"/>
              </w:rPr>
              <w:t>Fair value of shares vested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56"/>
              <w:spacing w:after="0"/>
              <w:rPr>
                <w:sz w:val="20"/>
                <w:szCs w:val="20"/>
                <w:color w:val="auto"/>
              </w:rPr>
            </w:pPr>
            <w:r>
              <w:rPr>
                <w:rFonts w:ascii="Arial" w:cs="Arial" w:eastAsia="Arial" w:hAnsi="Arial"/>
                <w:sz w:val="18"/>
                <w:szCs w:val="18"/>
                <w:color w:val="auto"/>
              </w:rPr>
              <w:t>19,428</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6"/>
              <w:spacing w:after="0"/>
              <w:rPr>
                <w:sz w:val="20"/>
                <w:szCs w:val="20"/>
                <w:color w:val="auto"/>
              </w:rPr>
            </w:pPr>
            <w:r>
              <w:rPr>
                <w:rFonts w:ascii="Arial" w:cs="Arial" w:eastAsia="Arial" w:hAnsi="Arial"/>
                <w:sz w:val="18"/>
                <w:szCs w:val="18"/>
                <w:color w:val="auto"/>
              </w:rPr>
              <w:t>13,024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6"/>
              <w:spacing w:after="0"/>
              <w:rPr>
                <w:sz w:val="20"/>
                <w:szCs w:val="20"/>
                <w:color w:val="auto"/>
              </w:rPr>
            </w:pPr>
            <w:r>
              <w:rPr>
                <w:rFonts w:ascii="Arial" w:cs="Arial" w:eastAsia="Arial" w:hAnsi="Arial"/>
                <w:sz w:val="18"/>
                <w:szCs w:val="18"/>
                <w:color w:val="auto"/>
              </w:rPr>
              <w:t>45,801</w:t>
            </w:r>
          </w:p>
        </w:tc>
      </w:tr>
    </w:tbl>
    <w:p>
      <w:pPr>
        <w:spacing w:after="0" w:line="36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December 31, 2019, there was $58.1 million of unamortized compensation expense related to nonvested shares, which is expected to be recognized over a weighted average period of 2.16 years.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92" w:name="page93"/>
    <w:bookmarkEnd w:id="9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Annual Incentive Bonus</w:t>
      </w:r>
    </w:p>
    <w:p>
      <w:pPr>
        <w:spacing w:after="0" w:line="252" w:lineRule="exact"/>
        <w:rPr>
          <w:sz w:val="20"/>
          <w:szCs w:val="20"/>
          <w:color w:val="auto"/>
        </w:rPr>
      </w:pPr>
    </w:p>
    <w:p>
      <w:pPr>
        <w:jc w:val="both"/>
        <w:ind w:firstLine="405"/>
        <w:spacing w:after="0" w:line="238" w:lineRule="auto"/>
        <w:rPr>
          <w:sz w:val="20"/>
          <w:szCs w:val="20"/>
          <w:color w:val="auto"/>
        </w:rPr>
      </w:pPr>
      <w:r>
        <w:rPr>
          <w:rFonts w:ascii="Arial" w:cs="Arial" w:eastAsia="Arial" w:hAnsi="Arial"/>
          <w:sz w:val="18"/>
          <w:szCs w:val="18"/>
          <w:color w:val="auto"/>
        </w:rPr>
        <w:t>Certain members of the Company's executive management team receive a portion of their annual incentive bonus in shares of the Company's stock. The number of shares is determined based on the closing stock price on the date the annual incentive bonus is settled. As the number of shares is variable, the Company records a liability for the fixed monetary amount over the service period. The Company recorded stock-based compensation expense associated with these awards of $6.7 million for the years ended December 31, 2019 and 2018, respectively, and $23.7 million for the year ended December 31, 2017. The Company settled its obligations for the 2019 and 2018 annual incentive bonuses by issuing 44,788 and 58,783 of vested shares, respectively, with a weighted-average grant date fair value of $150.03 and $113.55, respectively, in January of the respective following year. The Company settled the obligation for the 2017 annual incentive bonus by issuing 141,216 of vested shares with a weighted average grant date fair value of $167.82 in December 2017 and January 2018.</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Wynn Macau, Limited</w:t>
      </w:r>
    </w:p>
    <w:p>
      <w:pPr>
        <w:spacing w:after="0" w:line="23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Company's majority-owned subsidiary, WML, has two stock-based compensation plans that provide awards based on shares of WML's common stock. The shares available for issuance under these plans are separate and distinct from the common stock of Wynn Resorts' share plan and are not available for issuance for any awards under the Wynn Resorts share plan.</w:t>
      </w:r>
    </w:p>
    <w:p>
      <w:pPr>
        <w:spacing w:after="0" w:line="20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WML Share Option Plan</w:t>
      </w:r>
    </w:p>
    <w:p>
      <w:pPr>
        <w:spacing w:after="0" w:line="252"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231E1F"/>
        </w:rPr>
        <w:t xml:space="preserve">WML </w:t>
      </w:r>
      <w:r>
        <w:rPr>
          <w:rFonts w:ascii="Arial" w:cs="Arial" w:eastAsia="Arial" w:hAnsi="Arial"/>
          <w:sz w:val="16"/>
          <w:szCs w:val="16"/>
          <w:color w:val="000000"/>
        </w:rPr>
        <w:t>adopted</w:t>
      </w:r>
      <w:r>
        <w:rPr>
          <w:rFonts w:ascii="Arial" w:cs="Arial" w:eastAsia="Arial" w:hAnsi="Arial"/>
          <w:sz w:val="16"/>
          <w:szCs w:val="16"/>
          <w:color w:val="231E1F"/>
        </w:rPr>
        <w:t xml:space="preserve"> a stock incentive plan, for the grant of stock options </w:t>
      </w:r>
      <w:r>
        <w:rPr>
          <w:rFonts w:ascii="Arial" w:cs="Arial" w:eastAsia="Arial" w:hAnsi="Arial"/>
          <w:sz w:val="16"/>
          <w:szCs w:val="16"/>
          <w:color w:val="000000"/>
        </w:rPr>
        <w:t>to purchase shares of WML to eligible directors and employees of WML and its</w:t>
      </w:r>
      <w:r>
        <w:rPr>
          <w:rFonts w:ascii="Arial" w:cs="Arial" w:eastAsia="Arial" w:hAnsi="Arial"/>
          <w:sz w:val="16"/>
          <w:szCs w:val="16"/>
          <w:color w:val="231E1F"/>
        </w:rPr>
        <w:t xml:space="preserve"> </w:t>
      </w:r>
      <w:r>
        <w:rPr>
          <w:rFonts w:ascii="Arial" w:cs="Arial" w:eastAsia="Arial" w:hAnsi="Arial"/>
          <w:sz w:val="16"/>
          <w:szCs w:val="16"/>
          <w:color w:val="000000"/>
        </w:rPr>
        <w:t xml:space="preserve">subsidiaries, </w:t>
      </w:r>
      <w:r>
        <w:rPr>
          <w:rFonts w:ascii="Arial" w:cs="Arial" w:eastAsia="Arial" w:hAnsi="Arial"/>
          <w:sz w:val="16"/>
          <w:szCs w:val="16"/>
          <w:color w:val="231E1F"/>
        </w:rPr>
        <w:t>on September 16, 2009</w:t>
      </w:r>
      <w:r>
        <w:rPr>
          <w:rFonts w:ascii="Arial" w:cs="Arial" w:eastAsia="Arial" w:hAnsi="Arial"/>
          <w:sz w:val="16"/>
          <w:szCs w:val="16"/>
          <w:color w:val="000000"/>
        </w:rPr>
        <w:t xml:space="preserve"> ( the “Original Share Option Plan”) </w:t>
      </w:r>
      <w:r>
        <w:rPr>
          <w:rFonts w:ascii="Arial" w:cs="Arial" w:eastAsia="Arial" w:hAnsi="Arial"/>
          <w:sz w:val="16"/>
          <w:szCs w:val="16"/>
          <w:color w:val="231E1F"/>
        </w:rPr>
        <w:t>until it was terminated on May 30, 2019 upon</w:t>
      </w:r>
      <w:r>
        <w:rPr>
          <w:rFonts w:ascii="Arial" w:cs="Arial" w:eastAsia="Arial" w:hAnsi="Arial"/>
          <w:sz w:val="16"/>
          <w:szCs w:val="16"/>
          <w:color w:val="000000"/>
        </w:rPr>
        <w:t xml:space="preserve"> the </w:t>
      </w:r>
      <w:r>
        <w:rPr>
          <w:rFonts w:ascii="Arial" w:cs="Arial" w:eastAsia="Arial" w:hAnsi="Arial"/>
          <w:sz w:val="16"/>
          <w:szCs w:val="16"/>
          <w:color w:val="231E1F"/>
        </w:rPr>
        <w:t>adoption of a new share option</w:t>
      </w:r>
      <w:r>
        <w:rPr>
          <w:rFonts w:ascii="Arial" w:cs="Arial" w:eastAsia="Arial" w:hAnsi="Arial"/>
          <w:sz w:val="16"/>
          <w:szCs w:val="16"/>
          <w:color w:val="000000"/>
        </w:rPr>
        <w:t xml:space="preserve"> </w:t>
      </w:r>
      <w:r>
        <w:rPr>
          <w:rFonts w:ascii="Arial" w:cs="Arial" w:eastAsia="Arial" w:hAnsi="Arial"/>
          <w:sz w:val="16"/>
          <w:szCs w:val="16"/>
          <w:color w:val="231E1F"/>
        </w:rPr>
        <w:t>plan (</w:t>
      </w:r>
      <w:r>
        <w:rPr>
          <w:rFonts w:ascii="Arial" w:cs="Arial" w:eastAsia="Arial" w:hAnsi="Arial"/>
          <w:sz w:val="16"/>
          <w:szCs w:val="16"/>
          <w:color w:val="000000"/>
        </w:rPr>
        <w:t>the</w:t>
      </w:r>
      <w:r>
        <w:rPr>
          <w:rFonts w:ascii="Arial" w:cs="Arial" w:eastAsia="Arial" w:hAnsi="Arial"/>
          <w:sz w:val="16"/>
          <w:szCs w:val="16"/>
          <w:color w:val="231E1F"/>
        </w:rPr>
        <w:t xml:space="preserve"> “</w:t>
      </w:r>
      <w:r>
        <w:rPr>
          <w:rFonts w:ascii="Arial" w:cs="Arial" w:eastAsia="Arial" w:hAnsi="Arial"/>
          <w:sz w:val="16"/>
          <w:szCs w:val="16"/>
          <w:color w:val="000000"/>
        </w:rPr>
        <w:t>WML Share O</w:t>
      </w:r>
      <w:r>
        <w:rPr>
          <w:rFonts w:ascii="Arial" w:cs="Arial" w:eastAsia="Arial" w:hAnsi="Arial"/>
          <w:sz w:val="16"/>
          <w:szCs w:val="16"/>
          <w:color w:val="231E1F"/>
        </w:rPr>
        <w:t xml:space="preserve">ption </w:t>
      </w:r>
      <w:r>
        <w:rPr>
          <w:rFonts w:ascii="Arial" w:cs="Arial" w:eastAsia="Arial" w:hAnsi="Arial"/>
          <w:sz w:val="16"/>
          <w:szCs w:val="16"/>
          <w:color w:val="000000"/>
        </w:rPr>
        <w:t>P</w:t>
      </w:r>
      <w:r>
        <w:rPr>
          <w:rFonts w:ascii="Arial" w:cs="Arial" w:eastAsia="Arial" w:hAnsi="Arial"/>
          <w:sz w:val="16"/>
          <w:szCs w:val="16"/>
          <w:color w:val="231E1F"/>
        </w:rPr>
        <w:t>lan”) on May 30, 2019. The WML Share Option Plan is administered by WML's Board of Directors, which has the discretion on the vesting and service requirements, exercise price, performance targets to exercise if applicable and other conditions, subject to certain limits</w:t>
      </w:r>
      <w:r>
        <w:rPr>
          <w:rFonts w:ascii="Arial" w:cs="Arial" w:eastAsia="Arial" w:hAnsi="Arial"/>
          <w:sz w:val="16"/>
          <w:szCs w:val="16"/>
          <w:color w:val="000000"/>
        </w:rPr>
        <w:t>.</w:t>
      </w:r>
    </w:p>
    <w:p>
      <w:pPr>
        <w:spacing w:after="0" w:line="18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 xml:space="preserve">Upon the </w:t>
      </w:r>
      <w:r>
        <w:rPr>
          <w:rFonts w:ascii="Arial" w:cs="Arial" w:eastAsia="Arial" w:hAnsi="Arial"/>
          <w:sz w:val="17"/>
          <w:szCs w:val="17"/>
          <w:color w:val="231E1F"/>
        </w:rPr>
        <w:t>adoption of</w:t>
      </w:r>
      <w:r>
        <w:rPr>
          <w:rFonts w:ascii="Arial" w:cs="Arial" w:eastAsia="Arial" w:hAnsi="Arial"/>
          <w:sz w:val="17"/>
          <w:szCs w:val="17"/>
          <w:color w:val="auto"/>
        </w:rPr>
        <w:t xml:space="preserve"> the WML Share Option Plan, no further options may be offered or granted under the O</w:t>
      </w:r>
      <w:r>
        <w:rPr>
          <w:rFonts w:ascii="Arial" w:cs="Arial" w:eastAsia="Arial" w:hAnsi="Arial"/>
          <w:sz w:val="17"/>
          <w:szCs w:val="17"/>
          <w:color w:val="231E1F"/>
        </w:rPr>
        <w:t>riginal</w:t>
      </w:r>
      <w:r>
        <w:rPr>
          <w:rFonts w:ascii="Arial" w:cs="Arial" w:eastAsia="Arial" w:hAnsi="Arial"/>
          <w:sz w:val="17"/>
          <w:szCs w:val="17"/>
          <w:color w:val="auto"/>
        </w:rPr>
        <w:t xml:space="preserve"> S</w:t>
      </w:r>
      <w:r>
        <w:rPr>
          <w:rFonts w:ascii="Arial" w:cs="Arial" w:eastAsia="Arial" w:hAnsi="Arial"/>
          <w:sz w:val="17"/>
          <w:szCs w:val="17"/>
          <w:color w:val="231E1F"/>
        </w:rPr>
        <w:t>hare</w:t>
      </w:r>
      <w:r>
        <w:rPr>
          <w:rFonts w:ascii="Arial" w:cs="Arial" w:eastAsia="Arial" w:hAnsi="Arial"/>
          <w:sz w:val="17"/>
          <w:szCs w:val="17"/>
          <w:color w:val="auto"/>
        </w:rPr>
        <w:t xml:space="preserve"> O</w:t>
      </w:r>
      <w:r>
        <w:rPr>
          <w:rFonts w:ascii="Arial" w:cs="Arial" w:eastAsia="Arial" w:hAnsi="Arial"/>
          <w:sz w:val="17"/>
          <w:szCs w:val="17"/>
          <w:color w:val="231E1F"/>
        </w:rPr>
        <w:t>ption Plan</w:t>
      </w:r>
      <w:r>
        <w:rPr>
          <w:rFonts w:ascii="Arial" w:cs="Arial" w:eastAsia="Arial" w:hAnsi="Arial"/>
          <w:sz w:val="17"/>
          <w:szCs w:val="17"/>
          <w:color w:val="auto"/>
        </w:rPr>
        <w:t xml:space="preserve"> but in all other respects the provisions of the O</w:t>
      </w:r>
      <w:r>
        <w:rPr>
          <w:rFonts w:ascii="Arial" w:cs="Arial" w:eastAsia="Arial" w:hAnsi="Arial"/>
          <w:sz w:val="17"/>
          <w:szCs w:val="17"/>
          <w:color w:val="231E1F"/>
        </w:rPr>
        <w:t>riginal</w:t>
      </w:r>
      <w:r>
        <w:rPr>
          <w:rFonts w:ascii="Arial" w:cs="Arial" w:eastAsia="Arial" w:hAnsi="Arial"/>
          <w:sz w:val="17"/>
          <w:szCs w:val="17"/>
          <w:color w:val="auto"/>
        </w:rPr>
        <w:t xml:space="preserve"> S</w:t>
      </w:r>
      <w:r>
        <w:rPr>
          <w:rFonts w:ascii="Arial" w:cs="Arial" w:eastAsia="Arial" w:hAnsi="Arial"/>
          <w:sz w:val="17"/>
          <w:szCs w:val="17"/>
          <w:color w:val="231E1F"/>
        </w:rPr>
        <w:t>hare</w:t>
      </w:r>
      <w:r>
        <w:rPr>
          <w:rFonts w:ascii="Arial" w:cs="Arial" w:eastAsia="Arial" w:hAnsi="Arial"/>
          <w:sz w:val="17"/>
          <w:szCs w:val="17"/>
          <w:color w:val="auto"/>
        </w:rPr>
        <w:t xml:space="preserve"> O</w:t>
      </w:r>
      <w:r>
        <w:rPr>
          <w:rFonts w:ascii="Arial" w:cs="Arial" w:eastAsia="Arial" w:hAnsi="Arial"/>
          <w:sz w:val="17"/>
          <w:szCs w:val="17"/>
          <w:color w:val="231E1F"/>
        </w:rPr>
        <w:t>ption Plan</w:t>
      </w:r>
      <w:r>
        <w:rPr>
          <w:rFonts w:ascii="Arial" w:cs="Arial" w:eastAsia="Arial" w:hAnsi="Arial"/>
          <w:sz w:val="17"/>
          <w:szCs w:val="17"/>
          <w:color w:val="auto"/>
        </w:rPr>
        <w:t xml:space="preserve"> shall remain in full force and effect in respect of options which are granted during the life of the O</w:t>
      </w:r>
      <w:r>
        <w:rPr>
          <w:rFonts w:ascii="Arial" w:cs="Arial" w:eastAsia="Arial" w:hAnsi="Arial"/>
          <w:sz w:val="17"/>
          <w:szCs w:val="17"/>
          <w:color w:val="231E1F"/>
        </w:rPr>
        <w:t>riginal</w:t>
      </w:r>
      <w:r>
        <w:rPr>
          <w:rFonts w:ascii="Arial" w:cs="Arial" w:eastAsia="Arial" w:hAnsi="Arial"/>
          <w:sz w:val="17"/>
          <w:szCs w:val="17"/>
          <w:color w:val="auto"/>
        </w:rPr>
        <w:t xml:space="preserve"> S</w:t>
      </w:r>
      <w:r>
        <w:rPr>
          <w:rFonts w:ascii="Arial" w:cs="Arial" w:eastAsia="Arial" w:hAnsi="Arial"/>
          <w:sz w:val="17"/>
          <w:szCs w:val="17"/>
          <w:color w:val="231E1F"/>
        </w:rPr>
        <w:t>hare</w:t>
      </w:r>
      <w:r>
        <w:rPr>
          <w:rFonts w:ascii="Arial" w:cs="Arial" w:eastAsia="Arial" w:hAnsi="Arial"/>
          <w:sz w:val="17"/>
          <w:szCs w:val="17"/>
          <w:color w:val="auto"/>
        </w:rPr>
        <w:t xml:space="preserve"> O</w:t>
      </w:r>
      <w:r>
        <w:rPr>
          <w:rFonts w:ascii="Arial" w:cs="Arial" w:eastAsia="Arial" w:hAnsi="Arial"/>
          <w:sz w:val="17"/>
          <w:szCs w:val="17"/>
          <w:color w:val="231E1F"/>
        </w:rPr>
        <w:t>ption Plan</w:t>
      </w:r>
      <w:r>
        <w:rPr>
          <w:rFonts w:ascii="Arial" w:cs="Arial" w:eastAsia="Arial" w:hAnsi="Arial"/>
          <w:sz w:val="17"/>
          <w:szCs w:val="17"/>
          <w:color w:val="auto"/>
        </w:rPr>
        <w:t xml:space="preserve"> and which remain unexpired immediately prior to the termination of the operation of the O</w:t>
      </w:r>
      <w:r>
        <w:rPr>
          <w:rFonts w:ascii="Arial" w:cs="Arial" w:eastAsia="Arial" w:hAnsi="Arial"/>
          <w:sz w:val="17"/>
          <w:szCs w:val="17"/>
          <w:color w:val="231E1F"/>
        </w:rPr>
        <w:t>riginal</w:t>
      </w:r>
      <w:r>
        <w:rPr>
          <w:rFonts w:ascii="Arial" w:cs="Arial" w:eastAsia="Arial" w:hAnsi="Arial"/>
          <w:sz w:val="17"/>
          <w:szCs w:val="17"/>
          <w:color w:val="auto"/>
        </w:rPr>
        <w:t xml:space="preserve"> S</w:t>
      </w:r>
      <w:r>
        <w:rPr>
          <w:rFonts w:ascii="Arial" w:cs="Arial" w:eastAsia="Arial" w:hAnsi="Arial"/>
          <w:sz w:val="17"/>
          <w:szCs w:val="17"/>
          <w:color w:val="231E1F"/>
        </w:rPr>
        <w:t>hare</w:t>
      </w:r>
      <w:r>
        <w:rPr>
          <w:rFonts w:ascii="Arial" w:cs="Arial" w:eastAsia="Arial" w:hAnsi="Arial"/>
          <w:sz w:val="17"/>
          <w:szCs w:val="17"/>
          <w:color w:val="auto"/>
        </w:rPr>
        <w:t xml:space="preserve"> O</w:t>
      </w:r>
      <w:r>
        <w:rPr>
          <w:rFonts w:ascii="Arial" w:cs="Arial" w:eastAsia="Arial" w:hAnsi="Arial"/>
          <w:sz w:val="17"/>
          <w:szCs w:val="17"/>
          <w:color w:val="231E1F"/>
        </w:rPr>
        <w:t>ption Plan</w:t>
      </w:r>
      <w:r>
        <w:rPr>
          <w:rFonts w:ascii="Arial" w:cs="Arial" w:eastAsia="Arial" w:hAnsi="Arial"/>
          <w:sz w:val="17"/>
          <w:szCs w:val="17"/>
          <w:color w:val="auto"/>
        </w:rPr>
        <w:t>.</w:t>
      </w:r>
    </w:p>
    <w:p>
      <w:pPr>
        <w:spacing w:after="0" w:line="19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WML S</w:t>
      </w:r>
      <w:r>
        <w:rPr>
          <w:rFonts w:ascii="Arial" w:cs="Arial" w:eastAsia="Arial" w:hAnsi="Arial"/>
          <w:sz w:val="18"/>
          <w:szCs w:val="18"/>
          <w:color w:val="231E1F"/>
        </w:rPr>
        <w:t>hare</w:t>
      </w:r>
      <w:r>
        <w:rPr>
          <w:rFonts w:ascii="Arial" w:cs="Arial" w:eastAsia="Arial" w:hAnsi="Arial"/>
          <w:sz w:val="18"/>
          <w:szCs w:val="18"/>
          <w:color w:val="auto"/>
        </w:rPr>
        <w:t xml:space="preserve"> O</w:t>
      </w:r>
      <w:r>
        <w:rPr>
          <w:rFonts w:ascii="Arial" w:cs="Arial" w:eastAsia="Arial" w:hAnsi="Arial"/>
          <w:sz w:val="18"/>
          <w:szCs w:val="18"/>
          <w:color w:val="231E1F"/>
        </w:rPr>
        <w:t>ption</w:t>
      </w:r>
      <w:r>
        <w:rPr>
          <w:rFonts w:ascii="Arial" w:cs="Arial" w:eastAsia="Arial" w:hAnsi="Arial"/>
          <w:sz w:val="18"/>
          <w:szCs w:val="18"/>
          <w:color w:val="auto"/>
        </w:rPr>
        <w:t xml:space="preserve"> P</w:t>
      </w:r>
      <w:r>
        <w:rPr>
          <w:rFonts w:ascii="Arial" w:cs="Arial" w:eastAsia="Arial" w:hAnsi="Arial"/>
          <w:sz w:val="18"/>
          <w:szCs w:val="18"/>
          <w:color w:val="231E1F"/>
        </w:rPr>
        <w:t>lan</w:t>
      </w:r>
      <w:r>
        <w:rPr>
          <w:rFonts w:ascii="Arial" w:cs="Arial" w:eastAsia="Arial" w:hAnsi="Arial"/>
          <w:sz w:val="18"/>
          <w:szCs w:val="18"/>
          <w:color w:val="auto"/>
        </w:rPr>
        <w:t xml:space="preserve"> was adopted for a period of 10 years commencing from May 30, 2019. The maximum number of Shares which may be issued pursuant to the WML Share Option Plan is 519,695,860 Shares. Except for the number of the options that may be granted and the expiration date of the WML Share Option Plan, the terms of the WML Share Option Plan and Original Share Option Plan are the same in all material respects. As of December 31, 2019, no options have been granted or are outstanding under the WML Share Option Plan.</w:t>
      </w:r>
    </w:p>
    <w:p>
      <w:pPr>
        <w:spacing w:after="0" w:line="21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summary of stock option activity under the Original Share Option Plan for the year ended December 31, 2019 is presented below:</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6"/>
                <w:szCs w:val="16"/>
                <w:color w:val="auto"/>
              </w:rPr>
            </w:pPr>
          </w:p>
        </w:tc>
        <w:tc>
          <w:tcPr>
            <w:tcW w:w="1100" w:type="dxa"/>
            <w:vAlign w:val="bottom"/>
            <w:vMerge w:val="restart"/>
          </w:tcPr>
          <w:p>
            <w:pPr>
              <w:jc w:val="center"/>
              <w:ind w:right="139"/>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35"/>
        </w:trPr>
        <w:tc>
          <w:tcPr>
            <w:tcW w:w="54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ind w:left="408"/>
              <w:spacing w:after="0" w:line="135" w:lineRule="exact"/>
              <w:rPr>
                <w:sz w:val="20"/>
                <w:szCs w:val="20"/>
                <w:color w:val="auto"/>
              </w:rPr>
            </w:pPr>
            <w:r>
              <w:rPr>
                <w:rFonts w:ascii="Arial" w:cs="Arial" w:eastAsia="Arial" w:hAnsi="Arial"/>
                <w:sz w:val="14"/>
                <w:szCs w:val="14"/>
                <w:b w:val="1"/>
                <w:bCs w:val="1"/>
                <w:color w:val="auto"/>
                <w:w w:val="90"/>
              </w:rPr>
              <w:t>Average</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2"/>
              </w:rPr>
              <w:t>Remaining</w:t>
            </w:r>
          </w:p>
        </w:tc>
        <w:tc>
          <w:tcPr>
            <w:tcW w:w="22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460" w:type="dxa"/>
            <w:vAlign w:val="bottom"/>
          </w:tcPr>
          <w:p>
            <w:pPr>
              <w:spacing w:after="0"/>
              <w:rPr>
                <w:sz w:val="11"/>
                <w:szCs w:val="11"/>
                <w:color w:val="auto"/>
              </w:rPr>
            </w:pPr>
          </w:p>
        </w:tc>
        <w:tc>
          <w:tcPr>
            <w:tcW w:w="144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1"/>
                <w:szCs w:val="11"/>
                <w:color w:val="auto"/>
              </w:rPr>
            </w:pPr>
          </w:p>
        </w:tc>
        <w:tc>
          <w:tcPr>
            <w:tcW w:w="156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Exercise</w:t>
            </w:r>
          </w:p>
        </w:tc>
        <w:tc>
          <w:tcPr>
            <w:tcW w:w="15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5"/>
              </w:rPr>
              <w:t>Contractual</w:t>
            </w:r>
          </w:p>
        </w:tc>
        <w:tc>
          <w:tcPr>
            <w:tcW w:w="220" w:type="dxa"/>
            <w:vAlign w:val="bottom"/>
          </w:tcPr>
          <w:p>
            <w:pPr>
              <w:spacing w:after="0"/>
              <w:rPr>
                <w:sz w:val="11"/>
                <w:szCs w:val="11"/>
                <w:color w:val="auto"/>
              </w:rPr>
            </w:pPr>
          </w:p>
        </w:tc>
        <w:tc>
          <w:tcPr>
            <w:tcW w:w="1100" w:type="dxa"/>
            <w:vAlign w:val="bottom"/>
          </w:tcPr>
          <w:p>
            <w:pPr>
              <w:jc w:val="center"/>
              <w:ind w:right="139"/>
              <w:spacing w:after="0" w:line="135"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88"/>
        </w:trPr>
        <w:tc>
          <w:tcPr>
            <w:tcW w:w="546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ind w:left="388"/>
              <w:spacing w:after="0"/>
              <w:rPr>
                <w:sz w:val="20"/>
                <w:szCs w:val="20"/>
                <w:color w:val="auto"/>
              </w:rPr>
            </w:pPr>
            <w:r>
              <w:rPr>
                <w:rFonts w:ascii="Arial" w:cs="Arial" w:eastAsia="Arial" w:hAnsi="Arial"/>
                <w:sz w:val="14"/>
                <w:szCs w:val="14"/>
                <w:b w:val="1"/>
                <w:bCs w:val="1"/>
                <w:color w:val="auto"/>
                <w:w w:val="93"/>
              </w:rPr>
              <w:t>Price</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Term (years)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45"/>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January 1, 2019</w:t>
            </w:r>
          </w:p>
        </w:tc>
        <w:tc>
          <w:tcPr>
            <w:tcW w:w="14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10,558,400</w:t>
            </w:r>
          </w:p>
        </w:tc>
        <w:tc>
          <w:tcPr>
            <w:tcW w:w="1080" w:type="dxa"/>
            <w:vAlign w:val="bottom"/>
            <w:tcBorders>
              <w:bottom w:val="single" w:sz="8" w:color="CCEEFF"/>
            </w:tcBorders>
            <w:gridSpan w:val="2"/>
            <w:shd w:val="clear" w:color="auto" w:fill="CCEEFF"/>
          </w:tcPr>
          <w:p>
            <w:pPr>
              <w:jc w:val="right"/>
              <w:ind w:right="788"/>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5"/>
              </w:rPr>
              <w:t>2.49</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60" w:type="dxa"/>
            <w:vAlign w:val="bottom"/>
          </w:tcPr>
          <w:p>
            <w:pPr>
              <w:ind w:left="20"/>
              <w:spacing w:after="0"/>
              <w:rPr>
                <w:sz w:val="20"/>
                <w:szCs w:val="20"/>
                <w:color w:val="auto"/>
              </w:rPr>
            </w:pPr>
            <w:r>
              <w:rPr>
                <w:rFonts w:ascii="Arial" w:cs="Arial" w:eastAsia="Arial" w:hAnsi="Arial"/>
                <w:sz w:val="18"/>
                <w:szCs w:val="18"/>
                <w:color w:val="auto"/>
              </w:rPr>
              <w:t>Granted</w:t>
            </w:r>
          </w:p>
        </w:tc>
        <w:tc>
          <w:tcPr>
            <w:tcW w:w="1440" w:type="dxa"/>
            <w:vAlign w:val="bottom"/>
          </w:tcPr>
          <w:p>
            <w:pPr>
              <w:jc w:val="right"/>
              <w:ind w:right="73"/>
              <w:spacing w:after="0"/>
              <w:rPr>
                <w:sz w:val="20"/>
                <w:szCs w:val="20"/>
                <w:color w:val="auto"/>
              </w:rPr>
            </w:pPr>
            <w:r>
              <w:rPr>
                <w:rFonts w:ascii="Arial" w:cs="Arial" w:eastAsia="Arial" w:hAnsi="Arial"/>
                <w:sz w:val="18"/>
                <w:szCs w:val="18"/>
                <w:color w:val="auto"/>
              </w:rPr>
              <w:t>455,000</w:t>
            </w:r>
          </w:p>
        </w:tc>
        <w:tc>
          <w:tcPr>
            <w:tcW w:w="1080" w:type="dxa"/>
            <w:vAlign w:val="bottom"/>
            <w:gridSpan w:val="2"/>
          </w:tcPr>
          <w:p>
            <w:pPr>
              <w:jc w:val="right"/>
              <w:ind w:right="788"/>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w w:val="85"/>
              </w:rPr>
              <w:t>2.54</w:t>
            </w: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4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788"/>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460" w:type="dxa"/>
            <w:vAlign w:val="bottom"/>
          </w:tcPr>
          <w:p>
            <w:pPr>
              <w:ind w:left="20"/>
              <w:spacing w:after="0"/>
              <w:rPr>
                <w:sz w:val="20"/>
                <w:szCs w:val="20"/>
                <w:color w:val="auto"/>
              </w:rPr>
            </w:pPr>
            <w:r>
              <w:rPr>
                <w:rFonts w:ascii="Arial" w:cs="Arial" w:eastAsia="Arial" w:hAnsi="Arial"/>
                <w:sz w:val="18"/>
                <w:szCs w:val="18"/>
                <w:b w:val="1"/>
                <w:bCs w:val="1"/>
                <w:color w:val="auto"/>
              </w:rPr>
              <w:t>Outstanding as of December 31, 2019</w:t>
            </w:r>
          </w:p>
        </w:tc>
        <w:tc>
          <w:tcPr>
            <w:tcW w:w="144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11,013,400</w:t>
            </w:r>
          </w:p>
        </w:tc>
        <w:tc>
          <w:tcPr>
            <w:tcW w:w="1080" w:type="dxa"/>
            <w:vAlign w:val="bottom"/>
            <w:gridSpan w:val="2"/>
          </w:tcPr>
          <w:p>
            <w:pPr>
              <w:jc w:val="right"/>
              <w:ind w:right="788"/>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jc w:val="right"/>
              <w:ind w:right="50"/>
              <w:spacing w:after="0"/>
              <w:rPr>
                <w:sz w:val="20"/>
                <w:szCs w:val="20"/>
                <w:color w:val="auto"/>
              </w:rPr>
            </w:pPr>
            <w:r>
              <w:rPr>
                <w:rFonts w:ascii="Arial" w:cs="Arial" w:eastAsia="Arial" w:hAnsi="Arial"/>
                <w:sz w:val="18"/>
                <w:szCs w:val="18"/>
                <w:b w:val="1"/>
                <w:bCs w:val="1"/>
                <w:color w:val="auto"/>
                <w:w w:val="85"/>
              </w:rPr>
              <w:t>2.51</w:t>
            </w:r>
          </w:p>
        </w:tc>
        <w:tc>
          <w:tcPr>
            <w:tcW w:w="1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6.87</w:t>
            </w:r>
          </w:p>
        </w:tc>
        <w:tc>
          <w:tcPr>
            <w:tcW w:w="12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ind w:right="79"/>
              <w:spacing w:after="0"/>
              <w:rPr>
                <w:sz w:val="20"/>
                <w:szCs w:val="20"/>
                <w:color w:val="auto"/>
              </w:rPr>
            </w:pPr>
            <w:r>
              <w:rPr>
                <w:rFonts w:ascii="Arial" w:cs="Arial" w:eastAsia="Arial" w:hAnsi="Arial"/>
                <w:sz w:val="18"/>
                <w:szCs w:val="18"/>
                <w:b w:val="1"/>
                <w:bCs w:val="1"/>
                <w:color w:val="auto"/>
              </w:rPr>
              <w:t>2,521,979</w:t>
            </w:r>
          </w:p>
        </w:tc>
        <w:tc>
          <w:tcPr>
            <w:tcW w:w="0" w:type="dxa"/>
            <w:vAlign w:val="bottom"/>
          </w:tcPr>
          <w:p>
            <w:pPr>
              <w:spacing w:after="0"/>
              <w:rPr>
                <w:sz w:val="1"/>
                <w:szCs w:val="1"/>
                <w:color w:val="auto"/>
              </w:rPr>
            </w:pP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Fully vested and expected to vest as of December 31, 2019</w:t>
            </w:r>
          </w:p>
        </w:tc>
        <w:tc>
          <w:tcPr>
            <w:tcW w:w="14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11,013,400</w:t>
            </w:r>
          </w:p>
        </w:tc>
        <w:tc>
          <w:tcPr>
            <w:tcW w:w="1080" w:type="dxa"/>
            <w:vAlign w:val="bottom"/>
            <w:tcBorders>
              <w:bottom w:val="single" w:sz="8" w:color="CCEEFF"/>
            </w:tcBorders>
            <w:gridSpan w:val="2"/>
            <w:shd w:val="clear" w:color="auto" w:fill="CCEEFF"/>
          </w:tcPr>
          <w:p>
            <w:pPr>
              <w:jc w:val="right"/>
              <w:ind w:right="788"/>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5"/>
              </w:rPr>
              <w:t>2.51</w:t>
            </w:r>
          </w:p>
        </w:tc>
        <w:tc>
          <w:tcPr>
            <w:tcW w:w="12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2,521,979</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Exercisable as of December 31, 2019</w:t>
            </w: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460" w:type="dxa"/>
            <w:vAlign w:val="bottom"/>
            <w:vMerge w:val="continue"/>
          </w:tcPr>
          <w:p>
            <w:pPr>
              <w:spacing w:after="0"/>
              <w:rPr>
                <w:sz w:val="21"/>
                <w:szCs w:val="21"/>
                <w:color w:val="auto"/>
              </w:rPr>
            </w:pPr>
          </w:p>
        </w:tc>
        <w:tc>
          <w:tcPr>
            <w:tcW w:w="14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5,212,000</w:t>
            </w:r>
          </w:p>
        </w:tc>
        <w:tc>
          <w:tcPr>
            <w:tcW w:w="1080" w:type="dxa"/>
            <w:vAlign w:val="bottom"/>
            <w:gridSpan w:val="2"/>
          </w:tcPr>
          <w:p>
            <w:pPr>
              <w:jc w:val="right"/>
              <w:ind w:right="788"/>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w w:val="85"/>
              </w:rPr>
              <w:t>2.60</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5.37</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79"/>
              <w:spacing w:after="0"/>
              <w:rPr>
                <w:sz w:val="20"/>
                <w:szCs w:val="20"/>
                <w:color w:val="auto"/>
              </w:rPr>
            </w:pPr>
            <w:r>
              <w:rPr>
                <w:rFonts w:ascii="Arial" w:cs="Arial" w:eastAsia="Arial" w:hAnsi="Arial"/>
                <w:sz w:val="18"/>
                <w:szCs w:val="18"/>
                <w:color w:val="auto"/>
              </w:rPr>
              <w:t>1,398,941</w:t>
            </w:r>
          </w:p>
        </w:tc>
        <w:tc>
          <w:tcPr>
            <w:tcW w:w="0" w:type="dxa"/>
            <w:vAlign w:val="bottom"/>
          </w:tcPr>
          <w:p>
            <w:pPr>
              <w:spacing w:after="0"/>
              <w:rPr>
                <w:sz w:val="1"/>
                <w:szCs w:val="1"/>
                <w:color w:val="auto"/>
              </w:rPr>
            </w:pPr>
          </w:p>
        </w:tc>
      </w:tr>
      <w:tr>
        <w:trPr>
          <w:trHeight w:val="21"/>
        </w:trPr>
        <w:tc>
          <w:tcPr>
            <w:tcW w:w="54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3" w:name="page94"/>
    <w:bookmarkEnd w:id="9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is provided for stock options under the Original Share Option Plan (in thousands, except weighted average grant date fair value):</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1"/>
              </w:rPr>
              <w:t>Years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96"/>
        </w:trPr>
        <w:tc>
          <w:tcPr>
            <w:tcW w:w="686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r>
      <w:tr>
        <w:trPr>
          <w:trHeight w:val="25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grant date fair value</w:t>
            </w:r>
          </w:p>
        </w:tc>
        <w:tc>
          <w:tcPr>
            <w:tcW w:w="940" w:type="dxa"/>
            <w:vAlign w:val="bottom"/>
            <w:tcBorders>
              <w:bottom w:val="single" w:sz="8" w:color="CCEEFF"/>
            </w:tcBorders>
            <w:shd w:val="clear" w:color="auto" w:fill="CCEEFF"/>
          </w:tcPr>
          <w:p>
            <w:pPr>
              <w:jc w:val="right"/>
              <w:ind w:right="734"/>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6"/>
              </w:rPr>
              <w:t>0.55</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0.57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0.56</w:t>
            </w:r>
          </w:p>
        </w:tc>
      </w:tr>
      <w:tr>
        <w:trPr>
          <w:trHeight w:val="243"/>
        </w:trPr>
        <w:tc>
          <w:tcPr>
            <w:tcW w:w="6860" w:type="dxa"/>
            <w:vAlign w:val="bottom"/>
          </w:tcPr>
          <w:p>
            <w:pPr>
              <w:ind w:left="20"/>
              <w:spacing w:after="0"/>
              <w:rPr>
                <w:sz w:val="20"/>
                <w:szCs w:val="20"/>
                <w:color w:val="auto"/>
              </w:rPr>
            </w:pPr>
            <w:r>
              <w:rPr>
                <w:rFonts w:ascii="Arial" w:cs="Arial" w:eastAsia="Arial" w:hAnsi="Arial"/>
                <w:sz w:val="18"/>
                <w:szCs w:val="18"/>
                <w:color w:val="auto"/>
              </w:rPr>
              <w:t>Intrinsic value of stock options exercised</w:t>
            </w:r>
          </w:p>
        </w:tc>
        <w:tc>
          <w:tcPr>
            <w:tcW w:w="940" w:type="dxa"/>
            <w:vAlign w:val="bottom"/>
          </w:tcPr>
          <w:p>
            <w:pPr>
              <w:jc w:val="right"/>
              <w:ind w:right="734"/>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1,715</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369</w:t>
            </w:r>
          </w:p>
        </w:tc>
      </w:tr>
      <w:tr>
        <w:trPr>
          <w:trHeight w:val="27"/>
        </w:trPr>
        <w:tc>
          <w:tcPr>
            <w:tcW w:w="6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received from the exercise of stock options</w:t>
            </w:r>
          </w:p>
        </w:tc>
        <w:tc>
          <w:tcPr>
            <w:tcW w:w="940" w:type="dxa"/>
            <w:vAlign w:val="bottom"/>
            <w:shd w:val="clear" w:color="auto" w:fill="CCEEFF"/>
          </w:tcPr>
          <w:p>
            <w:pPr>
              <w:jc w:val="right"/>
              <w:ind w:right="734"/>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1,823</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703</w:t>
            </w:r>
          </w:p>
        </w:tc>
      </w:tr>
      <w:tr>
        <w:trPr>
          <w:trHeight w:val="27"/>
        </w:trPr>
        <w:tc>
          <w:tcPr>
            <w:tcW w:w="68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As of December 31, 2019, there was $2.7 million of unamortized compensation expense related to stock options, which is expected to be recognized over a weighted average period of 3.57 years.</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Share Award Plan</w:t>
      </w:r>
    </w:p>
    <w:p>
      <w:pPr>
        <w:spacing w:after="0" w:line="252"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On June 30, 2014, the Company's majority-owned subsidiary, WML, approved and adopted the WML Employee Ownership Scheme (the "Share Award Plan"). The Share Award Plan allows for the grant of nonvested shares of WML's common stock to eligible employees. The Share Award Plan is administered by WML's Board of Directors and has been mandated under the plan to allot, issue and process the transfer of a maximum of 50,000,000 shares. The Board of Directors has discretion on the vesting and service requirements, exercise price and other conditions, subject to certain limits. As of December 31, 2019, there were 31,029,177 shares available for issuance under the Share Award Plan.</w:t>
      </w:r>
    </w:p>
    <w:p>
      <w:pPr>
        <w:spacing w:after="0" w:line="20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summary of nonvested share activity under the Share Award Plan for the year ended December 31, 2019 is presented below:</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center"/>
              <w:ind w:right="15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84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jc w:val="center"/>
              <w:ind w:right="158"/>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8400" w:type="dxa"/>
            <w:vAlign w:val="bottom"/>
          </w:tcPr>
          <w:p>
            <w:pPr>
              <w:spacing w:after="0"/>
              <w:rPr>
                <w:sz w:val="11"/>
                <w:szCs w:val="11"/>
                <w:color w:val="auto"/>
              </w:rPr>
            </w:pPr>
          </w:p>
        </w:tc>
        <w:tc>
          <w:tcPr>
            <w:tcW w:w="142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jc w:val="center"/>
              <w:ind w:right="158"/>
              <w:spacing w:after="0" w:line="135"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88"/>
        </w:trPr>
        <w:tc>
          <w:tcPr>
            <w:tcW w:w="84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45"/>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as of January 1, 2019</w:t>
            </w:r>
          </w:p>
        </w:tc>
        <w:tc>
          <w:tcPr>
            <w:tcW w:w="1420" w:type="dxa"/>
            <w:vAlign w:val="bottom"/>
            <w:tcBorders>
              <w:bottom w:val="single" w:sz="8" w:color="CCEEFF"/>
            </w:tcBorders>
            <w:shd w:val="clear" w:color="auto" w:fill="CCEEFF"/>
          </w:tcPr>
          <w:p>
            <w:pPr>
              <w:jc w:val="center"/>
              <w:ind w:left="333"/>
              <w:spacing w:after="0"/>
              <w:rPr>
                <w:sz w:val="20"/>
                <w:szCs w:val="20"/>
                <w:color w:val="auto"/>
              </w:rPr>
            </w:pPr>
            <w:r>
              <w:rPr>
                <w:rFonts w:ascii="Arial" w:cs="Arial" w:eastAsia="Arial" w:hAnsi="Arial"/>
                <w:sz w:val="18"/>
                <w:szCs w:val="18"/>
                <w:color w:val="auto"/>
                <w:w w:val="89"/>
              </w:rPr>
              <w:t>9,753,267</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Granted</w:t>
            </w:r>
          </w:p>
        </w:tc>
        <w:tc>
          <w:tcPr>
            <w:tcW w:w="1420" w:type="dxa"/>
            <w:vAlign w:val="bottom"/>
          </w:tcPr>
          <w:p>
            <w:pPr>
              <w:jc w:val="center"/>
              <w:ind w:left="333"/>
              <w:spacing w:after="0"/>
              <w:rPr>
                <w:sz w:val="20"/>
                <w:szCs w:val="20"/>
                <w:color w:val="auto"/>
              </w:rPr>
            </w:pPr>
            <w:r>
              <w:rPr>
                <w:rFonts w:ascii="Arial" w:cs="Arial" w:eastAsia="Arial" w:hAnsi="Arial"/>
                <w:sz w:val="18"/>
                <w:szCs w:val="18"/>
                <w:color w:val="auto"/>
                <w:w w:val="89"/>
              </w:rPr>
              <w:t>3,742,418</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8"/>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420" w:type="dxa"/>
            <w:vAlign w:val="bottom"/>
            <w:tcBorders>
              <w:bottom w:val="single" w:sz="8" w:color="CCEEFF"/>
            </w:tcBorders>
            <w:shd w:val="clear" w:color="auto" w:fill="CCEEFF"/>
          </w:tcPr>
          <w:p>
            <w:pPr>
              <w:jc w:val="center"/>
              <w:ind w:left="293"/>
              <w:spacing w:after="0"/>
              <w:rPr>
                <w:sz w:val="20"/>
                <w:szCs w:val="20"/>
                <w:color w:val="auto"/>
              </w:rPr>
            </w:pPr>
            <w:r>
              <w:rPr>
                <w:rFonts w:ascii="Arial" w:cs="Arial" w:eastAsia="Arial" w:hAnsi="Arial"/>
                <w:sz w:val="18"/>
                <w:szCs w:val="18"/>
                <w:color w:val="auto"/>
                <w:w w:val="91"/>
              </w:rPr>
              <w:t>(2,420,915)</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420" w:type="dxa"/>
            <w:vAlign w:val="bottom"/>
          </w:tcPr>
          <w:p>
            <w:pPr>
              <w:jc w:val="center"/>
              <w:ind w:left="293"/>
              <w:spacing w:after="0"/>
              <w:rPr>
                <w:sz w:val="20"/>
                <w:szCs w:val="20"/>
                <w:color w:val="auto"/>
              </w:rPr>
            </w:pPr>
            <w:r>
              <w:rPr>
                <w:rFonts w:ascii="Arial" w:cs="Arial" w:eastAsia="Arial" w:hAnsi="Arial"/>
                <w:sz w:val="18"/>
                <w:szCs w:val="18"/>
                <w:color w:val="auto"/>
                <w:w w:val="91"/>
              </w:rPr>
              <w:t>(1,408,607)</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8"/>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Nonvested as of December 31, 2019</w:t>
            </w:r>
          </w:p>
        </w:tc>
        <w:tc>
          <w:tcPr>
            <w:tcW w:w="1420" w:type="dxa"/>
            <w:vAlign w:val="bottom"/>
            <w:tcBorders>
              <w:bottom w:val="single" w:sz="8" w:color="auto"/>
            </w:tcBorders>
            <w:shd w:val="clear" w:color="auto" w:fill="CCEEFF"/>
          </w:tcPr>
          <w:p>
            <w:pPr>
              <w:jc w:val="center"/>
              <w:ind w:left="333"/>
              <w:spacing w:after="0"/>
              <w:rPr>
                <w:sz w:val="20"/>
                <w:szCs w:val="20"/>
                <w:color w:val="auto"/>
              </w:rPr>
            </w:pPr>
            <w:r>
              <w:rPr>
                <w:rFonts w:ascii="Arial" w:cs="Arial" w:eastAsia="Arial" w:hAnsi="Arial"/>
                <w:sz w:val="18"/>
                <w:szCs w:val="18"/>
                <w:b w:val="1"/>
                <w:bCs w:val="1"/>
                <w:color w:val="auto"/>
                <w:w w:val="89"/>
              </w:rPr>
              <w:t>9,666,163</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8"/>
                <w:szCs w:val="18"/>
                <w:b w:val="1"/>
                <w:bCs w:val="1"/>
                <w:color w:val="auto"/>
              </w:rPr>
              <w:t>2.36</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weighted average grant date fair value for shares granted during the year and the total fair value of shares vested under the Share Award Plan is presented below (in thousands, except weighted average grant date fair value):</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8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w w:val="91"/>
              </w:rPr>
              <w:t>Years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96"/>
        </w:trPr>
        <w:tc>
          <w:tcPr>
            <w:tcW w:w="68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r>
      <w:tr>
        <w:trPr>
          <w:trHeight w:val="250"/>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grant date fair value</w:t>
            </w:r>
          </w:p>
        </w:tc>
        <w:tc>
          <w:tcPr>
            <w:tcW w:w="88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5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2.22</w:t>
            </w:r>
          </w:p>
        </w:tc>
      </w:tr>
      <w:tr>
        <w:trPr>
          <w:trHeight w:val="243"/>
        </w:trPr>
        <w:tc>
          <w:tcPr>
            <w:tcW w:w="6800" w:type="dxa"/>
            <w:vAlign w:val="bottom"/>
          </w:tcPr>
          <w:p>
            <w:pPr>
              <w:ind w:left="20"/>
              <w:spacing w:after="0"/>
              <w:rPr>
                <w:sz w:val="20"/>
                <w:szCs w:val="20"/>
                <w:color w:val="auto"/>
              </w:rPr>
            </w:pPr>
            <w:r>
              <w:rPr>
                <w:rFonts w:ascii="Arial" w:cs="Arial" w:eastAsia="Arial" w:hAnsi="Arial"/>
                <w:sz w:val="18"/>
                <w:szCs w:val="18"/>
                <w:color w:val="auto"/>
              </w:rPr>
              <w:t>Fair value of shares vested</w:t>
            </w:r>
          </w:p>
        </w:tc>
        <w:tc>
          <w:tcPr>
            <w:tcW w:w="880" w:type="dxa"/>
            <w:vAlign w:val="bottom"/>
          </w:tcPr>
          <w:p>
            <w:pPr>
              <w:jc w:val="right"/>
              <w:ind w:right="696"/>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4"/>
              </w:rPr>
              <w:t>5,139</w:t>
            </w:r>
          </w:p>
        </w:tc>
        <w:tc>
          <w:tcPr>
            <w:tcW w:w="5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6"/>
              <w:spacing w:after="0"/>
              <w:rPr>
                <w:sz w:val="20"/>
                <w:szCs w:val="20"/>
                <w:color w:val="auto"/>
              </w:rPr>
            </w:pPr>
            <w:r>
              <w:rPr>
                <w:rFonts w:ascii="Arial" w:cs="Arial" w:eastAsia="Arial" w:hAnsi="Arial"/>
                <w:sz w:val="18"/>
                <w:szCs w:val="18"/>
                <w:color w:val="auto"/>
              </w:rPr>
              <w:t>12,442</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76"/>
              <w:spacing w:after="0"/>
              <w:rPr>
                <w:sz w:val="20"/>
                <w:szCs w:val="20"/>
                <w:color w:val="auto"/>
              </w:rPr>
            </w:pPr>
            <w:r>
              <w:rPr>
                <w:rFonts w:ascii="Arial" w:cs="Arial" w:eastAsia="Arial" w:hAnsi="Arial"/>
                <w:sz w:val="18"/>
                <w:szCs w:val="18"/>
                <w:color w:val="auto"/>
              </w:rPr>
              <w:t>6,884</w:t>
            </w:r>
          </w:p>
        </w:tc>
      </w:tr>
    </w:tbl>
    <w:p>
      <w:pPr>
        <w:spacing w:after="0" w:line="364"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As of December 31, 2019, there was $13.3 million of unamortized compensation expense, which is expected to be recognized over a weighted average period of 2.38 years.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4" w:name="page95"/>
    <w:bookmarkEnd w:id="9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Cost</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total compensation cost for stock-based compensation plans was recorded as follows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1"/>
              </w:rPr>
              <w:t>Years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96"/>
        </w:trPr>
        <w:tc>
          <w:tcPr>
            <w:tcW w:w="68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r>
      <w:tr>
        <w:trPr>
          <w:trHeight w:val="25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Casino</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7,903</w:t>
            </w:r>
          </w:p>
        </w:tc>
        <w:tc>
          <w:tcPr>
            <w:tcW w:w="4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5,946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6,954</w:t>
            </w:r>
          </w:p>
        </w:tc>
      </w:tr>
      <w:tr>
        <w:trPr>
          <w:trHeight w:val="243"/>
        </w:trPr>
        <w:tc>
          <w:tcPr>
            <w:tcW w:w="6860" w:type="dxa"/>
            <w:vAlign w:val="bottom"/>
          </w:tcPr>
          <w:p>
            <w:pPr>
              <w:ind w:left="20"/>
              <w:spacing w:after="0"/>
              <w:rPr>
                <w:sz w:val="20"/>
                <w:szCs w:val="20"/>
                <w:color w:val="auto"/>
              </w:rPr>
            </w:pPr>
            <w:r>
              <w:rPr>
                <w:rFonts w:ascii="Arial" w:cs="Arial" w:eastAsia="Arial" w:hAnsi="Arial"/>
                <w:sz w:val="18"/>
                <w:szCs w:val="18"/>
                <w:color w:val="auto"/>
              </w:rPr>
              <w:t>Rooms</w:t>
            </w:r>
          </w:p>
        </w:tc>
        <w:tc>
          <w:tcPr>
            <w:tcW w:w="36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1,046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437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655</w:t>
            </w: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Food and beverage</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1,807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1,125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1,466</w:t>
            </w:r>
          </w:p>
        </w:tc>
      </w:tr>
      <w:tr>
        <w:trPr>
          <w:trHeight w:val="243"/>
        </w:trPr>
        <w:tc>
          <w:tcPr>
            <w:tcW w:w="6860" w:type="dxa"/>
            <w:vAlign w:val="bottom"/>
          </w:tcPr>
          <w:p>
            <w:pPr>
              <w:ind w:left="20"/>
              <w:spacing w:after="0"/>
              <w:rPr>
                <w:sz w:val="20"/>
                <w:szCs w:val="20"/>
                <w:color w:val="auto"/>
              </w:rPr>
            </w:pPr>
            <w:r>
              <w:rPr>
                <w:rFonts w:ascii="Arial" w:cs="Arial" w:eastAsia="Arial" w:hAnsi="Arial"/>
                <w:sz w:val="18"/>
                <w:szCs w:val="18"/>
                <w:color w:val="auto"/>
              </w:rPr>
              <w:t>Entertainment, retail and other</w:t>
            </w:r>
          </w:p>
        </w:tc>
        <w:tc>
          <w:tcPr>
            <w:tcW w:w="36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147</w:t>
            </w: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28,772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28,872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34,749</w:t>
            </w:r>
          </w:p>
        </w:tc>
      </w:tr>
      <w:tr>
        <w:trPr>
          <w:trHeight w:val="243"/>
        </w:trPr>
        <w:tc>
          <w:tcPr>
            <w:tcW w:w="6860" w:type="dxa"/>
            <w:vAlign w:val="bottom"/>
          </w:tcPr>
          <w:p>
            <w:pPr>
              <w:ind w:left="20"/>
              <w:spacing w:after="0"/>
              <w:rPr>
                <w:sz w:val="20"/>
                <w:szCs w:val="20"/>
                <w:color w:val="auto"/>
              </w:rPr>
            </w:pPr>
            <w:r>
              <w:rPr>
                <w:rFonts w:ascii="Arial" w:cs="Arial" w:eastAsia="Arial" w:hAnsi="Arial"/>
                <w:sz w:val="18"/>
                <w:szCs w:val="18"/>
                <w:color w:val="auto"/>
              </w:rPr>
              <w:t>Pre-opening</w:t>
            </w:r>
          </w:p>
        </w:tc>
        <w:tc>
          <w:tcPr>
            <w:tcW w:w="36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Property charges and other </w:t>
            </w:r>
            <w:r>
              <w:rPr>
                <w:rFonts w:ascii="Arial" w:cs="Arial" w:eastAsia="Arial" w:hAnsi="Arial"/>
                <w:sz w:val="14"/>
                <w:szCs w:val="14"/>
                <w:color w:val="auto"/>
              </w:rPr>
              <w:t>(1)</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(2,201)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37"/>
        </w:trPr>
        <w:tc>
          <w:tcPr>
            <w:tcW w:w="6860" w:type="dxa"/>
            <w:vAlign w:val="bottom"/>
          </w:tcPr>
          <w:p>
            <w:pPr>
              <w:ind w:left="340"/>
              <w:spacing w:after="0"/>
              <w:rPr>
                <w:sz w:val="20"/>
                <w:szCs w:val="20"/>
                <w:color w:val="auto"/>
              </w:rPr>
            </w:pPr>
            <w:r>
              <w:rPr>
                <w:rFonts w:ascii="Arial" w:cs="Arial" w:eastAsia="Arial" w:hAnsi="Arial"/>
                <w:sz w:val="18"/>
                <w:szCs w:val="18"/>
                <w:b w:val="1"/>
                <w:bCs w:val="1"/>
                <w:color w:val="auto"/>
              </w:rPr>
              <w:t>Total stock-based compensation expense</w:t>
            </w: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40,372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35,040</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43,971</w:t>
            </w: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stock-based compensation capitalized</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80</w:t>
            </w:r>
          </w:p>
        </w:tc>
      </w:tr>
      <w:tr>
        <w:trPr>
          <w:trHeight w:val="237"/>
        </w:trPr>
        <w:tc>
          <w:tcPr>
            <w:tcW w:w="6860" w:type="dxa"/>
            <w:vAlign w:val="bottom"/>
          </w:tcPr>
          <w:p>
            <w:pPr>
              <w:ind w:left="20"/>
              <w:spacing w:after="0"/>
              <w:rPr>
                <w:sz w:val="20"/>
                <w:szCs w:val="20"/>
                <w:color w:val="auto"/>
              </w:rPr>
            </w:pPr>
            <w:r>
              <w:rPr>
                <w:rFonts w:ascii="Arial" w:cs="Arial" w:eastAsia="Arial" w:hAnsi="Arial"/>
                <w:sz w:val="18"/>
                <w:szCs w:val="18"/>
                <w:b w:val="1"/>
                <w:bCs w:val="1"/>
                <w:color w:val="auto"/>
              </w:rPr>
              <w:t>Total stock-based compensation costs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40,722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35,051</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44,051</w:t>
            </w:r>
          </w:p>
        </w:tc>
      </w:tr>
      <w:tr>
        <w:trPr>
          <w:trHeight w:val="27"/>
        </w:trPr>
        <w:tc>
          <w:tcPr>
            <w:tcW w:w="68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
        </w:trPr>
        <w:tc>
          <w:tcPr>
            <w:tcW w:w="6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(1) In 2018, reflects the reversal of compensation cost previously recognized for awards forfeited in connection with the departure of an employee.</w:t>
      </w:r>
    </w:p>
    <w:p>
      <w:pPr>
        <w:spacing w:after="0" w:line="24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the years ended December 31, 2019, 2018 and 2017, the Company recognized income tax benefits in the Consolidated Statements of Income of $5.8 million, $5.7 million, and $10.8 million, respectively, related to stock-based compensation expense. Additionally, during the years ended December 31, 2019, 2018, and 2017, the Company realized tax benefits of $8.4 million, $4.6 million, and $25.4 million, respectively, related to stock option exercises and restricted stock vesting that occurred in those years.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 Valuation Inputs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stock options granted under the Omnibus Plan during the years ended December 31, 2019, 2018, and 2017.</w:t>
      </w:r>
    </w:p>
    <w:p>
      <w:pPr>
        <w:spacing w:after="0" w:line="252"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fair value of stock options granted under WML's Share Option Plan was estimated on the date of grant using the following weighted average assumptions:</w:t>
      </w:r>
    </w:p>
    <w:p>
      <w:pPr>
        <w:ind w:left="824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23495</wp:posOffset>
            </wp:positionV>
            <wp:extent cx="299275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20" w:type="dxa"/>
            <w:vAlign w:val="bottom"/>
            <w:gridSpan w:val="2"/>
          </w:tcPr>
          <w:p>
            <w:pPr>
              <w:ind w:left="7320"/>
              <w:spacing w:after="0"/>
              <w:rPr>
                <w:sz w:val="20"/>
                <w:szCs w:val="20"/>
                <w:color w:val="auto"/>
              </w:rPr>
            </w:pPr>
            <w:r>
              <w:rPr>
                <w:rFonts w:ascii="Arial" w:cs="Arial" w:eastAsia="Arial" w:hAnsi="Arial"/>
                <w:sz w:val="14"/>
                <w:szCs w:val="14"/>
                <w:b w:val="1"/>
                <w:bCs w:val="1"/>
                <w:color w:val="auto"/>
                <w:w w:val="89"/>
              </w:rPr>
              <w:t>2019</w:t>
            </w: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ind w:right="314"/>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6"/>
                <w:szCs w:val="16"/>
                <w:color w:val="auto"/>
              </w:rPr>
            </w:pPr>
          </w:p>
        </w:tc>
      </w:tr>
      <w:tr>
        <w:trPr>
          <w:trHeight w:val="250"/>
        </w:trPr>
        <w:tc>
          <w:tcPr>
            <w:tcW w:w="6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7620" w:type="dxa"/>
            <w:vAlign w:val="bottom"/>
            <w:gridSpan w:val="2"/>
          </w:tcPr>
          <w:p>
            <w:pPr>
              <w:ind w:left="20"/>
              <w:spacing w:after="0"/>
              <w:rPr>
                <w:sz w:val="20"/>
                <w:szCs w:val="20"/>
                <w:color w:val="auto"/>
              </w:rPr>
            </w:pPr>
            <w:r>
              <w:rPr>
                <w:rFonts w:ascii="Arial" w:cs="Arial" w:eastAsia="Arial" w:hAnsi="Arial"/>
                <w:sz w:val="18"/>
                <w:szCs w:val="18"/>
                <w:color w:val="auto"/>
              </w:rPr>
              <w:t>Expected volatility</w:t>
            </w:r>
          </w:p>
        </w:tc>
        <w:tc>
          <w:tcPr>
            <w:tcW w:w="380" w:type="dxa"/>
            <w:vAlign w:val="bottom"/>
          </w:tcPr>
          <w:p>
            <w:pPr>
              <w:jc w:val="right"/>
              <w:spacing w:after="0"/>
              <w:rPr>
                <w:sz w:val="20"/>
                <w:szCs w:val="20"/>
                <w:color w:val="auto"/>
              </w:rPr>
            </w:pPr>
            <w:r>
              <w:rPr>
                <w:rFonts w:ascii="Arial" w:cs="Arial" w:eastAsia="Arial" w:hAnsi="Arial"/>
                <w:sz w:val="18"/>
                <w:szCs w:val="18"/>
                <w:color w:val="auto"/>
                <w:w w:val="96"/>
              </w:rPr>
              <w:t>40.7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67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7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7620" w:type="dxa"/>
            <w:vAlign w:val="bottom"/>
            <w:gridSpan w:val="2"/>
          </w:tcPr>
          <w:p>
            <w:pPr>
              <w:ind w:left="20"/>
              <w:spacing w:after="0"/>
              <w:rPr>
                <w:sz w:val="20"/>
                <w:szCs w:val="20"/>
                <w:color w:val="auto"/>
              </w:rPr>
            </w:pPr>
            <w:r>
              <w:rPr>
                <w:rFonts w:ascii="Arial" w:cs="Arial" w:eastAsia="Arial" w:hAnsi="Arial"/>
                <w:sz w:val="18"/>
                <w:szCs w:val="18"/>
                <w:color w:val="auto"/>
              </w:rPr>
              <w:t>Expected term (years)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6.5</w:t>
            </w: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Income Taxes</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Consolidated income (loss) before taxes for United States ("U.S.") and foreign operations consisted of the following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96"/>
        </w:trPr>
        <w:tc>
          <w:tcPr>
            <w:tcW w:w="68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r>
      <w:tr>
        <w:trPr>
          <w:trHeight w:val="25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center"/>
              <w:ind w:left="74"/>
              <w:spacing w:after="0"/>
              <w:rPr>
                <w:sz w:val="20"/>
                <w:szCs w:val="20"/>
                <w:color w:val="auto"/>
              </w:rPr>
            </w:pPr>
            <w:r>
              <w:rPr>
                <w:rFonts w:ascii="Arial" w:cs="Arial" w:eastAsia="Arial" w:hAnsi="Arial"/>
                <w:sz w:val="18"/>
                <w:szCs w:val="18"/>
                <w:color w:val="auto"/>
                <w:w w:val="90"/>
              </w:rPr>
              <w:t>(158,937)</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center"/>
              <w:ind w:left="114"/>
              <w:spacing w:after="0"/>
              <w:rPr>
                <w:sz w:val="20"/>
                <w:szCs w:val="20"/>
                <w:color w:val="auto"/>
              </w:rPr>
            </w:pPr>
            <w:r>
              <w:rPr>
                <w:rFonts w:ascii="Arial" w:cs="Arial" w:eastAsia="Arial" w:hAnsi="Arial"/>
                <w:sz w:val="18"/>
                <w:szCs w:val="18"/>
                <w:color w:val="auto"/>
                <w:w w:val="90"/>
              </w:rPr>
              <w:t>(491,523)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90,206</w:t>
            </w:r>
          </w:p>
        </w:tc>
      </w:tr>
      <w:tr>
        <w:trPr>
          <w:trHeight w:val="243"/>
        </w:trPr>
        <w:tc>
          <w:tcPr>
            <w:tcW w:w="6860" w:type="dxa"/>
            <w:vAlign w:val="bottom"/>
          </w:tcPr>
          <w:p>
            <w:pPr>
              <w:ind w:left="20"/>
              <w:spacing w:after="0"/>
              <w:rPr>
                <w:sz w:val="20"/>
                <w:szCs w:val="20"/>
                <w:color w:val="auto"/>
              </w:rPr>
            </w:pPr>
            <w:r>
              <w:rPr>
                <w:rFonts w:ascii="Arial" w:cs="Arial" w:eastAsia="Arial" w:hAnsi="Arial"/>
                <w:sz w:val="18"/>
                <w:szCs w:val="18"/>
                <w:color w:val="auto"/>
              </w:rPr>
              <w:t>Foreign</w:t>
            </w:r>
          </w:p>
        </w:tc>
        <w:tc>
          <w:tcPr>
            <w:tcW w:w="360" w:type="dxa"/>
            <w:vAlign w:val="bottom"/>
          </w:tcPr>
          <w:p>
            <w:pPr>
              <w:spacing w:after="0"/>
              <w:rPr>
                <w:sz w:val="21"/>
                <w:szCs w:val="21"/>
                <w:color w:val="auto"/>
              </w:rPr>
            </w:pPr>
          </w:p>
        </w:tc>
        <w:tc>
          <w:tcPr>
            <w:tcW w:w="1100" w:type="dxa"/>
            <w:vAlign w:val="bottom"/>
          </w:tcPr>
          <w:p>
            <w:pPr>
              <w:jc w:val="center"/>
              <w:ind w:left="114"/>
              <w:spacing w:after="0"/>
              <w:rPr>
                <w:sz w:val="20"/>
                <w:szCs w:val="20"/>
                <w:color w:val="auto"/>
              </w:rPr>
            </w:pPr>
            <w:r>
              <w:rPr>
                <w:rFonts w:ascii="Arial" w:cs="Arial" w:eastAsia="Arial" w:hAnsi="Arial"/>
                <w:sz w:val="18"/>
                <w:szCs w:val="18"/>
                <w:color w:val="auto"/>
                <w:w w:val="89"/>
              </w:rPr>
              <w:t>647,155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center"/>
              <w:ind w:left="134"/>
              <w:spacing w:after="0"/>
              <w:rPr>
                <w:sz w:val="20"/>
                <w:szCs w:val="20"/>
                <w:color w:val="auto"/>
              </w:rPr>
            </w:pPr>
            <w:r>
              <w:rPr>
                <w:rFonts w:ascii="Arial" w:cs="Arial" w:eastAsia="Arial" w:hAnsi="Arial"/>
                <w:sz w:val="18"/>
                <w:szCs w:val="18"/>
                <w:color w:val="auto"/>
                <w:w w:val="92"/>
              </w:rPr>
              <w:t>797,263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470,063</w:t>
            </w:r>
          </w:p>
        </w:tc>
      </w:tr>
      <w:tr>
        <w:trPr>
          <w:trHeight w:val="27"/>
        </w:trPr>
        <w:tc>
          <w:tcPr>
            <w:tcW w:w="68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9"/>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center"/>
              <w:ind w:left="114"/>
              <w:spacing w:after="0"/>
              <w:rPr>
                <w:sz w:val="20"/>
                <w:szCs w:val="20"/>
                <w:color w:val="auto"/>
              </w:rPr>
            </w:pPr>
            <w:r>
              <w:rPr>
                <w:rFonts w:ascii="Arial" w:cs="Arial" w:eastAsia="Arial" w:hAnsi="Arial"/>
                <w:sz w:val="18"/>
                <w:szCs w:val="18"/>
                <w:b w:val="1"/>
                <w:bCs w:val="1"/>
                <w:color w:val="auto"/>
                <w:w w:val="89"/>
              </w:rPr>
              <w:t>488,218</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center"/>
              <w:ind w:left="134"/>
              <w:spacing w:after="0"/>
              <w:rPr>
                <w:sz w:val="20"/>
                <w:szCs w:val="20"/>
                <w:color w:val="auto"/>
              </w:rPr>
            </w:pPr>
            <w:r>
              <w:rPr>
                <w:rFonts w:ascii="Arial" w:cs="Arial" w:eastAsia="Arial" w:hAnsi="Arial"/>
                <w:sz w:val="18"/>
                <w:szCs w:val="18"/>
                <w:b w:val="1"/>
                <w:bCs w:val="1"/>
                <w:color w:val="auto"/>
                <w:w w:val="92"/>
              </w:rPr>
              <w:t>305,740</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560,269</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95" w:name="page96"/>
    <w:bookmarkEnd w:id="9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income tax provision (benefit) attributable to income before income taxes is as follows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64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36"/>
        </w:trPr>
        <w:tc>
          <w:tcPr>
            <w:tcW w:w="6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Current</w:t>
            </w: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860" w:type="dxa"/>
            <w:vAlign w:val="bottom"/>
            <w:gridSpan w:val="2"/>
          </w:tcPr>
          <w:p>
            <w:pPr>
              <w:ind w:left="340"/>
              <w:spacing w:after="0"/>
              <w:rPr>
                <w:sz w:val="20"/>
                <w:szCs w:val="20"/>
                <w:color w:val="auto"/>
              </w:rPr>
            </w:pPr>
            <w:r>
              <w:rPr>
                <w:rFonts w:ascii="Arial" w:cs="Arial" w:eastAsia="Arial" w:hAnsi="Arial"/>
                <w:sz w:val="18"/>
                <w:szCs w:val="18"/>
                <w:color w:val="auto"/>
              </w:rPr>
              <w:t>U.S. Federal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spacing w:after="0"/>
              <w:rPr>
                <w:sz w:val="21"/>
                <w:szCs w:val="21"/>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(637)</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(19,856)</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U.S. State</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868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3"/>
        </w:trPr>
        <w:tc>
          <w:tcPr>
            <w:tcW w:w="6860" w:type="dxa"/>
            <w:vAlign w:val="bottom"/>
            <w:gridSpan w:val="2"/>
          </w:tcPr>
          <w:p>
            <w:pPr>
              <w:ind w:left="340"/>
              <w:spacing w:after="0"/>
              <w:rPr>
                <w:sz w:val="20"/>
                <w:szCs w:val="20"/>
                <w:color w:val="auto"/>
              </w:rPr>
            </w:pPr>
            <w:r>
              <w:rPr>
                <w:rFonts w:ascii="Arial" w:cs="Arial" w:eastAsia="Arial" w:hAnsi="Arial"/>
                <w:sz w:val="18"/>
                <w:szCs w:val="18"/>
                <w:color w:val="auto"/>
              </w:rPr>
              <w:t>Foreign</w:t>
            </w:r>
          </w:p>
        </w:tc>
        <w:tc>
          <w:tcPr>
            <w:tcW w:w="260" w:type="dxa"/>
            <w:vAlign w:val="bottom"/>
          </w:tcPr>
          <w:p>
            <w:pPr>
              <w:spacing w:after="0"/>
              <w:rPr>
                <w:sz w:val="21"/>
                <w:szCs w:val="21"/>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1,796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1,749</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1,674</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8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2,650</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1,310</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(18,131)</w:t>
            </w:r>
          </w:p>
        </w:tc>
        <w:tc>
          <w:tcPr>
            <w:tcW w:w="0" w:type="dxa"/>
            <w:vAlign w:val="bottom"/>
          </w:tcPr>
          <w:p>
            <w:pPr>
              <w:spacing w:after="0"/>
              <w:rPr>
                <w:sz w:val="1"/>
                <w:szCs w:val="1"/>
                <w:color w:val="auto"/>
              </w:rPr>
            </w:pPr>
          </w:p>
        </w:tc>
      </w:tr>
      <w:tr>
        <w:trPr>
          <w:trHeight w:val="223"/>
        </w:trPr>
        <w:tc>
          <w:tcPr>
            <w:tcW w:w="6860" w:type="dxa"/>
            <w:vAlign w:val="bottom"/>
            <w:gridSpan w:val="2"/>
          </w:tcPr>
          <w:p>
            <w:pPr>
              <w:ind w:left="20"/>
              <w:spacing w:after="0"/>
              <w:rPr>
                <w:sz w:val="20"/>
                <w:szCs w:val="20"/>
                <w:color w:val="auto"/>
              </w:rPr>
            </w:pPr>
            <w:r>
              <w:rPr>
                <w:rFonts w:ascii="Arial" w:cs="Arial" w:eastAsia="Arial" w:hAnsi="Arial"/>
                <w:sz w:val="18"/>
                <w:szCs w:val="18"/>
                <w:b w:val="1"/>
                <w:bCs w:val="1"/>
                <w:color w:val="auto"/>
              </w:rPr>
              <w:t>Deferred</w:t>
            </w:r>
          </w:p>
        </w:tc>
        <w:tc>
          <w:tcPr>
            <w:tcW w:w="2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U.S. Federal</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170,508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(483,681)</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(309,423)</w:t>
            </w:r>
          </w:p>
        </w:tc>
        <w:tc>
          <w:tcPr>
            <w:tcW w:w="0" w:type="dxa"/>
            <w:vAlign w:val="bottom"/>
          </w:tcPr>
          <w:p>
            <w:pPr>
              <w:spacing w:after="0"/>
              <w:rPr>
                <w:sz w:val="1"/>
                <w:szCs w:val="1"/>
                <w:color w:val="auto"/>
              </w:rPr>
            </w:pPr>
          </w:p>
        </w:tc>
      </w:tr>
      <w:tr>
        <w:trPr>
          <w:trHeight w:val="243"/>
        </w:trPr>
        <w:tc>
          <w:tcPr>
            <w:tcW w:w="6860" w:type="dxa"/>
            <w:vAlign w:val="bottom"/>
            <w:gridSpan w:val="2"/>
          </w:tcPr>
          <w:p>
            <w:pPr>
              <w:ind w:left="340"/>
              <w:spacing w:after="0"/>
              <w:rPr>
                <w:sz w:val="20"/>
                <w:szCs w:val="20"/>
                <w:color w:val="auto"/>
              </w:rPr>
            </w:pPr>
            <w:r>
              <w:rPr>
                <w:rFonts w:ascii="Arial" w:cs="Arial" w:eastAsia="Arial" w:hAnsi="Arial"/>
                <w:sz w:val="18"/>
                <w:szCs w:val="18"/>
                <w:color w:val="auto"/>
              </w:rPr>
              <w:t>U.S. State</w:t>
            </w:r>
          </w:p>
        </w:tc>
        <w:tc>
          <w:tcPr>
            <w:tcW w:w="260" w:type="dxa"/>
            <w:vAlign w:val="bottom"/>
          </w:tcPr>
          <w:p>
            <w:pPr>
              <w:spacing w:after="0"/>
              <w:rPr>
                <w:sz w:val="21"/>
                <w:szCs w:val="21"/>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3,682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(14,973)</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(1,431)</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8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174,190</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(498,654)</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(310,854)</w:t>
            </w:r>
          </w:p>
        </w:tc>
        <w:tc>
          <w:tcPr>
            <w:tcW w:w="0" w:type="dxa"/>
            <w:vAlign w:val="bottom"/>
          </w:tcPr>
          <w:p>
            <w:pPr>
              <w:spacing w:after="0"/>
              <w:rPr>
                <w:sz w:val="1"/>
                <w:szCs w:val="1"/>
                <w:color w:val="auto"/>
              </w:rPr>
            </w:pPr>
          </w:p>
        </w:tc>
      </w:tr>
      <w:tr>
        <w:trPr>
          <w:trHeight w:val="237"/>
        </w:trPr>
        <w:tc>
          <w:tcPr>
            <w:tcW w:w="686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income tax provision (benefit)</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176,840</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(497,344)</w:t>
            </w:r>
          </w:p>
        </w:tc>
        <w:tc>
          <w:tcPr>
            <w:tcW w:w="8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(328,985)</w:t>
            </w:r>
          </w:p>
        </w:tc>
        <w:tc>
          <w:tcPr>
            <w:tcW w:w="0" w:type="dxa"/>
            <w:vAlign w:val="bottom"/>
          </w:tcPr>
          <w:p>
            <w:pPr>
              <w:spacing w:after="0"/>
              <w:rPr>
                <w:sz w:val="1"/>
                <w:szCs w:val="1"/>
                <w:color w:val="auto"/>
              </w:rPr>
            </w:pPr>
          </w:p>
        </w:tc>
      </w:tr>
      <w:tr>
        <w:trPr>
          <w:trHeight w:val="27"/>
        </w:trPr>
        <w:tc>
          <w:tcPr>
            <w:tcW w:w="6860" w:type="dxa"/>
            <w:vAlign w:val="bottom"/>
            <w:gridSpan w:val="2"/>
            <w:vMerge w:val="restart"/>
          </w:tcPr>
          <w:p>
            <w:pPr>
              <w:ind w:left="420"/>
              <w:spacing w:after="0"/>
              <w:rPr>
                <w:sz w:val="20"/>
                <w:szCs w:val="20"/>
                <w:color w:val="auto"/>
              </w:rPr>
            </w:pPr>
            <w:r>
              <w:rPr>
                <w:rFonts w:ascii="Arial" w:cs="Arial" w:eastAsia="Arial" w:hAnsi="Arial"/>
                <w:sz w:val="18"/>
                <w:szCs w:val="18"/>
                <w:color w:val="auto"/>
                <w:w w:val="91"/>
              </w:rPr>
              <w:t>The reconciliation of the U.S. federal statutory tax rate to the actual tax rate is as follows:</w:t>
            </w: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6860" w:type="dxa"/>
            <w:vAlign w:val="bottom"/>
            <w:gridSpan w:val="2"/>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1"/>
        </w:trPr>
        <w:tc>
          <w:tcPr>
            <w:tcW w:w="686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66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6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Federal statutory rate</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0" w:type="dxa"/>
            <w:vAlign w:val="bottom"/>
          </w:tcPr>
          <w:p>
            <w:pPr>
              <w:spacing w:after="0"/>
              <w:rPr>
                <w:sz w:val="1"/>
                <w:szCs w:val="1"/>
                <w:color w:val="auto"/>
              </w:rPr>
            </w:pPr>
          </w:p>
        </w:tc>
      </w:tr>
      <w:tr>
        <w:trPr>
          <w:trHeight w:val="243"/>
        </w:trPr>
        <w:tc>
          <w:tcPr>
            <w:tcW w:w="6860" w:type="dxa"/>
            <w:vAlign w:val="bottom"/>
            <w:gridSpan w:val="2"/>
          </w:tcPr>
          <w:p>
            <w:pPr>
              <w:ind w:left="20"/>
              <w:spacing w:after="0"/>
              <w:rPr>
                <w:sz w:val="20"/>
                <w:szCs w:val="20"/>
                <w:color w:val="auto"/>
              </w:rPr>
            </w:pPr>
            <w:r>
              <w:rPr>
                <w:rFonts w:ascii="Arial" w:cs="Arial" w:eastAsia="Arial" w:hAnsi="Arial"/>
                <w:sz w:val="18"/>
                <w:szCs w:val="18"/>
                <w:color w:val="auto"/>
              </w:rPr>
              <w:t>Foreign tax credits, net of valuation allowance</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(154.9) %</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(136.1) %</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Non-taxable foreign income</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(27.4) %</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 %</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 %</w:t>
            </w:r>
          </w:p>
        </w:tc>
        <w:tc>
          <w:tcPr>
            <w:tcW w:w="0" w:type="dxa"/>
            <w:vAlign w:val="bottom"/>
          </w:tcPr>
          <w:p>
            <w:pPr>
              <w:spacing w:after="0"/>
              <w:rPr>
                <w:sz w:val="1"/>
                <w:szCs w:val="1"/>
                <w:color w:val="auto"/>
              </w:rPr>
            </w:pPr>
          </w:p>
        </w:tc>
      </w:tr>
      <w:tr>
        <w:trPr>
          <w:trHeight w:val="243"/>
        </w:trPr>
        <w:tc>
          <w:tcPr>
            <w:tcW w:w="6860" w:type="dxa"/>
            <w:vAlign w:val="bottom"/>
            <w:gridSpan w:val="2"/>
          </w:tcPr>
          <w:p>
            <w:pPr>
              <w:ind w:left="20"/>
              <w:spacing w:after="0"/>
              <w:rPr>
                <w:sz w:val="20"/>
                <w:szCs w:val="20"/>
                <w:color w:val="auto"/>
              </w:rPr>
            </w:pPr>
            <w:r>
              <w:rPr>
                <w:rFonts w:ascii="Arial" w:cs="Arial" w:eastAsia="Arial" w:hAnsi="Arial"/>
                <w:sz w:val="18"/>
                <w:szCs w:val="18"/>
                <w:color w:val="auto"/>
              </w:rPr>
              <w:t>Foreign tax rate differential</w:t>
            </w:r>
          </w:p>
        </w:tc>
        <w:tc>
          <w:tcPr>
            <w:tcW w:w="26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(10.4) %</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(20.8) %</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(17.0) %</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Global intangible low-taxed income</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10.1 %</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28.3 %</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6860" w:type="dxa"/>
            <w:vAlign w:val="bottom"/>
            <w:gridSpan w:val="2"/>
          </w:tcPr>
          <w:p>
            <w:pPr>
              <w:ind w:left="20"/>
              <w:spacing w:after="0"/>
              <w:rPr>
                <w:sz w:val="20"/>
                <w:szCs w:val="20"/>
                <w:color w:val="auto"/>
              </w:rPr>
            </w:pPr>
            <w:r>
              <w:rPr>
                <w:rFonts w:ascii="Arial" w:cs="Arial" w:eastAsia="Arial" w:hAnsi="Arial"/>
                <w:sz w:val="18"/>
                <w:szCs w:val="18"/>
                <w:color w:val="auto"/>
              </w:rPr>
              <w:t>Change in tax rate</w:t>
            </w:r>
          </w:p>
        </w:tc>
        <w:tc>
          <w:tcPr>
            <w:tcW w:w="260" w:type="dxa"/>
            <w:vAlign w:val="bottom"/>
          </w:tcPr>
          <w:p>
            <w:pPr>
              <w:spacing w:after="0"/>
              <w:rPr>
                <w:sz w:val="21"/>
                <w:szCs w:val="21"/>
                <w:color w:val="auto"/>
              </w:rPr>
            </w:pPr>
          </w:p>
        </w:tc>
        <w:tc>
          <w:tcPr>
            <w:tcW w:w="1300" w:type="dxa"/>
            <w:vAlign w:val="bottom"/>
            <w:gridSpan w:val="5"/>
          </w:tcPr>
          <w:p>
            <w:pPr>
              <w:jc w:val="right"/>
              <w:ind w:right="280"/>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21"/>
                <w:szCs w:val="21"/>
                <w:color w:val="auto"/>
              </w:rPr>
            </w:pPr>
          </w:p>
        </w:tc>
        <w:tc>
          <w:tcPr>
            <w:tcW w:w="1400" w:type="dxa"/>
            <w:vAlign w:val="bottom"/>
            <w:gridSpan w:val="4"/>
          </w:tcPr>
          <w:p>
            <w:pPr>
              <w:jc w:val="right"/>
              <w:ind w:right="220"/>
              <w:spacing w:after="0"/>
              <w:rPr>
                <w:sz w:val="20"/>
                <w:szCs w:val="20"/>
                <w:color w:val="auto"/>
              </w:rPr>
            </w:pPr>
            <w:r>
              <w:rPr>
                <w:rFonts w:ascii="Arial" w:cs="Arial" w:eastAsia="Arial" w:hAnsi="Arial"/>
                <w:sz w:val="18"/>
                <w:szCs w:val="18"/>
                <w:color w:val="auto"/>
              </w:rPr>
              <w:t>— %</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 %</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Repatriation of foreign earnings</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 %</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 %</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81.0 %</w:t>
            </w:r>
          </w:p>
        </w:tc>
        <w:tc>
          <w:tcPr>
            <w:tcW w:w="0" w:type="dxa"/>
            <w:vAlign w:val="bottom"/>
          </w:tcPr>
          <w:p>
            <w:pPr>
              <w:spacing w:after="0"/>
              <w:rPr>
                <w:sz w:val="1"/>
                <w:szCs w:val="1"/>
                <w:color w:val="auto"/>
              </w:rPr>
            </w:pPr>
          </w:p>
        </w:tc>
      </w:tr>
      <w:tr>
        <w:trPr>
          <w:trHeight w:val="243"/>
        </w:trPr>
        <w:tc>
          <w:tcPr>
            <w:tcW w:w="6860" w:type="dxa"/>
            <w:vAlign w:val="bottom"/>
            <w:gridSpan w:val="2"/>
          </w:tcPr>
          <w:p>
            <w:pPr>
              <w:ind w:left="20"/>
              <w:spacing w:after="0"/>
              <w:rPr>
                <w:sz w:val="20"/>
                <w:szCs w:val="20"/>
                <w:color w:val="auto"/>
              </w:rPr>
            </w:pPr>
            <w:r>
              <w:rPr>
                <w:rFonts w:ascii="Arial" w:cs="Arial" w:eastAsia="Arial" w:hAnsi="Arial"/>
                <w:sz w:val="18"/>
                <w:szCs w:val="18"/>
                <w:color w:val="auto"/>
              </w:rPr>
              <w:t>Valuation allowance, other</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9.3 %</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9.2 %</w:t>
            </w:r>
          </w:p>
        </w:tc>
        <w:tc>
          <w:tcPr>
            <w:tcW w:w="1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37"/>
        </w:trPr>
        <w:tc>
          <w:tcPr>
            <w:tcW w:w="6640" w:type="dxa"/>
            <w:vAlign w:val="bottom"/>
          </w:tcPr>
          <w:p>
            <w:pPr>
              <w:ind w:left="20"/>
              <w:spacing w:after="0"/>
              <w:rPr>
                <w:sz w:val="20"/>
                <w:szCs w:val="20"/>
                <w:color w:val="auto"/>
              </w:rPr>
            </w:pPr>
            <w:r>
              <w:rPr>
                <w:rFonts w:ascii="Arial" w:cs="Arial" w:eastAsia="Arial" w:hAnsi="Arial"/>
                <w:sz w:val="18"/>
                <w:szCs w:val="18"/>
                <w:b w:val="1"/>
                <w:bCs w:val="1"/>
                <w:color w:val="auto"/>
              </w:rPr>
              <w:t>Effective income tax rate</w:t>
            </w:r>
          </w:p>
        </w:tc>
        <w:tc>
          <w:tcPr>
            <w:tcW w:w="2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36.2 %</w:t>
            </w:r>
          </w:p>
        </w:tc>
        <w:tc>
          <w:tcPr>
            <w:tcW w:w="10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(162.7)%</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(58.7)%</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6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Wynn Macau SA received a five year exemption from Macau's 12% Complementary Tax on casino gaming profits through December 31, 2020. Accordingly, for the years ended December 31, 2019, 2018 and 2017, the Company was exempt from the payment of such taxes totaling $77.7 million, $96.8 million, and $63.0 million or $0.73, $0.90, and $0.61 per diluted share, respectively. The Company's non-gaming profits remain subject to the Macau Complementary Tax and its casino winnings remain subject to the Macau special gaming tax and other levies in accordance with its concession agreement.</w:t>
      </w:r>
    </w:p>
    <w:p>
      <w:pPr>
        <w:spacing w:after="0" w:line="181"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Wynn Macau SA also entered into an agreement with the Macau government that provides for an annual payment of MOP 12.8 million (approximately $1.6 million) as complementary tax otherwise due by stockholders of Wynn Macau SA on dividend distributions through 2020. As a result of the stockholder dividend tax agreements, income tax expense includes $1.6 million for each of the years ended December 31, 2019, 2018, and 2017.</w:t>
      </w:r>
    </w:p>
    <w:p>
      <w:pPr>
        <w:spacing w:after="0" w:line="17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Macau special gaming tax is 35% of gross gaming revenue. U.S. tax laws only allow a foreign tax credit ("FTC") up to 21% of foreign source income. In February 2010, the Company and the IRS entered into a Pre-Filing Agreement ("PFA") providing that the Macau special gaming tax qualifies as a tax paid in lieu of an income tax and could be claimed as a U.S. FTC.</w:t>
      </w:r>
    </w:p>
    <w:p>
      <w:pPr>
        <w:spacing w:after="0" w:line="208"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 December 2017, the U.S. Tax Cuts and Jobs Act ("U.S. tax reform") was enacted. Also in December 2017, the SEC staff issued Staff Accounting Bulletin No. 118, Income Tax Accounting Implications of the Tax Cuts and Jobs Act, which allowed the Company to record provisional amounts during a measurement period not to extend beyond one year from the enactment date. For the year ended December 31, 2017, the Company recorded a provisional net tax benefit of $339.9 million based on the Company's initial analysis of the U.S. tax reform. During the fourth quarter of 2018, the Company finalized its analysis of U.S. tax reform, which was further clarified by guidance issued by the Internal Revenue Service in the fourth quarter of 2018. The guidance addressed the treatment of foreign-sourced royalties and the allocation of interest expense and other</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96" w:name="page97"/>
    <w:bookmarkEnd w:id="9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expenses to foreign source income. As a result, the Company adjusted its valuation allowance for FTC carryovers and recorded a net tax benefit of $390.9 million, which is incremental to the $339.9 million provisional net tax benefit recorded in 2017.</w:t>
      </w:r>
    </w:p>
    <w:p>
      <w:pPr>
        <w:spacing w:after="0" w:line="19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During the years ended December 31, 2019, 2018 and 2017, the Company recognized tax benefits of $32.9 million, $82.8 million and $746.6 million, respectively (net of valuation allowance and uncertain tax positions), for FTCs generated from the earnings of Wynn Macau SA.</w:t>
      </w:r>
    </w:p>
    <w:p>
      <w:pPr>
        <w:spacing w:after="0" w:line="197"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Accounting standards require recognition of a future tax benefit to the extent that realization of such benefit is more likely than not; otherwise, a valuation allowance is applied. During the years ended December 31, 2019 and 2018, the aggregate valuation allowance for deferred tax assets increased by $115.5 million and decreased by $746.6 million, respectively. The 2019 increase is primarily related to the realizability of deferred tax assets related to disallowed interest expense carryforwards. The 2018 decrease is primarily related to the expiration of FTCs.</w:t>
      </w:r>
    </w:p>
    <w:p>
      <w:pPr>
        <w:spacing w:after="0" w:line="19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recorded tax benefits resulting from the exercise of nonqualified stock options and the value of vested restricted stock and accrued dividends of $5.7 million, $2.0 million, and $2.6 million for the years ended December 31, 2019, 2018, and 2017, respectively, in excess of the amounts reported for such items as compensation costs under accounting standards related to stock-based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7" w:name="page98"/>
    <w:bookmarkEnd w:id="9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tax effects of significant temporary differences representing net deferred tax assets and liabilities consisted of the following (in thousands):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020" w:type="dxa"/>
            <w:vAlign w:val="bottom"/>
            <w:tcBorders>
              <w:bottom w:val="single" w:sz="8" w:color="auto"/>
            </w:tcBorders>
          </w:tcPr>
          <w:p>
            <w:pPr>
              <w:spacing w:after="0"/>
              <w:rPr>
                <w:sz w:val="16"/>
                <w:szCs w:val="16"/>
                <w:color w:val="auto"/>
              </w:rPr>
            </w:pPr>
          </w:p>
        </w:tc>
      </w:tr>
      <w:tr>
        <w:trPr>
          <w:trHeight w:val="196"/>
        </w:trPr>
        <w:tc>
          <w:tcPr>
            <w:tcW w:w="84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r>
      <w:tr>
        <w:trPr>
          <w:trHeight w:val="236"/>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assets—U.S.:</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43"/>
        </w:trPr>
        <w:tc>
          <w:tcPr>
            <w:tcW w:w="8420" w:type="dxa"/>
            <w:vAlign w:val="bottom"/>
          </w:tcPr>
          <w:p>
            <w:pPr>
              <w:ind w:left="340"/>
              <w:spacing w:after="0"/>
              <w:rPr>
                <w:sz w:val="20"/>
                <w:szCs w:val="20"/>
                <w:color w:val="auto"/>
              </w:rPr>
            </w:pPr>
            <w:r>
              <w:rPr>
                <w:rFonts w:ascii="Arial" w:cs="Arial" w:eastAsia="Arial" w:hAnsi="Arial"/>
                <w:sz w:val="18"/>
                <w:szCs w:val="18"/>
                <w:color w:val="auto"/>
              </w:rPr>
              <w:t>Foreign tax credit carryforwards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3,070,914</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3,187,797</w:t>
            </w:r>
          </w:p>
        </w:tc>
      </w:tr>
      <w:tr>
        <w:trPr>
          <w:trHeight w:val="27"/>
        </w:trPr>
        <w:tc>
          <w:tcPr>
            <w:tcW w:w="8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Disallowed interest expense carryforward</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88,319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67,368</w:t>
            </w:r>
          </w:p>
        </w:tc>
      </w:tr>
      <w:tr>
        <w:trPr>
          <w:trHeight w:val="243"/>
        </w:trPr>
        <w:tc>
          <w:tcPr>
            <w:tcW w:w="8420" w:type="dxa"/>
            <w:vAlign w:val="bottom"/>
          </w:tcPr>
          <w:p>
            <w:pPr>
              <w:ind w:left="340"/>
              <w:spacing w:after="0"/>
              <w:rPr>
                <w:sz w:val="20"/>
                <w:szCs w:val="20"/>
                <w:color w:val="auto"/>
              </w:rPr>
            </w:pPr>
            <w:r>
              <w:rPr>
                <w:rFonts w:ascii="Arial" w:cs="Arial" w:eastAsia="Arial" w:hAnsi="Arial"/>
                <w:sz w:val="18"/>
                <w:szCs w:val="18"/>
                <w:color w:val="auto"/>
              </w:rPr>
              <w:t>Lease liability</w:t>
            </w:r>
          </w:p>
        </w:tc>
        <w:tc>
          <w:tcPr>
            <w:tcW w:w="30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23,650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8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Construction in progress</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42,528</w:t>
            </w:r>
          </w:p>
        </w:tc>
      </w:tr>
      <w:tr>
        <w:trPr>
          <w:trHeight w:val="243"/>
        </w:trPr>
        <w:tc>
          <w:tcPr>
            <w:tcW w:w="8420" w:type="dxa"/>
            <w:vAlign w:val="bottom"/>
          </w:tcPr>
          <w:p>
            <w:pPr>
              <w:ind w:left="340"/>
              <w:spacing w:after="0"/>
              <w:rPr>
                <w:sz w:val="20"/>
                <w:szCs w:val="20"/>
                <w:color w:val="auto"/>
              </w:rPr>
            </w:pPr>
            <w:r>
              <w:rPr>
                <w:rFonts w:ascii="Arial" w:cs="Arial" w:eastAsia="Arial" w:hAnsi="Arial"/>
                <w:sz w:val="18"/>
                <w:szCs w:val="18"/>
                <w:color w:val="auto"/>
              </w:rPr>
              <w:t>Receivables, inventories, accrued liabilities and other</w:t>
            </w:r>
          </w:p>
        </w:tc>
        <w:tc>
          <w:tcPr>
            <w:tcW w:w="30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15,279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10,878</w:t>
            </w:r>
          </w:p>
        </w:tc>
      </w:tr>
      <w:tr>
        <w:trPr>
          <w:trHeight w:val="27"/>
        </w:trPr>
        <w:tc>
          <w:tcPr>
            <w:tcW w:w="8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6,479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5,477</w:t>
            </w:r>
          </w:p>
        </w:tc>
      </w:tr>
      <w:tr>
        <w:trPr>
          <w:trHeight w:val="243"/>
        </w:trPr>
        <w:tc>
          <w:tcPr>
            <w:tcW w:w="8420" w:type="dxa"/>
            <w:vAlign w:val="bottom"/>
          </w:tcPr>
          <w:p>
            <w:pPr>
              <w:ind w:left="340"/>
              <w:spacing w:after="0"/>
              <w:rPr>
                <w:sz w:val="20"/>
                <w:szCs w:val="20"/>
                <w:color w:val="auto"/>
              </w:rPr>
            </w:pPr>
            <w:r>
              <w:rPr>
                <w:rFonts w:ascii="Arial" w:cs="Arial" w:eastAsia="Arial" w:hAnsi="Arial"/>
                <w:sz w:val="18"/>
                <w:szCs w:val="18"/>
                <w:color w:val="auto"/>
              </w:rPr>
              <w:t>Other tax credit carryforwards</w:t>
            </w:r>
          </w:p>
        </w:tc>
        <w:tc>
          <w:tcPr>
            <w:tcW w:w="30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7,224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4,946</w:t>
            </w:r>
          </w:p>
        </w:tc>
      </w:tr>
      <w:tr>
        <w:trPr>
          <w:trHeight w:val="27"/>
        </w:trPr>
        <w:tc>
          <w:tcPr>
            <w:tcW w:w="8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Intangibles and related other</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489</w:t>
            </w:r>
          </w:p>
        </w:tc>
      </w:tr>
      <w:tr>
        <w:trPr>
          <w:trHeight w:val="243"/>
        </w:trPr>
        <w:tc>
          <w:tcPr>
            <w:tcW w:w="8420" w:type="dxa"/>
            <w:vAlign w:val="bottom"/>
          </w:tcPr>
          <w:p>
            <w:pPr>
              <w:ind w:left="3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4,719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2,279</w:t>
            </w:r>
          </w:p>
        </w:tc>
      </w:tr>
      <w:tr>
        <w:trPr>
          <w:trHeight w:val="27"/>
        </w:trPr>
        <w:tc>
          <w:tcPr>
            <w:tcW w:w="8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4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3,216,584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3,321,762</w:t>
            </w:r>
          </w:p>
        </w:tc>
      </w:tr>
      <w:tr>
        <w:trPr>
          <w:trHeight w:val="243"/>
        </w:trPr>
        <w:tc>
          <w:tcPr>
            <w:tcW w:w="8420" w:type="dxa"/>
            <w:vAlign w:val="bottom"/>
          </w:tcPr>
          <w:p>
            <w:pPr>
              <w:ind w:left="340"/>
              <w:spacing w:after="0"/>
              <w:rPr>
                <w:sz w:val="20"/>
                <w:szCs w:val="20"/>
                <w:color w:val="auto"/>
              </w:rPr>
            </w:pPr>
            <w:r>
              <w:rPr>
                <w:rFonts w:ascii="Arial" w:cs="Arial" w:eastAsia="Arial" w:hAnsi="Arial"/>
                <w:sz w:val="18"/>
                <w:szCs w:val="18"/>
                <w:color w:val="auto"/>
              </w:rPr>
              <w:t>Less: valuation allowance</w:t>
            </w:r>
          </w:p>
        </w:tc>
        <w:tc>
          <w:tcPr>
            <w:tcW w:w="30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(2,604,497)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w w:val="97"/>
              </w:rPr>
              <w:t>(2,500,027)</w:t>
            </w:r>
          </w:p>
        </w:tc>
      </w:tr>
      <w:tr>
        <w:trPr>
          <w:trHeight w:val="27"/>
        </w:trPr>
        <w:tc>
          <w:tcPr>
            <w:tcW w:w="8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84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612,087</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821,735</w:t>
            </w:r>
          </w:p>
        </w:tc>
      </w:tr>
      <w:tr>
        <w:trPr>
          <w:trHeight w:val="223"/>
        </w:trPr>
        <w:tc>
          <w:tcPr>
            <w:tcW w:w="8420" w:type="dxa"/>
            <w:vAlign w:val="bottom"/>
          </w:tcPr>
          <w:p>
            <w:pPr>
              <w:ind w:left="20"/>
              <w:spacing w:after="0"/>
              <w:rPr>
                <w:sz w:val="20"/>
                <w:szCs w:val="20"/>
                <w:color w:val="auto"/>
              </w:rPr>
            </w:pPr>
            <w:r>
              <w:rPr>
                <w:rFonts w:ascii="Arial" w:cs="Arial" w:eastAsia="Arial" w:hAnsi="Arial"/>
                <w:sz w:val="18"/>
                <w:szCs w:val="18"/>
                <w:b w:val="1"/>
                <w:bCs w:val="1"/>
                <w:color w:val="auto"/>
              </w:rPr>
              <w:t>Deferred tax liabilities—U.S.:</w:t>
            </w:r>
          </w:p>
        </w:tc>
        <w:tc>
          <w:tcPr>
            <w:tcW w:w="3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r>
      <w:tr>
        <w:trPr>
          <w:trHeight w:val="27"/>
        </w:trPr>
        <w:tc>
          <w:tcPr>
            <w:tcW w:w="8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Property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(8,887)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(70,560)</w:t>
            </w:r>
          </w:p>
        </w:tc>
      </w:tr>
      <w:tr>
        <w:trPr>
          <w:trHeight w:val="243"/>
        </w:trPr>
        <w:tc>
          <w:tcPr>
            <w:tcW w:w="8420" w:type="dxa"/>
            <w:vAlign w:val="bottom"/>
          </w:tcPr>
          <w:p>
            <w:pPr>
              <w:ind w:left="340"/>
              <w:spacing w:after="0"/>
              <w:rPr>
                <w:sz w:val="20"/>
                <w:szCs w:val="20"/>
                <w:color w:val="auto"/>
              </w:rPr>
            </w:pPr>
            <w:r>
              <w:rPr>
                <w:rFonts w:ascii="Arial" w:cs="Arial" w:eastAsia="Arial" w:hAnsi="Arial"/>
                <w:sz w:val="18"/>
                <w:szCs w:val="18"/>
                <w:color w:val="auto"/>
              </w:rPr>
              <w:t>Lease asset</w:t>
            </w:r>
          </w:p>
        </w:tc>
        <w:tc>
          <w:tcPr>
            <w:tcW w:w="30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(23,650)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8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Prepaid insurance, maintenance and taxes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(15,956)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(12,430)</w:t>
            </w:r>
          </w:p>
        </w:tc>
      </w:tr>
      <w:tr>
        <w:trPr>
          <w:trHeight w:val="243"/>
        </w:trPr>
        <w:tc>
          <w:tcPr>
            <w:tcW w:w="8420" w:type="dxa"/>
            <w:vAlign w:val="bottom"/>
          </w:tcPr>
          <w:p>
            <w:pPr>
              <w:ind w:left="3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(1,332)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(2,293)</w:t>
            </w:r>
          </w:p>
        </w:tc>
      </w:tr>
      <w:tr>
        <w:trPr>
          <w:trHeight w:val="27"/>
        </w:trPr>
        <w:tc>
          <w:tcPr>
            <w:tcW w:w="8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84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(49,825)</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(85,283)</w:t>
            </w:r>
          </w:p>
        </w:tc>
      </w:tr>
      <w:tr>
        <w:trPr>
          <w:trHeight w:val="223"/>
        </w:trPr>
        <w:tc>
          <w:tcPr>
            <w:tcW w:w="8420" w:type="dxa"/>
            <w:vAlign w:val="bottom"/>
          </w:tcPr>
          <w:p>
            <w:pPr>
              <w:ind w:left="20"/>
              <w:spacing w:after="0"/>
              <w:rPr>
                <w:sz w:val="20"/>
                <w:szCs w:val="20"/>
                <w:color w:val="auto"/>
              </w:rPr>
            </w:pPr>
            <w:r>
              <w:rPr>
                <w:rFonts w:ascii="Arial" w:cs="Arial" w:eastAsia="Arial" w:hAnsi="Arial"/>
                <w:sz w:val="18"/>
                <w:szCs w:val="18"/>
                <w:b w:val="1"/>
                <w:bCs w:val="1"/>
                <w:color w:val="auto"/>
              </w:rPr>
              <w:t>Deferred tax assets—Foreign:</w:t>
            </w:r>
          </w:p>
        </w:tc>
        <w:tc>
          <w:tcPr>
            <w:tcW w:w="3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r>
      <w:tr>
        <w:trPr>
          <w:trHeight w:val="27"/>
        </w:trPr>
        <w:tc>
          <w:tcPr>
            <w:tcW w:w="8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operating loss carryforwards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96,657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94,244</w:t>
            </w:r>
          </w:p>
        </w:tc>
      </w:tr>
      <w:tr>
        <w:trPr>
          <w:trHeight w:val="243"/>
        </w:trPr>
        <w:tc>
          <w:tcPr>
            <w:tcW w:w="8420" w:type="dxa"/>
            <w:vAlign w:val="bottom"/>
          </w:tcPr>
          <w:p>
            <w:pPr>
              <w:ind w:left="340"/>
              <w:spacing w:after="0"/>
              <w:rPr>
                <w:sz w:val="20"/>
                <w:szCs w:val="20"/>
                <w:color w:val="auto"/>
              </w:rPr>
            </w:pPr>
            <w:r>
              <w:rPr>
                <w:rFonts w:ascii="Arial" w:cs="Arial" w:eastAsia="Arial" w:hAnsi="Arial"/>
                <w:sz w:val="18"/>
                <w:szCs w:val="18"/>
                <w:color w:val="auto"/>
              </w:rPr>
              <w:t>Property and equipment</w:t>
            </w:r>
          </w:p>
        </w:tc>
        <w:tc>
          <w:tcPr>
            <w:tcW w:w="30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50,709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41,520</w:t>
            </w:r>
          </w:p>
        </w:tc>
      </w:tr>
      <w:tr>
        <w:trPr>
          <w:trHeight w:val="27"/>
        </w:trPr>
        <w:tc>
          <w:tcPr>
            <w:tcW w:w="8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Pre-opening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6,126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8,421</w:t>
            </w:r>
          </w:p>
        </w:tc>
      </w:tr>
      <w:tr>
        <w:trPr>
          <w:trHeight w:val="243"/>
        </w:trPr>
        <w:tc>
          <w:tcPr>
            <w:tcW w:w="8420" w:type="dxa"/>
            <w:vAlign w:val="bottom"/>
          </w:tcPr>
          <w:p>
            <w:pPr>
              <w:ind w:left="3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10,114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651</w:t>
            </w:r>
          </w:p>
        </w:tc>
      </w:tr>
      <w:tr>
        <w:trPr>
          <w:trHeight w:val="27"/>
        </w:trPr>
        <w:tc>
          <w:tcPr>
            <w:tcW w:w="8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4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163,606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144,836</w:t>
            </w:r>
          </w:p>
        </w:tc>
      </w:tr>
      <w:tr>
        <w:trPr>
          <w:trHeight w:val="243"/>
        </w:trPr>
        <w:tc>
          <w:tcPr>
            <w:tcW w:w="8420" w:type="dxa"/>
            <w:vAlign w:val="bottom"/>
          </w:tcPr>
          <w:p>
            <w:pPr>
              <w:ind w:left="340"/>
              <w:spacing w:after="0"/>
              <w:rPr>
                <w:sz w:val="20"/>
                <w:szCs w:val="20"/>
                <w:color w:val="auto"/>
              </w:rPr>
            </w:pPr>
            <w:r>
              <w:rPr>
                <w:rFonts w:ascii="Arial" w:cs="Arial" w:eastAsia="Arial" w:hAnsi="Arial"/>
                <w:sz w:val="18"/>
                <w:szCs w:val="18"/>
                <w:color w:val="auto"/>
              </w:rPr>
              <w:t>Less: valuation allowance</w:t>
            </w:r>
          </w:p>
        </w:tc>
        <w:tc>
          <w:tcPr>
            <w:tcW w:w="30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(154,934)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(143,872)</w:t>
            </w:r>
          </w:p>
        </w:tc>
      </w:tr>
      <w:tr>
        <w:trPr>
          <w:trHeight w:val="27"/>
        </w:trPr>
        <w:tc>
          <w:tcPr>
            <w:tcW w:w="8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84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8,672</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964</w:t>
            </w:r>
          </w:p>
        </w:tc>
      </w:tr>
      <w:tr>
        <w:trPr>
          <w:trHeight w:val="223"/>
        </w:trPr>
        <w:tc>
          <w:tcPr>
            <w:tcW w:w="8420" w:type="dxa"/>
            <w:vAlign w:val="bottom"/>
          </w:tcPr>
          <w:p>
            <w:pPr>
              <w:ind w:left="20"/>
              <w:spacing w:after="0"/>
              <w:rPr>
                <w:sz w:val="20"/>
                <w:szCs w:val="20"/>
                <w:color w:val="auto"/>
              </w:rPr>
            </w:pPr>
            <w:r>
              <w:rPr>
                <w:rFonts w:ascii="Arial" w:cs="Arial" w:eastAsia="Arial" w:hAnsi="Arial"/>
                <w:sz w:val="18"/>
                <w:szCs w:val="18"/>
                <w:b w:val="1"/>
                <w:bCs w:val="1"/>
                <w:color w:val="auto"/>
              </w:rPr>
              <w:t>Deferred tax liabilities—Foreign:</w:t>
            </w:r>
          </w:p>
        </w:tc>
        <w:tc>
          <w:tcPr>
            <w:tcW w:w="3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r>
      <w:tr>
        <w:trPr>
          <w:trHeight w:val="27"/>
        </w:trPr>
        <w:tc>
          <w:tcPr>
            <w:tcW w:w="8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Property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(8,672)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(964)</w:t>
            </w:r>
          </w:p>
        </w:tc>
      </w:tr>
      <w:tr>
        <w:trPr>
          <w:trHeight w:val="257"/>
        </w:trPr>
        <w:tc>
          <w:tcPr>
            <w:tcW w:w="84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r>
      <w:tr>
        <w:trPr>
          <w:trHeight w:val="289"/>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deferred tax asset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562,262</w:t>
            </w: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736,452</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FTC carryforwards of $87.1 million expired on December 31, 2019. As of December 31, 2019, the Company had FTC carryforwards (net of uncertain tax positions) of $3.1 billion. Of this amount, $530.4 million will expire in 2020, $540.3 million in 2021, $756.0 million in 2023, $710.7 million in 2024, $47.2 million in 2025 and $486.3 million in 2027. The Company has a disallowed interest carryforward of $385.7 million which does not expire. The Company has no U.S. tax loss carryforwards. The Company incurred foreign tax losses of $376.8 million, $340.0 million and $319.1 million during the tax years ended December 31, 2019, 2018 and 2017, respectively. These foreign tax loss carryforwards expire in 2022, 2021 and 2020, respectively.</w:t>
      </w:r>
    </w:p>
    <w:p>
      <w:pPr>
        <w:spacing w:after="0" w:line="185"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The Company records valuation allowances on certain of its U.S. and foreign deferred tax assets. In assessing the need for a valuation allowance, the Company considers whether it is more likely than not that the deferred tax assets will be realized. The ultimate realization of deferred tax assets is dependent upon the generation of future taxable income. In the assessment of the valuation allowance, appropriate consideration is given to all positive and negative evidence including recent operating profitability, forecast of future earnings, the duration of statutory carryforward periods, and tax planning strategies.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98" w:name="page99"/>
    <w:bookmarkEnd w:id="9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As of December 31, 2019 and 2018, the Company had valuation allowances of $2.51 billion and $2.49 billion, respectively, provided on FTCs expected to expire unutilized, and as of December 31, 2019 the Company had a valuation allowance of $88.3 million provided on disallowed interest expense carryforwards. As of December 31, 2018, the Company had no valuation allowance provided on disallowed interest expense carryforwards. The Company also had valuation allowances of $6.4 million and $5.3 million provided on other U.S. deferred tax assets. As of December 31, 2019 and 2018, the Company had valuation allowances of $154.9 million and $143.9 million, respectively, provided on its foreign deferred tax assets.</w:t>
      </w:r>
    </w:p>
    <w:p>
      <w:pPr>
        <w:spacing w:after="0" w:line="20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had the following activity for unrecognized tax benefits as follows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96"/>
        </w:trPr>
        <w:tc>
          <w:tcPr>
            <w:tcW w:w="68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r>
      <w:tr>
        <w:trPr>
          <w:trHeight w:val="25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99,470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95,236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90,523</w:t>
            </w:r>
          </w:p>
        </w:tc>
      </w:tr>
      <w:tr>
        <w:trPr>
          <w:trHeight w:val="243"/>
        </w:trPr>
        <w:tc>
          <w:tcPr>
            <w:tcW w:w="6860" w:type="dxa"/>
            <w:vAlign w:val="bottom"/>
          </w:tcPr>
          <w:p>
            <w:pPr>
              <w:ind w:left="20"/>
              <w:spacing w:after="0"/>
              <w:rPr>
                <w:sz w:val="20"/>
                <w:szCs w:val="20"/>
                <w:color w:val="auto"/>
              </w:rPr>
            </w:pPr>
            <w:r>
              <w:rPr>
                <w:rFonts w:ascii="Arial" w:cs="Arial" w:eastAsia="Arial" w:hAnsi="Arial"/>
                <w:sz w:val="18"/>
                <w:szCs w:val="18"/>
                <w:color w:val="auto"/>
              </w:rPr>
              <w:t>Increases based on tax positions of the current year</w:t>
            </w:r>
          </w:p>
        </w:tc>
        <w:tc>
          <w:tcPr>
            <w:tcW w:w="360" w:type="dxa"/>
            <w:vAlign w:val="bottom"/>
          </w:tcPr>
          <w:p>
            <w:pPr>
              <w:spacing w:after="0"/>
              <w:rPr>
                <w:sz w:val="21"/>
                <w:szCs w:val="21"/>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8,986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56"/>
              <w:spacing w:after="0"/>
              <w:rPr>
                <w:sz w:val="20"/>
                <w:szCs w:val="20"/>
                <w:color w:val="auto"/>
              </w:rPr>
            </w:pPr>
            <w:r>
              <w:rPr>
                <w:rFonts w:ascii="Arial" w:cs="Arial" w:eastAsia="Arial" w:hAnsi="Arial"/>
                <w:sz w:val="18"/>
                <w:szCs w:val="18"/>
                <w:color w:val="auto"/>
              </w:rPr>
              <w:t>8,926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8,520</w:t>
            </w: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Reductions due to lapse in statutes of limitations</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(4,161)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(4,692)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(3,807)</w:t>
            </w:r>
          </w:p>
        </w:tc>
      </w:tr>
      <w:tr>
        <w:trPr>
          <w:trHeight w:val="237"/>
        </w:trPr>
        <w:tc>
          <w:tcPr>
            <w:tcW w:w="6860" w:type="dxa"/>
            <w:vAlign w:val="bottom"/>
          </w:tcPr>
          <w:p>
            <w:pPr>
              <w:ind w:left="20"/>
              <w:spacing w:after="0"/>
              <w:rPr>
                <w:sz w:val="20"/>
                <w:szCs w:val="20"/>
                <w:color w:val="auto"/>
              </w:rPr>
            </w:pPr>
            <w:r>
              <w:rPr>
                <w:rFonts w:ascii="Arial" w:cs="Arial" w:eastAsia="Arial" w:hAnsi="Arial"/>
                <w:sz w:val="18"/>
                <w:szCs w:val="18"/>
                <w:b w:val="1"/>
                <w:bCs w:val="1"/>
                <w:color w:val="auto"/>
              </w:rPr>
              <w:t>Balance at end of period</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104,295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99,470</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95,236</w:t>
            </w:r>
          </w:p>
        </w:tc>
      </w:tr>
      <w:tr>
        <w:trPr>
          <w:trHeight w:val="27"/>
        </w:trPr>
        <w:tc>
          <w:tcPr>
            <w:tcW w:w="68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
        </w:trPr>
        <w:tc>
          <w:tcPr>
            <w:tcW w:w="6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As of December 31, 2019, 2018 and 2017, unrecognized tax benefits of $104.3 million, $99.5 million and $95.2 million, respectively, were recorded as reductions in deferred income taxes, net. The Company had no unrecognized tax benefits recorded in other long-term liabilities as of December 31, 2019, 2018 and 2017.</w:t>
      </w:r>
    </w:p>
    <w:p>
      <w:pPr>
        <w:spacing w:after="0" w:line="20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December 31, 2019, 2018 and 2017, $36.6 million, $31.0 million and $26.9 million, respectively, of unrecognized tax benefits would, if recognized, impact the effective tax rate.</w:t>
      </w:r>
    </w:p>
    <w:p>
      <w:pPr>
        <w:spacing w:after="0" w:line="19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recognizes penalties and interest related to unrecognized tax benefits in the provision for income taxes. During each of the years ended December 31, 2019 and 2018, the Company recognized no interest and penalties. During the year ended December 31, 2017, the Company recognized $0.9 million in interest in the provision for income taxes.</w:t>
      </w:r>
    </w:p>
    <w:p>
      <w:pPr>
        <w:spacing w:after="0" w:line="20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anticipates that the 2015 statute of limitations will expire in the next 12 months for certain foreign tax jurisdictions. Also, the Company's unrecognized tax benefits include certain income tax accounting methods, which govern the timing and deductibility of income tax deductions. As a result, the Company's unrecognized tax benefits could increase up to $5.4 million over the next 12 months.</w:t>
      </w:r>
    </w:p>
    <w:p>
      <w:pPr>
        <w:spacing w:after="0" w:line="20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files income tax returns in the U.S. federal jurisdiction, various states and foreign jurisdictions. The Company's income tax returns are subject to examination by the IRS and other tax authorities in the locations where it operates. The Company's 2002 to 2015 domestic income tax returns remain subject to examination by the IRS to the extent tax attributes carryforward to future years. The Company's 2016 to 2018 domestic income tax returns also remain subject to examination by the IRS. The Company's 2015 to 2018 Macau income tax returns remain subject to examination by the Financial Services Bureau.</w:t>
      </w:r>
    </w:p>
    <w:p>
      <w:pPr>
        <w:spacing w:after="0" w:line="21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has participated in the IRS Compliance Assurance Program ("CAP") for the 2012 through 2019 tax years and will continue to participate in the IRS CAP for the 2020 tax year.</w:t>
      </w:r>
    </w:p>
    <w:p>
      <w:pPr>
        <w:spacing w:after="0" w:line="197" w:lineRule="exact"/>
        <w:rPr>
          <w:sz w:val="20"/>
          <w:szCs w:val="20"/>
          <w:color w:val="auto"/>
        </w:rPr>
      </w:pPr>
    </w:p>
    <w:p>
      <w:pPr>
        <w:ind w:firstLine="405"/>
        <w:spacing w:after="0" w:line="342" w:lineRule="auto"/>
        <w:rPr>
          <w:sz w:val="20"/>
          <w:szCs w:val="20"/>
          <w:color w:val="auto"/>
        </w:rPr>
      </w:pPr>
      <w:r>
        <w:rPr>
          <w:rFonts w:ascii="Arial" w:cs="Arial" w:eastAsia="Arial" w:hAnsi="Arial"/>
          <w:sz w:val="16"/>
          <w:szCs w:val="16"/>
          <w:color w:val="auto"/>
        </w:rPr>
        <w:t>In February 2017, 2018, and in May 2019, the Company received notification that the IRS completed its examination of the Company's 2015, 2016, and 2017 U.S. income tax returns, respectively. There were no changes in its unrecognized tax benefits as a result of the completion of these examinations.</w:t>
      </w:r>
    </w:p>
    <w:p>
      <w:pPr>
        <w:spacing w:after="0" w:line="15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On December 31, 2017, 2018 and 2019, the statute of limitations for the 2012, 2013, and 2014 Macau Complementary tax return expired, respectively. As a result of the expiration of the statute of limitations for the Macau Complementary Tax return, the total amount of unrecognized tax benefits decreased by $3.8 million, $4.7 million, and $4.2 million, respectively.</w:t>
      </w:r>
    </w:p>
    <w:p>
      <w:pPr>
        <w:spacing w:after="0" w:line="20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March 2017, the Financial Services Bureau commenced an examination of the 2013 and 2014 Macau income tax returns of Wynn Macau SA. In July 2018, the Financial Services Bureau issued final tax assessments for the Company for the years 2013 and 2014. While no additional tax was due, adjustments were made to the Company's tax loss carryforwards.</w:t>
      </w:r>
    </w:p>
    <w:p>
      <w:pPr>
        <w:spacing w:after="0" w:line="20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July 2017, the Financial Services Bureau commenced an examination of the 2013 and 2014 Macau income tax returns of Palo. In February 2018, the Financial Services Bureau concluded its examination with no changes.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99" w:name="page100"/>
    <w:bookmarkEnd w:id="9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January of 2020, the Financial Services Bureau commenced an examination of the 2015 and 2016 Macau income tax returns of Palo.</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Earnings Per Share</w:t>
      </w:r>
    </w:p>
    <w:p>
      <w:pPr>
        <w:spacing w:after="0" w:line="256"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Basic earnings per share ("EPS") is computed by dividing net income attributable to Wynn Resorts by the weighted average number of common shares outstanding during the year. Diluted EPS is computed by dividing net income attributable to Wynn Resorts by the weighted average number of common shares outstanding during the period increased to include the number of additional shares of common stock that would have been outstanding if the potential dilutive securities had been issued. Potentially dilutive securities include outstanding stock options and unvested restricted stock.</w:t>
      </w:r>
    </w:p>
    <w:p>
      <w:pPr>
        <w:spacing w:after="0" w:line="198"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The weighted average number of common and common equivalent shares used in the calculation of basic and diluted EPS consisted of the following (in thousands, except per share amounts):</w:t>
      </w:r>
    </w:p>
    <w:tbl>
      <w:tblPr>
        <w:tblLayout w:type="fixed"/>
        <w:tblInd w:w="0" w:type="dxa"/>
        <w:tblCellMar>
          <w:top w:w="0" w:type="dxa"/>
          <w:left w:w="0" w:type="dxa"/>
          <w:bottom w:w="0" w:type="dxa"/>
          <w:right w:w="0" w:type="dxa"/>
        </w:tblCellMar>
      </w:tblPr>
      <w:tr>
        <w:trPr>
          <w:trHeight w:val="192"/>
        </w:trPr>
        <w:tc>
          <w:tcPr>
            <w:tcW w:w="7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4"/>
                <w:szCs w:val="14"/>
                <w:b w:val="1"/>
                <w:bCs w:val="1"/>
                <w:color w:val="auto"/>
                <w:w w:val="92"/>
              </w:rPr>
              <w:t>Years Ended December 31,</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5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36"/>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2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520" w:type="dxa"/>
            <w:vAlign w:val="bottom"/>
          </w:tcPr>
          <w:p>
            <w:pPr>
              <w:ind w:left="220"/>
              <w:spacing w:after="0"/>
              <w:rPr>
                <w:sz w:val="20"/>
                <w:szCs w:val="20"/>
                <w:color w:val="auto"/>
              </w:rPr>
            </w:pPr>
            <w:r>
              <w:rPr>
                <w:rFonts w:ascii="Arial" w:cs="Arial" w:eastAsia="Arial" w:hAnsi="Arial"/>
                <w:sz w:val="18"/>
                <w:szCs w:val="18"/>
                <w:b w:val="1"/>
                <w:bCs w:val="1"/>
                <w:color w:val="auto"/>
              </w:rPr>
              <w:t>Net income attributable to Wynn Resorts, Limited</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122,985</w:t>
            </w:r>
          </w:p>
        </w:tc>
        <w:tc>
          <w:tcPr>
            <w:tcW w:w="52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72"/>
              <w:spacing w:after="0"/>
              <w:rPr>
                <w:sz w:val="20"/>
                <w:szCs w:val="20"/>
                <w:color w:val="auto"/>
              </w:rPr>
            </w:pPr>
            <w:r>
              <w:rPr>
                <w:rFonts w:ascii="Arial" w:cs="Arial" w:eastAsia="Arial" w:hAnsi="Arial"/>
                <w:sz w:val="18"/>
                <w:szCs w:val="18"/>
                <w:b w:val="1"/>
                <w:bCs w:val="1"/>
                <w:color w:val="auto"/>
              </w:rPr>
              <w:t>572,430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72"/>
              <w:spacing w:after="0"/>
              <w:rPr>
                <w:sz w:val="20"/>
                <w:szCs w:val="20"/>
                <w:color w:val="auto"/>
              </w:rPr>
            </w:pPr>
            <w:r>
              <w:rPr>
                <w:rFonts w:ascii="Arial" w:cs="Arial" w:eastAsia="Arial" w:hAnsi="Arial"/>
                <w:sz w:val="18"/>
                <w:szCs w:val="18"/>
                <w:b w:val="1"/>
                <w:bCs w:val="1"/>
                <w:color w:val="auto"/>
              </w:rPr>
              <w:t>747,181</w:t>
            </w:r>
          </w:p>
        </w:tc>
        <w:tc>
          <w:tcPr>
            <w:tcW w:w="0" w:type="dxa"/>
            <w:vAlign w:val="bottom"/>
          </w:tcPr>
          <w:p>
            <w:pPr>
              <w:spacing w:after="0"/>
              <w:rPr>
                <w:sz w:val="1"/>
                <w:szCs w:val="1"/>
                <w:color w:val="auto"/>
              </w:rPr>
            </w:pPr>
          </w:p>
        </w:tc>
      </w:tr>
      <w:tr>
        <w:trPr>
          <w:trHeight w:val="27"/>
        </w:trPr>
        <w:tc>
          <w:tcPr>
            <w:tcW w:w="7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52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Weighted average common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106,745</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106,529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102,071</w:t>
            </w:r>
          </w:p>
        </w:tc>
        <w:tc>
          <w:tcPr>
            <w:tcW w:w="0" w:type="dxa"/>
            <w:vAlign w:val="bottom"/>
          </w:tcPr>
          <w:p>
            <w:pPr>
              <w:spacing w:after="0"/>
              <w:rPr>
                <w:sz w:val="1"/>
                <w:szCs w:val="1"/>
                <w:color w:val="auto"/>
              </w:rPr>
            </w:pPr>
          </w:p>
        </w:tc>
      </w:tr>
      <w:tr>
        <w:trPr>
          <w:trHeight w:val="243"/>
        </w:trPr>
        <w:tc>
          <w:tcPr>
            <w:tcW w:w="7520" w:type="dxa"/>
            <w:vAlign w:val="bottom"/>
          </w:tcPr>
          <w:p>
            <w:pPr>
              <w:ind w:left="220"/>
              <w:spacing w:after="0"/>
              <w:rPr>
                <w:sz w:val="20"/>
                <w:szCs w:val="20"/>
                <w:color w:val="auto"/>
              </w:rPr>
            </w:pPr>
            <w:r>
              <w:rPr>
                <w:rFonts w:ascii="Arial" w:cs="Arial" w:eastAsia="Arial" w:hAnsi="Arial"/>
                <w:sz w:val="18"/>
                <w:szCs w:val="18"/>
                <w:color w:val="auto"/>
              </w:rPr>
              <w:t>Potential dilutive effect of stock options, nonvested, and performance nonvested shares</w:t>
            </w: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7"/>
        </w:trPr>
        <w:tc>
          <w:tcPr>
            <w:tcW w:w="7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Weighted average common and common equivalent shares outstanding</w:t>
            </w:r>
          </w:p>
        </w:tc>
        <w:tc>
          <w:tcPr>
            <w:tcW w:w="28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106,985</w:t>
            </w:r>
          </w:p>
        </w:tc>
        <w:tc>
          <w:tcPr>
            <w:tcW w:w="14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107,032</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102,598</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Wynn Resorts, Limited per common share, basic</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4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5.37</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7520" w:type="dxa"/>
            <w:vAlign w:val="bottom"/>
          </w:tcPr>
          <w:p>
            <w:pPr>
              <w:ind w:left="20"/>
              <w:spacing w:after="0"/>
              <w:rPr>
                <w:sz w:val="20"/>
                <w:szCs w:val="20"/>
                <w:color w:val="auto"/>
              </w:rPr>
            </w:pPr>
            <w:r>
              <w:rPr>
                <w:rFonts w:ascii="Arial" w:cs="Arial" w:eastAsia="Arial" w:hAnsi="Arial"/>
                <w:sz w:val="18"/>
                <w:szCs w:val="18"/>
                <w:color w:val="auto"/>
              </w:rPr>
              <w:t>Net income attributable to Wynn Resorts, Limited per common share, diluted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1.15</w:t>
            </w:r>
          </w:p>
        </w:tc>
        <w:tc>
          <w:tcPr>
            <w:tcW w:w="52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0"/>
        </w:trPr>
        <w:tc>
          <w:tcPr>
            <w:tcW w:w="75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5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tcPr>
          <w:p>
            <w:pPr>
              <w:ind w:left="20"/>
              <w:spacing w:after="0"/>
              <w:rPr>
                <w:sz w:val="20"/>
                <w:szCs w:val="20"/>
                <w:color w:val="auto"/>
              </w:rPr>
            </w:pPr>
            <w:r>
              <w:rPr>
                <w:rFonts w:ascii="Arial" w:cs="Arial" w:eastAsia="Arial" w:hAnsi="Arial"/>
                <w:sz w:val="18"/>
                <w:szCs w:val="18"/>
                <w:color w:val="auto"/>
              </w:rPr>
              <w:t>Anti-dilutive stock options, nonvested, and performance nonvested shares excluded from the</w:t>
            </w:r>
          </w:p>
        </w:tc>
        <w:tc>
          <w:tcPr>
            <w:tcW w:w="280" w:type="dxa"/>
            <w:vAlign w:val="bottom"/>
          </w:tcPr>
          <w:p>
            <w:pPr>
              <w:spacing w:after="0"/>
              <w:rPr>
                <w:sz w:val="19"/>
                <w:szCs w:val="1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277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vMerge w:val="restart"/>
          </w:tcPr>
          <w:p>
            <w:pPr>
              <w:jc w:val="right"/>
              <w:ind w:right="72"/>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vMerge w:val="restart"/>
          </w:tcPr>
          <w:p>
            <w:pPr>
              <w:jc w:val="right"/>
              <w:ind w:right="72"/>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30"/>
        </w:trPr>
        <w:tc>
          <w:tcPr>
            <w:tcW w:w="7520" w:type="dxa"/>
            <w:vAlign w:val="bottom"/>
          </w:tcPr>
          <w:p>
            <w:pPr>
              <w:ind w:left="20"/>
              <w:spacing w:after="0"/>
              <w:rPr>
                <w:sz w:val="20"/>
                <w:szCs w:val="20"/>
                <w:color w:val="auto"/>
              </w:rPr>
            </w:pPr>
            <w:r>
              <w:rPr>
                <w:rFonts w:ascii="Arial" w:cs="Arial" w:eastAsia="Arial" w:hAnsi="Arial"/>
                <w:sz w:val="18"/>
                <w:szCs w:val="18"/>
                <w:color w:val="auto"/>
              </w:rPr>
              <w:t>calculation of diluted net income per share</w:t>
            </w: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7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Leases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 Arrangements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balance sheet classification of the Company's lease assets and liabilities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3540" w:type="dxa"/>
            <w:vAlign w:val="bottom"/>
            <w:gridSpan w:val="2"/>
          </w:tcPr>
          <w:p>
            <w:pPr>
              <w:ind w:left="860"/>
              <w:spacing w:after="0"/>
              <w:rPr>
                <w:sz w:val="20"/>
                <w:szCs w:val="20"/>
                <w:color w:val="auto"/>
              </w:rPr>
            </w:pPr>
            <w:r>
              <w:rPr>
                <w:rFonts w:ascii="Arial" w:cs="Arial" w:eastAsia="Arial" w:hAnsi="Arial"/>
                <w:sz w:val="14"/>
                <w:szCs w:val="14"/>
                <w:b w:val="1"/>
                <w:bCs w:val="1"/>
                <w:color w:val="auto"/>
              </w:rPr>
              <w:t>Balance Sheet Classification</w:t>
            </w:r>
          </w:p>
        </w:tc>
        <w:tc>
          <w:tcPr>
            <w:tcW w:w="280" w:type="dxa"/>
            <w:vAlign w:val="bottom"/>
          </w:tcPr>
          <w:p>
            <w:pPr>
              <w:spacing w:after="0"/>
              <w:rPr>
                <w:sz w:val="16"/>
                <w:szCs w:val="16"/>
                <w:color w:val="auto"/>
              </w:rPr>
            </w:pPr>
          </w:p>
        </w:tc>
        <w:tc>
          <w:tcPr>
            <w:tcW w:w="1740" w:type="dxa"/>
            <w:vAlign w:val="bottom"/>
          </w:tcPr>
          <w:p>
            <w:pPr>
              <w:jc w:val="right"/>
              <w:ind w:right="333"/>
              <w:spacing w:after="0"/>
              <w:rPr>
                <w:sz w:val="20"/>
                <w:szCs w:val="20"/>
                <w:color w:val="auto"/>
              </w:rPr>
            </w:pPr>
            <w:r>
              <w:rPr>
                <w:rFonts w:ascii="Arial" w:cs="Arial" w:eastAsia="Arial" w:hAnsi="Arial"/>
                <w:sz w:val="14"/>
                <w:szCs w:val="14"/>
                <w:b w:val="1"/>
                <w:bCs w:val="1"/>
                <w:color w:val="auto"/>
              </w:rPr>
              <w:t>December 31, 2019</w:t>
            </w: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3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spacing w:after="0"/>
              <w:rPr>
                <w:sz w:val="19"/>
                <w:szCs w:val="19"/>
                <w:color w:val="auto"/>
              </w:rPr>
            </w:pPr>
          </w:p>
        </w:tc>
      </w:tr>
      <w:tr>
        <w:trPr>
          <w:trHeight w:val="27"/>
        </w:trPr>
        <w:tc>
          <w:tcPr>
            <w:tcW w:w="58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assets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452,919</w:t>
            </w:r>
          </w:p>
        </w:tc>
      </w:tr>
      <w:tr>
        <w:trPr>
          <w:trHeight w:val="243"/>
        </w:trPr>
        <w:tc>
          <w:tcPr>
            <w:tcW w:w="5860" w:type="dxa"/>
            <w:vAlign w:val="bottom"/>
          </w:tcPr>
          <w:p>
            <w:pPr>
              <w:ind w:left="20"/>
              <w:spacing w:after="0"/>
              <w:rPr>
                <w:sz w:val="20"/>
                <w:szCs w:val="20"/>
                <w:color w:val="auto"/>
              </w:rPr>
            </w:pPr>
            <w:r>
              <w:rPr>
                <w:rFonts w:ascii="Arial" w:cs="Arial" w:eastAsia="Arial" w:hAnsi="Arial"/>
                <w:sz w:val="18"/>
                <w:szCs w:val="18"/>
                <w:color w:val="auto"/>
              </w:rPr>
              <w:t>Finance leases</w:t>
            </w:r>
          </w:p>
        </w:tc>
        <w:tc>
          <w:tcPr>
            <w:tcW w:w="3540" w:type="dxa"/>
            <w:vAlign w:val="bottom"/>
            <w:gridSpan w:val="2"/>
          </w:tcPr>
          <w:p>
            <w:pPr>
              <w:ind w:left="20"/>
              <w:spacing w:after="0"/>
              <w:rPr>
                <w:sz w:val="20"/>
                <w:szCs w:val="20"/>
                <w:color w:val="auto"/>
              </w:rPr>
            </w:pPr>
            <w:r>
              <w:rPr>
                <w:rFonts w:ascii="Arial" w:cs="Arial" w:eastAsia="Arial" w:hAnsi="Arial"/>
                <w:sz w:val="18"/>
                <w:szCs w:val="18"/>
                <w:color w:val="auto"/>
              </w:rPr>
              <w:t>Property and equipment, net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73"/>
              <w:spacing w:after="0"/>
              <w:rPr>
                <w:sz w:val="20"/>
                <w:szCs w:val="20"/>
                <w:color w:val="auto"/>
              </w:rPr>
            </w:pPr>
            <w:r>
              <w:rPr>
                <w:rFonts w:ascii="Arial" w:cs="Arial" w:eastAsia="Arial" w:hAnsi="Arial"/>
                <w:sz w:val="18"/>
                <w:szCs w:val="18"/>
                <w:color w:val="auto"/>
              </w:rPr>
              <w:t>23,061</w:t>
            </w:r>
          </w:p>
        </w:tc>
      </w:tr>
      <w:tr>
        <w:trPr>
          <w:trHeight w:val="27"/>
        </w:trPr>
        <w:tc>
          <w:tcPr>
            <w:tcW w:w="58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16"/>
        </w:trPr>
        <w:tc>
          <w:tcPr>
            <w:tcW w:w="586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43"/>
        </w:trPr>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3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27"/>
        </w:trPr>
        <w:tc>
          <w:tcPr>
            <w:tcW w:w="58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accrued liabilities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18,893</w:t>
            </w:r>
          </w:p>
        </w:tc>
      </w:tr>
      <w:tr>
        <w:trPr>
          <w:trHeight w:val="243"/>
        </w:trPr>
        <w:tc>
          <w:tcPr>
            <w:tcW w:w="5860" w:type="dxa"/>
            <w:vAlign w:val="bottom"/>
          </w:tcPr>
          <w:p>
            <w:pPr>
              <w:ind w:left="20"/>
              <w:spacing w:after="0"/>
              <w:rPr>
                <w:sz w:val="20"/>
                <w:szCs w:val="20"/>
                <w:color w:val="auto"/>
              </w:rPr>
            </w:pPr>
            <w:r>
              <w:rPr>
                <w:rFonts w:ascii="Arial" w:cs="Arial" w:eastAsia="Arial" w:hAnsi="Arial"/>
                <w:sz w:val="18"/>
                <w:szCs w:val="18"/>
                <w:color w:val="auto"/>
              </w:rPr>
              <w:t>Finance leases</w:t>
            </w:r>
          </w:p>
        </w:tc>
        <w:tc>
          <w:tcPr>
            <w:tcW w:w="3540" w:type="dxa"/>
            <w:vAlign w:val="bottom"/>
            <w:gridSpan w:val="2"/>
          </w:tcPr>
          <w:p>
            <w:pPr>
              <w:ind w:left="20"/>
              <w:spacing w:after="0"/>
              <w:rPr>
                <w:sz w:val="20"/>
                <w:szCs w:val="20"/>
                <w:color w:val="auto"/>
              </w:rPr>
            </w:pPr>
            <w:r>
              <w:rPr>
                <w:rFonts w:ascii="Arial" w:cs="Arial" w:eastAsia="Arial" w:hAnsi="Arial"/>
                <w:sz w:val="18"/>
                <w:szCs w:val="18"/>
                <w:color w:val="auto"/>
              </w:rPr>
              <w:t>Other accrued liabilities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73"/>
              <w:spacing w:after="0"/>
              <w:rPr>
                <w:sz w:val="20"/>
                <w:szCs w:val="20"/>
                <w:color w:val="auto"/>
              </w:rPr>
            </w:pPr>
            <w:r>
              <w:rPr>
                <w:rFonts w:ascii="Arial" w:cs="Arial" w:eastAsia="Arial" w:hAnsi="Arial"/>
                <w:sz w:val="18"/>
                <w:szCs w:val="18"/>
                <w:color w:val="auto"/>
              </w:rPr>
              <w:t>164</w:t>
            </w:r>
          </w:p>
        </w:tc>
      </w:tr>
      <w:tr>
        <w:trPr>
          <w:trHeight w:val="27"/>
        </w:trPr>
        <w:tc>
          <w:tcPr>
            <w:tcW w:w="58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5860" w:type="dxa"/>
            <w:vAlign w:val="bottom"/>
            <w:shd w:val="clear" w:color="auto" w:fill="CCEEFF"/>
          </w:tcPr>
          <w:p>
            <w:pPr>
              <w:spacing w:after="0"/>
              <w:rPr>
                <w:sz w:val="23"/>
                <w:szCs w:val="23"/>
                <w:color w:val="auto"/>
              </w:rPr>
            </w:pPr>
          </w:p>
        </w:tc>
        <w:tc>
          <w:tcPr>
            <w:tcW w:w="3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r>
      <w:tr>
        <w:trPr>
          <w:trHeight w:val="243"/>
        </w:trPr>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Non-current liabilities</w:t>
            </w:r>
          </w:p>
        </w:tc>
        <w:tc>
          <w:tcPr>
            <w:tcW w:w="3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27"/>
        </w:trPr>
        <w:tc>
          <w:tcPr>
            <w:tcW w:w="58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Long-term operating lease liabilities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159,182</w:t>
            </w:r>
          </w:p>
        </w:tc>
      </w:tr>
      <w:tr>
        <w:trPr>
          <w:trHeight w:val="243"/>
        </w:trPr>
        <w:tc>
          <w:tcPr>
            <w:tcW w:w="5860" w:type="dxa"/>
            <w:vAlign w:val="bottom"/>
          </w:tcPr>
          <w:p>
            <w:pPr>
              <w:ind w:left="20"/>
              <w:spacing w:after="0"/>
              <w:rPr>
                <w:sz w:val="20"/>
                <w:szCs w:val="20"/>
                <w:color w:val="auto"/>
              </w:rPr>
            </w:pPr>
            <w:r>
              <w:rPr>
                <w:rFonts w:ascii="Arial" w:cs="Arial" w:eastAsia="Arial" w:hAnsi="Arial"/>
                <w:sz w:val="18"/>
                <w:szCs w:val="18"/>
                <w:color w:val="auto"/>
              </w:rPr>
              <w:t>Finance leases</w:t>
            </w:r>
          </w:p>
        </w:tc>
        <w:tc>
          <w:tcPr>
            <w:tcW w:w="3540" w:type="dxa"/>
            <w:vAlign w:val="bottom"/>
            <w:gridSpan w:val="2"/>
          </w:tcPr>
          <w:p>
            <w:pPr>
              <w:ind w:left="20"/>
              <w:spacing w:after="0"/>
              <w:rPr>
                <w:sz w:val="20"/>
                <w:szCs w:val="20"/>
                <w:color w:val="auto"/>
              </w:rPr>
            </w:pPr>
            <w:r>
              <w:rPr>
                <w:rFonts w:ascii="Arial" w:cs="Arial" w:eastAsia="Arial" w:hAnsi="Arial"/>
                <w:sz w:val="18"/>
                <w:szCs w:val="18"/>
                <w:color w:val="auto"/>
              </w:rPr>
              <w:t>Other long-term liabilities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73"/>
              <w:spacing w:after="0"/>
              <w:rPr>
                <w:sz w:val="20"/>
                <w:szCs w:val="20"/>
                <w:color w:val="auto"/>
              </w:rPr>
            </w:pPr>
            <w:r>
              <w:rPr>
                <w:rFonts w:ascii="Arial" w:cs="Arial" w:eastAsia="Arial" w:hAnsi="Arial"/>
                <w:sz w:val="18"/>
                <w:szCs w:val="18"/>
                <w:color w:val="auto"/>
              </w:rPr>
              <w:t>17,759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00" w:name="page101"/>
    <w:bookmarkEnd w:id="10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tables disclose the components of the Company's lease cost, supplemental cash flow disclosures, and other information regarding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Company's lease arrangements (dollars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Year ended</w:t>
            </w:r>
          </w:p>
        </w:tc>
        <w:tc>
          <w:tcPr>
            <w:tcW w:w="0" w:type="dxa"/>
            <w:vAlign w:val="bottom"/>
          </w:tcPr>
          <w:p>
            <w:pPr>
              <w:spacing w:after="0"/>
              <w:rPr>
                <w:sz w:val="1"/>
                <w:szCs w:val="1"/>
                <w:color w:val="auto"/>
              </w:rPr>
            </w:pPr>
          </w:p>
        </w:tc>
      </w:tr>
      <w:tr>
        <w:trPr>
          <w:trHeight w:val="192"/>
        </w:trPr>
        <w:tc>
          <w:tcPr>
            <w:tcW w:w="7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December 31, 2019</w:t>
            </w:r>
          </w:p>
        </w:tc>
        <w:tc>
          <w:tcPr>
            <w:tcW w:w="0" w:type="dxa"/>
            <w:vAlign w:val="bottom"/>
          </w:tcPr>
          <w:p>
            <w:pPr>
              <w:spacing w:after="0"/>
              <w:rPr>
                <w:sz w:val="1"/>
                <w:szCs w:val="1"/>
                <w:color w:val="auto"/>
              </w:rPr>
            </w:pPr>
          </w:p>
        </w:tc>
      </w:tr>
      <w:tr>
        <w:trPr>
          <w:trHeight w:val="230"/>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Lease cost:</w:t>
            </w: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33,126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Short-term lease cost</w:t>
            </w: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tcPr>
          <w:p>
            <w:pPr>
              <w:jc w:val="right"/>
              <w:ind w:right="53"/>
              <w:spacing w:after="0"/>
              <w:rPr>
                <w:sz w:val="20"/>
                <w:szCs w:val="20"/>
                <w:color w:val="auto"/>
              </w:rPr>
            </w:pPr>
            <w:r>
              <w:rPr>
                <w:rFonts w:ascii="Arial" w:cs="Arial" w:eastAsia="Arial" w:hAnsi="Arial"/>
                <w:sz w:val="18"/>
                <w:szCs w:val="18"/>
                <w:color w:val="auto"/>
              </w:rPr>
              <w:t>24,634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leasehold interests in land</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13,373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tcPr>
          <w:p>
            <w:pPr>
              <w:jc w:val="right"/>
              <w:ind w:right="53"/>
              <w:spacing w:after="0"/>
              <w:rPr>
                <w:sz w:val="20"/>
                <w:szCs w:val="20"/>
                <w:color w:val="auto"/>
              </w:rPr>
            </w:pPr>
            <w:r>
              <w:rPr>
                <w:rFonts w:ascii="Arial" w:cs="Arial" w:eastAsia="Arial" w:hAnsi="Arial"/>
                <w:sz w:val="18"/>
                <w:szCs w:val="18"/>
                <w:color w:val="auto"/>
              </w:rPr>
              <w:t>1,487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Finance lease interest cost</w:t>
            </w: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1,058</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Total lease cost</w:t>
            </w:r>
          </w:p>
        </w:tc>
        <w:tc>
          <w:tcPr>
            <w:tcW w:w="2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60" w:type="dxa"/>
            <w:vAlign w:val="bottom"/>
            <w:tcBorders>
              <w:top w:val="single" w:sz="8" w:color="auto"/>
              <w:bottom w:val="single" w:sz="8" w:color="auto"/>
            </w:tcBorders>
          </w:tcPr>
          <w:p>
            <w:pPr>
              <w:spacing w:after="0"/>
              <w:rPr>
                <w:sz w:val="22"/>
                <w:szCs w:val="22"/>
                <w:color w:val="auto"/>
              </w:rPr>
            </w:pPr>
          </w:p>
        </w:tc>
        <w:tc>
          <w:tcPr>
            <w:tcW w:w="160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73,678</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7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4"/>
        </w:trPr>
        <w:tc>
          <w:tcPr>
            <w:tcW w:w="7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Year ended</w:t>
            </w:r>
          </w:p>
        </w:tc>
        <w:tc>
          <w:tcPr>
            <w:tcW w:w="0" w:type="dxa"/>
            <w:vAlign w:val="bottom"/>
          </w:tcPr>
          <w:p>
            <w:pPr>
              <w:spacing w:after="0"/>
              <w:rPr>
                <w:sz w:val="1"/>
                <w:szCs w:val="1"/>
                <w:color w:val="auto"/>
              </w:rPr>
            </w:pPr>
          </w:p>
        </w:tc>
      </w:tr>
      <w:tr>
        <w:trPr>
          <w:trHeight w:val="192"/>
        </w:trPr>
        <w:tc>
          <w:tcPr>
            <w:tcW w:w="7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December 31, 2019</w:t>
            </w:r>
          </w:p>
        </w:tc>
        <w:tc>
          <w:tcPr>
            <w:tcW w:w="0" w:type="dxa"/>
            <w:vAlign w:val="bottom"/>
          </w:tcPr>
          <w:p>
            <w:pPr>
              <w:spacing w:after="0"/>
              <w:rPr>
                <w:sz w:val="1"/>
                <w:szCs w:val="1"/>
                <w:color w:val="auto"/>
              </w:rPr>
            </w:pPr>
          </w:p>
        </w:tc>
      </w:tr>
      <w:tr>
        <w:trPr>
          <w:trHeight w:val="230"/>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Supplemental cash flow disclosures:</w:t>
            </w: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liabilities arising from obtaining operating lease assets</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45,435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Finance lease liabilities arising from obtaining finance lease assets</w:t>
            </w: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21"/>
                <w:szCs w:val="21"/>
                <w:color w:val="auto"/>
              </w:rPr>
            </w:pPr>
          </w:p>
        </w:tc>
        <w:tc>
          <w:tcPr>
            <w:tcW w:w="1600" w:type="dxa"/>
            <w:vAlign w:val="bottom"/>
          </w:tcPr>
          <w:p>
            <w:pPr>
              <w:jc w:val="right"/>
              <w:ind w:right="73"/>
              <w:spacing w:after="0"/>
              <w:rPr>
                <w:sz w:val="20"/>
                <w:szCs w:val="20"/>
                <w:color w:val="auto"/>
              </w:rPr>
            </w:pPr>
            <w:r>
              <w:rPr>
                <w:rFonts w:ascii="Arial" w:cs="Arial" w:eastAsia="Arial" w:hAnsi="Arial"/>
                <w:sz w:val="18"/>
                <w:szCs w:val="18"/>
                <w:color w:val="auto"/>
              </w:rPr>
              <w:t>1,413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40" w:type="dxa"/>
            <w:vAlign w:val="bottom"/>
          </w:tcPr>
          <w:p>
            <w:pPr>
              <w:ind w:left="120"/>
              <w:spacing w:after="0"/>
              <w:rPr>
                <w:sz w:val="20"/>
                <w:szCs w:val="20"/>
                <w:color w:val="auto"/>
              </w:rPr>
            </w:pPr>
            <w:r>
              <w:rPr>
                <w:rFonts w:ascii="Arial" w:cs="Arial" w:eastAsia="Arial" w:hAnsi="Arial"/>
                <w:sz w:val="18"/>
                <w:szCs w:val="18"/>
                <w:color w:val="auto"/>
              </w:rPr>
              <w:t>Cash used in operating activities - Operating leases</w:t>
            </w: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21"/>
                <w:szCs w:val="21"/>
                <w:color w:val="auto"/>
              </w:rPr>
            </w:pPr>
          </w:p>
        </w:tc>
        <w:tc>
          <w:tcPr>
            <w:tcW w:w="1600" w:type="dxa"/>
            <w:vAlign w:val="bottom"/>
          </w:tcPr>
          <w:p>
            <w:pPr>
              <w:jc w:val="right"/>
              <w:ind w:right="73"/>
              <w:spacing w:after="0"/>
              <w:rPr>
                <w:sz w:val="20"/>
                <w:szCs w:val="20"/>
                <w:color w:val="auto"/>
              </w:rPr>
            </w:pPr>
            <w:r>
              <w:rPr>
                <w:rFonts w:ascii="Arial" w:cs="Arial" w:eastAsia="Arial" w:hAnsi="Arial"/>
                <w:sz w:val="18"/>
                <w:szCs w:val="18"/>
                <w:color w:val="auto"/>
              </w:rPr>
              <w:t>30,409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Cash used in financing activities - Finance leases</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4"/>
        </w:trPr>
        <w:tc>
          <w:tcPr>
            <w:tcW w:w="7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30"/>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Other information:</w:t>
            </w: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 Operating leases</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 years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Weighted-average remaining lease term - Finance leases</w:t>
            </w: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42.8 years</w:t>
            </w: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Weighted-average discount rate - Operating leases</w:t>
            </w: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6.4 %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discount rate - Finance leases</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7"/>
        </w:trPr>
        <w:tc>
          <w:tcPr>
            <w:tcW w:w="9540" w:type="dxa"/>
            <w:vAlign w:val="bottom"/>
            <w:gridSpan w:val="5"/>
          </w:tcPr>
          <w:p>
            <w:pPr>
              <w:ind w:left="420"/>
              <w:spacing w:after="0"/>
              <w:rPr>
                <w:sz w:val="20"/>
                <w:szCs w:val="20"/>
                <w:color w:val="auto"/>
              </w:rPr>
            </w:pPr>
            <w:r>
              <w:rPr>
                <w:rFonts w:ascii="Arial" w:cs="Arial" w:eastAsia="Arial" w:hAnsi="Arial"/>
                <w:sz w:val="18"/>
                <w:szCs w:val="18"/>
                <w:color w:val="auto"/>
              </w:rPr>
              <w:t>The following table presents an analysis of lease liability maturities as of December 31, 2019 (in thousands):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7"/>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Years Ending December 31,</w:t>
            </w:r>
          </w:p>
        </w:tc>
        <w:tc>
          <w:tcPr>
            <w:tcW w:w="2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Operating Leases</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Finance Leases</w:t>
            </w:r>
          </w:p>
        </w:tc>
        <w:tc>
          <w:tcPr>
            <w:tcW w:w="0" w:type="dxa"/>
            <w:vAlign w:val="bottom"/>
          </w:tcPr>
          <w:p>
            <w:pPr>
              <w:spacing w:after="0"/>
              <w:rPr>
                <w:sz w:val="1"/>
                <w:szCs w:val="1"/>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27,908</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1,203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25,343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tcPr>
          <w:p>
            <w:pPr>
              <w:jc w:val="right"/>
              <w:ind w:right="53"/>
              <w:spacing w:after="0"/>
              <w:rPr>
                <w:sz w:val="20"/>
                <w:szCs w:val="20"/>
                <w:color w:val="auto"/>
              </w:rPr>
            </w:pPr>
            <w:r>
              <w:rPr>
                <w:rFonts w:ascii="Arial" w:cs="Arial" w:eastAsia="Arial" w:hAnsi="Arial"/>
                <w:sz w:val="18"/>
                <w:szCs w:val="18"/>
                <w:color w:val="auto"/>
              </w:rPr>
              <w:t>1,203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22,388</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1,203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20,036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tcPr>
          <w:p>
            <w:pPr>
              <w:jc w:val="right"/>
              <w:ind w:right="53"/>
              <w:spacing w:after="0"/>
              <w:rPr>
                <w:sz w:val="20"/>
                <w:szCs w:val="20"/>
                <w:color w:val="auto"/>
              </w:rPr>
            </w:pPr>
            <w:r>
              <w:rPr>
                <w:rFonts w:ascii="Arial" w:cs="Arial" w:eastAsia="Arial" w:hAnsi="Arial"/>
                <w:sz w:val="18"/>
                <w:szCs w:val="18"/>
                <w:color w:val="auto"/>
              </w:rPr>
              <w:t>1,203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16,570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1,203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464,903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tcPr>
          <w:p>
            <w:pPr>
              <w:jc w:val="right"/>
              <w:ind w:right="53"/>
              <w:spacing w:after="0"/>
              <w:rPr>
                <w:sz w:val="20"/>
                <w:szCs w:val="20"/>
                <w:color w:val="auto"/>
              </w:rPr>
            </w:pPr>
            <w:r>
              <w:rPr>
                <w:rFonts w:ascii="Arial" w:cs="Arial" w:eastAsia="Arial" w:hAnsi="Arial"/>
                <w:sz w:val="18"/>
                <w:szCs w:val="18"/>
                <w:color w:val="auto"/>
              </w:rPr>
              <w:t>66,287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undiscounted cash flows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577,148</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72,302</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Present value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7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Short-term lease liabilities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18,893</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164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40" w:type="dxa"/>
            <w:vAlign w:val="bottom"/>
          </w:tcPr>
          <w:p>
            <w:pPr>
              <w:ind w:left="120"/>
              <w:spacing w:after="0"/>
              <w:rPr>
                <w:sz w:val="20"/>
                <w:szCs w:val="20"/>
                <w:color w:val="auto"/>
              </w:rPr>
            </w:pPr>
            <w:r>
              <w:rPr>
                <w:rFonts w:ascii="Arial" w:cs="Arial" w:eastAsia="Arial" w:hAnsi="Arial"/>
                <w:sz w:val="18"/>
                <w:szCs w:val="18"/>
                <w:color w:val="auto"/>
              </w:rPr>
              <w:t>Long-term lease liabilities</w:t>
            </w: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159,182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tcPr>
          <w:p>
            <w:pPr>
              <w:jc w:val="right"/>
              <w:ind w:right="53"/>
              <w:spacing w:after="0"/>
              <w:rPr>
                <w:sz w:val="20"/>
                <w:szCs w:val="20"/>
                <w:color w:val="auto"/>
              </w:rPr>
            </w:pPr>
            <w:r>
              <w:rPr>
                <w:rFonts w:ascii="Arial" w:cs="Arial" w:eastAsia="Arial" w:hAnsi="Arial"/>
                <w:sz w:val="18"/>
                <w:szCs w:val="18"/>
                <w:color w:val="auto"/>
              </w:rPr>
              <w:t>17,759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lease liabilities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178,075</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17,923</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Interest on lease liabilities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399,073</w:t>
            </w: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60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54,379</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2720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01" w:name="page102"/>
    <w:bookmarkEnd w:id="10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As of December 31, 2018, the Company was obligated under non-cancelable leases to make future minimum lease payments as follows (in thousands):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40" w:type="dxa"/>
            <w:vAlign w:val="bottom"/>
          </w:tcPr>
          <w:p>
            <w:pPr>
              <w:ind w:left="20"/>
              <w:spacing w:after="0"/>
              <w:rPr>
                <w:sz w:val="20"/>
                <w:szCs w:val="20"/>
                <w:color w:val="auto"/>
              </w:rPr>
            </w:pPr>
            <w:r>
              <w:rPr>
                <w:rFonts w:ascii="Arial" w:cs="Arial" w:eastAsia="Arial" w:hAnsi="Arial"/>
                <w:sz w:val="14"/>
                <w:szCs w:val="14"/>
                <w:b w:val="1"/>
                <w:bCs w:val="1"/>
                <w:color w:val="auto"/>
              </w:rPr>
              <w:t>Years Ending December 31,</w:t>
            </w:r>
          </w:p>
        </w:tc>
        <w:tc>
          <w:tcPr>
            <w:tcW w:w="240" w:type="dxa"/>
            <w:vAlign w:val="bottom"/>
          </w:tcPr>
          <w:p>
            <w:pPr>
              <w:spacing w:after="0"/>
              <w:rPr>
                <w:sz w:val="16"/>
                <w:szCs w:val="16"/>
                <w:color w:val="auto"/>
              </w:rPr>
            </w:pPr>
          </w:p>
        </w:tc>
        <w:tc>
          <w:tcPr>
            <w:tcW w:w="1660" w:type="dxa"/>
            <w:vAlign w:val="bottom"/>
            <w:gridSpan w:val="2"/>
          </w:tcPr>
          <w:p>
            <w:pPr>
              <w:ind w:left="120"/>
              <w:spacing w:after="0"/>
              <w:rPr>
                <w:sz w:val="20"/>
                <w:szCs w:val="20"/>
                <w:color w:val="auto"/>
              </w:rPr>
            </w:pPr>
            <w:r>
              <w:rPr>
                <w:rFonts w:ascii="Arial" w:cs="Arial" w:eastAsia="Arial" w:hAnsi="Arial"/>
                <w:sz w:val="14"/>
                <w:szCs w:val="14"/>
                <w:b w:val="1"/>
                <w:bCs w:val="1"/>
                <w:color w:val="auto"/>
              </w:rPr>
              <w:t>Operating Leases</w:t>
            </w:r>
          </w:p>
        </w:tc>
        <w:tc>
          <w:tcPr>
            <w:tcW w:w="280" w:type="dxa"/>
            <w:vAlign w:val="bottom"/>
          </w:tcPr>
          <w:p>
            <w:pPr>
              <w:spacing w:after="0"/>
              <w:rPr>
                <w:sz w:val="16"/>
                <w:szCs w:val="16"/>
                <w:color w:val="auto"/>
              </w:rPr>
            </w:pPr>
          </w:p>
        </w:tc>
        <w:tc>
          <w:tcPr>
            <w:tcW w:w="1500" w:type="dxa"/>
            <w:vAlign w:val="bottom"/>
          </w:tcPr>
          <w:p>
            <w:pPr>
              <w:jc w:val="right"/>
              <w:ind w:right="352"/>
              <w:spacing w:after="0"/>
              <w:rPr>
                <w:sz w:val="20"/>
                <w:szCs w:val="20"/>
                <w:color w:val="auto"/>
              </w:rPr>
            </w:pPr>
            <w:r>
              <w:rPr>
                <w:rFonts w:ascii="Arial" w:cs="Arial" w:eastAsia="Arial" w:hAnsi="Arial"/>
                <w:sz w:val="14"/>
                <w:szCs w:val="14"/>
                <w:b w:val="1"/>
                <w:bCs w:val="1"/>
                <w:color w:val="auto"/>
              </w:rPr>
              <w:t>Capital Leases</w:t>
            </w:r>
          </w:p>
        </w:tc>
      </w:tr>
      <w:tr>
        <w:trPr>
          <w:trHeight w:val="250"/>
        </w:trPr>
        <w:tc>
          <w:tcPr>
            <w:tcW w:w="7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29,126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989</w:t>
            </w: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21"/>
                <w:szCs w:val="21"/>
                <w:color w:val="auto"/>
              </w:rPr>
            </w:pPr>
          </w:p>
        </w:tc>
        <w:tc>
          <w:tcPr>
            <w:tcW w:w="1540" w:type="dxa"/>
            <w:vAlign w:val="bottom"/>
          </w:tcPr>
          <w:p>
            <w:pPr>
              <w:jc w:val="right"/>
              <w:ind w:right="52"/>
              <w:spacing w:after="0"/>
              <w:rPr>
                <w:sz w:val="20"/>
                <w:szCs w:val="20"/>
                <w:color w:val="auto"/>
              </w:rPr>
            </w:pPr>
            <w:r>
              <w:rPr>
                <w:rFonts w:ascii="Arial" w:cs="Arial" w:eastAsia="Arial" w:hAnsi="Arial"/>
                <w:sz w:val="18"/>
                <w:szCs w:val="18"/>
                <w:color w:val="auto"/>
              </w:rPr>
              <w:t>20,153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00" w:type="dxa"/>
            <w:vAlign w:val="bottom"/>
          </w:tcPr>
          <w:p>
            <w:pPr>
              <w:jc w:val="right"/>
              <w:ind w:right="72"/>
              <w:spacing w:after="0"/>
              <w:rPr>
                <w:sz w:val="20"/>
                <w:szCs w:val="20"/>
                <w:color w:val="auto"/>
              </w:rPr>
            </w:pPr>
            <w:r>
              <w:rPr>
                <w:rFonts w:ascii="Arial" w:cs="Arial" w:eastAsia="Arial" w:hAnsi="Arial"/>
                <w:sz w:val="18"/>
                <w:szCs w:val="18"/>
                <w:color w:val="auto"/>
              </w:rPr>
              <w:t>989</w:t>
            </w:r>
          </w:p>
        </w:tc>
      </w:tr>
      <w:tr>
        <w:trPr>
          <w:trHeight w:val="27"/>
        </w:trPr>
        <w:tc>
          <w:tcPr>
            <w:tcW w:w="7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17,226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989</w:t>
            </w: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21"/>
                <w:szCs w:val="21"/>
                <w:color w:val="auto"/>
              </w:rPr>
            </w:pPr>
          </w:p>
        </w:tc>
        <w:tc>
          <w:tcPr>
            <w:tcW w:w="1540" w:type="dxa"/>
            <w:vAlign w:val="bottom"/>
          </w:tcPr>
          <w:p>
            <w:pPr>
              <w:jc w:val="right"/>
              <w:ind w:right="52"/>
              <w:spacing w:after="0"/>
              <w:rPr>
                <w:sz w:val="20"/>
                <w:szCs w:val="20"/>
                <w:color w:val="auto"/>
              </w:rPr>
            </w:pPr>
            <w:r>
              <w:rPr>
                <w:rFonts w:ascii="Arial" w:cs="Arial" w:eastAsia="Arial" w:hAnsi="Arial"/>
                <w:sz w:val="18"/>
                <w:szCs w:val="18"/>
                <w:color w:val="auto"/>
              </w:rPr>
              <w:t>16,466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00" w:type="dxa"/>
            <w:vAlign w:val="bottom"/>
          </w:tcPr>
          <w:p>
            <w:pPr>
              <w:jc w:val="right"/>
              <w:ind w:right="72"/>
              <w:spacing w:after="0"/>
              <w:rPr>
                <w:sz w:val="20"/>
                <w:szCs w:val="20"/>
                <w:color w:val="auto"/>
              </w:rPr>
            </w:pPr>
            <w:r>
              <w:rPr>
                <w:rFonts w:ascii="Arial" w:cs="Arial" w:eastAsia="Arial" w:hAnsi="Arial"/>
                <w:sz w:val="18"/>
                <w:szCs w:val="18"/>
                <w:color w:val="auto"/>
              </w:rPr>
              <w:t>989</w:t>
            </w:r>
          </w:p>
        </w:tc>
      </w:tr>
      <w:tr>
        <w:trPr>
          <w:trHeight w:val="27"/>
        </w:trPr>
        <w:tc>
          <w:tcPr>
            <w:tcW w:w="7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15,868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989</w:t>
            </w: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540" w:type="dxa"/>
            <w:vAlign w:val="bottom"/>
          </w:tcPr>
          <w:p>
            <w:pPr>
              <w:jc w:val="right"/>
              <w:ind w:right="52"/>
              <w:spacing w:after="0"/>
              <w:rPr>
                <w:sz w:val="20"/>
                <w:szCs w:val="20"/>
                <w:color w:val="auto"/>
              </w:rPr>
            </w:pPr>
            <w:r>
              <w:rPr>
                <w:rFonts w:ascii="Arial" w:cs="Arial" w:eastAsia="Arial" w:hAnsi="Arial"/>
                <w:sz w:val="18"/>
                <w:szCs w:val="18"/>
                <w:color w:val="auto"/>
              </w:rPr>
              <w:t>464,838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00" w:type="dxa"/>
            <w:vAlign w:val="bottom"/>
          </w:tcPr>
          <w:p>
            <w:pPr>
              <w:jc w:val="right"/>
              <w:ind w:right="72"/>
              <w:spacing w:after="0"/>
              <w:rPr>
                <w:sz w:val="20"/>
                <w:szCs w:val="20"/>
                <w:color w:val="auto"/>
              </w:rPr>
            </w:pPr>
            <w:r>
              <w:rPr>
                <w:rFonts w:ascii="Arial" w:cs="Arial" w:eastAsia="Arial" w:hAnsi="Arial"/>
                <w:sz w:val="18"/>
                <w:szCs w:val="18"/>
                <w:color w:val="auto"/>
              </w:rPr>
              <w:t>66,743</w:t>
            </w:r>
          </w:p>
        </w:tc>
      </w:tr>
      <w:tr>
        <w:trPr>
          <w:trHeight w:val="27"/>
        </w:trPr>
        <w:tc>
          <w:tcPr>
            <w:tcW w:w="7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4"/>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minimum lease payments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563,677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5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71,688</w:t>
            </w: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Less: Amount representing interest</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5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(55,140)</w:t>
            </w:r>
          </w:p>
        </w:tc>
      </w:tr>
      <w:tr>
        <w:trPr>
          <w:trHeight w:val="27"/>
        </w:trPr>
        <w:tc>
          <w:tcPr>
            <w:tcW w:w="7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77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563,677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5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16,548</w:t>
            </w:r>
          </w:p>
        </w:tc>
      </w:tr>
      <w:tr>
        <w:trPr>
          <w:trHeight w:val="20"/>
        </w:trPr>
        <w:tc>
          <w:tcPr>
            <w:tcW w:w="77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Ground Leases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Undeveloped Land - Las Vegas</w:t>
      </w:r>
    </w:p>
    <w:p>
      <w:pPr>
        <w:spacing w:after="0" w:line="225"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The Company leases approximately 16 acres of undeveloped land on Las Vegas Boulevard directly across from Wynn Las Vegas in Las Vegas, Nevada, pursuant to a lease agreement which expires in 2097. The ground lease payments, which increase at a fixed rate over the term of the lease, are $3.8 million per year until 2023 and total payments of $367.8 million thereafter. As of December 31, 2019, the liability associated with this lease was $62.6 million.</w:t>
      </w:r>
    </w:p>
    <w:p>
      <w:pPr>
        <w:spacing w:after="0" w:line="17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At December 31, 2019, operating lease assets included approximately $87.0 million related to an amount allocated to the leasehold interest in land upon the acquisition of a group of assets in 2018. The Company expects that the amortization of this amount will be $1.1 million each year from 2020 through 2096 and $0.7 million in 2097.</w:t>
      </w:r>
    </w:p>
    <w:p>
      <w:pPr>
        <w:spacing w:after="0" w:line="20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Macau Land Concessions</w:t>
      </w:r>
    </w:p>
    <w:p>
      <w:pPr>
        <w:spacing w:after="0" w:line="25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Wynn Palace and Wynn Macau were built on land that is leased under Macau land concession contracts each with terms of 25 years from May 2012 and August 2004, respectively, which may be renewed with government approval for successive 10-year periods in accordance with Macau legislation. The land concession payments are expected to be $1.6 million per year through 2024 and total payments of $15.5 million thereafter through 2037. At December 31, 2019, the total liability associated with these leases was $16.0 million.</w:t>
      </w:r>
    </w:p>
    <w:p>
      <w:pPr>
        <w:spacing w:after="0" w:line="21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At December 31, 2019, operating lease assets included $188.6 million of leasehold interests in land related to the Wynn Palace and Wynn Macau land concessions. The Company expects that the amortization associated with these leasehold interests will be approximately $12.2 million per year from 2020 through 2028 and approximately $9.3 million per year thereafter through 2037.</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 Expense</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Rent expense for the years ended December 31, 2018 and 2017 was $27.1 million and $18.3 million, respectively.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Arrangements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minimum and contingent operating lease income for the periods presented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w w:val="91"/>
              </w:rPr>
              <w:t>Years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96"/>
        </w:trPr>
        <w:tc>
          <w:tcPr>
            <w:tcW w:w="68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r>
      <w:tr>
        <w:trPr>
          <w:trHeight w:val="25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Minimum rental income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136,612</w:t>
            </w:r>
          </w:p>
        </w:tc>
        <w:tc>
          <w:tcPr>
            <w:tcW w:w="5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126,192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122,016</w:t>
            </w:r>
          </w:p>
        </w:tc>
      </w:tr>
      <w:tr>
        <w:trPr>
          <w:trHeight w:val="243"/>
        </w:trPr>
        <w:tc>
          <w:tcPr>
            <w:tcW w:w="6860" w:type="dxa"/>
            <w:vAlign w:val="bottom"/>
          </w:tcPr>
          <w:p>
            <w:pPr>
              <w:ind w:left="20"/>
              <w:spacing w:after="0"/>
              <w:rPr>
                <w:sz w:val="20"/>
                <w:szCs w:val="20"/>
                <w:color w:val="auto"/>
              </w:rPr>
            </w:pPr>
            <w:r>
              <w:rPr>
                <w:rFonts w:ascii="Arial" w:cs="Arial" w:eastAsia="Arial" w:hAnsi="Arial"/>
                <w:sz w:val="18"/>
                <w:szCs w:val="18"/>
                <w:color w:val="auto"/>
              </w:rPr>
              <w:t>Contingent rental income</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57,807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52,347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35,696</w:t>
            </w:r>
          </w:p>
        </w:tc>
      </w:tr>
      <w:tr>
        <w:trPr>
          <w:trHeight w:val="27"/>
        </w:trPr>
        <w:tc>
          <w:tcPr>
            <w:tcW w:w="6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4"/>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rental income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194,419</w:t>
            </w:r>
          </w:p>
        </w:tc>
        <w:tc>
          <w:tcPr>
            <w:tcW w:w="5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178,539</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157,712</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2720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02" w:name="page103"/>
    <w:bookmarkEnd w:id="102"/>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bl>
      <w:tblPr>
        <w:tblLayout w:type="fixed"/>
        <w:tblInd w:w="0" w:type="dxa"/>
        <w:tblCellMar>
          <w:top w:w="0" w:type="dxa"/>
          <w:left w:w="0" w:type="dxa"/>
          <w:bottom w:w="0" w:type="dxa"/>
          <w:right w:w="0" w:type="dxa"/>
        </w:tblCellMar>
      </w:tblPr>
      <w:tr>
        <w:trPr>
          <w:trHeight w:val="205"/>
        </w:trPr>
        <w:tc>
          <w:tcPr>
            <w:tcW w:w="1020" w:type="dxa"/>
            <w:vAlign w:val="bottom"/>
            <w:tcBorders>
              <w:top w:val="single" w:sz="8" w:color="0000FF"/>
            </w:tcBorders>
          </w:tcPr>
          <w:p>
            <w:pPr>
              <w:spacing w:after="0"/>
              <w:rPr>
                <w:sz w:val="17"/>
                <w:szCs w:val="17"/>
                <w:color w:val="auto"/>
              </w:rPr>
            </w:pPr>
          </w:p>
        </w:tc>
        <w:tc>
          <w:tcPr>
            <w:tcW w:w="8520" w:type="dxa"/>
            <w:vAlign w:val="bottom"/>
          </w:tcPr>
          <w:p>
            <w:pPr>
              <w:jc w:val="center"/>
              <w:ind w:left="770"/>
              <w:spacing w:after="0" w:line="205" w:lineRule="exact"/>
              <w:rPr>
                <w:sz w:val="20"/>
                <w:szCs w:val="20"/>
                <w:color w:val="auto"/>
              </w:rPr>
            </w:pPr>
            <w:r>
              <w:rPr>
                <w:rFonts w:ascii="Arial" w:cs="Arial" w:eastAsia="Arial" w:hAnsi="Arial"/>
                <w:sz w:val="18"/>
                <w:szCs w:val="18"/>
                <w:b w:val="1"/>
                <w:bCs w:val="1"/>
                <w:color w:val="auto"/>
              </w:rPr>
              <w:t>WYNN RESORTS, LIMITED AND SUBSIDIARIES</w:t>
            </w:r>
          </w:p>
        </w:tc>
        <w:tc>
          <w:tcPr>
            <w:tcW w:w="26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34"/>
        </w:trPr>
        <w:tc>
          <w:tcPr>
            <w:tcW w:w="1020" w:type="dxa"/>
            <w:vAlign w:val="bottom"/>
          </w:tcPr>
          <w:p>
            <w:pPr>
              <w:spacing w:after="0"/>
              <w:rPr>
                <w:sz w:val="20"/>
                <w:szCs w:val="20"/>
                <w:color w:val="auto"/>
              </w:rPr>
            </w:pPr>
          </w:p>
        </w:tc>
        <w:tc>
          <w:tcPr>
            <w:tcW w:w="8520" w:type="dxa"/>
            <w:vAlign w:val="bottom"/>
          </w:tcPr>
          <w:p>
            <w:pPr>
              <w:jc w:val="center"/>
              <w:ind w:left="790"/>
              <w:spacing w:after="0"/>
              <w:rPr>
                <w:sz w:val="20"/>
                <w:szCs w:val="20"/>
                <w:color w:val="auto"/>
              </w:rPr>
            </w:pPr>
            <w:r>
              <w:rPr>
                <w:rFonts w:ascii="Arial" w:cs="Arial" w:eastAsia="Arial" w:hAnsi="Arial"/>
                <w:sz w:val="18"/>
                <w:szCs w:val="18"/>
                <w:b w:val="1"/>
                <w:bCs w:val="1"/>
                <w:color w:val="auto"/>
                <w:w w:val="98"/>
              </w:rPr>
              <w:t>NOTES TO CONSOLIDATED FINANCIAL STATEMENTS (continued)</w:t>
            </w:r>
          </w:p>
        </w:tc>
        <w:tc>
          <w:tcPr>
            <w:tcW w:w="26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756"/>
        </w:trPr>
        <w:tc>
          <w:tcPr>
            <w:tcW w:w="9540" w:type="dxa"/>
            <w:vAlign w:val="bottom"/>
            <w:gridSpan w:val="2"/>
          </w:tcPr>
          <w:p>
            <w:pPr>
              <w:ind w:left="420"/>
              <w:spacing w:after="0"/>
              <w:rPr>
                <w:sz w:val="20"/>
                <w:szCs w:val="20"/>
                <w:color w:val="auto"/>
              </w:rPr>
            </w:pPr>
            <w:r>
              <w:rPr>
                <w:rFonts w:ascii="Arial" w:cs="Arial" w:eastAsia="Arial" w:hAnsi="Arial"/>
                <w:sz w:val="18"/>
                <w:szCs w:val="18"/>
                <w:color w:val="auto"/>
              </w:rPr>
              <w:t>The following table presents the future minimum rentals to be received under operating leases (in thousands):</w:t>
            </w: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467"/>
        </w:trPr>
        <w:tc>
          <w:tcPr>
            <w:tcW w:w="95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color w:val="auto"/>
              </w:rPr>
              <w:t>Years Ending December 31,</w:t>
            </w:r>
          </w:p>
        </w:tc>
        <w:tc>
          <w:tcPr>
            <w:tcW w:w="2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Operating Leases</w:t>
            </w:r>
          </w:p>
        </w:tc>
      </w:tr>
      <w:tr>
        <w:trPr>
          <w:trHeight w:val="250"/>
        </w:trPr>
        <w:tc>
          <w:tcPr>
            <w:tcW w:w="1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85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148,607</w:t>
            </w:r>
          </w:p>
        </w:tc>
      </w:tr>
      <w:tr>
        <w:trPr>
          <w:trHeight w:val="243"/>
        </w:trPr>
        <w:tc>
          <w:tcPr>
            <w:tcW w:w="1020" w:type="dxa"/>
            <w:vAlign w:val="bottom"/>
          </w:tcPr>
          <w:p>
            <w:pPr>
              <w:ind w:left="20"/>
              <w:spacing w:after="0"/>
              <w:rPr>
                <w:sz w:val="20"/>
                <w:szCs w:val="20"/>
                <w:color w:val="auto"/>
              </w:rPr>
            </w:pPr>
            <w:r>
              <w:rPr>
                <w:rFonts w:ascii="Arial" w:cs="Arial" w:eastAsia="Arial" w:hAnsi="Arial"/>
                <w:sz w:val="18"/>
                <w:szCs w:val="18"/>
                <w:color w:val="auto"/>
              </w:rPr>
              <w:t>2021</w:t>
            </w:r>
          </w:p>
        </w:tc>
        <w:tc>
          <w:tcPr>
            <w:tcW w:w="8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20" w:type="dxa"/>
            <w:vAlign w:val="bottom"/>
          </w:tcPr>
          <w:p>
            <w:pPr>
              <w:jc w:val="right"/>
              <w:ind w:right="72"/>
              <w:spacing w:after="0"/>
              <w:rPr>
                <w:sz w:val="20"/>
                <w:szCs w:val="20"/>
                <w:color w:val="auto"/>
              </w:rPr>
            </w:pPr>
            <w:r>
              <w:rPr>
                <w:rFonts w:ascii="Arial" w:cs="Arial" w:eastAsia="Arial" w:hAnsi="Arial"/>
                <w:sz w:val="18"/>
                <w:szCs w:val="18"/>
                <w:color w:val="auto"/>
              </w:rPr>
              <w:t>90,672</w:t>
            </w:r>
          </w:p>
        </w:tc>
      </w:tr>
      <w:tr>
        <w:trPr>
          <w:trHeight w:val="27"/>
        </w:trPr>
        <w:tc>
          <w:tcPr>
            <w:tcW w:w="1020" w:type="dxa"/>
            <w:vAlign w:val="bottom"/>
          </w:tcPr>
          <w:p>
            <w:pPr>
              <w:spacing w:after="0"/>
              <w:rPr>
                <w:sz w:val="2"/>
                <w:szCs w:val="2"/>
                <w:color w:val="auto"/>
              </w:rPr>
            </w:pPr>
          </w:p>
        </w:tc>
        <w:tc>
          <w:tcPr>
            <w:tcW w:w="8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1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85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74,009</w:t>
            </w:r>
          </w:p>
        </w:tc>
      </w:tr>
      <w:tr>
        <w:trPr>
          <w:trHeight w:val="243"/>
        </w:trPr>
        <w:tc>
          <w:tcPr>
            <w:tcW w:w="1020" w:type="dxa"/>
            <w:vAlign w:val="bottom"/>
          </w:tcPr>
          <w:p>
            <w:pPr>
              <w:ind w:left="20"/>
              <w:spacing w:after="0"/>
              <w:rPr>
                <w:sz w:val="20"/>
                <w:szCs w:val="20"/>
                <w:color w:val="auto"/>
              </w:rPr>
            </w:pPr>
            <w:r>
              <w:rPr>
                <w:rFonts w:ascii="Arial" w:cs="Arial" w:eastAsia="Arial" w:hAnsi="Arial"/>
                <w:sz w:val="18"/>
                <w:szCs w:val="18"/>
                <w:color w:val="auto"/>
              </w:rPr>
              <w:t>2023</w:t>
            </w:r>
          </w:p>
        </w:tc>
        <w:tc>
          <w:tcPr>
            <w:tcW w:w="8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20" w:type="dxa"/>
            <w:vAlign w:val="bottom"/>
          </w:tcPr>
          <w:p>
            <w:pPr>
              <w:jc w:val="right"/>
              <w:ind w:right="72"/>
              <w:spacing w:after="0"/>
              <w:rPr>
                <w:sz w:val="20"/>
                <w:szCs w:val="20"/>
                <w:color w:val="auto"/>
              </w:rPr>
            </w:pPr>
            <w:r>
              <w:rPr>
                <w:rFonts w:ascii="Arial" w:cs="Arial" w:eastAsia="Arial" w:hAnsi="Arial"/>
                <w:sz w:val="18"/>
                <w:szCs w:val="18"/>
                <w:color w:val="auto"/>
              </w:rPr>
              <w:t>58,604</w:t>
            </w:r>
          </w:p>
        </w:tc>
      </w:tr>
      <w:tr>
        <w:trPr>
          <w:trHeight w:val="27"/>
        </w:trPr>
        <w:tc>
          <w:tcPr>
            <w:tcW w:w="1020" w:type="dxa"/>
            <w:vAlign w:val="bottom"/>
          </w:tcPr>
          <w:p>
            <w:pPr>
              <w:spacing w:after="0"/>
              <w:rPr>
                <w:sz w:val="2"/>
                <w:szCs w:val="2"/>
                <w:color w:val="auto"/>
              </w:rPr>
            </w:pPr>
          </w:p>
        </w:tc>
        <w:tc>
          <w:tcPr>
            <w:tcW w:w="8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1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85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47,515</w:t>
            </w:r>
          </w:p>
        </w:tc>
      </w:tr>
      <w:tr>
        <w:trPr>
          <w:trHeight w:val="243"/>
        </w:trPr>
        <w:tc>
          <w:tcPr>
            <w:tcW w:w="9540" w:type="dxa"/>
            <w:vAlign w:val="bottom"/>
            <w:gridSpan w:val="2"/>
          </w:tcPr>
          <w:p>
            <w:pPr>
              <w:ind w:left="20"/>
              <w:spacing w:after="0"/>
              <w:rPr>
                <w:sz w:val="20"/>
                <w:szCs w:val="20"/>
                <w:color w:val="auto"/>
              </w:rPr>
            </w:pPr>
            <w:r>
              <w:rPr>
                <w:rFonts w:ascii="Arial" w:cs="Arial" w:eastAsia="Arial" w:hAnsi="Arial"/>
                <w:sz w:val="18"/>
                <w:szCs w:val="18"/>
                <w:color w:val="auto"/>
              </w:rPr>
              <w:t>Thereafter</w:t>
            </w:r>
          </w:p>
        </w:tc>
        <w:tc>
          <w:tcPr>
            <w:tcW w:w="260" w:type="dxa"/>
            <w:vAlign w:val="bottom"/>
          </w:tcPr>
          <w:p>
            <w:pPr>
              <w:spacing w:after="0"/>
              <w:rPr>
                <w:sz w:val="21"/>
                <w:szCs w:val="21"/>
                <w:color w:val="auto"/>
              </w:rPr>
            </w:pPr>
          </w:p>
        </w:tc>
        <w:tc>
          <w:tcPr>
            <w:tcW w:w="1620" w:type="dxa"/>
            <w:vAlign w:val="bottom"/>
          </w:tcPr>
          <w:p>
            <w:pPr>
              <w:jc w:val="right"/>
              <w:ind w:right="72"/>
              <w:spacing w:after="0"/>
              <w:rPr>
                <w:sz w:val="20"/>
                <w:szCs w:val="20"/>
                <w:color w:val="auto"/>
              </w:rPr>
            </w:pPr>
            <w:r>
              <w:rPr>
                <w:rFonts w:ascii="Arial" w:cs="Arial" w:eastAsia="Arial" w:hAnsi="Arial"/>
                <w:sz w:val="18"/>
                <w:szCs w:val="18"/>
                <w:color w:val="auto"/>
              </w:rPr>
              <w:t>121,689</w:t>
            </w:r>
          </w:p>
        </w:tc>
      </w:tr>
      <w:tr>
        <w:trPr>
          <w:trHeight w:val="27"/>
        </w:trPr>
        <w:tc>
          <w:tcPr>
            <w:tcW w:w="954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89"/>
        </w:trPr>
        <w:tc>
          <w:tcPr>
            <w:tcW w:w="9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future minimum rentals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6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541,096</w:t>
            </w: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8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Related Party Transactions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Home Purchase</w:t>
      </w:r>
    </w:p>
    <w:p>
      <w:pPr>
        <w:spacing w:after="0" w:line="25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May 2010, the Company entered into an employment agreement with Linda Chen ("Ms. Chen"), who is the President and Chief Operating Officer of Wynn Macau SA. Under the terms of the employment agreement, the Company purchased a home in Macau for use by Ms. Chen and has made renovations to the home with a total cost of $10.0 million. In addition, under the terms of the employment agreement, Ms. Chen has the option to purchase the home for no consideration through March 31, 2020.</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Cooperation Agreement</w:t>
      </w:r>
    </w:p>
    <w:p>
      <w:pPr>
        <w:spacing w:after="0" w:line="252"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6"/>
          <w:szCs w:val="16"/>
          <w:color w:val="auto"/>
        </w:rPr>
        <w:t>On August 3, 2018, the Company entered into a Cooperation Agreement (the "Cooperation Agreement") with Elaine P. Wynn regarding the composition of the Company's Board of Directors and certain other matters, including, among other things, the appointment of Mr. Philip G. Satre to the Company's Board of Directors, standstill restrictions, releases, non-disparagement, reimbursement of expenses and the grant of certain complimentary privileges. The term of the Cooperation Agreement expires on the later of (i) the date that Mr. Satre no longer serves as Chair of the Board and (ii) the day after the conclusion of the 2020 annual meeting of the Company's stockholders, unless earlier terminated pursuant to the circumstances described in the Cooperation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Due to Officers, Directors and Former Directors</w:t>
      </w:r>
    </w:p>
    <w:p>
      <w:pPr>
        <w:spacing w:after="0" w:line="252" w:lineRule="exact"/>
        <w:rPr>
          <w:sz w:val="20"/>
          <w:szCs w:val="20"/>
          <w:color w:val="auto"/>
        </w:rPr>
      </w:pPr>
    </w:p>
    <w:p>
      <w:pPr>
        <w:jc w:val="both"/>
        <w:ind w:right="20" w:firstLine="405"/>
        <w:spacing w:after="0" w:line="259" w:lineRule="auto"/>
        <w:rPr>
          <w:sz w:val="20"/>
          <w:szCs w:val="20"/>
          <w:color w:val="auto"/>
        </w:rPr>
      </w:pPr>
      <w:r>
        <w:rPr>
          <w:rFonts w:ascii="Arial" w:cs="Arial" w:eastAsia="Arial" w:hAnsi="Arial"/>
          <w:sz w:val="18"/>
          <w:szCs w:val="18"/>
          <w:color w:val="auto"/>
        </w:rPr>
        <w:t>The Company periodically provides services to certain executive officers, directors or former directors of the Company, including the personal use of employees, construction work and other personal services, for which the officers, directors or former directors reimburse the Company. The Company requires prepayment for any such services, which amounts are replenished on an ongoing basis as needed. As of December 31, 2019 and 2018, these net deposit balances with the Company were immaterial, as were the services provided.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Wynn Las Vegas Meeting and Convention Expansion</w:t>
      </w:r>
    </w:p>
    <w:p>
      <w:pPr>
        <w:spacing w:after="0" w:line="25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Wynn Golf, LLC, a direct wholly owned subsidiary of the Company, entered into an agreement concerning the construction of the Meeting and Convention Expansion, which, among other things, confirmed the guaranteed maximum price for the construction work undertaken by the general contractor. The general contractor was obligated to substantially complete the Meeting and Convention Expansion by December 19, 2019, and the estimated final contract value is approximately $295 million. The Meeting and Convention Expansion opened in February 2020.</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Agreements</w:t>
      </w:r>
    </w:p>
    <w:p>
      <w:pPr>
        <w:spacing w:after="0" w:line="25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has entered into employment agreements with several executive officers, other members of management and certain key employees. These agreements generally have three to five year terms and typically indicate a base salary and often contain provisions for discretionary bonuses. Certain of the executives are also entitled to a separation payment if</w:t>
      </w:r>
    </w:p>
    <w:p>
      <w:pPr>
        <w:sectPr>
          <w:pgSz w:w="11900" w:h="16838" w:orient="portrait"/>
          <w:cols w:equalWidth="0" w:num="1">
            <w:col w:w="11420"/>
          </w:cols>
          <w:pgMar w:left="240" w:top="113" w:right="23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2720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3" w:right="239" w:bottom="1440" w:gutter="0" w:footer="0" w:header="0"/>
          <w:type w:val="continuous"/>
        </w:sectPr>
      </w:pPr>
    </w:p>
    <w:bookmarkStart w:id="103" w:name="page104"/>
    <w:bookmarkEnd w:id="10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terminated without "cause" or upon voluntary termination of employment for "good reason" following a "change of control" (as these terms are defined in the employment contracts). As of December 31, 2019, the Company was obligated to make future payments of $70.0 million, $38.3 million, $13.4 million, $2.1 million, and $0.7 million during the years ending December 31, 2020, 2021, 2022, 2023, and 2024,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w:t>
      </w:r>
    </w:p>
    <w:p>
      <w:pPr>
        <w:spacing w:after="0" w:line="25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has additional commitments for gaming tax payments in Macau, open purchase orders, construction contracts, payment obligations to communities surrounding Encore Boston Harbor, and performance and other miscellaneous contracts. As of December 31, 2019, the Company was obligated under these arrangements to make future minimum payments as follows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80" w:type="dxa"/>
            <w:vAlign w:val="bottom"/>
          </w:tcPr>
          <w:p>
            <w:pPr>
              <w:ind w:left="20"/>
              <w:spacing w:after="0"/>
              <w:rPr>
                <w:sz w:val="20"/>
                <w:szCs w:val="20"/>
                <w:color w:val="auto"/>
              </w:rPr>
            </w:pPr>
            <w:r>
              <w:rPr>
                <w:rFonts w:ascii="Arial" w:cs="Arial" w:eastAsia="Arial" w:hAnsi="Arial"/>
                <w:sz w:val="14"/>
                <w:szCs w:val="14"/>
                <w:b w:val="1"/>
                <w:bCs w:val="1"/>
                <w:color w:val="auto"/>
              </w:rPr>
              <w:t>Years Ending December 31,</w:t>
            </w:r>
          </w:p>
        </w:tc>
        <w:tc>
          <w:tcPr>
            <w:tcW w:w="76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56"/>
        </w:trPr>
        <w:tc>
          <w:tcPr>
            <w:tcW w:w="9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396,723</w:t>
            </w:r>
          </w:p>
        </w:tc>
      </w:tr>
      <w:tr>
        <w:trPr>
          <w:trHeight w:val="243"/>
        </w:trPr>
        <w:tc>
          <w:tcPr>
            <w:tcW w:w="9280" w:type="dxa"/>
            <w:vAlign w:val="bottom"/>
          </w:tcPr>
          <w:p>
            <w:pPr>
              <w:ind w:left="20"/>
              <w:spacing w:after="0"/>
              <w:rPr>
                <w:sz w:val="20"/>
                <w:szCs w:val="20"/>
                <w:color w:val="auto"/>
              </w:rPr>
            </w:pPr>
            <w:r>
              <w:rPr>
                <w:rFonts w:ascii="Arial" w:cs="Arial" w:eastAsia="Arial" w:hAnsi="Arial"/>
                <w:sz w:val="18"/>
                <w:szCs w:val="18"/>
                <w:color w:val="auto"/>
              </w:rPr>
              <w:t>2021</w:t>
            </w:r>
          </w:p>
        </w:tc>
        <w:tc>
          <w:tcPr>
            <w:tcW w:w="76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86,234</w:t>
            </w:r>
          </w:p>
        </w:tc>
      </w:tr>
      <w:tr>
        <w:trPr>
          <w:trHeight w:val="27"/>
        </w:trPr>
        <w:tc>
          <w:tcPr>
            <w:tcW w:w="9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7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45,277</w:t>
            </w:r>
          </w:p>
        </w:tc>
      </w:tr>
      <w:tr>
        <w:trPr>
          <w:trHeight w:val="243"/>
        </w:trPr>
        <w:tc>
          <w:tcPr>
            <w:tcW w:w="9280" w:type="dxa"/>
            <w:vAlign w:val="bottom"/>
          </w:tcPr>
          <w:p>
            <w:pPr>
              <w:ind w:left="20"/>
              <w:spacing w:after="0"/>
              <w:rPr>
                <w:sz w:val="20"/>
                <w:szCs w:val="20"/>
                <w:color w:val="auto"/>
              </w:rPr>
            </w:pPr>
            <w:r>
              <w:rPr>
                <w:rFonts w:ascii="Arial" w:cs="Arial" w:eastAsia="Arial" w:hAnsi="Arial"/>
                <w:sz w:val="18"/>
                <w:szCs w:val="18"/>
                <w:color w:val="auto"/>
              </w:rPr>
              <w:t>2023</w:t>
            </w:r>
          </w:p>
        </w:tc>
        <w:tc>
          <w:tcPr>
            <w:tcW w:w="76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19,308</w:t>
            </w:r>
          </w:p>
        </w:tc>
      </w:tr>
      <w:tr>
        <w:trPr>
          <w:trHeight w:val="27"/>
        </w:trPr>
        <w:tc>
          <w:tcPr>
            <w:tcW w:w="9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7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13,697</w:t>
            </w:r>
          </w:p>
        </w:tc>
      </w:tr>
      <w:tr>
        <w:trPr>
          <w:trHeight w:val="243"/>
        </w:trPr>
        <w:tc>
          <w:tcPr>
            <w:tcW w:w="92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76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112,496</w:t>
            </w:r>
          </w:p>
        </w:tc>
      </w:tr>
      <w:tr>
        <w:trPr>
          <w:trHeight w:val="27"/>
        </w:trPr>
        <w:tc>
          <w:tcPr>
            <w:tcW w:w="92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89"/>
        </w:trPr>
        <w:tc>
          <w:tcPr>
            <w:tcW w:w="9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minimum payments</w:t>
            </w: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673,735</w:t>
            </w:r>
          </w:p>
        </w:tc>
      </w:tr>
      <w:tr>
        <w:trPr>
          <w:trHeight w:val="20"/>
        </w:trPr>
        <w:tc>
          <w:tcPr>
            <w:tcW w:w="92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Letters of Credit</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December 31, 2019, the Company had outstanding letters of credit of $18.1 million.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52"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In addition to the actions noted below, the Company and its affiliates are involved in litigation arising in the normal course of business. In the opinion of management, such litigation is not expected to have a material effect on the Company's financial condition, results of operations, and cash flows.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Massachusetts Gaming License Related Actions</w:t>
      </w:r>
    </w:p>
    <w:p>
      <w:pPr>
        <w:spacing w:after="0" w:line="25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September 17, 2014, the Massachusetts Gaming Commission ("MGC") designated Wynn MA the award winner of the Greater Boston (Region A) gaming license (the "Boston area license"). On November 7, 2014, the gaming license became effective.</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Revere Action</w:t>
      </w:r>
    </w:p>
    <w:p>
      <w:pPr>
        <w:spacing w:after="0" w:line="252"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On October 16, 2014, the City of Revere, the host community to the unsuccessful bidder for the Boston area license, the International Brotherhood of Electrical Workers, Local 103, and several individuals, filed a complaint against the MGC and its gaming commissioners in Suffolk Superior Court in Boston, Massachusetts (the "Revere Action"). Mohegan Sun ("Mohegan") the other applicant for the Boston area license, joined the lawsuit and challenged the MGC's award of the Boston area license. On December 3, 2015, the court granted the MGC's motion to dismiss the claims asserted in the Revere Action and the court dismissed all claims except Mohegan's claim alleging procedural error by the MGC in granting the license to Wynn MA. The plaintiffs appealed. After multiple appeals and cross appeals, only two claims remained: (1) individual plaintiffs' claim for violation of the open meeting laws; and (2) Mohegan's claim for procedural error. On July 12, 2019, the Suffolk Superior Court granted the MGC's motion for summary judgment and dismissed the open meeting law claim, leaving only Mohegan's procedural claim.</w:t>
      </w:r>
    </w:p>
    <w:p>
      <w:pPr>
        <w:spacing w:after="0" w:line="206"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On August 2, 2019, Mohegan filed a motion to file a second amended complaint, to add new claims related to the MGC's allegedly inadequate 2013 investigation. On October 15, 2019, the court granted Mohegan's motion to amend and allowed it to file a second amended intervenor's complaint.</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4" w:name="page105"/>
    <w:bookmarkEnd w:id="10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Wynn MA was not named in the Revere Action.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Suffolk Action</w:t>
      </w:r>
    </w:p>
    <w:p>
      <w:pPr>
        <w:spacing w:after="0" w:line="25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September 17, 2018, Sterling Suffolk Racecourse, LLC, owner of the property proposed for location of a casino by an unsuccessful bidder for the Boston area license filed a complaint in the United States District Court, District of Massachusetts, against the Company, Wynn MA, certain current and former officers of the Company, FBT Everett Realty, LLC, former owner of the land on which Encore Boston Harbor is located ("FBT"), and Paul Lohnes, a member of FBT. The complaint alleges, among other things, the defendants violated the RICO Act, conspired to circumvent the application process for the Boston area license and violated Massachusetts law with respect to unfair methods of competition. The plaintiff sought $1.0 billion in compensatory damages and treble damages. All defendants filed motions to dismiss the complaint. On November 15, 2019, the court granted the defendants' motions to dismiss and the plaintiff did not appeal.</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Litigation</w:t>
      </w:r>
    </w:p>
    <w:p>
      <w:pPr>
        <w:spacing w:after="0" w:line="25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 number of stockholder derivative actions have been filed in state and federal court located in Clark County, Nevada against certain current and former members of the Company's Board of Directors and, in some cases, the Company's current and former officers. Each of the complaints alleges, among other things, breach of fiduciary duties in failing to detect, prevent and remedy alleged inappropriate personal conduct by Stephen A. Wynn in the workplace. On September 19, 2018, the Board established a Special Litigation Committee (the "SLC") to investigate the allegations in the State Derivative Case (as defined below).</w:t>
      </w:r>
    </w:p>
    <w:p>
      <w:pPr>
        <w:spacing w:after="0" w:line="215" w:lineRule="exact"/>
        <w:rPr>
          <w:sz w:val="20"/>
          <w:szCs w:val="20"/>
          <w:color w:val="auto"/>
        </w:rPr>
      </w:pPr>
    </w:p>
    <w:p>
      <w:pPr>
        <w:jc w:val="both"/>
        <w:ind w:firstLine="405"/>
        <w:spacing w:after="0" w:line="248" w:lineRule="auto"/>
        <w:rPr>
          <w:sz w:val="20"/>
          <w:szCs w:val="20"/>
          <w:color w:val="auto"/>
        </w:rPr>
      </w:pPr>
      <w:r>
        <w:rPr>
          <w:rFonts w:ascii="Arial" w:cs="Arial" w:eastAsia="Arial" w:hAnsi="Arial"/>
          <w:sz w:val="18"/>
          <w:szCs w:val="18"/>
          <w:color w:val="auto"/>
        </w:rPr>
        <w:t xml:space="preserve">The actions filed in the Eighth Judicial District Court of Clark County, Nevada were consolidated as </w:t>
      </w:r>
      <w:r>
        <w:rPr>
          <w:rFonts w:ascii="Arial" w:cs="Arial" w:eastAsia="Arial" w:hAnsi="Arial"/>
          <w:sz w:val="18"/>
          <w:szCs w:val="18"/>
          <w:i w:val="1"/>
          <w:iCs w:val="1"/>
          <w:color w:val="auto"/>
        </w:rPr>
        <w:t>In re Wynn Resorts, Ltd. Derivative Litigation</w:t>
      </w:r>
      <w:r>
        <w:rPr>
          <w:rFonts w:ascii="Arial" w:cs="Arial" w:eastAsia="Arial" w:hAnsi="Arial"/>
          <w:sz w:val="18"/>
          <w:szCs w:val="18"/>
          <w:color w:val="auto"/>
        </w:rPr>
        <w:t xml:space="preserve"> ("State Derivative Case"). On October 26, 2018, the SLC filed a motion to intervene and stay the State Derivative Case pending completion of its investigation, which the court granted.</w:t>
      </w:r>
    </w:p>
    <w:p>
      <w:pPr>
        <w:spacing w:after="0" w:line="209" w:lineRule="exact"/>
        <w:rPr>
          <w:sz w:val="20"/>
          <w:szCs w:val="20"/>
          <w:color w:val="auto"/>
        </w:rPr>
      </w:pPr>
    </w:p>
    <w:p>
      <w:pPr>
        <w:jc w:val="both"/>
        <w:ind w:firstLine="405"/>
        <w:spacing w:after="0" w:line="238" w:lineRule="auto"/>
        <w:rPr>
          <w:sz w:val="20"/>
          <w:szCs w:val="20"/>
          <w:color w:val="auto"/>
        </w:rPr>
      </w:pPr>
      <w:r>
        <w:rPr>
          <w:rFonts w:ascii="Arial" w:cs="Arial" w:eastAsia="Arial" w:hAnsi="Arial"/>
          <w:sz w:val="18"/>
          <w:szCs w:val="18"/>
          <w:color w:val="auto"/>
        </w:rPr>
        <w:t>On June 3, 2019, a separate stockholder derivative action was filed in the Eighth Judicial District Court of Clark County, Nevada alleging substantially similar causes of action as the State Derivative Case with the additional allegation that various of the Company's attorneys committed professional malpractice, and certain current and former executives also breached fiduciary duties and aided and abetted the breach of fiduciary duties, in connection with the alleged inappropriate personal conduct by Stephen A. Wynn in the workplace. On July 26, 2019, the plaintiff voluntarily dismissed Matt Maddox, Stephen A. Wynn, Kimmarie Sinatra, John J. Hagenbuch, Ray R. Irani, Jay L. Johnson, Robert J. Miller, Patricia Mulroy, Clark T. Randt, Jr., Alvin V. Shoemaker, J. Edward Virtue, D. Boone Wayson, and one of the Company's law firms from the action. On September 19, 2019, the court entered an order consolidating this action into the State Derivative Case, and on December 2, 2019, further clarified that this action may not proceed as a separate action apart from the State Derivative Case.</w:t>
      </w:r>
    </w:p>
    <w:p>
      <w:pPr>
        <w:spacing w:after="0" w:line="222"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7"/>
          <w:szCs w:val="17"/>
          <w:color w:val="auto"/>
        </w:rPr>
        <w:t>On November 27, 2019, the State Derivative Case parties agreed to terms of a settlement agreement. The court approved the settlement agreement on February 12, 2020. The settlement agreement becomes effective upon the entry of a written order and any appeals are exhausted.</w:t>
      </w:r>
    </w:p>
    <w:p>
      <w:pPr>
        <w:spacing w:after="0" w:line="17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In 2018, several actions filed in the United States District Court, District of Nevada were consolidated as </w:t>
      </w:r>
      <w:r>
        <w:rPr>
          <w:rFonts w:ascii="Arial" w:cs="Arial" w:eastAsia="Arial" w:hAnsi="Arial"/>
          <w:sz w:val="18"/>
          <w:szCs w:val="18"/>
          <w:i w:val="1"/>
          <w:iCs w:val="1"/>
          <w:color w:val="auto"/>
        </w:rPr>
        <w:t>In re Wynn Resorts, Ltd. Derivative Litigation</w:t>
      </w:r>
      <w:r>
        <w:rPr>
          <w:rFonts w:ascii="Arial" w:cs="Arial" w:eastAsia="Arial" w:hAnsi="Arial"/>
          <w:sz w:val="18"/>
          <w:szCs w:val="18"/>
          <w:color w:val="auto"/>
        </w:rPr>
        <w:t xml:space="preserve"> ("Federal Derivative Case"), which also claim corporate waste and violation of Section 14(a) of the Exchange Act. In June 2018, the Company filed a motion to dismiss and a motion to stay pending resolution of the Securities Action (described below). On March 29, 2019, the Court granted the Company's request for a stay.</w:t>
      </w:r>
    </w:p>
    <w:p>
      <w:pPr>
        <w:spacing w:after="0" w:line="21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On March 25, 2019, a separate stockholder derivative action was filed in the United States District Court, District of Nevada alleging identical causes of action as the Federal Derivative Case with the additional allegation that the Board of Directors improperly refused the stockholder's demand to commence litigation against the officers and directors of the Company. On June 10, 2019, the Company filed a motion to dismiss, or alternatively to consolidate this action into the Federal Derivative Case, which is stayed. The motion is currently pending before the court.</w:t>
      </w:r>
    </w:p>
    <w:p>
      <w:pPr>
        <w:spacing w:after="0" w:line="19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Each of the actions seeks to recover for the Company unspecified damages, including restitution and disgorgement of profits, and also seeks to recover attorneys' fees, costs and related expenses for the plaintiff.</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5" w:name="page106"/>
    <w:bookmarkEnd w:id="10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Individual Stockholder Actions</w:t>
      </w:r>
    </w:p>
    <w:p>
      <w:pPr>
        <w:spacing w:after="0" w:line="25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 number of stockholders have filed individual actions in the Eighth Judicial District Court of Clark County, Nevada against certain current and former members of the Company's Board of Directors and certain of the Company's current and former officers ("Individual Stockholder Actions"). Each of the complaints alleges that defendants, among other things, breached their fiduciary duties in failing to detect, prevent and remedy alleged inappropriate personal conduct by Stephen A. Wynn in the workplace causing injury to each of the individual stockholders.</w:t>
      </w:r>
    </w:p>
    <w:p>
      <w:pPr>
        <w:spacing w:after="0" w:line="214" w:lineRule="exact"/>
        <w:rPr>
          <w:sz w:val="20"/>
          <w:szCs w:val="20"/>
          <w:color w:val="auto"/>
        </w:rPr>
      </w:pPr>
    </w:p>
    <w:p>
      <w:pPr>
        <w:jc w:val="both"/>
        <w:ind w:firstLine="405"/>
        <w:spacing w:after="0" w:line="295" w:lineRule="auto"/>
        <w:rPr>
          <w:sz w:val="20"/>
          <w:szCs w:val="20"/>
          <w:color w:val="auto"/>
        </w:rPr>
      </w:pPr>
      <w:r>
        <w:rPr>
          <w:rFonts w:ascii="Arial" w:cs="Arial" w:eastAsia="Arial" w:hAnsi="Arial"/>
          <w:sz w:val="17"/>
          <w:szCs w:val="17"/>
          <w:color w:val="auto"/>
        </w:rPr>
        <w:t>On January 29, 2019, the defendants filed motions to dismiss each of the Individual Stockholder Actions. On December 12, 2019, the court entered an order denying the motions to dismiss, which the defendants appealed to the Nevada Supreme Court on December 24, 2019. On January 7, 2020, the Nevada Supreme Court stayed the underlying Individual Stockholder Actions pending a decision on the defendants' appeal.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Action</w:t>
      </w:r>
    </w:p>
    <w:p>
      <w:pPr>
        <w:spacing w:after="0" w:line="252"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On February 20, 2018, a putative securities class action was filed against the Company and certain current and former officers of the Company in the United States District Court, Southern District of New York (which was subsequently transferred to the United States District Court, District of Nevada) by John V. Ferris and Joann M. Ferris on behalf of all persons who purchased the Company's common stock between February 28, 2014 and January 25, 2018. The complaint alleges, among other things, certain violations of federal securities laws and seeks to recover unspecified damages as well as attorneys' fees, costs and related expenses for the plaintiffs. The defendants have filed motions to dismiss, which are currently pending before the court.</w:t>
      </w:r>
    </w:p>
    <w:p>
      <w:pPr>
        <w:spacing w:after="0" w:line="18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defendants in these actions will vigorously defend against the claims pleaded against them. These actions are in preliminary stages and management has determined that based on proceedings to date, it is currently unable to determine the probability of the outcome of these actions or the range of reasonably possible loss, if any.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Retail Joint Venture</w:t>
      </w:r>
    </w:p>
    <w:p>
      <w:pPr>
        <w:spacing w:after="0" w:line="256"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In December 2016, the Company entered into the Retail Joint Venture with Crown to own and operate approximately 88,000 square feet of existing retail space at Wynn Las Vegas. In connection with the transaction, the Company transferred certain assets and liabilities with a net book value of $31.8 million associated with the existing Wynn Las Vegas retail stores from Wynn Las Vegas, LLC, to the Retail Joint Venture. The Company sold Crown a 49.9% ownership interest in the Retail Joint Venture for consideration of $292.0 million, which consisted of $217.0 million in cash and a $75.0 million interest-free note that matured in full on January 3, 2018. Wynn Las Vegas, LLC transferred all interests as lessor in third-party retail store leases to the Retail Joint Venture as part of the transaction and the majority of the retail stores previously operated by Wynn Las Vegas, LLC are now operated under a master lease agreement between a newly formed retail entity owned by Wynn Resorts, as lessee, and the Retail Joint Venture, as lessor. The Company maintains a 50.1% ownership in the Retail Joint Venture and is the managing member.</w:t>
      </w:r>
    </w:p>
    <w:p>
      <w:pPr>
        <w:spacing w:after="0" w:line="20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November 2017, the Company contributed approximately 74,000 square feet of additional retail space to the Retail Joint Venture. The Company opened the additional retail space during the fourth quarter of 2018. In connection with this transaction, the Company contributed certain assets with a net book value of $25.4 million, consisting primarily of construction in progress for the additional retail space, to the Retail Joint Venture, and received cash of $180.0 million from Crown. After this additional transaction, the Company maintains a 50.1% ownership in the Retail Joint Venture and remains the managing member. The Company's responsibilities with respect to the Retail Joint Venture include day-to-day business operations, property management services and a role in the leasing decisions of the retail space.</w:t>
      </w:r>
    </w:p>
    <w:p>
      <w:pPr>
        <w:spacing w:after="0" w:line="22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assessed its ownership in the Retail Joint Venture based on consolidation accounting guidance with an evaluation being performed to determine if the Retail Joint Venture is a VIE, if the Company has a variable interest in the Retail Joint Venture and if the Company is the primary beneficiary of the Retail Joint Venture. The primary beneficiary is the party who has the power to direct the activities of a VIE that most significantly impact the entity's economic performance and who has an obligation to absorb losses of the entity or a right to receive benefits from the entity that could potentially be significant to the entity.</w:t>
      </w:r>
    </w:p>
    <w:p>
      <w:pPr>
        <w:spacing w:after="0" w:line="21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concluded that the Retail Joint Venture is a VIE and the Company is the primary beneficiary based on its involvement in the leasing activities of the Retail Joint Venture. As a result, the Company consolidates all of the Retail Joint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6" w:name="page107"/>
    <w:bookmarkEnd w:id="10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Venture's assets, liabilities and results of operations. The Company will evaluate its primary beneficiary designation on an ongoing basis and will assess the appropriateness of the Retail Joint Venture's VIE status when changes occur.</w:t>
      </w:r>
    </w:p>
    <w:p>
      <w:pPr>
        <w:spacing w:after="0" w:line="19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As of December 31, 2019 and 2018, the Retail Joint Venture had total assets of $90.0 million and $85.0 million, respectively, and total liabilities of $622.4 million and $619.6 million, respectively. The Retail Joint Venture's total liabilities as of December 31, 2019 included long-term debt of $611.7 million, net of debt issuance costs, related to the outstanding borrowings under the Retail Term Loan.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Segment Information</w:t>
      </w:r>
    </w:p>
    <w:p>
      <w:pPr>
        <w:spacing w:after="0" w:line="256"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Company reviews the results of operations for each of its operating segments, and identifies reportable segments based upon factors such as geography, regulatory environment, and the Company's organizational and management reporting structure. Wynn Macau and Encore, an expansion at Wynn Macau, are managed as a single integrated resort and have been aggregated as one reportable segment ("Wynn Macau"). Wynn Palace is presented as a separate reportable segment and is combined with Wynn Macau for geographical presentation. Wynn Las Vegas, Encore, an expansion at Wynn Las Vegas, and the Retail Joint Venture are managed as a single integrated resort and have been aggregated as one reportable segment ("Las Vegas Operations"). On June 23, 2019, the Company opened Encore Boston Harbor, an integrated resort in Everett, Massachusetts. Encore Boston Harbor is presented as one reportable segment. Other Macau primarily represents the assets for the Company's Macau holding company.</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07" w:name="page108"/>
    <w:bookmarkEnd w:id="10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present the Company's segment information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1"/>
              </w:rPr>
              <w:t>Years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96"/>
        </w:trPr>
        <w:tc>
          <w:tcPr>
            <w:tcW w:w="68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r>
      <w:tr>
        <w:trPr>
          <w:trHeight w:val="236"/>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6860" w:type="dxa"/>
            <w:vAlign w:val="bottom"/>
          </w:tcPr>
          <w:p>
            <w:pPr>
              <w:ind w:left="20"/>
              <w:spacing w:after="0"/>
              <w:rPr>
                <w:sz w:val="20"/>
                <w:szCs w:val="20"/>
                <w:color w:val="auto"/>
              </w:rPr>
            </w:pPr>
            <w:r>
              <w:rPr>
                <w:rFonts w:ascii="Arial" w:cs="Arial" w:eastAsia="Arial" w:hAnsi="Arial"/>
                <w:sz w:val="18"/>
                <w:szCs w:val="18"/>
                <w:color w:val="auto"/>
              </w:rPr>
              <w:t>Macau Operations: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6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Wynn Palace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tcPr>
          <w:p>
            <w:pPr>
              <w:ind w:left="340"/>
              <w:spacing w:after="0"/>
              <w:rPr>
                <w:sz w:val="20"/>
                <w:szCs w:val="20"/>
                <w:color w:val="auto"/>
              </w:rPr>
            </w:pPr>
            <w:r>
              <w:rPr>
                <w:rFonts w:ascii="Arial" w:cs="Arial" w:eastAsia="Arial" w:hAnsi="Arial"/>
                <w:sz w:val="18"/>
                <w:szCs w:val="18"/>
                <w:color w:val="auto"/>
              </w:rPr>
              <w:t>Casino</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2,139,756</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2,356,022</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1,714,417</w:t>
            </w:r>
          </w:p>
        </w:tc>
      </w:tr>
      <w:tr>
        <w:trPr>
          <w:trHeight w:val="27"/>
        </w:trPr>
        <w:tc>
          <w:tcPr>
            <w:tcW w:w="6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Rooms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174,576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170,067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121,710</w:t>
            </w:r>
          </w:p>
        </w:tc>
      </w:tr>
      <w:tr>
        <w:trPr>
          <w:trHeight w:val="243"/>
        </w:trPr>
        <w:tc>
          <w:tcPr>
            <w:tcW w:w="6860" w:type="dxa"/>
            <w:vAlign w:val="bottom"/>
          </w:tcPr>
          <w:p>
            <w:pPr>
              <w:ind w:left="340"/>
              <w:spacing w:after="0"/>
              <w:rPr>
                <w:sz w:val="20"/>
                <w:szCs w:val="20"/>
                <w:color w:val="auto"/>
              </w:rPr>
            </w:pPr>
            <w:r>
              <w:rPr>
                <w:rFonts w:ascii="Arial" w:cs="Arial" w:eastAsia="Arial" w:hAnsi="Arial"/>
                <w:sz w:val="18"/>
                <w:szCs w:val="18"/>
                <w:color w:val="auto"/>
              </w:rPr>
              <w:t>Food and beverage</w:t>
            </w:r>
          </w:p>
        </w:tc>
        <w:tc>
          <w:tcPr>
            <w:tcW w:w="34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117,376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110,638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96,078</w:t>
            </w:r>
          </w:p>
        </w:tc>
      </w:tr>
      <w:tr>
        <w:trPr>
          <w:trHeight w:val="27"/>
        </w:trPr>
        <w:tc>
          <w:tcPr>
            <w:tcW w:w="6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 xml:space="preserve">Entertainment, retail and other </w:t>
            </w:r>
            <w:r>
              <w:rPr>
                <w:rFonts w:ascii="Arial" w:cs="Arial" w:eastAsia="Arial" w:hAnsi="Arial"/>
                <w:sz w:val="14"/>
                <w:szCs w:val="14"/>
                <w:color w:val="auto"/>
              </w:rPr>
              <w:t>(1)</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111,986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120,839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98,082</w:t>
            </w:r>
          </w:p>
        </w:tc>
      </w:tr>
      <w:tr>
        <w:trPr>
          <w:trHeight w:val="237"/>
        </w:trPr>
        <w:tc>
          <w:tcPr>
            <w:tcW w:w="68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2,543,694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2,757,566</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2,030,287</w:t>
            </w:r>
          </w:p>
        </w:tc>
      </w:tr>
      <w:tr>
        <w:trPr>
          <w:trHeight w:val="27"/>
        </w:trPr>
        <w:tc>
          <w:tcPr>
            <w:tcW w:w="6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Wynn Macau</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6860" w:type="dxa"/>
            <w:vAlign w:val="bottom"/>
          </w:tcPr>
          <w:p>
            <w:pPr>
              <w:ind w:left="340"/>
              <w:spacing w:after="0"/>
              <w:rPr>
                <w:sz w:val="20"/>
                <w:szCs w:val="20"/>
                <w:color w:val="auto"/>
              </w:rPr>
            </w:pPr>
            <w:r>
              <w:rPr>
                <w:rFonts w:ascii="Arial" w:cs="Arial" w:eastAsia="Arial" w:hAnsi="Arial"/>
                <w:sz w:val="18"/>
                <w:szCs w:val="18"/>
                <w:color w:val="auto"/>
              </w:rPr>
              <w:t>Casino</w:t>
            </w:r>
          </w:p>
        </w:tc>
        <w:tc>
          <w:tcPr>
            <w:tcW w:w="34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1,796,209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1,994,885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2,073,793</w:t>
            </w:r>
          </w:p>
        </w:tc>
      </w:tr>
      <w:tr>
        <w:trPr>
          <w:trHeight w:val="27"/>
        </w:trPr>
        <w:tc>
          <w:tcPr>
            <w:tcW w:w="6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Rooms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110,387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113,495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95,871</w:t>
            </w:r>
          </w:p>
        </w:tc>
      </w:tr>
      <w:tr>
        <w:trPr>
          <w:trHeight w:val="243"/>
        </w:trPr>
        <w:tc>
          <w:tcPr>
            <w:tcW w:w="6860" w:type="dxa"/>
            <w:vAlign w:val="bottom"/>
          </w:tcPr>
          <w:p>
            <w:pPr>
              <w:ind w:left="340"/>
              <w:spacing w:after="0"/>
              <w:rPr>
                <w:sz w:val="20"/>
                <w:szCs w:val="20"/>
                <w:color w:val="auto"/>
              </w:rPr>
            </w:pPr>
            <w:r>
              <w:rPr>
                <w:rFonts w:ascii="Arial" w:cs="Arial" w:eastAsia="Arial" w:hAnsi="Arial"/>
                <w:sz w:val="18"/>
                <w:szCs w:val="18"/>
                <w:color w:val="auto"/>
              </w:rPr>
              <w:t>Food and beverage</w:t>
            </w:r>
          </w:p>
        </w:tc>
        <w:tc>
          <w:tcPr>
            <w:tcW w:w="34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81,576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76,369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68,111</w:t>
            </w:r>
          </w:p>
        </w:tc>
      </w:tr>
      <w:tr>
        <w:trPr>
          <w:trHeight w:val="27"/>
        </w:trPr>
        <w:tc>
          <w:tcPr>
            <w:tcW w:w="6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 xml:space="preserve">Entertainment, retail and other </w:t>
            </w:r>
            <w:r>
              <w:rPr>
                <w:rFonts w:ascii="Arial" w:cs="Arial" w:eastAsia="Arial" w:hAnsi="Arial"/>
                <w:sz w:val="14"/>
                <w:szCs w:val="14"/>
                <w:color w:val="auto"/>
              </w:rPr>
              <w:t>(1)</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81,857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109,776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99,135</w:t>
            </w:r>
          </w:p>
        </w:tc>
      </w:tr>
      <w:tr>
        <w:trPr>
          <w:trHeight w:val="237"/>
        </w:trPr>
        <w:tc>
          <w:tcPr>
            <w:tcW w:w="68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2,070,029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2,294,525</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2,336,910</w:t>
            </w:r>
          </w:p>
        </w:tc>
      </w:tr>
      <w:tr>
        <w:trPr>
          <w:trHeight w:val="27"/>
        </w:trPr>
        <w:tc>
          <w:tcPr>
            <w:tcW w:w="6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68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b w:val="1"/>
                <w:bCs w:val="1"/>
                <w:color w:val="auto"/>
              </w:rPr>
              <w:t>Total Macau Operations</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4,613,723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5,052,091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4,367,197</w:t>
            </w:r>
          </w:p>
        </w:tc>
      </w:tr>
      <w:tr>
        <w:trPr>
          <w:trHeight w:val="237"/>
        </w:trPr>
        <w:tc>
          <w:tcPr>
            <w:tcW w:w="68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r>
      <w:tr>
        <w:trPr>
          <w:trHeight w:val="25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Las Vegas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tcPr>
          <w:p>
            <w:pPr>
              <w:ind w:left="340"/>
              <w:spacing w:after="0"/>
              <w:rPr>
                <w:sz w:val="20"/>
                <w:szCs w:val="20"/>
                <w:color w:val="auto"/>
              </w:rPr>
            </w:pPr>
            <w:r>
              <w:rPr>
                <w:rFonts w:ascii="Arial" w:cs="Arial" w:eastAsia="Arial" w:hAnsi="Arial"/>
                <w:sz w:val="18"/>
                <w:szCs w:val="18"/>
                <w:color w:val="auto"/>
              </w:rPr>
              <w:t>Casino</w:t>
            </w:r>
          </w:p>
        </w:tc>
        <w:tc>
          <w:tcPr>
            <w:tcW w:w="34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394,104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434,083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456,093</w:t>
            </w:r>
          </w:p>
        </w:tc>
      </w:tr>
      <w:tr>
        <w:trPr>
          <w:trHeight w:val="27"/>
        </w:trPr>
        <w:tc>
          <w:tcPr>
            <w:tcW w:w="6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Rooms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483,055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468,238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453,376</w:t>
            </w:r>
          </w:p>
        </w:tc>
      </w:tr>
      <w:tr>
        <w:trPr>
          <w:trHeight w:val="243"/>
        </w:trPr>
        <w:tc>
          <w:tcPr>
            <w:tcW w:w="6860" w:type="dxa"/>
            <w:vAlign w:val="bottom"/>
          </w:tcPr>
          <w:p>
            <w:pPr>
              <w:ind w:left="340"/>
              <w:spacing w:after="0"/>
              <w:rPr>
                <w:sz w:val="20"/>
                <w:szCs w:val="20"/>
                <w:color w:val="auto"/>
              </w:rPr>
            </w:pPr>
            <w:r>
              <w:rPr>
                <w:rFonts w:ascii="Arial" w:cs="Arial" w:eastAsia="Arial" w:hAnsi="Arial"/>
                <w:sz w:val="18"/>
                <w:szCs w:val="18"/>
                <w:color w:val="auto"/>
              </w:rPr>
              <w:t>Food and beverage</w:t>
            </w:r>
          </w:p>
        </w:tc>
        <w:tc>
          <w:tcPr>
            <w:tcW w:w="34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558,782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567,121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567,926</w:t>
            </w:r>
          </w:p>
        </w:tc>
      </w:tr>
      <w:tr>
        <w:trPr>
          <w:trHeight w:val="27"/>
        </w:trPr>
        <w:tc>
          <w:tcPr>
            <w:tcW w:w="6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 xml:space="preserve">Entertainment, retail and other </w:t>
            </w:r>
            <w:r>
              <w:rPr>
                <w:rFonts w:ascii="Arial" w:cs="Arial" w:eastAsia="Arial" w:hAnsi="Arial"/>
                <w:sz w:val="14"/>
                <w:szCs w:val="14"/>
                <w:color w:val="auto"/>
              </w:rPr>
              <w:t>(1)</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197,516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196,127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225,568</w:t>
            </w:r>
          </w:p>
        </w:tc>
      </w:tr>
      <w:tr>
        <w:trPr>
          <w:trHeight w:val="237"/>
        </w:trPr>
        <w:tc>
          <w:tcPr>
            <w:tcW w:w="6860" w:type="dxa"/>
            <w:vAlign w:val="bottom"/>
          </w:tcPr>
          <w:p>
            <w:pPr>
              <w:ind w:left="540"/>
              <w:spacing w:after="0"/>
              <w:rPr>
                <w:sz w:val="20"/>
                <w:szCs w:val="20"/>
                <w:color w:val="auto"/>
              </w:rPr>
            </w:pPr>
            <w:r>
              <w:rPr>
                <w:rFonts w:ascii="Arial" w:cs="Arial" w:eastAsia="Arial" w:hAnsi="Arial"/>
                <w:sz w:val="18"/>
                <w:szCs w:val="18"/>
                <w:b w:val="1"/>
                <w:bCs w:val="1"/>
                <w:color w:val="auto"/>
              </w:rPr>
              <w:t>Total Las Vegas Operations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1,633,457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1,665,569</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1,702,963</w:t>
            </w:r>
          </w:p>
        </w:tc>
      </w:tr>
      <w:tr>
        <w:trPr>
          <w:trHeight w:val="27"/>
        </w:trPr>
        <w:tc>
          <w:tcPr>
            <w:tcW w:w="6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68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43"/>
        </w:trPr>
        <w:tc>
          <w:tcPr>
            <w:tcW w:w="6860" w:type="dxa"/>
            <w:vAlign w:val="bottom"/>
          </w:tcPr>
          <w:p>
            <w:pPr>
              <w:ind w:left="20"/>
              <w:spacing w:after="0"/>
              <w:rPr>
                <w:sz w:val="20"/>
                <w:szCs w:val="20"/>
                <w:color w:val="auto"/>
              </w:rPr>
            </w:pPr>
            <w:r>
              <w:rPr>
                <w:rFonts w:ascii="Arial" w:cs="Arial" w:eastAsia="Arial" w:hAnsi="Arial"/>
                <w:sz w:val="18"/>
                <w:szCs w:val="18"/>
                <w:color w:val="auto"/>
              </w:rPr>
              <w:t>Encore Boston Harbor:</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6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Casino</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243,855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6860" w:type="dxa"/>
            <w:vAlign w:val="bottom"/>
          </w:tcPr>
          <w:p>
            <w:pPr>
              <w:ind w:left="340"/>
              <w:spacing w:after="0"/>
              <w:rPr>
                <w:sz w:val="20"/>
                <w:szCs w:val="20"/>
                <w:color w:val="auto"/>
              </w:rPr>
            </w:pPr>
            <w:r>
              <w:rPr>
                <w:rFonts w:ascii="Arial" w:cs="Arial" w:eastAsia="Arial" w:hAnsi="Arial"/>
                <w:sz w:val="18"/>
                <w:szCs w:val="18"/>
                <w:color w:val="auto"/>
              </w:rPr>
              <w:t>Rooms</w:t>
            </w:r>
          </w:p>
        </w:tc>
        <w:tc>
          <w:tcPr>
            <w:tcW w:w="34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36,144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b w:val="1"/>
                <w:bCs w:val="1"/>
                <w:color w:val="auto"/>
              </w:rPr>
              <w:t>—</w:t>
            </w:r>
          </w:p>
        </w:tc>
      </w:tr>
      <w:tr>
        <w:trPr>
          <w:trHeight w:val="27"/>
        </w:trPr>
        <w:tc>
          <w:tcPr>
            <w:tcW w:w="6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Food and beverage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61,088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6860" w:type="dxa"/>
            <w:vAlign w:val="bottom"/>
          </w:tcPr>
          <w:p>
            <w:pPr>
              <w:ind w:left="360"/>
              <w:spacing w:after="0"/>
              <w:rPr>
                <w:sz w:val="20"/>
                <w:szCs w:val="20"/>
                <w:color w:val="auto"/>
              </w:rPr>
            </w:pPr>
            <w:r>
              <w:rPr>
                <w:rFonts w:ascii="Arial" w:cs="Arial" w:eastAsia="Arial" w:hAnsi="Arial"/>
                <w:sz w:val="18"/>
                <w:szCs w:val="18"/>
                <w:color w:val="auto"/>
              </w:rPr>
              <w:t xml:space="preserve">Entertainment, retail and other </w:t>
            </w:r>
            <w:r>
              <w:rPr>
                <w:rFonts w:ascii="Arial" w:cs="Arial" w:eastAsia="Arial" w:hAnsi="Arial"/>
                <w:sz w:val="14"/>
                <w:szCs w:val="14"/>
                <w:color w:val="auto"/>
              </w:rPr>
              <w:t>(1)</w:t>
            </w:r>
          </w:p>
        </w:tc>
        <w:tc>
          <w:tcPr>
            <w:tcW w:w="34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22,832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b w:val="1"/>
                <w:bCs w:val="1"/>
                <w:color w:val="auto"/>
              </w:rPr>
              <w:t>—</w:t>
            </w:r>
          </w:p>
        </w:tc>
      </w:tr>
      <w:tr>
        <w:trPr>
          <w:trHeight w:val="27"/>
        </w:trPr>
        <w:tc>
          <w:tcPr>
            <w:tcW w:w="6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68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b w:val="1"/>
                <w:bCs w:val="1"/>
                <w:color w:val="auto"/>
              </w:rPr>
              <w:t>Total Encore Boston Harbor</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363,919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w:t>
            </w:r>
          </w:p>
        </w:tc>
      </w:tr>
      <w:tr>
        <w:trPr>
          <w:trHeight w:val="237"/>
        </w:trPr>
        <w:tc>
          <w:tcPr>
            <w:tcW w:w="686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spacing w:after="0"/>
              <w:rPr>
                <w:sz w:val="20"/>
                <w:szCs w:val="20"/>
                <w:color w:val="auto"/>
              </w:rPr>
            </w:pPr>
          </w:p>
        </w:tc>
      </w:tr>
      <w:tr>
        <w:trPr>
          <w:trHeight w:val="289"/>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6,611,099</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6,717,660</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6,070,160</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08" w:name="page109"/>
    <w:bookmarkEnd w:id="10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1"/>
              </w:rPr>
              <w:t>Years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96"/>
        </w:trPr>
        <w:tc>
          <w:tcPr>
            <w:tcW w:w="68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r>
      <w:tr>
        <w:trPr>
          <w:trHeight w:val="216"/>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14"/>
                <w:szCs w:val="14"/>
                <w:b w:val="1"/>
                <w:bCs w:val="1"/>
                <w:color w:val="auto"/>
              </w:rPr>
              <w:t>(2)</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43"/>
        </w:trPr>
        <w:tc>
          <w:tcPr>
            <w:tcW w:w="6860" w:type="dxa"/>
            <w:vAlign w:val="bottom"/>
          </w:tcPr>
          <w:p>
            <w:pPr>
              <w:ind w:left="120"/>
              <w:spacing w:after="0"/>
              <w:rPr>
                <w:sz w:val="20"/>
                <w:szCs w:val="20"/>
                <w:color w:val="auto"/>
              </w:rPr>
            </w:pPr>
            <w:r>
              <w:rPr>
                <w:rFonts w:ascii="Arial" w:cs="Arial" w:eastAsia="Arial" w:hAnsi="Arial"/>
                <w:sz w:val="18"/>
                <w:szCs w:val="18"/>
                <w:color w:val="auto"/>
              </w:rPr>
              <w:t>Macau Operations: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6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Wynn Palace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729,535</w:t>
            </w:r>
          </w:p>
        </w:tc>
        <w:tc>
          <w:tcPr>
            <w:tcW w:w="4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843,902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527,583</w:t>
            </w:r>
          </w:p>
        </w:tc>
      </w:tr>
      <w:tr>
        <w:trPr>
          <w:trHeight w:val="243"/>
        </w:trPr>
        <w:tc>
          <w:tcPr>
            <w:tcW w:w="6860" w:type="dxa"/>
            <w:vAlign w:val="bottom"/>
          </w:tcPr>
          <w:p>
            <w:pPr>
              <w:ind w:left="340"/>
              <w:spacing w:after="0"/>
              <w:rPr>
                <w:sz w:val="20"/>
                <w:szCs w:val="20"/>
                <w:color w:val="auto"/>
              </w:rPr>
            </w:pPr>
            <w:r>
              <w:rPr>
                <w:rFonts w:ascii="Arial" w:cs="Arial" w:eastAsia="Arial" w:hAnsi="Arial"/>
                <w:sz w:val="18"/>
                <w:szCs w:val="18"/>
                <w:color w:val="auto"/>
              </w:rPr>
              <w:t>Wynn Macau</w:t>
            </w:r>
          </w:p>
        </w:tc>
        <w:tc>
          <w:tcPr>
            <w:tcW w:w="34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648,837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733,238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760,752</w:t>
            </w:r>
          </w:p>
        </w:tc>
      </w:tr>
      <w:tr>
        <w:trPr>
          <w:trHeight w:val="27"/>
        </w:trPr>
        <w:tc>
          <w:tcPr>
            <w:tcW w:w="6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Total Macau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1,378,372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1,577,140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1,288,335</w:t>
            </w:r>
          </w:p>
        </w:tc>
      </w:tr>
      <w:tr>
        <w:trPr>
          <w:trHeight w:val="243"/>
        </w:trPr>
        <w:tc>
          <w:tcPr>
            <w:tcW w:w="6860" w:type="dxa"/>
            <w:vAlign w:val="bottom"/>
          </w:tcPr>
          <w:p>
            <w:pPr>
              <w:ind w:left="340"/>
              <w:spacing w:after="0"/>
              <w:rPr>
                <w:sz w:val="20"/>
                <w:szCs w:val="20"/>
                <w:color w:val="auto"/>
              </w:rPr>
            </w:pPr>
            <w:r>
              <w:rPr>
                <w:rFonts w:ascii="Arial" w:cs="Arial" w:eastAsia="Arial" w:hAnsi="Arial"/>
                <w:sz w:val="18"/>
                <w:szCs w:val="18"/>
                <w:color w:val="auto"/>
              </w:rPr>
              <w:t>Las Vegas Operations</w:t>
            </w:r>
          </w:p>
        </w:tc>
        <w:tc>
          <w:tcPr>
            <w:tcW w:w="34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413,886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467,273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522,397</w:t>
            </w:r>
          </w:p>
        </w:tc>
      </w:tr>
      <w:tr>
        <w:trPr>
          <w:trHeight w:val="27"/>
        </w:trPr>
        <w:tc>
          <w:tcPr>
            <w:tcW w:w="6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Encore Boston Harbor</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23,150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w:t>
            </w:r>
          </w:p>
        </w:tc>
      </w:tr>
      <w:tr>
        <w:trPr>
          <w:trHeight w:val="237"/>
        </w:trPr>
        <w:tc>
          <w:tcPr>
            <w:tcW w:w="6860" w:type="dxa"/>
            <w:vAlign w:val="bottom"/>
          </w:tcPr>
          <w:p>
            <w:pPr>
              <w:ind w:left="660"/>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1,815,408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2,044,413</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1,810,732</w:t>
            </w:r>
          </w:p>
        </w:tc>
      </w:tr>
      <w:tr>
        <w:trPr>
          <w:trHeight w:val="27"/>
        </w:trPr>
        <w:tc>
          <w:tcPr>
            <w:tcW w:w="6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operating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tcPr>
          <w:p>
            <w:pPr>
              <w:ind w:left="340"/>
              <w:spacing w:after="0"/>
              <w:rPr>
                <w:sz w:val="20"/>
                <w:szCs w:val="20"/>
                <w:color w:val="auto"/>
              </w:rPr>
            </w:pPr>
            <w:r>
              <w:rPr>
                <w:rFonts w:ascii="Arial" w:cs="Arial" w:eastAsia="Arial" w:hAnsi="Arial"/>
                <w:sz w:val="18"/>
                <w:szCs w:val="18"/>
                <w:color w:val="auto"/>
              </w:rPr>
              <w:t>Litigation settlement</w:t>
            </w:r>
          </w:p>
        </w:tc>
        <w:tc>
          <w:tcPr>
            <w:tcW w:w="34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463,557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6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Pre-opening</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102,009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53,490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26,692</w:t>
            </w:r>
          </w:p>
        </w:tc>
      </w:tr>
      <w:tr>
        <w:trPr>
          <w:trHeight w:val="243"/>
        </w:trPr>
        <w:tc>
          <w:tcPr>
            <w:tcW w:w="686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624,878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550,596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552,368</w:t>
            </w:r>
          </w:p>
        </w:tc>
      </w:tr>
      <w:tr>
        <w:trPr>
          <w:trHeight w:val="27"/>
        </w:trPr>
        <w:tc>
          <w:tcPr>
            <w:tcW w:w="6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Property charges and other</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20,286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60,256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29,576</w:t>
            </w:r>
          </w:p>
        </w:tc>
      </w:tr>
      <w:tr>
        <w:trPr>
          <w:trHeight w:val="243"/>
        </w:trPr>
        <w:tc>
          <w:tcPr>
            <w:tcW w:w="6860" w:type="dxa"/>
            <w:vAlign w:val="bottom"/>
          </w:tcPr>
          <w:p>
            <w:pPr>
              <w:ind w:left="340"/>
              <w:spacing w:after="0"/>
              <w:rPr>
                <w:sz w:val="20"/>
                <w:szCs w:val="20"/>
                <w:color w:val="auto"/>
              </w:rPr>
            </w:pPr>
            <w:r>
              <w:rPr>
                <w:rFonts w:ascii="Arial" w:cs="Arial" w:eastAsia="Arial" w:hAnsi="Arial"/>
                <w:sz w:val="18"/>
                <w:szCs w:val="18"/>
                <w:color w:val="auto"/>
              </w:rPr>
              <w:t>Corporate expenses and other</w:t>
            </w:r>
          </w:p>
        </w:tc>
        <w:tc>
          <w:tcPr>
            <w:tcW w:w="34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150,228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144,479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102,560</w:t>
            </w:r>
          </w:p>
        </w:tc>
      </w:tr>
      <w:tr>
        <w:trPr>
          <w:trHeight w:val="27"/>
        </w:trPr>
        <w:tc>
          <w:tcPr>
            <w:tcW w:w="6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 xml:space="preserve">Stock-based compensation </w:t>
            </w:r>
            <w:r>
              <w:rPr>
                <w:rFonts w:ascii="Arial" w:cs="Arial" w:eastAsia="Arial" w:hAnsi="Arial"/>
                <w:sz w:val="14"/>
                <w:szCs w:val="14"/>
                <w:color w:val="auto"/>
              </w:rPr>
              <w:t>(3)</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39,702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36,491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43,971</w:t>
            </w:r>
          </w:p>
        </w:tc>
      </w:tr>
      <w:tr>
        <w:trPr>
          <w:trHeight w:val="237"/>
        </w:trPr>
        <w:tc>
          <w:tcPr>
            <w:tcW w:w="6860" w:type="dxa"/>
            <w:vAlign w:val="bottom"/>
          </w:tcPr>
          <w:p>
            <w:pPr>
              <w:ind w:left="660"/>
              <w:spacing w:after="0"/>
              <w:rPr>
                <w:sz w:val="20"/>
                <w:szCs w:val="20"/>
                <w:color w:val="auto"/>
              </w:rPr>
            </w:pPr>
            <w:r>
              <w:rPr>
                <w:rFonts w:ascii="Arial" w:cs="Arial" w:eastAsia="Arial" w:hAnsi="Arial"/>
                <w:sz w:val="18"/>
                <w:szCs w:val="18"/>
                <w:b w:val="1"/>
                <w:bCs w:val="1"/>
                <w:color w:val="auto"/>
              </w:rPr>
              <w:t>Total other operating expenses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937,103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1,308,869</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755,167</w:t>
            </w:r>
          </w:p>
        </w:tc>
      </w:tr>
      <w:tr>
        <w:trPr>
          <w:trHeight w:val="27"/>
        </w:trPr>
        <w:tc>
          <w:tcPr>
            <w:tcW w:w="6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878,305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735,544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1,055,565</w:t>
            </w:r>
          </w:p>
        </w:tc>
      </w:tr>
      <w:tr>
        <w:trPr>
          <w:trHeight w:val="223"/>
        </w:trPr>
        <w:tc>
          <w:tcPr>
            <w:tcW w:w="6860" w:type="dxa"/>
            <w:vAlign w:val="bottom"/>
          </w:tcPr>
          <w:p>
            <w:pPr>
              <w:ind w:left="20"/>
              <w:spacing w:after="0"/>
              <w:rPr>
                <w:sz w:val="20"/>
                <w:szCs w:val="20"/>
                <w:color w:val="auto"/>
              </w:rPr>
            </w:pPr>
            <w:r>
              <w:rPr>
                <w:rFonts w:ascii="Arial" w:cs="Arial" w:eastAsia="Arial" w:hAnsi="Arial"/>
                <w:sz w:val="18"/>
                <w:szCs w:val="18"/>
                <w:b w:val="1"/>
                <w:bCs w:val="1"/>
                <w:color w:val="auto"/>
              </w:rPr>
              <w:t>Other non-operating income and expenses</w:t>
            </w: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r>
      <w:tr>
        <w:trPr>
          <w:trHeight w:val="27"/>
        </w:trPr>
        <w:tc>
          <w:tcPr>
            <w:tcW w:w="6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24,449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29,866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31,193</w:t>
            </w:r>
          </w:p>
        </w:tc>
      </w:tr>
      <w:tr>
        <w:trPr>
          <w:trHeight w:val="243"/>
        </w:trPr>
        <w:tc>
          <w:tcPr>
            <w:tcW w:w="6860" w:type="dxa"/>
            <w:vAlign w:val="bottom"/>
          </w:tcPr>
          <w:p>
            <w:pPr>
              <w:ind w:left="340"/>
              <w:spacing w:after="0"/>
              <w:rPr>
                <w:sz w:val="20"/>
                <w:szCs w:val="20"/>
                <w:color w:val="auto"/>
              </w:rPr>
            </w:pPr>
            <w:r>
              <w:rPr>
                <w:rFonts w:ascii="Arial" w:cs="Arial" w:eastAsia="Arial" w:hAnsi="Arial"/>
                <w:sz w:val="18"/>
                <w:szCs w:val="18"/>
                <w:color w:val="auto"/>
              </w:rPr>
              <w:t>Interest expense, net of amounts capitalized</w:t>
            </w: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(414,030)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(381,849)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(388,664)</w:t>
            </w:r>
          </w:p>
        </w:tc>
      </w:tr>
      <w:tr>
        <w:trPr>
          <w:trHeight w:val="27"/>
        </w:trPr>
        <w:tc>
          <w:tcPr>
            <w:tcW w:w="6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Change in derivatives fair value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(4,520)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(1,056)</w:t>
            </w:r>
          </w:p>
        </w:tc>
      </w:tr>
      <w:tr>
        <w:trPr>
          <w:trHeight w:val="243"/>
        </w:trPr>
        <w:tc>
          <w:tcPr>
            <w:tcW w:w="6860" w:type="dxa"/>
            <w:vAlign w:val="bottom"/>
          </w:tcPr>
          <w:p>
            <w:pPr>
              <w:ind w:left="340"/>
              <w:spacing w:after="0"/>
              <w:rPr>
                <w:sz w:val="20"/>
                <w:szCs w:val="20"/>
                <w:color w:val="auto"/>
              </w:rPr>
            </w:pPr>
            <w:r>
              <w:rPr>
                <w:rFonts w:ascii="Arial" w:cs="Arial" w:eastAsia="Arial" w:hAnsi="Arial"/>
                <w:sz w:val="18"/>
                <w:szCs w:val="18"/>
                <w:color w:val="auto"/>
              </w:rPr>
              <w:t>Change in Redemption Note fair value</w:t>
            </w:r>
          </w:p>
        </w:tc>
        <w:tc>
          <w:tcPr>
            <w:tcW w:w="34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(69,331)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(59,700)</w:t>
            </w:r>
          </w:p>
        </w:tc>
      </w:tr>
      <w:tr>
        <w:trPr>
          <w:trHeight w:val="27"/>
        </w:trPr>
        <w:tc>
          <w:tcPr>
            <w:tcW w:w="6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(Loss) gain on extinguishment of debt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(55,360)</w:t>
            </w:r>
          </w:p>
        </w:tc>
      </w:tr>
      <w:tr>
        <w:trPr>
          <w:trHeight w:val="243"/>
        </w:trPr>
        <w:tc>
          <w:tcPr>
            <w:tcW w:w="6860" w:type="dxa"/>
            <w:vAlign w:val="bottom"/>
          </w:tcPr>
          <w:p>
            <w:pPr>
              <w:ind w:left="3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15,159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(4,074)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(21,709)</w:t>
            </w:r>
          </w:p>
        </w:tc>
      </w:tr>
      <w:tr>
        <w:trPr>
          <w:trHeight w:val="27"/>
        </w:trPr>
        <w:tc>
          <w:tcPr>
            <w:tcW w:w="6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68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Total other non-operating income and expenses</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(390,087)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(429,804)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(495,296)</w:t>
            </w:r>
          </w:p>
        </w:tc>
      </w:tr>
      <w:tr>
        <w:trPr>
          <w:trHeight w:val="237"/>
        </w:trPr>
        <w:tc>
          <w:tcPr>
            <w:tcW w:w="6860" w:type="dxa"/>
            <w:vAlign w:val="bottom"/>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488,218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305,740</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560,269</w:t>
            </w:r>
          </w:p>
        </w:tc>
      </w:tr>
      <w:tr>
        <w:trPr>
          <w:trHeight w:val="27"/>
        </w:trPr>
        <w:tc>
          <w:tcPr>
            <w:tcW w:w="6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Benefit (provision) for income taxes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(176,840)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497,344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328,985</w:t>
            </w:r>
          </w:p>
        </w:tc>
      </w:tr>
      <w:tr>
        <w:trPr>
          <w:trHeight w:val="237"/>
        </w:trPr>
        <w:tc>
          <w:tcPr>
            <w:tcW w:w="686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311,378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803,084</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889,254</w:t>
            </w:r>
          </w:p>
        </w:tc>
      </w:tr>
      <w:tr>
        <w:trPr>
          <w:trHeight w:val="27"/>
        </w:trPr>
        <w:tc>
          <w:tcPr>
            <w:tcW w:w="6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income attributable to noncontrolling interests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(188,393)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(230,654)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(142,073)</w:t>
            </w:r>
          </w:p>
        </w:tc>
      </w:tr>
      <w:tr>
        <w:trPr>
          <w:trHeight w:val="237"/>
        </w:trPr>
        <w:tc>
          <w:tcPr>
            <w:tcW w:w="6860" w:type="dxa"/>
            <w:vAlign w:val="bottom"/>
          </w:tcPr>
          <w:p>
            <w:pPr>
              <w:ind w:left="20"/>
              <w:spacing w:after="0"/>
              <w:rPr>
                <w:sz w:val="20"/>
                <w:szCs w:val="20"/>
                <w:color w:val="auto"/>
              </w:rPr>
            </w:pPr>
            <w:r>
              <w:rPr>
                <w:rFonts w:ascii="Arial" w:cs="Arial" w:eastAsia="Arial" w:hAnsi="Arial"/>
                <w:sz w:val="18"/>
                <w:szCs w:val="18"/>
                <w:b w:val="1"/>
                <w:bCs w:val="1"/>
                <w:color w:val="auto"/>
              </w:rPr>
              <w:t>Net income attributable to Wynn Resorts, Limited</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122,985</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572,430</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747,181</w:t>
            </w:r>
          </w:p>
        </w:tc>
      </w:tr>
      <w:tr>
        <w:trPr>
          <w:trHeight w:val="27"/>
        </w:trPr>
        <w:tc>
          <w:tcPr>
            <w:tcW w:w="68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
        </w:trPr>
        <w:tc>
          <w:tcPr>
            <w:tcW w:w="68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ind w:left="320" w:hanging="312"/>
        <w:spacing w:after="0"/>
        <w:tabs>
          <w:tab w:leader="none" w:pos="3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Includes lease revenue accounted for under lease accounting guidance. For more information on leases, see Note 15, "Leases".</w:t>
      </w:r>
    </w:p>
    <w:p>
      <w:pPr>
        <w:spacing w:after="0" w:line="13" w:lineRule="exact"/>
        <w:rPr>
          <w:rFonts w:ascii="Arial" w:cs="Arial" w:eastAsia="Arial" w:hAnsi="Arial"/>
          <w:sz w:val="14"/>
          <w:szCs w:val="14"/>
          <w:color w:val="auto"/>
        </w:rPr>
      </w:pPr>
    </w:p>
    <w:p>
      <w:pPr>
        <w:jc w:val="both"/>
        <w:ind w:left="340" w:hanging="332"/>
        <w:spacing w:after="0" w:line="260" w:lineRule="auto"/>
        <w:tabs>
          <w:tab w:leader="none" w:pos="332" w:val="left"/>
        </w:tabs>
        <w:numPr>
          <w:ilvl w:val="0"/>
          <w:numId w:val="37"/>
        </w:numPr>
        <w:rPr>
          <w:rFonts w:ascii="Arial" w:cs="Arial" w:eastAsia="Arial" w:hAnsi="Arial"/>
          <w:sz w:val="13"/>
          <w:szCs w:val="13"/>
          <w:color w:val="auto"/>
        </w:rPr>
      </w:pPr>
      <w:r>
        <w:rPr>
          <w:rFonts w:ascii="Arial" w:cs="Arial" w:eastAsia="Arial" w:hAnsi="Arial"/>
          <w:sz w:val="13"/>
          <w:szCs w:val="13"/>
          <w:color w:val="auto"/>
        </w:rPr>
        <w:t>"Adjusted Property EBITDA" is net income before interest, income taxes, depreciation and amortization, litigation settlement expense, pre-opening expenses, property charges and other, management and license fees, corporate expenses and other (including intercompany golf course and water rights leases), stock-based compensation, (loss) gain on extinguishment of debt, change in derivatives fair value, change in Redemption Note fair value and other non-operating income and expenses.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as well as a basis for determining certain incentive compensation. The Company also presents Adjusted Property EBITDA because it is used by some investors to measure a company's ability to incur and service debt, make capital expenditures and meet working capital requirements. Gaming companies have historically reported EBITDA as a supplement to GAAP. In order to view the operations of their casinos on a more stand-alone basis, gaming companies, including us,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The Company has significant uses of cash flows, including capital expenditures, interest payments, debt principal repayments, income taxes and other non-recurring charges, which are not reflected in Adjusted Property EBITDA. Also, the Company's calculation of Adjusted Property EBITDA may be different from the calculation methods used by other companies and, therefore, comparability may be limited.</w:t>
      </w:r>
    </w:p>
    <w:p>
      <w:pPr>
        <w:spacing w:after="0" w:line="1" w:lineRule="exact"/>
        <w:rPr>
          <w:rFonts w:ascii="Arial" w:cs="Arial" w:eastAsia="Arial" w:hAnsi="Arial"/>
          <w:sz w:val="13"/>
          <w:szCs w:val="13"/>
          <w:color w:val="auto"/>
        </w:rPr>
      </w:pPr>
    </w:p>
    <w:p>
      <w:pPr>
        <w:ind w:left="340" w:hanging="332"/>
        <w:spacing w:after="0" w:line="255" w:lineRule="auto"/>
        <w:tabs>
          <w:tab w:leader="none" w:pos="332" w:val="left"/>
        </w:tabs>
        <w:numPr>
          <w:ilvl w:val="0"/>
          <w:numId w:val="37"/>
        </w:numPr>
        <w:rPr>
          <w:rFonts w:ascii="Arial" w:cs="Arial" w:eastAsia="Arial" w:hAnsi="Arial"/>
          <w:sz w:val="14"/>
          <w:szCs w:val="14"/>
          <w:color w:val="auto"/>
        </w:rPr>
      </w:pPr>
      <w:r>
        <w:rPr>
          <w:rFonts w:ascii="Arial" w:cs="Arial" w:eastAsia="Arial" w:hAnsi="Arial"/>
          <w:sz w:val="14"/>
          <w:szCs w:val="14"/>
          <w:color w:val="auto"/>
        </w:rPr>
        <w:t>Excludes $0.7 million included in pre-opening expenses for the years ended December 31, 2019 and 2018. Pre-opening expenses did not include any stock-based compensation during 2017. Excludes a credit of $2.2 million included in property charges and other expenses in 2018.</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2720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09" w:name="page110"/>
    <w:bookmarkEnd w:id="10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96"/>
        </w:trPr>
        <w:tc>
          <w:tcPr>
            <w:tcW w:w="68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r>
      <w:tr>
        <w:trPr>
          <w:trHeight w:val="236"/>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Capital expenditures</w:t>
            </w: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43"/>
        </w:trPr>
        <w:tc>
          <w:tcPr>
            <w:tcW w:w="6860" w:type="dxa"/>
            <w:vAlign w:val="bottom"/>
          </w:tcPr>
          <w:p>
            <w:pPr>
              <w:ind w:left="20"/>
              <w:spacing w:after="0"/>
              <w:rPr>
                <w:sz w:val="20"/>
                <w:szCs w:val="20"/>
                <w:color w:val="auto"/>
              </w:rPr>
            </w:pPr>
            <w:r>
              <w:rPr>
                <w:rFonts w:ascii="Arial" w:cs="Arial" w:eastAsia="Arial" w:hAnsi="Arial"/>
                <w:sz w:val="18"/>
                <w:szCs w:val="18"/>
                <w:color w:val="auto"/>
              </w:rPr>
              <w:t>Macau Operations:</w:t>
            </w: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6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Wynn Palace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66,545</w:t>
            </w:r>
          </w:p>
        </w:tc>
        <w:tc>
          <w:tcPr>
            <w:tcW w:w="3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89,617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107,405</w:t>
            </w:r>
          </w:p>
        </w:tc>
      </w:tr>
      <w:tr>
        <w:trPr>
          <w:trHeight w:val="243"/>
        </w:trPr>
        <w:tc>
          <w:tcPr>
            <w:tcW w:w="6860" w:type="dxa"/>
            <w:vAlign w:val="bottom"/>
          </w:tcPr>
          <w:p>
            <w:pPr>
              <w:ind w:left="340"/>
              <w:spacing w:after="0"/>
              <w:rPr>
                <w:sz w:val="20"/>
                <w:szCs w:val="20"/>
                <w:color w:val="auto"/>
              </w:rPr>
            </w:pPr>
            <w:r>
              <w:rPr>
                <w:rFonts w:ascii="Arial" w:cs="Arial" w:eastAsia="Arial" w:hAnsi="Arial"/>
                <w:sz w:val="18"/>
                <w:szCs w:val="18"/>
                <w:color w:val="auto"/>
              </w:rPr>
              <w:t>Wynn Macau</w:t>
            </w:r>
          </w:p>
        </w:tc>
        <w:tc>
          <w:tcPr>
            <w:tcW w:w="30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142,112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54"/>
              <w:spacing w:after="0"/>
              <w:rPr>
                <w:sz w:val="20"/>
                <w:szCs w:val="20"/>
                <w:color w:val="auto"/>
              </w:rPr>
            </w:pPr>
            <w:r>
              <w:rPr>
                <w:rFonts w:ascii="Arial" w:cs="Arial" w:eastAsia="Arial" w:hAnsi="Arial"/>
                <w:sz w:val="18"/>
                <w:szCs w:val="18"/>
                <w:color w:val="auto"/>
              </w:rPr>
              <w:t>62,542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43,510</w:t>
            </w:r>
          </w:p>
        </w:tc>
      </w:tr>
      <w:tr>
        <w:trPr>
          <w:trHeight w:val="27"/>
        </w:trPr>
        <w:tc>
          <w:tcPr>
            <w:tcW w:w="6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 Macau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208,657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152,159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150,915</w:t>
            </w:r>
          </w:p>
        </w:tc>
      </w:tr>
      <w:tr>
        <w:trPr>
          <w:trHeight w:val="243"/>
        </w:trPr>
        <w:tc>
          <w:tcPr>
            <w:tcW w:w="6860" w:type="dxa"/>
            <w:vAlign w:val="bottom"/>
          </w:tcPr>
          <w:p>
            <w:pPr>
              <w:ind w:left="20"/>
              <w:spacing w:after="0"/>
              <w:rPr>
                <w:sz w:val="20"/>
                <w:szCs w:val="20"/>
                <w:color w:val="auto"/>
              </w:rPr>
            </w:pPr>
            <w:r>
              <w:rPr>
                <w:rFonts w:ascii="Arial" w:cs="Arial" w:eastAsia="Arial" w:hAnsi="Arial"/>
                <w:sz w:val="18"/>
                <w:szCs w:val="18"/>
                <w:color w:val="auto"/>
              </w:rPr>
              <w:t>Las Vegas Operations</w:t>
            </w:r>
          </w:p>
        </w:tc>
        <w:tc>
          <w:tcPr>
            <w:tcW w:w="30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96,928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54"/>
              <w:spacing w:after="0"/>
              <w:rPr>
                <w:sz w:val="20"/>
                <w:szCs w:val="20"/>
                <w:color w:val="auto"/>
              </w:rPr>
            </w:pPr>
            <w:r>
              <w:rPr>
                <w:rFonts w:ascii="Arial" w:cs="Arial" w:eastAsia="Arial" w:hAnsi="Arial"/>
                <w:sz w:val="18"/>
                <w:szCs w:val="18"/>
                <w:color w:val="auto"/>
              </w:rPr>
              <w:t>73,029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139,893</w:t>
            </w:r>
          </w:p>
        </w:tc>
      </w:tr>
      <w:tr>
        <w:trPr>
          <w:trHeight w:val="27"/>
        </w:trPr>
        <w:tc>
          <w:tcPr>
            <w:tcW w:w="6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Encore Boston Harbor</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471,381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791,250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572,825</w:t>
            </w:r>
          </w:p>
        </w:tc>
      </w:tr>
      <w:tr>
        <w:trPr>
          <w:trHeight w:val="243"/>
        </w:trPr>
        <w:tc>
          <w:tcPr>
            <w:tcW w:w="6860" w:type="dxa"/>
            <w:vAlign w:val="bottom"/>
          </w:tcPr>
          <w:p>
            <w:pPr>
              <w:ind w:left="20"/>
              <w:spacing w:after="0"/>
              <w:rPr>
                <w:sz w:val="20"/>
                <w:szCs w:val="20"/>
                <w:color w:val="auto"/>
              </w:rPr>
            </w:pPr>
            <w:r>
              <w:rPr>
                <w:rFonts w:ascii="Arial" w:cs="Arial" w:eastAsia="Arial" w:hAnsi="Arial"/>
                <w:sz w:val="18"/>
                <w:szCs w:val="18"/>
                <w:color w:val="auto"/>
              </w:rPr>
              <w:t>Corporate and other</w:t>
            </w:r>
          </w:p>
        </w:tc>
        <w:tc>
          <w:tcPr>
            <w:tcW w:w="30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286,327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54"/>
              <w:spacing w:after="0"/>
              <w:rPr>
                <w:sz w:val="20"/>
                <w:szCs w:val="20"/>
                <w:color w:val="auto"/>
              </w:rPr>
            </w:pPr>
            <w:r>
              <w:rPr>
                <w:rFonts w:ascii="Arial" w:cs="Arial" w:eastAsia="Arial" w:hAnsi="Arial"/>
                <w:sz w:val="18"/>
                <w:szCs w:val="18"/>
                <w:color w:val="auto"/>
              </w:rPr>
              <w:t>459,534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71,841</w:t>
            </w:r>
          </w:p>
        </w:tc>
      </w:tr>
      <w:tr>
        <w:trPr>
          <w:trHeight w:val="27"/>
        </w:trPr>
        <w:tc>
          <w:tcPr>
            <w:tcW w:w="6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89"/>
        </w:trPr>
        <w:tc>
          <w:tcPr>
            <w:tcW w:w="6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1,063,293</w:t>
            </w:r>
          </w:p>
        </w:tc>
        <w:tc>
          <w:tcPr>
            <w:tcW w:w="3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1,475,972</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935,474</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522"/>
        </w:trPr>
        <w:tc>
          <w:tcPr>
            <w:tcW w:w="68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December 31,</w:t>
            </w:r>
          </w:p>
        </w:tc>
        <w:tc>
          <w:tcPr>
            <w:tcW w:w="2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196"/>
        </w:trPr>
        <w:tc>
          <w:tcPr>
            <w:tcW w:w="68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r>
      <w:tr>
        <w:trPr>
          <w:trHeight w:val="236"/>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43"/>
        </w:trPr>
        <w:tc>
          <w:tcPr>
            <w:tcW w:w="6860" w:type="dxa"/>
            <w:vAlign w:val="bottom"/>
          </w:tcPr>
          <w:p>
            <w:pPr>
              <w:ind w:left="20"/>
              <w:spacing w:after="0"/>
              <w:rPr>
                <w:sz w:val="20"/>
                <w:szCs w:val="20"/>
                <w:color w:val="auto"/>
              </w:rPr>
            </w:pPr>
            <w:r>
              <w:rPr>
                <w:rFonts w:ascii="Arial" w:cs="Arial" w:eastAsia="Arial" w:hAnsi="Arial"/>
                <w:sz w:val="18"/>
                <w:szCs w:val="18"/>
                <w:color w:val="auto"/>
              </w:rPr>
              <w:t>Macau Operations:</w:t>
            </w: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6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Wynn Palace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3,734,210</w:t>
            </w:r>
          </w:p>
        </w:tc>
        <w:tc>
          <w:tcPr>
            <w:tcW w:w="3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3,858,904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4,017,494</w:t>
            </w:r>
          </w:p>
        </w:tc>
      </w:tr>
      <w:tr>
        <w:trPr>
          <w:trHeight w:val="243"/>
        </w:trPr>
        <w:tc>
          <w:tcPr>
            <w:tcW w:w="6860" w:type="dxa"/>
            <w:vAlign w:val="bottom"/>
          </w:tcPr>
          <w:p>
            <w:pPr>
              <w:ind w:left="340"/>
              <w:spacing w:after="0"/>
              <w:rPr>
                <w:sz w:val="20"/>
                <w:szCs w:val="20"/>
                <w:color w:val="auto"/>
              </w:rPr>
            </w:pPr>
            <w:r>
              <w:rPr>
                <w:rFonts w:ascii="Arial" w:cs="Arial" w:eastAsia="Arial" w:hAnsi="Arial"/>
                <w:sz w:val="18"/>
                <w:szCs w:val="18"/>
                <w:color w:val="auto"/>
              </w:rPr>
              <w:t>Wynn Macau</w:t>
            </w:r>
          </w:p>
        </w:tc>
        <w:tc>
          <w:tcPr>
            <w:tcW w:w="30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1,656,625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54"/>
              <w:spacing w:after="0"/>
              <w:rPr>
                <w:sz w:val="20"/>
                <w:szCs w:val="20"/>
                <w:color w:val="auto"/>
              </w:rPr>
            </w:pPr>
            <w:r>
              <w:rPr>
                <w:rFonts w:ascii="Arial" w:cs="Arial" w:eastAsia="Arial" w:hAnsi="Arial"/>
                <w:sz w:val="18"/>
                <w:szCs w:val="18"/>
                <w:color w:val="auto"/>
              </w:rPr>
              <w:t>1,903,921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1,271,544</w:t>
            </w:r>
          </w:p>
        </w:tc>
      </w:tr>
      <w:tr>
        <w:trPr>
          <w:trHeight w:val="27"/>
        </w:trPr>
        <w:tc>
          <w:tcPr>
            <w:tcW w:w="6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Macau</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1,023,411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68,487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174,769</w:t>
            </w:r>
          </w:p>
        </w:tc>
      </w:tr>
      <w:tr>
        <w:trPr>
          <w:trHeight w:val="237"/>
        </w:trPr>
        <w:tc>
          <w:tcPr>
            <w:tcW w:w="6860" w:type="dxa"/>
            <w:vAlign w:val="bottom"/>
          </w:tcPr>
          <w:p>
            <w:pPr>
              <w:ind w:left="340"/>
              <w:spacing w:after="0"/>
              <w:rPr>
                <w:sz w:val="20"/>
                <w:szCs w:val="20"/>
                <w:color w:val="auto"/>
              </w:rPr>
            </w:pPr>
            <w:r>
              <w:rPr>
                <w:rFonts w:ascii="Arial" w:cs="Arial" w:eastAsia="Arial" w:hAnsi="Arial"/>
                <w:sz w:val="18"/>
                <w:szCs w:val="18"/>
                <w:b w:val="1"/>
                <w:bCs w:val="1"/>
                <w:color w:val="auto"/>
              </w:rPr>
              <w:t>Total Macau Operations</w:t>
            </w: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6,414,246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5,831,312</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5,463,807</w:t>
            </w:r>
          </w:p>
        </w:tc>
      </w:tr>
      <w:tr>
        <w:trPr>
          <w:trHeight w:val="27"/>
        </w:trPr>
        <w:tc>
          <w:tcPr>
            <w:tcW w:w="6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Las Vegas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2,806,972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2,792,508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3,266,390</w:t>
            </w:r>
          </w:p>
        </w:tc>
      </w:tr>
      <w:tr>
        <w:trPr>
          <w:trHeight w:val="243"/>
        </w:trPr>
        <w:tc>
          <w:tcPr>
            <w:tcW w:w="6860" w:type="dxa"/>
            <w:vAlign w:val="bottom"/>
          </w:tcPr>
          <w:p>
            <w:pPr>
              <w:ind w:left="20"/>
              <w:spacing w:after="0"/>
              <w:rPr>
                <w:sz w:val="20"/>
                <w:szCs w:val="20"/>
                <w:color w:val="auto"/>
              </w:rPr>
            </w:pPr>
            <w:r>
              <w:rPr>
                <w:rFonts w:ascii="Arial" w:cs="Arial" w:eastAsia="Arial" w:hAnsi="Arial"/>
                <w:sz w:val="18"/>
                <w:szCs w:val="18"/>
                <w:color w:val="auto"/>
              </w:rPr>
              <w:t>Encore Boston Harbor</w:t>
            </w:r>
          </w:p>
        </w:tc>
        <w:tc>
          <w:tcPr>
            <w:tcW w:w="30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2,456,667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54"/>
              <w:spacing w:after="0"/>
              <w:rPr>
                <w:sz w:val="20"/>
                <w:szCs w:val="20"/>
                <w:color w:val="auto"/>
              </w:rPr>
            </w:pPr>
            <w:r>
              <w:rPr>
                <w:rFonts w:ascii="Arial" w:cs="Arial" w:eastAsia="Arial" w:hAnsi="Arial"/>
                <w:sz w:val="18"/>
                <w:szCs w:val="18"/>
                <w:color w:val="auto"/>
              </w:rPr>
              <w:t>1,865,286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1,060,530</w:t>
            </w:r>
          </w:p>
        </w:tc>
      </w:tr>
      <w:tr>
        <w:trPr>
          <w:trHeight w:val="27"/>
        </w:trPr>
        <w:tc>
          <w:tcPr>
            <w:tcW w:w="6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and other</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2,193,396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2,727,163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2,891,012</w:t>
            </w:r>
          </w:p>
        </w:tc>
      </w:tr>
      <w:tr>
        <w:trPr>
          <w:trHeight w:val="237"/>
        </w:trPr>
        <w:tc>
          <w:tcPr>
            <w:tcW w:w="6860" w:type="dxa"/>
            <w:vAlign w:val="bottom"/>
          </w:tcPr>
          <w:p>
            <w:pPr>
              <w:ind w:left="340"/>
              <w:spacing w:after="0"/>
              <w:rPr>
                <w:sz w:val="20"/>
                <w:szCs w:val="20"/>
                <w:color w:val="auto"/>
              </w:rPr>
            </w:pPr>
            <w:r>
              <w:rPr>
                <w:rFonts w:ascii="Arial" w:cs="Arial" w:eastAsia="Arial" w:hAnsi="Arial"/>
                <w:sz w:val="18"/>
                <w:szCs w:val="18"/>
                <w:b w:val="1"/>
                <w:bCs w:val="1"/>
                <w:color w:val="auto"/>
              </w:rPr>
              <w:t>Total</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13,871,281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13,216,269</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12,681,739</w:t>
            </w:r>
          </w:p>
        </w:tc>
      </w:tr>
      <w:tr>
        <w:trPr>
          <w:trHeight w:val="27"/>
        </w:trPr>
        <w:tc>
          <w:tcPr>
            <w:tcW w:w="68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
        </w:trPr>
        <w:tc>
          <w:tcPr>
            <w:tcW w:w="6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568"/>
        </w:trPr>
        <w:tc>
          <w:tcPr>
            <w:tcW w:w="68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December 31,</w:t>
            </w:r>
          </w:p>
        </w:tc>
        <w:tc>
          <w:tcPr>
            <w:tcW w:w="2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196"/>
        </w:trPr>
        <w:tc>
          <w:tcPr>
            <w:tcW w:w="68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r>
      <w:tr>
        <w:trPr>
          <w:trHeight w:val="236"/>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Long-lived assets</w:t>
            </w: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43"/>
        </w:trPr>
        <w:tc>
          <w:tcPr>
            <w:tcW w:w="6860" w:type="dxa"/>
            <w:vAlign w:val="bottom"/>
          </w:tcPr>
          <w:p>
            <w:pPr>
              <w:ind w:left="20"/>
              <w:spacing w:after="0"/>
              <w:rPr>
                <w:sz w:val="20"/>
                <w:szCs w:val="20"/>
                <w:color w:val="auto"/>
              </w:rPr>
            </w:pPr>
            <w:r>
              <w:rPr>
                <w:rFonts w:ascii="Arial" w:cs="Arial" w:eastAsia="Arial" w:hAnsi="Arial"/>
                <w:sz w:val="18"/>
                <w:szCs w:val="18"/>
                <w:color w:val="auto"/>
              </w:rPr>
              <w:t>Macau</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4,321,970</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4"/>
              <w:spacing w:after="0"/>
              <w:rPr>
                <w:sz w:val="20"/>
                <w:szCs w:val="20"/>
                <w:color w:val="auto"/>
              </w:rPr>
            </w:pPr>
            <w:r>
              <w:rPr>
                <w:rFonts w:ascii="Arial" w:cs="Arial" w:eastAsia="Arial" w:hAnsi="Arial"/>
                <w:sz w:val="18"/>
                <w:szCs w:val="18"/>
                <w:color w:val="auto"/>
              </w:rPr>
              <w:t>4,387,051</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4,613,950</w:t>
            </w:r>
          </w:p>
        </w:tc>
      </w:tr>
      <w:tr>
        <w:trPr>
          <w:trHeight w:val="27"/>
        </w:trPr>
        <w:tc>
          <w:tcPr>
            <w:tcW w:w="6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5,909,847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5,166,537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4,083,555</w:t>
            </w:r>
          </w:p>
        </w:tc>
      </w:tr>
      <w:tr>
        <w:trPr>
          <w:trHeight w:val="237"/>
        </w:trPr>
        <w:tc>
          <w:tcPr>
            <w:tcW w:w="6860" w:type="dxa"/>
            <w:vAlign w:val="bottom"/>
          </w:tcPr>
          <w:p>
            <w:pPr>
              <w:ind w:left="220"/>
              <w:spacing w:after="0"/>
              <w:rPr>
                <w:sz w:val="20"/>
                <w:szCs w:val="20"/>
                <w:color w:val="auto"/>
              </w:rPr>
            </w:pPr>
            <w:r>
              <w:rPr>
                <w:rFonts w:ascii="Arial" w:cs="Arial" w:eastAsia="Arial" w:hAnsi="Arial"/>
                <w:sz w:val="18"/>
                <w:szCs w:val="18"/>
                <w:b w:val="1"/>
                <w:bCs w:val="1"/>
                <w:color w:val="auto"/>
              </w:rPr>
              <w:t>Total</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10,231,817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9,553,588</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8,697,505</w:t>
            </w:r>
          </w:p>
        </w:tc>
      </w:tr>
      <w:tr>
        <w:trPr>
          <w:trHeight w:val="27"/>
        </w:trPr>
        <w:tc>
          <w:tcPr>
            <w:tcW w:w="68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
        </w:trPr>
        <w:tc>
          <w:tcPr>
            <w:tcW w:w="6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0" w:name="page111"/>
    <w:bookmarkEnd w:id="1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Consolidated Financial Information (Unaudited)</w:t>
      </w:r>
    </w:p>
    <w:p>
      <w:pPr>
        <w:spacing w:after="0" w:line="256"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The following tables (in thousands, except per share data) present selected quarterly financial information for 2019 and 2018, as previously reported. Because income (loss) per share amounts are calculated using the weighted average number of common and dilutive common equivalent shares outstanding during each quarter, the sum of the per share amounts for the four quarters may not equal the total income per share amounts for the year.</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6"/>
          </w:tcPr>
          <w:p>
            <w:pPr>
              <w:jc w:val="center"/>
              <w:ind w:right="10"/>
              <w:spacing w:after="0"/>
              <w:rPr>
                <w:sz w:val="20"/>
                <w:szCs w:val="20"/>
                <w:color w:val="auto"/>
              </w:rPr>
            </w:pPr>
            <w:r>
              <w:rPr>
                <w:rFonts w:ascii="Arial" w:cs="Arial" w:eastAsia="Arial" w:hAnsi="Arial"/>
                <w:sz w:val="14"/>
                <w:szCs w:val="14"/>
                <w:b w:val="1"/>
                <w:bCs w:val="1"/>
                <w:color w:val="auto"/>
                <w:w w:val="92"/>
              </w:rPr>
              <w:t>Year Ended December 31, 2019</w:t>
            </w: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96"/>
        </w:trPr>
        <w:tc>
          <w:tcPr>
            <w:tcW w:w="37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First</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Second</w:t>
            </w: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233"/>
              <w:spacing w:after="0"/>
              <w:rPr>
                <w:sz w:val="20"/>
                <w:szCs w:val="20"/>
                <w:color w:val="auto"/>
              </w:rPr>
            </w:pPr>
            <w:r>
              <w:rPr>
                <w:rFonts w:ascii="Arial" w:cs="Arial" w:eastAsia="Arial" w:hAnsi="Arial"/>
                <w:sz w:val="14"/>
                <w:szCs w:val="14"/>
                <w:b w:val="1"/>
                <w:bCs w:val="1"/>
                <w:color w:val="auto"/>
              </w:rPr>
              <w:t>Third</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Fourth</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Year</w:t>
            </w:r>
          </w:p>
        </w:tc>
      </w:tr>
      <w:tr>
        <w:trPr>
          <w:trHeight w:val="25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1,651,546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1,658,332</w:t>
            </w:r>
          </w:p>
        </w:tc>
        <w:tc>
          <w:tcPr>
            <w:tcW w:w="5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1,647,762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1,653,459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6,611,099</w:t>
            </w: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255,176</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218,716</w:t>
            </w:r>
          </w:p>
        </w:tc>
        <w:tc>
          <w:tcPr>
            <w:tcW w:w="5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177,835</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53"/>
              <w:spacing w:after="0"/>
              <w:rPr>
                <w:sz w:val="20"/>
                <w:szCs w:val="20"/>
                <w:color w:val="auto"/>
              </w:rPr>
            </w:pPr>
            <w:r>
              <w:rPr>
                <w:rFonts w:ascii="Arial" w:cs="Arial" w:eastAsia="Arial" w:hAnsi="Arial"/>
                <w:sz w:val="18"/>
                <w:szCs w:val="18"/>
                <w:color w:val="auto"/>
              </w:rPr>
              <w:t>226,578</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878,305</w:t>
            </w:r>
          </w:p>
        </w:tc>
      </w:tr>
      <w:tr>
        <w:trPr>
          <w:trHeight w:val="27"/>
        </w:trPr>
        <w:tc>
          <w:tcPr>
            <w:tcW w:w="3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159,731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142,234</w:t>
            </w:r>
          </w:p>
        </w:tc>
        <w:tc>
          <w:tcPr>
            <w:tcW w:w="5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26,883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(17,470)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311,378</w:t>
            </w:r>
          </w:p>
        </w:tc>
      </w:tr>
      <w:tr>
        <w:trPr>
          <w:trHeight w:val="229"/>
        </w:trPr>
        <w:tc>
          <w:tcPr>
            <w:tcW w:w="3760" w:type="dxa"/>
            <w:vAlign w:val="bottom"/>
          </w:tcPr>
          <w:p>
            <w:pPr>
              <w:ind w:left="20"/>
              <w:spacing w:after="0"/>
              <w:rPr>
                <w:sz w:val="20"/>
                <w:szCs w:val="20"/>
                <w:color w:val="auto"/>
              </w:rPr>
            </w:pPr>
            <w:r>
              <w:rPr>
                <w:rFonts w:ascii="Arial" w:cs="Arial" w:eastAsia="Arial" w:hAnsi="Arial"/>
                <w:sz w:val="18"/>
                <w:szCs w:val="18"/>
                <w:color w:val="auto"/>
                <w:w w:val="98"/>
              </w:rPr>
              <w:t>Net income (loss) attributable to Wynn Resorts,</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Limited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104,872</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94,551</w:t>
            </w:r>
          </w:p>
        </w:tc>
        <w:tc>
          <w:tcPr>
            <w:tcW w:w="5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(3,496)</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(72,942)</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122,985</w:t>
            </w:r>
          </w:p>
        </w:tc>
      </w:tr>
      <w:tr>
        <w:trPr>
          <w:trHeight w:val="27"/>
        </w:trPr>
        <w:tc>
          <w:tcPr>
            <w:tcW w:w="3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income (loss) per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0.98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5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(0.68)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1.15</w:t>
            </w: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Diluted income (loss) per share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0.98</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0.88</w:t>
            </w:r>
          </w:p>
        </w:tc>
        <w:tc>
          <w:tcPr>
            <w:tcW w:w="5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(0.68)</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1.15</w:t>
            </w:r>
          </w:p>
        </w:tc>
      </w:tr>
      <w:tr>
        <w:trPr>
          <w:trHeight w:val="548"/>
        </w:trPr>
        <w:tc>
          <w:tcPr>
            <w:tcW w:w="37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6"/>
          </w:tcPr>
          <w:p>
            <w:pPr>
              <w:jc w:val="center"/>
              <w:ind w:right="10"/>
              <w:spacing w:after="0"/>
              <w:rPr>
                <w:sz w:val="20"/>
                <w:szCs w:val="20"/>
                <w:color w:val="auto"/>
              </w:rPr>
            </w:pPr>
            <w:r>
              <w:rPr>
                <w:rFonts w:ascii="Arial" w:cs="Arial" w:eastAsia="Arial" w:hAnsi="Arial"/>
                <w:sz w:val="14"/>
                <w:szCs w:val="14"/>
                <w:b w:val="1"/>
                <w:bCs w:val="1"/>
                <w:color w:val="auto"/>
                <w:w w:val="92"/>
              </w:rPr>
              <w:t>Year Ended December 31, 2018</w:t>
            </w: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96"/>
        </w:trPr>
        <w:tc>
          <w:tcPr>
            <w:tcW w:w="37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First (1)</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Second</w:t>
            </w: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233"/>
              <w:spacing w:after="0"/>
              <w:rPr>
                <w:sz w:val="20"/>
                <w:szCs w:val="20"/>
                <w:color w:val="auto"/>
              </w:rPr>
            </w:pPr>
            <w:r>
              <w:rPr>
                <w:rFonts w:ascii="Arial" w:cs="Arial" w:eastAsia="Arial" w:hAnsi="Arial"/>
                <w:sz w:val="14"/>
                <w:szCs w:val="14"/>
                <w:b w:val="1"/>
                <w:bCs w:val="1"/>
                <w:color w:val="auto"/>
              </w:rPr>
              <w:t>Third</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Fourth (2)</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Year</w:t>
            </w:r>
          </w:p>
        </w:tc>
      </w:tr>
      <w:tr>
        <w:trPr>
          <w:trHeight w:val="25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1,715,578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1,605,424</w:t>
            </w:r>
          </w:p>
        </w:tc>
        <w:tc>
          <w:tcPr>
            <w:tcW w:w="5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1,709,072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1,687,586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6,717,660</w:t>
            </w: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(81,294)</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279,572</w:t>
            </w:r>
          </w:p>
        </w:tc>
        <w:tc>
          <w:tcPr>
            <w:tcW w:w="5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290,983</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53"/>
              <w:spacing w:after="0"/>
              <w:rPr>
                <w:sz w:val="20"/>
                <w:szCs w:val="20"/>
                <w:color w:val="auto"/>
              </w:rPr>
            </w:pPr>
            <w:r>
              <w:rPr>
                <w:rFonts w:ascii="Arial" w:cs="Arial" w:eastAsia="Arial" w:hAnsi="Arial"/>
                <w:sz w:val="18"/>
                <w:szCs w:val="18"/>
                <w:color w:val="auto"/>
              </w:rPr>
              <w:t>246,283</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735,544</w:t>
            </w:r>
          </w:p>
        </w:tc>
      </w:tr>
      <w:tr>
        <w:trPr>
          <w:trHeight w:val="27"/>
        </w:trPr>
        <w:tc>
          <w:tcPr>
            <w:tcW w:w="3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gridSpan w:val="3"/>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(137,478)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205,280</w:t>
            </w:r>
          </w:p>
        </w:tc>
        <w:tc>
          <w:tcPr>
            <w:tcW w:w="5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219,772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515,510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803,084</w:t>
            </w:r>
          </w:p>
        </w:tc>
      </w:tr>
      <w:tr>
        <w:trPr>
          <w:trHeight w:val="229"/>
        </w:trPr>
        <w:tc>
          <w:tcPr>
            <w:tcW w:w="3760" w:type="dxa"/>
            <w:vAlign w:val="bottom"/>
          </w:tcPr>
          <w:p>
            <w:pPr>
              <w:ind w:left="20"/>
              <w:spacing w:after="0"/>
              <w:rPr>
                <w:sz w:val="20"/>
                <w:szCs w:val="20"/>
                <w:color w:val="auto"/>
              </w:rPr>
            </w:pPr>
            <w:r>
              <w:rPr>
                <w:rFonts w:ascii="Arial" w:cs="Arial" w:eastAsia="Arial" w:hAnsi="Arial"/>
                <w:sz w:val="18"/>
                <w:szCs w:val="18"/>
                <w:color w:val="auto"/>
                <w:w w:val="98"/>
              </w:rPr>
              <w:t>Net income (loss) attributable to Wynn Resorts,</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Limited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(204,307)</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155,756</w:t>
            </w:r>
          </w:p>
        </w:tc>
        <w:tc>
          <w:tcPr>
            <w:tcW w:w="5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156,115</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53"/>
              <w:spacing w:after="0"/>
              <w:rPr>
                <w:sz w:val="20"/>
                <w:szCs w:val="20"/>
                <w:color w:val="auto"/>
              </w:rPr>
            </w:pPr>
            <w:r>
              <w:rPr>
                <w:rFonts w:ascii="Arial" w:cs="Arial" w:eastAsia="Arial" w:hAnsi="Arial"/>
                <w:sz w:val="18"/>
                <w:szCs w:val="18"/>
                <w:color w:val="auto"/>
              </w:rPr>
              <w:t>464,866</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572,430</w:t>
            </w:r>
          </w:p>
        </w:tc>
      </w:tr>
      <w:tr>
        <w:trPr>
          <w:trHeight w:val="27"/>
        </w:trPr>
        <w:tc>
          <w:tcPr>
            <w:tcW w:w="3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gridSpan w:val="3"/>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income (loss) per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5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4.32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5.37</w:t>
            </w: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Diluted income (loss) per share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1.44</w:t>
            </w:r>
          </w:p>
        </w:tc>
        <w:tc>
          <w:tcPr>
            <w:tcW w:w="5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53"/>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5.35</w:t>
            </w:r>
          </w:p>
        </w:tc>
      </w:tr>
    </w:tbl>
    <w:p>
      <w:pPr>
        <w:spacing w:after="0" w:line="359" w:lineRule="exact"/>
        <w:rPr>
          <w:sz w:val="20"/>
          <w:szCs w:val="20"/>
          <w:color w:val="auto"/>
        </w:rPr>
      </w:pPr>
    </w:p>
    <w:p>
      <w:pPr>
        <w:ind w:left="260" w:hanging="252"/>
        <w:spacing w:after="0" w:line="250" w:lineRule="auto"/>
        <w:tabs>
          <w:tab w:leader="none" w:pos="249" w:val="left"/>
        </w:tabs>
        <w:numPr>
          <w:ilvl w:val="0"/>
          <w:numId w:val="38"/>
        </w:numPr>
        <w:rPr>
          <w:rFonts w:ascii="Arial" w:cs="Arial" w:eastAsia="Arial" w:hAnsi="Arial"/>
          <w:sz w:val="14"/>
          <w:szCs w:val="14"/>
          <w:color w:val="auto"/>
        </w:rPr>
      </w:pPr>
      <w:r>
        <w:rPr>
          <w:rFonts w:ascii="Arial" w:cs="Arial" w:eastAsia="Arial" w:hAnsi="Arial"/>
          <w:sz w:val="14"/>
          <w:szCs w:val="14"/>
          <w:color w:val="auto"/>
        </w:rPr>
        <w:t>During the first quarter of 2018, the Company incurred a litigation settlement expense totaling $463.6 million. See Item 8—"Financial Statements and Supplementary Data," Note 17, "Commitments and Contingencies."</w:t>
      </w:r>
    </w:p>
    <w:p>
      <w:pPr>
        <w:ind w:left="260" w:right="20" w:hanging="252"/>
        <w:spacing w:after="0" w:line="255" w:lineRule="auto"/>
        <w:tabs>
          <w:tab w:leader="none" w:pos="225" w:val="left"/>
        </w:tabs>
        <w:numPr>
          <w:ilvl w:val="0"/>
          <w:numId w:val="38"/>
        </w:numPr>
        <w:rPr>
          <w:rFonts w:ascii="Arial" w:cs="Arial" w:eastAsia="Arial" w:hAnsi="Arial"/>
          <w:sz w:val="14"/>
          <w:szCs w:val="14"/>
          <w:color w:val="auto"/>
        </w:rPr>
      </w:pPr>
      <w:r>
        <w:rPr>
          <w:rFonts w:ascii="Arial" w:cs="Arial" w:eastAsia="Arial" w:hAnsi="Arial"/>
          <w:sz w:val="14"/>
          <w:szCs w:val="14"/>
          <w:color w:val="auto"/>
        </w:rPr>
        <w:t>During the fourth quarter of 2018, the Company finalized its analysis of U.S. tax reform and recorded an income tax benefit of $390.9 million, incremental to the provisional income tax benefit recorded during the fourth quarter of 2017. See Item 8—"Financial Statements and Supplementary Data," Note 13,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1" w:name="page112"/>
    <w:bookmarkEnd w:id="1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56"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The Company's management, with the participation of the Company's Chief Executive Officer ("CEO") and Chief Financial Officer ("CFO"), has evaluated the effectiveness of the Company's disclosure controls and procedures (as such term is defined in Rules 13a-15(e) and 15d-15(e) under the Securities Exchange Act of 1934, as amended (the "Exchange Act")) as of the end of the period covered by this annual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CEO and CFO have concluded that, as of the period covered by this annual report, the Company's disclosure controls and procedures were effective, at the reasonable assurance level, in recording, processing, summarizing and reporting, on a timely basis, information required to be disclosed by the Company in the reports that it files or submits under the Exchange Act and were effective in ensuring that information required to be disclosed by the Company in the reports that it files or submits under the Exchange Act is accumulated and communicated to the Company's management, including the Company's CEO and CFO, as appropriate to allow timely decisions regarding required disclosure.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5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Management of the Company is responsible for establishing and maintaining adequate internal control over financial reporting, as defined in Rule 13a-15(f) and 15d-15(f) under the Exchange Act.</w:t>
      </w:r>
    </w:p>
    <w:p>
      <w:pPr>
        <w:spacing w:after="0" w:line="197"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 xml:space="preserve">Because of its inherent limitations, internal control over financial reporting may not prevent or detect misstatements. Also, projections of any evaluation of effectiveness to future periods are subject to the risks that controls may become inadequate because of changes in conditions, or that the degree of compliance with the policies or procedures may deteriorate. Management assessed the effectiveness of the Company's internal control over financial reporting as of December 31, 2019. In making this assessment, management used the criteria set forth by the Committee of Sponsoring Organizations of the Treadway Commission ("COSO") in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(2013). Based on our assessment, management believes that, as of December 31, 2019, our internal control over financial reporting was effective based on those criteria.</w:t>
      </w:r>
    </w:p>
    <w:p>
      <w:pPr>
        <w:spacing w:after="0" w:line="20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effectiveness of our internal control over financial reporting as of December 31, 2019 has been audited by Ernst &amp; Young, LLP, an independent registered public accounting firm. Their report appears under "Report of Independent Registered Public Accounting Firm on Internal Control Over Financial Reporting."</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There were no changes in our internal control over financial reporting (as such term is defined in Rules 13a-15(f) and 15d-15(f) under the Exchange Act) during the quarter ended December 31, 2019 that materially affected, or are reasonably likely to materially affect, our internal control over financial reporting.</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56"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On February 27, 2020, the Company amended and restated its bylaws (“Bylaws”) to provide that (i) the chair must be an independent member of the Company’s Board of Directors, (ii) a majority voting standard for election of Directors and (iii) certain conforming ministerial changes. The foregoing description of the Bylaws is qualified in its entirety by the full text of the Bylaws filed as Exhibit 3.2 hereto and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2" w:name="page113"/>
    <w:bookmarkEnd w:id="1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5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information required by this item will be contained in the Registrant's definitive Proxy Statement for its 2020 Annual Stockholder Meeting to be filed with the Securities and Exchange Commission within 120 days after December 31, 2019 (the "2020 Proxy Statement") under the captions "Election of Directors," "Executive Officers," "Board Governance" and "Section 16(a) Beneficial Ownership Reporting Compliance," and is incorporated herein by reference.</w:t>
      </w:r>
    </w:p>
    <w:p>
      <w:pPr>
        <w:spacing w:after="0" w:line="21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As part of the Company's commitment to integrity, the Board of Directors has adopted a Code of Business Conduct and Ethics applicable to all directors, officers and employees of the Company and its subsidiaries. This Code is periodically reviewed by the Board of Directors. In the event we determine to amend or waive certain provisions of this code of ethics, we intend to disclose such amendments or waivers on our website at https://wynnresortslimited.gcs-web.com/corporate-governance/code-business-conduct-and-ethics within four business days following such amendment or waiver or as otherwise required by the Nasdaq listing standards.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5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information called for by this item is incorporated herein by reference to our definitive 2020 Proxy Statement under the captions "Board Compensation," "Compensation Discussion and Analysis" and "Executive Compensation Tables", which will be filed with the SEC.</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56"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The following table summarizes compensation plans under which our equity securities are authorized for issuance, aggregated as to: (i) all compensation plans previously approved by stockholders, and (ii) all compensation plans not previously approved by stockholders. These plans are described in Item 8—"Financial Statements and Supplementary Data" of Part II (see Notes to Consolidated Financial Statements).</w:t>
      </w:r>
    </w:p>
    <w:tbl>
      <w:tblPr>
        <w:tblLayout w:type="fixed"/>
        <w:tblInd w:w="0" w:type="dxa"/>
        <w:tblCellMar>
          <w:top w:w="0" w:type="dxa"/>
          <w:left w:w="0" w:type="dxa"/>
          <w:bottom w:w="0" w:type="dxa"/>
          <w:right w:w="0" w:type="dxa"/>
        </w:tblCellMar>
      </w:tblPr>
      <w:tr>
        <w:trPr>
          <w:trHeight w:val="147"/>
        </w:trPr>
        <w:tc>
          <w:tcPr>
            <w:tcW w:w="68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35"/>
        </w:trPr>
        <w:tc>
          <w:tcPr>
            <w:tcW w:w="68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135"/>
        </w:trPr>
        <w:tc>
          <w:tcPr>
            <w:tcW w:w="68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35"/>
        </w:trPr>
        <w:tc>
          <w:tcPr>
            <w:tcW w:w="6860" w:type="dxa"/>
            <w:vAlign w:val="bottom"/>
          </w:tcPr>
          <w:p>
            <w:pPr>
              <w:spacing w:after="0"/>
              <w:rPr>
                <w:sz w:val="11"/>
                <w:szCs w:val="11"/>
                <w:color w:val="auto"/>
              </w:rPr>
            </w:pPr>
          </w:p>
        </w:tc>
        <w:tc>
          <w:tcPr>
            <w:tcW w:w="15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Available for</w:t>
            </w:r>
          </w:p>
        </w:tc>
        <w:tc>
          <w:tcPr>
            <w:tcW w:w="0" w:type="dxa"/>
            <w:vAlign w:val="bottom"/>
          </w:tcPr>
          <w:p>
            <w:pPr>
              <w:spacing w:after="0"/>
              <w:rPr>
                <w:sz w:val="1"/>
                <w:szCs w:val="1"/>
                <w:color w:val="auto"/>
              </w:rPr>
            </w:pPr>
          </w:p>
        </w:tc>
      </w:tr>
      <w:tr>
        <w:trPr>
          <w:trHeight w:val="135"/>
        </w:trPr>
        <w:tc>
          <w:tcPr>
            <w:tcW w:w="686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Weighted-</w:t>
            </w:r>
          </w:p>
        </w:tc>
        <w:tc>
          <w:tcPr>
            <w:tcW w:w="14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6"/>
              </w:rPr>
              <w:t>Future</w:t>
            </w:r>
          </w:p>
        </w:tc>
        <w:tc>
          <w:tcPr>
            <w:tcW w:w="0" w:type="dxa"/>
            <w:vAlign w:val="bottom"/>
          </w:tcPr>
          <w:p>
            <w:pPr>
              <w:spacing w:after="0"/>
              <w:rPr>
                <w:sz w:val="1"/>
                <w:szCs w:val="1"/>
                <w:color w:val="auto"/>
              </w:rPr>
            </w:pPr>
          </w:p>
        </w:tc>
      </w:tr>
      <w:tr>
        <w:trPr>
          <w:trHeight w:val="135"/>
        </w:trPr>
        <w:tc>
          <w:tcPr>
            <w:tcW w:w="6860" w:type="dxa"/>
            <w:vAlign w:val="bottom"/>
          </w:tcPr>
          <w:p>
            <w:pPr>
              <w:spacing w:after="0"/>
              <w:rPr>
                <w:sz w:val="11"/>
                <w:szCs w:val="11"/>
                <w:color w:val="auto"/>
              </w:rPr>
            </w:pPr>
          </w:p>
        </w:tc>
        <w:tc>
          <w:tcPr>
            <w:tcW w:w="15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8"/>
              </w:rPr>
              <w:t>Securities to</w:t>
            </w:r>
          </w:p>
        </w:tc>
        <w:tc>
          <w:tcPr>
            <w:tcW w:w="22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4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Issuance</w:t>
            </w:r>
          </w:p>
        </w:tc>
        <w:tc>
          <w:tcPr>
            <w:tcW w:w="0" w:type="dxa"/>
            <w:vAlign w:val="bottom"/>
          </w:tcPr>
          <w:p>
            <w:pPr>
              <w:spacing w:after="0"/>
              <w:rPr>
                <w:sz w:val="1"/>
                <w:szCs w:val="1"/>
                <w:color w:val="auto"/>
              </w:rPr>
            </w:pPr>
          </w:p>
        </w:tc>
      </w:tr>
      <w:tr>
        <w:trPr>
          <w:trHeight w:val="135"/>
        </w:trPr>
        <w:tc>
          <w:tcPr>
            <w:tcW w:w="6860" w:type="dxa"/>
            <w:vAlign w:val="bottom"/>
          </w:tcPr>
          <w:p>
            <w:pPr>
              <w:spacing w:after="0"/>
              <w:rPr>
                <w:sz w:val="11"/>
                <w:szCs w:val="11"/>
                <w:color w:val="auto"/>
              </w:rPr>
            </w:pPr>
          </w:p>
        </w:tc>
        <w:tc>
          <w:tcPr>
            <w:tcW w:w="15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9"/>
              </w:rPr>
              <w:t>be Issued</w:t>
            </w:r>
          </w:p>
        </w:tc>
        <w:tc>
          <w:tcPr>
            <w:tcW w:w="220" w:type="dxa"/>
            <w:vAlign w:val="bottom"/>
          </w:tcPr>
          <w:p>
            <w:pPr>
              <w:spacing w:after="0"/>
              <w:rPr>
                <w:sz w:val="11"/>
                <w:szCs w:val="11"/>
                <w:color w:val="auto"/>
              </w:rPr>
            </w:pPr>
          </w:p>
        </w:tc>
        <w:tc>
          <w:tcPr>
            <w:tcW w:w="132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0"/>
              </w:rPr>
              <w:t>Average</w:t>
            </w:r>
          </w:p>
        </w:tc>
        <w:tc>
          <w:tcPr>
            <w:tcW w:w="14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8"/>
              </w:rPr>
              <w:t>Under Equity</w:t>
            </w:r>
          </w:p>
        </w:tc>
        <w:tc>
          <w:tcPr>
            <w:tcW w:w="0" w:type="dxa"/>
            <w:vAlign w:val="bottom"/>
          </w:tcPr>
          <w:p>
            <w:pPr>
              <w:spacing w:after="0"/>
              <w:rPr>
                <w:sz w:val="1"/>
                <w:szCs w:val="1"/>
                <w:color w:val="auto"/>
              </w:rPr>
            </w:pPr>
          </w:p>
        </w:tc>
      </w:tr>
      <w:tr>
        <w:trPr>
          <w:trHeight w:val="135"/>
        </w:trPr>
        <w:tc>
          <w:tcPr>
            <w:tcW w:w="6860" w:type="dxa"/>
            <w:vAlign w:val="bottom"/>
          </w:tcPr>
          <w:p>
            <w:pPr>
              <w:spacing w:after="0"/>
              <w:rPr>
                <w:sz w:val="11"/>
                <w:szCs w:val="11"/>
                <w:color w:val="auto"/>
              </w:rPr>
            </w:pPr>
          </w:p>
        </w:tc>
        <w:tc>
          <w:tcPr>
            <w:tcW w:w="15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Upon</w:t>
            </w:r>
          </w:p>
        </w:tc>
        <w:tc>
          <w:tcPr>
            <w:tcW w:w="220" w:type="dxa"/>
            <w:vAlign w:val="bottom"/>
          </w:tcPr>
          <w:p>
            <w:pPr>
              <w:spacing w:after="0"/>
              <w:rPr>
                <w:sz w:val="11"/>
                <w:szCs w:val="11"/>
                <w:color w:val="auto"/>
              </w:rPr>
            </w:pPr>
          </w:p>
        </w:tc>
        <w:tc>
          <w:tcPr>
            <w:tcW w:w="13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0"/>
              </w:rPr>
              <w:t>Exercise</w:t>
            </w:r>
          </w:p>
        </w:tc>
        <w:tc>
          <w:tcPr>
            <w:tcW w:w="14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Compensation</w:t>
            </w:r>
          </w:p>
        </w:tc>
        <w:tc>
          <w:tcPr>
            <w:tcW w:w="0" w:type="dxa"/>
            <w:vAlign w:val="bottom"/>
          </w:tcPr>
          <w:p>
            <w:pPr>
              <w:spacing w:after="0"/>
              <w:rPr>
                <w:sz w:val="1"/>
                <w:szCs w:val="1"/>
                <w:color w:val="auto"/>
              </w:rPr>
            </w:pPr>
          </w:p>
        </w:tc>
      </w:tr>
      <w:tr>
        <w:trPr>
          <w:trHeight w:val="135"/>
        </w:trPr>
        <w:tc>
          <w:tcPr>
            <w:tcW w:w="6860" w:type="dxa"/>
            <w:vAlign w:val="bottom"/>
          </w:tcPr>
          <w:p>
            <w:pPr>
              <w:spacing w:after="0"/>
              <w:rPr>
                <w:sz w:val="11"/>
                <w:szCs w:val="11"/>
                <w:color w:val="auto"/>
              </w:rPr>
            </w:pPr>
          </w:p>
        </w:tc>
        <w:tc>
          <w:tcPr>
            <w:tcW w:w="15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8"/>
              </w:rPr>
              <w:t>Exercise of</w:t>
            </w:r>
          </w:p>
        </w:tc>
        <w:tc>
          <w:tcPr>
            <w:tcW w:w="220" w:type="dxa"/>
            <w:vAlign w:val="bottom"/>
          </w:tcPr>
          <w:p>
            <w:pPr>
              <w:spacing w:after="0"/>
              <w:rPr>
                <w:sz w:val="11"/>
                <w:szCs w:val="11"/>
                <w:color w:val="auto"/>
              </w:rPr>
            </w:pPr>
          </w:p>
        </w:tc>
        <w:tc>
          <w:tcPr>
            <w:tcW w:w="13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3"/>
              </w:rPr>
              <w:t>Price of</w:t>
            </w:r>
          </w:p>
        </w:tc>
        <w:tc>
          <w:tcPr>
            <w:tcW w:w="14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Plans</w:t>
            </w:r>
          </w:p>
        </w:tc>
        <w:tc>
          <w:tcPr>
            <w:tcW w:w="0" w:type="dxa"/>
            <w:vAlign w:val="bottom"/>
          </w:tcPr>
          <w:p>
            <w:pPr>
              <w:spacing w:after="0"/>
              <w:rPr>
                <w:sz w:val="1"/>
                <w:szCs w:val="1"/>
                <w:color w:val="auto"/>
              </w:rPr>
            </w:pPr>
          </w:p>
        </w:tc>
      </w:tr>
      <w:tr>
        <w:trPr>
          <w:trHeight w:val="135"/>
        </w:trPr>
        <w:tc>
          <w:tcPr>
            <w:tcW w:w="6860" w:type="dxa"/>
            <w:vAlign w:val="bottom"/>
          </w:tcPr>
          <w:p>
            <w:pPr>
              <w:spacing w:after="0"/>
              <w:rPr>
                <w:sz w:val="11"/>
                <w:szCs w:val="11"/>
                <w:color w:val="auto"/>
              </w:rPr>
            </w:pPr>
          </w:p>
        </w:tc>
        <w:tc>
          <w:tcPr>
            <w:tcW w:w="15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Outstanding</w:t>
            </w:r>
          </w:p>
        </w:tc>
        <w:tc>
          <w:tcPr>
            <w:tcW w:w="220" w:type="dxa"/>
            <w:vAlign w:val="bottom"/>
          </w:tcPr>
          <w:p>
            <w:pPr>
              <w:spacing w:after="0"/>
              <w:rPr>
                <w:sz w:val="11"/>
                <w:szCs w:val="11"/>
                <w:color w:val="auto"/>
              </w:rPr>
            </w:pPr>
          </w:p>
        </w:tc>
        <w:tc>
          <w:tcPr>
            <w:tcW w:w="13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2"/>
              </w:rPr>
              <w:t>Outstanding</w:t>
            </w:r>
          </w:p>
        </w:tc>
        <w:tc>
          <w:tcPr>
            <w:tcW w:w="14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(excluding</w:t>
            </w:r>
          </w:p>
        </w:tc>
        <w:tc>
          <w:tcPr>
            <w:tcW w:w="0" w:type="dxa"/>
            <w:vAlign w:val="bottom"/>
          </w:tcPr>
          <w:p>
            <w:pPr>
              <w:spacing w:after="0"/>
              <w:rPr>
                <w:sz w:val="1"/>
                <w:szCs w:val="1"/>
                <w:color w:val="auto"/>
              </w:rPr>
            </w:pPr>
          </w:p>
        </w:tc>
      </w:tr>
      <w:tr>
        <w:trPr>
          <w:trHeight w:val="135"/>
        </w:trPr>
        <w:tc>
          <w:tcPr>
            <w:tcW w:w="6860" w:type="dxa"/>
            <w:vAlign w:val="bottom"/>
          </w:tcPr>
          <w:p>
            <w:pPr>
              <w:spacing w:after="0"/>
              <w:rPr>
                <w:sz w:val="11"/>
                <w:szCs w:val="11"/>
                <w:color w:val="auto"/>
              </w:rPr>
            </w:pPr>
          </w:p>
        </w:tc>
        <w:tc>
          <w:tcPr>
            <w:tcW w:w="15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5"/>
              </w:rPr>
              <w:t>Options,</w:t>
            </w:r>
          </w:p>
        </w:tc>
        <w:tc>
          <w:tcPr>
            <w:tcW w:w="220" w:type="dxa"/>
            <w:vAlign w:val="bottom"/>
          </w:tcPr>
          <w:p>
            <w:pPr>
              <w:spacing w:after="0"/>
              <w:rPr>
                <w:sz w:val="11"/>
                <w:szCs w:val="11"/>
                <w:color w:val="auto"/>
              </w:rPr>
            </w:pPr>
          </w:p>
        </w:tc>
        <w:tc>
          <w:tcPr>
            <w:tcW w:w="13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1"/>
              </w:rPr>
              <w:t>Options,</w:t>
            </w:r>
          </w:p>
        </w:tc>
        <w:tc>
          <w:tcPr>
            <w:tcW w:w="14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securities</w:t>
            </w:r>
          </w:p>
        </w:tc>
        <w:tc>
          <w:tcPr>
            <w:tcW w:w="0" w:type="dxa"/>
            <w:vAlign w:val="bottom"/>
          </w:tcPr>
          <w:p>
            <w:pPr>
              <w:spacing w:after="0"/>
              <w:rPr>
                <w:sz w:val="1"/>
                <w:szCs w:val="1"/>
                <w:color w:val="auto"/>
              </w:rPr>
            </w:pPr>
          </w:p>
        </w:tc>
      </w:tr>
      <w:tr>
        <w:trPr>
          <w:trHeight w:val="135"/>
        </w:trPr>
        <w:tc>
          <w:tcPr>
            <w:tcW w:w="6860" w:type="dxa"/>
            <w:vAlign w:val="bottom"/>
          </w:tcPr>
          <w:p>
            <w:pPr>
              <w:spacing w:after="0"/>
              <w:rPr>
                <w:sz w:val="11"/>
                <w:szCs w:val="11"/>
                <w:color w:val="auto"/>
              </w:rPr>
            </w:pPr>
          </w:p>
        </w:tc>
        <w:tc>
          <w:tcPr>
            <w:tcW w:w="15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5"/>
              </w:rPr>
              <w:t>Warrants</w:t>
            </w:r>
          </w:p>
        </w:tc>
        <w:tc>
          <w:tcPr>
            <w:tcW w:w="220" w:type="dxa"/>
            <w:vAlign w:val="bottom"/>
          </w:tcPr>
          <w:p>
            <w:pPr>
              <w:spacing w:after="0"/>
              <w:rPr>
                <w:sz w:val="11"/>
                <w:szCs w:val="11"/>
                <w:color w:val="auto"/>
              </w:rPr>
            </w:pPr>
          </w:p>
        </w:tc>
        <w:tc>
          <w:tcPr>
            <w:tcW w:w="13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8"/>
              </w:rPr>
              <w:t>Warrants</w:t>
            </w:r>
          </w:p>
        </w:tc>
        <w:tc>
          <w:tcPr>
            <w:tcW w:w="14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reflected in</w:t>
            </w:r>
          </w:p>
        </w:tc>
        <w:tc>
          <w:tcPr>
            <w:tcW w:w="0" w:type="dxa"/>
            <w:vAlign w:val="bottom"/>
          </w:tcPr>
          <w:p>
            <w:pPr>
              <w:spacing w:after="0"/>
              <w:rPr>
                <w:sz w:val="1"/>
                <w:szCs w:val="1"/>
                <w:color w:val="auto"/>
              </w:rPr>
            </w:pPr>
          </w:p>
        </w:tc>
      </w:tr>
      <w:tr>
        <w:trPr>
          <w:trHeight w:val="135"/>
        </w:trPr>
        <w:tc>
          <w:tcPr>
            <w:tcW w:w="68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Plan Category</w:t>
            </w:r>
          </w:p>
        </w:tc>
        <w:tc>
          <w:tcPr>
            <w:tcW w:w="15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1"/>
              </w:rPr>
              <w:t>and Rights</w:t>
            </w:r>
          </w:p>
        </w:tc>
        <w:tc>
          <w:tcPr>
            <w:tcW w:w="220" w:type="dxa"/>
            <w:vAlign w:val="bottom"/>
          </w:tcPr>
          <w:p>
            <w:pPr>
              <w:spacing w:after="0"/>
              <w:rPr>
                <w:sz w:val="11"/>
                <w:szCs w:val="11"/>
                <w:color w:val="auto"/>
              </w:rPr>
            </w:pPr>
          </w:p>
        </w:tc>
        <w:tc>
          <w:tcPr>
            <w:tcW w:w="13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3"/>
              </w:rPr>
              <w:t>and Rights</w:t>
            </w:r>
          </w:p>
        </w:tc>
        <w:tc>
          <w:tcPr>
            <w:tcW w:w="14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column (a))</w:t>
            </w:r>
          </w:p>
        </w:tc>
        <w:tc>
          <w:tcPr>
            <w:tcW w:w="0" w:type="dxa"/>
            <w:vAlign w:val="bottom"/>
          </w:tcPr>
          <w:p>
            <w:pPr>
              <w:spacing w:after="0"/>
              <w:rPr>
                <w:sz w:val="1"/>
                <w:szCs w:val="1"/>
                <w:color w:val="auto"/>
              </w:rPr>
            </w:pPr>
          </w:p>
        </w:tc>
      </w:tr>
      <w:tr>
        <w:trPr>
          <w:trHeight w:val="188"/>
        </w:trPr>
        <w:tc>
          <w:tcPr>
            <w:tcW w:w="6860" w:type="dxa"/>
            <w:vAlign w:val="bottom"/>
            <w:vMerge w:val="continue"/>
          </w:tcPr>
          <w:p>
            <w:pPr>
              <w:spacing w:after="0"/>
              <w:rPr>
                <w:sz w:val="16"/>
                <w:szCs w:val="16"/>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w:t>
            </w:r>
          </w:p>
        </w:tc>
        <w:tc>
          <w:tcPr>
            <w:tcW w:w="22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(b)</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45"/>
        </w:trPr>
        <w:tc>
          <w:tcPr>
            <w:tcW w:w="6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compensation plans approved by security holders</w:t>
            </w:r>
          </w:p>
        </w:tc>
        <w:tc>
          <w:tcPr>
            <w:tcW w:w="1420" w:type="dxa"/>
            <w:vAlign w:val="bottom"/>
            <w:tcBorders>
              <w:top w:val="single" w:sz="8" w:color="auto"/>
              <w:bottom w:val="single" w:sz="8" w:color="CCEEFF"/>
            </w:tcBorders>
            <w:shd w:val="clear" w:color="auto" w:fill="CCEEFF"/>
          </w:tcPr>
          <w:p>
            <w:pPr>
              <w:jc w:val="right"/>
              <w:ind w:right="64"/>
              <w:spacing w:after="0"/>
              <w:rPr>
                <w:sz w:val="20"/>
                <w:szCs w:val="20"/>
                <w:color w:val="auto"/>
              </w:rPr>
            </w:pPr>
            <w:r>
              <w:rPr>
                <w:rFonts w:ascii="Arial" w:cs="Arial" w:eastAsia="Arial" w:hAnsi="Arial"/>
                <w:sz w:val="18"/>
                <w:szCs w:val="18"/>
                <w:color w:val="auto"/>
              </w:rPr>
              <w:t>23,700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CCEEFF"/>
            </w:tcBorders>
            <w:shd w:val="clear" w:color="auto" w:fill="CCEEFF"/>
          </w:tcPr>
          <w:p>
            <w:pPr>
              <w:jc w:val="right"/>
              <w:ind w:right="84"/>
              <w:spacing w:after="0"/>
              <w:rPr>
                <w:sz w:val="20"/>
                <w:szCs w:val="20"/>
                <w:color w:val="auto"/>
              </w:rPr>
            </w:pPr>
            <w:r>
              <w:rPr>
                <w:rFonts w:ascii="Arial" w:cs="Arial" w:eastAsia="Arial" w:hAnsi="Arial"/>
                <w:sz w:val="18"/>
                <w:szCs w:val="18"/>
                <w:color w:val="auto"/>
              </w:rPr>
              <w:t>80.42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jc w:val="right"/>
              <w:ind w:right="105"/>
              <w:spacing w:after="0"/>
              <w:rPr>
                <w:sz w:val="20"/>
                <w:szCs w:val="20"/>
                <w:color w:val="auto"/>
              </w:rPr>
            </w:pPr>
            <w:r>
              <w:rPr>
                <w:rFonts w:ascii="Arial" w:cs="Arial" w:eastAsia="Arial" w:hAnsi="Arial"/>
                <w:sz w:val="18"/>
                <w:szCs w:val="18"/>
                <w:color w:val="auto"/>
              </w:rPr>
              <w:t>2,640,796</w:t>
            </w:r>
          </w:p>
        </w:tc>
        <w:tc>
          <w:tcPr>
            <w:tcW w:w="0" w:type="dxa"/>
            <w:vAlign w:val="bottom"/>
          </w:tcPr>
          <w:p>
            <w:pPr>
              <w:spacing w:after="0"/>
              <w:rPr>
                <w:sz w:val="1"/>
                <w:szCs w:val="1"/>
                <w:color w:val="auto"/>
              </w:rPr>
            </w:pPr>
          </w:p>
        </w:tc>
      </w:tr>
      <w:tr>
        <w:trPr>
          <w:trHeight w:val="243"/>
        </w:trPr>
        <w:tc>
          <w:tcPr>
            <w:tcW w:w="6860" w:type="dxa"/>
            <w:vAlign w:val="bottom"/>
          </w:tcPr>
          <w:p>
            <w:pPr>
              <w:ind w:left="20"/>
              <w:spacing w:after="0"/>
              <w:rPr>
                <w:sz w:val="20"/>
                <w:szCs w:val="20"/>
                <w:color w:val="auto"/>
              </w:rPr>
            </w:pPr>
            <w:r>
              <w:rPr>
                <w:rFonts w:ascii="Arial" w:cs="Arial" w:eastAsia="Arial" w:hAnsi="Arial"/>
                <w:sz w:val="18"/>
                <w:szCs w:val="18"/>
                <w:color w:val="auto"/>
              </w:rPr>
              <w:t>Equity compensation plans not approved by security holders</w:t>
            </w: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0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42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8"/>
                <w:szCs w:val="18"/>
                <w:color w:val="auto"/>
              </w:rPr>
              <w:t>23,700</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8"/>
                <w:szCs w:val="18"/>
                <w:color w:val="auto"/>
              </w:rPr>
              <w:t>80.42</w:t>
            </w:r>
          </w:p>
        </w:tc>
        <w:tc>
          <w:tcPr>
            <w:tcW w:w="10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ind w:right="105"/>
              <w:spacing w:after="0"/>
              <w:rPr>
                <w:sz w:val="20"/>
                <w:szCs w:val="20"/>
                <w:color w:val="auto"/>
              </w:rPr>
            </w:pPr>
            <w:r>
              <w:rPr>
                <w:rFonts w:ascii="Arial" w:cs="Arial" w:eastAsia="Arial" w:hAnsi="Arial"/>
                <w:sz w:val="18"/>
                <w:szCs w:val="18"/>
                <w:color w:val="auto"/>
              </w:rPr>
              <w:t>2,640,796</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Certain information required by this item will be contained in the 2020 Proxy Statement under the caption "Certain Beneficial Ownership and Management," and is incorporated herein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56"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information called for by this item is incorporated herein by reference to our definitive 2020 Proxy Statement under the caption "Certain Relationships and Related Transactions," and "Board Governance," which will be filed with the SEC.</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5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information called for by this item is incorporated herein by reference to our definitive 2020 Proxy Statement under the caption "Ratification of Appointment of Independent Auditors," which will be filed with the SEC.</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2720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13" w:name="page114"/>
    <w:bookmarkEnd w:id="1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56"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(a)1. The following consolidated financial statements of the Company are filed as part of this report under Item 8—"Financial Statements and Supplementary Data."</w:t>
      </w:r>
    </w:p>
    <w:p>
      <w:pPr>
        <w:spacing w:after="0" w:line="197" w:lineRule="exact"/>
        <w:rPr>
          <w:sz w:val="20"/>
          <w:szCs w:val="20"/>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Reports of Independent Registered Public Accounting Firm</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Consolidated Balance Sheets as of December 31, 2019 and 2018</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Consolidated Statements of Income for the years ended December 31, 2019, 2018, and 2017</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Consolidated Statements of Comprehensive Income for the years ended December 31, 2019, 2018, and 2017</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Consolidated Statements of Stockholders' Equity for the years ended December 31, 2019, 2018, and 2017</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Consolidated Statements of Cash Flows for the years ended December 31, 2019, 2018, and 2017</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Quarterly Consolidated Financial Information (Unaudited)</w:t>
      </w:r>
    </w:p>
    <w:p>
      <w:pPr>
        <w:spacing w:after="0" w:line="23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(a)2. Financial Statement Schedule filed in Part IV of this report:</w:t>
      </w:r>
    </w:p>
    <w:p>
      <w:pPr>
        <w:spacing w:after="0" w:line="252" w:lineRule="exact"/>
        <w:rPr>
          <w:sz w:val="20"/>
          <w:szCs w:val="20"/>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Schedule II—Valuation and Qualifying Accounts</w:t>
      </w:r>
    </w:p>
    <w:p>
      <w:pPr>
        <w:spacing w:after="0" w:line="252"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We have omitted all other financial statement schedules because they are not required or are not applicable, or the required information is shown in the consolidated financial statements or notes to the consolidated financial statements.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w:t>
      </w:r>
      <w:r>
        <w:rPr>
          <w:rFonts w:ascii="Arial" w:cs="Arial" w:eastAsia="Arial" w:hAnsi="Arial"/>
          <w:sz w:val="18"/>
          <w:szCs w:val="18"/>
          <w:color w:val="auto"/>
        </w:rPr>
        <w:t>—</w:t>
      </w:r>
      <w:r>
        <w:rPr>
          <w:rFonts w:ascii="Arial" w:cs="Arial" w:eastAsia="Arial" w:hAnsi="Arial"/>
          <w:sz w:val="18"/>
          <w:szCs w:val="18"/>
          <w:b w:val="1"/>
          <w:bCs w:val="1"/>
          <w:color w:val="auto"/>
        </w:rPr>
        <w:t>VALUATION AND QUALIFYING ACCOUNTS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Balance at</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Provision (Benefit)</w:t>
            </w:r>
          </w:p>
        </w:tc>
        <w:tc>
          <w:tcPr>
            <w:tcW w:w="15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Write-offs,</w:t>
            </w: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5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for</w:t>
            </w:r>
          </w:p>
        </w:tc>
        <w:tc>
          <w:tcPr>
            <w:tcW w:w="154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vMerge w:val="restart"/>
          </w:tcPr>
          <w:p>
            <w:pPr>
              <w:jc w:val="center"/>
              <w:ind w:right="157"/>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35"/>
        </w:trPr>
        <w:tc>
          <w:tcPr>
            <w:tcW w:w="53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220" w:type="dxa"/>
            <w:vAlign w:val="bottom"/>
          </w:tcPr>
          <w:p>
            <w:pPr>
              <w:spacing w:after="0"/>
              <w:rPr>
                <w:sz w:val="11"/>
                <w:szCs w:val="11"/>
                <w:color w:val="auto"/>
              </w:rPr>
            </w:pPr>
          </w:p>
        </w:tc>
        <w:tc>
          <w:tcPr>
            <w:tcW w:w="134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1"/>
              </w:rPr>
              <w:t>Beginning of</w:t>
            </w:r>
          </w:p>
        </w:tc>
        <w:tc>
          <w:tcPr>
            <w:tcW w:w="15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7"/>
              </w:rPr>
              <w:t>Doubtful</w:t>
            </w:r>
          </w:p>
        </w:tc>
        <w:tc>
          <w:tcPr>
            <w:tcW w:w="15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Net of</w:t>
            </w:r>
          </w:p>
        </w:tc>
        <w:tc>
          <w:tcPr>
            <w:tcW w:w="24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53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Year</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Accounts</w:t>
            </w: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Recoveries</w:t>
            </w:r>
          </w:p>
        </w:tc>
        <w:tc>
          <w:tcPr>
            <w:tcW w:w="240" w:type="dxa"/>
            <w:vAlign w:val="bottom"/>
          </w:tcPr>
          <w:p>
            <w:pPr>
              <w:spacing w:after="0"/>
              <w:rPr>
                <w:sz w:val="16"/>
                <w:szCs w:val="16"/>
                <w:color w:val="auto"/>
              </w:rPr>
            </w:pPr>
          </w:p>
        </w:tc>
        <w:tc>
          <w:tcPr>
            <w:tcW w:w="1200" w:type="dxa"/>
            <w:vAlign w:val="bottom"/>
          </w:tcPr>
          <w:p>
            <w:pPr>
              <w:jc w:val="center"/>
              <w:ind w:right="157"/>
              <w:spacing w:after="0"/>
              <w:rPr>
                <w:sz w:val="20"/>
                <w:szCs w:val="20"/>
                <w:color w:val="auto"/>
              </w:rPr>
            </w:pPr>
            <w:r>
              <w:rPr>
                <w:rFonts w:ascii="Arial" w:cs="Arial" w:eastAsia="Arial" w:hAnsi="Arial"/>
                <w:sz w:val="14"/>
                <w:szCs w:val="14"/>
                <w:b w:val="1"/>
                <w:bCs w:val="1"/>
                <w:color w:val="auto"/>
                <w:w w:val="92"/>
              </w:rPr>
              <w:t>End of Year</w:t>
            </w:r>
          </w:p>
        </w:tc>
        <w:tc>
          <w:tcPr>
            <w:tcW w:w="0" w:type="dxa"/>
            <w:vAlign w:val="bottom"/>
          </w:tcPr>
          <w:p>
            <w:pPr>
              <w:spacing w:after="0"/>
              <w:rPr>
                <w:sz w:val="1"/>
                <w:szCs w:val="1"/>
                <w:color w:val="auto"/>
              </w:rPr>
            </w:pPr>
          </w:p>
        </w:tc>
      </w:tr>
      <w:tr>
        <w:trPr>
          <w:trHeight w:val="232"/>
        </w:trPr>
        <w:tc>
          <w:tcPr>
            <w:tcW w:w="5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Allowance for doubtful accounts:</w:t>
            </w: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00" w:type="dxa"/>
            <w:vAlign w:val="bottom"/>
          </w:tcPr>
          <w:p>
            <w:pPr>
              <w:ind w:left="20"/>
              <w:spacing w:after="0"/>
              <w:rPr>
                <w:sz w:val="20"/>
                <w:szCs w:val="20"/>
                <w:color w:val="auto"/>
              </w:rPr>
            </w:pPr>
            <w:r>
              <w:rPr>
                <w:rFonts w:ascii="Arial" w:cs="Arial" w:eastAsia="Arial" w:hAnsi="Arial"/>
                <w:sz w:val="18"/>
                <w:szCs w:val="18"/>
                <w:color w:val="auto"/>
              </w:rPr>
              <w:t>2019</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79"/>
              <w:spacing w:after="0"/>
              <w:rPr>
                <w:sz w:val="20"/>
                <w:szCs w:val="20"/>
                <w:color w:val="auto"/>
              </w:rPr>
            </w:pPr>
            <w:r>
              <w:rPr>
                <w:rFonts w:ascii="Arial" w:cs="Arial" w:eastAsia="Arial" w:hAnsi="Arial"/>
                <w:sz w:val="18"/>
                <w:szCs w:val="18"/>
                <w:color w:val="auto"/>
              </w:rPr>
              <w:t>32,694</w:t>
            </w:r>
          </w:p>
        </w:tc>
        <w:tc>
          <w:tcPr>
            <w:tcW w:w="100" w:type="dxa"/>
            <w:vAlign w:val="bottom"/>
          </w:tcPr>
          <w:p>
            <w:pPr>
              <w:spacing w:after="0"/>
              <w:rPr>
                <w:sz w:val="21"/>
                <w:szCs w:val="21"/>
                <w:color w:val="auto"/>
              </w:rPr>
            </w:pPr>
          </w:p>
        </w:tc>
        <w:tc>
          <w:tcPr>
            <w:tcW w:w="1440" w:type="dxa"/>
            <w:vAlign w:val="bottom"/>
          </w:tcPr>
          <w:p>
            <w:pPr>
              <w:jc w:val="right"/>
              <w:ind w:right="78"/>
              <w:spacing w:after="0"/>
              <w:rPr>
                <w:sz w:val="20"/>
                <w:szCs w:val="20"/>
                <w:color w:val="auto"/>
              </w:rPr>
            </w:pPr>
            <w:r>
              <w:rPr>
                <w:rFonts w:ascii="Arial" w:cs="Arial" w:eastAsia="Arial" w:hAnsi="Arial"/>
                <w:sz w:val="18"/>
                <w:szCs w:val="18"/>
                <w:color w:val="auto"/>
              </w:rPr>
              <w:t>21,898</w:t>
            </w:r>
          </w:p>
        </w:tc>
        <w:tc>
          <w:tcPr>
            <w:tcW w:w="100" w:type="dxa"/>
            <w:vAlign w:val="bottom"/>
          </w:tcPr>
          <w:p>
            <w:pPr>
              <w:spacing w:after="0"/>
              <w:rPr>
                <w:sz w:val="21"/>
                <w:szCs w:val="21"/>
                <w:color w:val="auto"/>
              </w:rPr>
            </w:pPr>
          </w:p>
        </w:tc>
        <w:tc>
          <w:tcPr>
            <w:tcW w:w="1440" w:type="dxa"/>
            <w:vAlign w:val="bottom"/>
          </w:tcPr>
          <w:p>
            <w:pPr>
              <w:jc w:val="right"/>
              <w:ind w:right="37"/>
              <w:spacing w:after="0"/>
              <w:rPr>
                <w:sz w:val="20"/>
                <w:szCs w:val="20"/>
                <w:color w:val="auto"/>
              </w:rPr>
            </w:pPr>
            <w:r>
              <w:rPr>
                <w:rFonts w:ascii="Arial" w:cs="Arial" w:eastAsia="Arial" w:hAnsi="Arial"/>
                <w:sz w:val="18"/>
                <w:szCs w:val="18"/>
                <w:color w:val="auto"/>
              </w:rPr>
              <w:t>(15,275)</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57"/>
              <w:spacing w:after="0"/>
              <w:rPr>
                <w:sz w:val="20"/>
                <w:szCs w:val="20"/>
                <w:color w:val="auto"/>
              </w:rPr>
            </w:pPr>
            <w:r>
              <w:rPr>
                <w:rFonts w:ascii="Arial" w:cs="Arial" w:eastAsia="Arial" w:hAnsi="Arial"/>
                <w:sz w:val="18"/>
                <w:szCs w:val="18"/>
                <w:color w:val="auto"/>
              </w:rPr>
              <w:t>39,317</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30,600</w:t>
            </w:r>
          </w:p>
        </w:tc>
        <w:tc>
          <w:tcPr>
            <w:tcW w:w="10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6,527</w:t>
            </w:r>
          </w:p>
        </w:tc>
        <w:tc>
          <w:tcPr>
            <w:tcW w:w="10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(4,433)</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32,694</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2017</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300" w:type="dxa"/>
            <w:vAlign w:val="bottom"/>
            <w:vMerge w:val="continue"/>
          </w:tcPr>
          <w:p>
            <w:pPr>
              <w:spacing w:after="0"/>
              <w:rPr>
                <w:sz w:val="18"/>
                <w:szCs w:val="18"/>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79"/>
              <w:spacing w:after="0"/>
              <w:rPr>
                <w:sz w:val="20"/>
                <w:szCs w:val="20"/>
                <w:color w:val="auto"/>
              </w:rPr>
            </w:pPr>
            <w:r>
              <w:rPr>
                <w:rFonts w:ascii="Arial" w:cs="Arial" w:eastAsia="Arial" w:hAnsi="Arial"/>
                <w:sz w:val="18"/>
                <w:szCs w:val="18"/>
                <w:color w:val="auto"/>
              </w:rPr>
              <w:t>54,742</w:t>
            </w:r>
          </w:p>
        </w:tc>
        <w:tc>
          <w:tcPr>
            <w:tcW w:w="100" w:type="dxa"/>
            <w:vAlign w:val="bottom"/>
          </w:tcPr>
          <w:p>
            <w:pPr>
              <w:spacing w:after="0"/>
              <w:rPr>
                <w:sz w:val="18"/>
                <w:szCs w:val="18"/>
                <w:color w:val="auto"/>
              </w:rPr>
            </w:pPr>
          </w:p>
        </w:tc>
        <w:tc>
          <w:tcPr>
            <w:tcW w:w="1440" w:type="dxa"/>
            <w:vAlign w:val="bottom"/>
          </w:tcPr>
          <w:p>
            <w:pPr>
              <w:jc w:val="right"/>
              <w:ind w:right="38"/>
              <w:spacing w:after="0"/>
              <w:rPr>
                <w:sz w:val="20"/>
                <w:szCs w:val="20"/>
                <w:color w:val="auto"/>
              </w:rPr>
            </w:pPr>
            <w:r>
              <w:rPr>
                <w:rFonts w:ascii="Arial" w:cs="Arial" w:eastAsia="Arial" w:hAnsi="Arial"/>
                <w:sz w:val="18"/>
                <w:szCs w:val="18"/>
                <w:color w:val="auto"/>
              </w:rPr>
              <w:t>(6,711)</w:t>
            </w:r>
          </w:p>
        </w:tc>
        <w:tc>
          <w:tcPr>
            <w:tcW w:w="100" w:type="dxa"/>
            <w:vAlign w:val="bottom"/>
          </w:tcPr>
          <w:p>
            <w:pPr>
              <w:spacing w:after="0"/>
              <w:rPr>
                <w:sz w:val="18"/>
                <w:szCs w:val="18"/>
                <w:color w:val="auto"/>
              </w:rPr>
            </w:pPr>
          </w:p>
        </w:tc>
        <w:tc>
          <w:tcPr>
            <w:tcW w:w="1440" w:type="dxa"/>
            <w:vAlign w:val="bottom"/>
          </w:tcPr>
          <w:p>
            <w:pPr>
              <w:jc w:val="right"/>
              <w:ind w:right="37"/>
              <w:spacing w:after="0"/>
              <w:rPr>
                <w:sz w:val="20"/>
                <w:szCs w:val="20"/>
                <w:color w:val="auto"/>
              </w:rPr>
            </w:pPr>
            <w:r>
              <w:rPr>
                <w:rFonts w:ascii="Arial" w:cs="Arial" w:eastAsia="Arial" w:hAnsi="Arial"/>
                <w:sz w:val="18"/>
                <w:szCs w:val="18"/>
                <w:color w:val="auto"/>
              </w:rPr>
              <w:t>(17,431)</w:t>
            </w:r>
          </w:p>
        </w:tc>
        <w:tc>
          <w:tcPr>
            <w:tcW w:w="1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57"/>
              <w:spacing w:after="0"/>
              <w:rPr>
                <w:sz w:val="20"/>
                <w:szCs w:val="20"/>
                <w:color w:val="auto"/>
              </w:rPr>
            </w:pPr>
            <w:r>
              <w:rPr>
                <w:rFonts w:ascii="Arial" w:cs="Arial" w:eastAsia="Arial" w:hAnsi="Arial"/>
                <w:sz w:val="18"/>
                <w:szCs w:val="18"/>
                <w:color w:val="auto"/>
              </w:rPr>
              <w:t>30,600</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5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5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Balance at</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vMerge w:val="restart"/>
          </w:tcPr>
          <w:p>
            <w:pPr>
              <w:jc w:val="center"/>
              <w:ind w:right="157"/>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35"/>
        </w:trPr>
        <w:tc>
          <w:tcPr>
            <w:tcW w:w="53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220" w:type="dxa"/>
            <w:vAlign w:val="bottom"/>
          </w:tcPr>
          <w:p>
            <w:pPr>
              <w:spacing w:after="0"/>
              <w:rPr>
                <w:sz w:val="11"/>
                <w:szCs w:val="11"/>
                <w:color w:val="auto"/>
              </w:rPr>
            </w:pPr>
          </w:p>
        </w:tc>
        <w:tc>
          <w:tcPr>
            <w:tcW w:w="134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1"/>
              </w:rPr>
              <w:t>Beginning of</w:t>
            </w:r>
          </w:p>
        </w:tc>
        <w:tc>
          <w:tcPr>
            <w:tcW w:w="15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Additions</w:t>
            </w:r>
          </w:p>
        </w:tc>
        <w:tc>
          <w:tcPr>
            <w:tcW w:w="15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Deductions</w:t>
            </w:r>
          </w:p>
        </w:tc>
        <w:tc>
          <w:tcPr>
            <w:tcW w:w="24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53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Year</w:t>
            </w:r>
          </w:p>
        </w:tc>
        <w:tc>
          <w:tcPr>
            <w:tcW w:w="1540" w:type="dxa"/>
            <w:vAlign w:val="bottom"/>
            <w:gridSpan w:val="2"/>
            <w:vMerge w:val="continue"/>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center"/>
              <w:ind w:right="157"/>
              <w:spacing w:after="0"/>
              <w:rPr>
                <w:sz w:val="20"/>
                <w:szCs w:val="20"/>
                <w:color w:val="auto"/>
              </w:rPr>
            </w:pPr>
            <w:r>
              <w:rPr>
                <w:rFonts w:ascii="Arial" w:cs="Arial" w:eastAsia="Arial" w:hAnsi="Arial"/>
                <w:sz w:val="14"/>
                <w:szCs w:val="14"/>
                <w:b w:val="1"/>
                <w:bCs w:val="1"/>
                <w:color w:val="auto"/>
                <w:w w:val="92"/>
              </w:rPr>
              <w:t>End of Year</w:t>
            </w:r>
          </w:p>
        </w:tc>
        <w:tc>
          <w:tcPr>
            <w:tcW w:w="0" w:type="dxa"/>
            <w:vAlign w:val="bottom"/>
          </w:tcPr>
          <w:p>
            <w:pPr>
              <w:spacing w:after="0"/>
              <w:rPr>
                <w:sz w:val="1"/>
                <w:szCs w:val="1"/>
                <w:color w:val="auto"/>
              </w:rPr>
            </w:pPr>
          </w:p>
        </w:tc>
      </w:tr>
      <w:tr>
        <w:trPr>
          <w:trHeight w:val="232"/>
        </w:trPr>
        <w:tc>
          <w:tcPr>
            <w:tcW w:w="5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tax asset valuation allowance:</w:t>
            </w: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00" w:type="dxa"/>
            <w:vAlign w:val="bottom"/>
          </w:tcPr>
          <w:p>
            <w:pPr>
              <w:ind w:left="20"/>
              <w:spacing w:after="0"/>
              <w:rPr>
                <w:sz w:val="20"/>
                <w:szCs w:val="20"/>
                <w:color w:val="auto"/>
              </w:rPr>
            </w:pPr>
            <w:r>
              <w:rPr>
                <w:rFonts w:ascii="Arial" w:cs="Arial" w:eastAsia="Arial" w:hAnsi="Arial"/>
                <w:sz w:val="18"/>
                <w:szCs w:val="18"/>
                <w:color w:val="auto"/>
              </w:rPr>
              <w:t>2019</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79"/>
              <w:spacing w:after="0"/>
              <w:rPr>
                <w:sz w:val="20"/>
                <w:szCs w:val="20"/>
                <w:color w:val="auto"/>
              </w:rPr>
            </w:pPr>
            <w:r>
              <w:rPr>
                <w:rFonts w:ascii="Arial" w:cs="Arial" w:eastAsia="Arial" w:hAnsi="Arial"/>
                <w:sz w:val="18"/>
                <w:szCs w:val="18"/>
                <w:color w:val="auto"/>
              </w:rPr>
              <w:t>2,643,899</w:t>
            </w:r>
          </w:p>
        </w:tc>
        <w:tc>
          <w:tcPr>
            <w:tcW w:w="100" w:type="dxa"/>
            <w:vAlign w:val="bottom"/>
          </w:tcPr>
          <w:p>
            <w:pPr>
              <w:spacing w:after="0"/>
              <w:rPr>
                <w:sz w:val="21"/>
                <w:szCs w:val="21"/>
                <w:color w:val="auto"/>
              </w:rPr>
            </w:pPr>
          </w:p>
        </w:tc>
        <w:tc>
          <w:tcPr>
            <w:tcW w:w="1440" w:type="dxa"/>
            <w:vAlign w:val="bottom"/>
          </w:tcPr>
          <w:p>
            <w:pPr>
              <w:jc w:val="right"/>
              <w:ind w:right="78"/>
              <w:spacing w:after="0"/>
              <w:rPr>
                <w:sz w:val="20"/>
                <w:szCs w:val="20"/>
                <w:color w:val="auto"/>
              </w:rPr>
            </w:pPr>
            <w:r>
              <w:rPr>
                <w:rFonts w:ascii="Arial" w:cs="Arial" w:eastAsia="Arial" w:hAnsi="Arial"/>
                <w:sz w:val="18"/>
                <w:szCs w:val="18"/>
                <w:color w:val="auto"/>
              </w:rPr>
              <w:t>147,881</w:t>
            </w:r>
          </w:p>
        </w:tc>
        <w:tc>
          <w:tcPr>
            <w:tcW w:w="100" w:type="dxa"/>
            <w:vAlign w:val="bottom"/>
          </w:tcPr>
          <w:p>
            <w:pPr>
              <w:spacing w:after="0"/>
              <w:rPr>
                <w:sz w:val="21"/>
                <w:szCs w:val="21"/>
                <w:color w:val="auto"/>
              </w:rPr>
            </w:pPr>
          </w:p>
        </w:tc>
        <w:tc>
          <w:tcPr>
            <w:tcW w:w="1440" w:type="dxa"/>
            <w:vAlign w:val="bottom"/>
          </w:tcPr>
          <w:p>
            <w:pPr>
              <w:jc w:val="right"/>
              <w:ind w:right="37"/>
              <w:spacing w:after="0"/>
              <w:rPr>
                <w:sz w:val="20"/>
                <w:szCs w:val="20"/>
                <w:color w:val="auto"/>
              </w:rPr>
            </w:pPr>
            <w:r>
              <w:rPr>
                <w:rFonts w:ascii="Arial" w:cs="Arial" w:eastAsia="Arial" w:hAnsi="Arial"/>
                <w:sz w:val="18"/>
                <w:szCs w:val="18"/>
                <w:color w:val="auto"/>
              </w:rPr>
              <w:t>(32,349)</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57"/>
              <w:spacing w:after="0"/>
              <w:rPr>
                <w:sz w:val="20"/>
                <w:szCs w:val="20"/>
                <w:color w:val="auto"/>
              </w:rPr>
            </w:pPr>
            <w:r>
              <w:rPr>
                <w:rFonts w:ascii="Arial" w:cs="Arial" w:eastAsia="Arial" w:hAnsi="Arial"/>
                <w:sz w:val="18"/>
                <w:szCs w:val="18"/>
                <w:color w:val="auto"/>
              </w:rPr>
              <w:t>2,759,431</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3,390,467</w:t>
            </w:r>
          </w:p>
        </w:tc>
        <w:tc>
          <w:tcPr>
            <w:tcW w:w="10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201,282</w:t>
            </w:r>
          </w:p>
        </w:tc>
        <w:tc>
          <w:tcPr>
            <w:tcW w:w="10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(947,850)</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2,643,899</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2017</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300" w:type="dxa"/>
            <w:vAlign w:val="bottom"/>
            <w:vMerge w:val="continue"/>
          </w:tcPr>
          <w:p>
            <w:pPr>
              <w:spacing w:after="0"/>
              <w:rPr>
                <w:sz w:val="18"/>
                <w:szCs w:val="18"/>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79"/>
              <w:spacing w:after="0"/>
              <w:rPr>
                <w:sz w:val="20"/>
                <w:szCs w:val="20"/>
                <w:color w:val="auto"/>
              </w:rPr>
            </w:pPr>
            <w:r>
              <w:rPr>
                <w:rFonts w:ascii="Arial" w:cs="Arial" w:eastAsia="Arial" w:hAnsi="Arial"/>
                <w:sz w:val="18"/>
                <w:szCs w:val="18"/>
                <w:color w:val="auto"/>
              </w:rPr>
              <w:t>3,286,723</w:t>
            </w:r>
          </w:p>
        </w:tc>
        <w:tc>
          <w:tcPr>
            <w:tcW w:w="100" w:type="dxa"/>
            <w:vAlign w:val="bottom"/>
          </w:tcPr>
          <w:p>
            <w:pPr>
              <w:spacing w:after="0"/>
              <w:rPr>
                <w:sz w:val="18"/>
                <w:szCs w:val="18"/>
                <w:color w:val="auto"/>
              </w:rPr>
            </w:pPr>
          </w:p>
        </w:tc>
        <w:tc>
          <w:tcPr>
            <w:tcW w:w="1440" w:type="dxa"/>
            <w:vAlign w:val="bottom"/>
          </w:tcPr>
          <w:p>
            <w:pPr>
              <w:jc w:val="right"/>
              <w:ind w:right="78"/>
              <w:spacing w:after="0"/>
              <w:rPr>
                <w:sz w:val="20"/>
                <w:szCs w:val="20"/>
                <w:color w:val="auto"/>
              </w:rPr>
            </w:pPr>
            <w:r>
              <w:rPr>
                <w:rFonts w:ascii="Arial" w:cs="Arial" w:eastAsia="Arial" w:hAnsi="Arial"/>
                <w:sz w:val="18"/>
                <w:szCs w:val="18"/>
                <w:color w:val="auto"/>
              </w:rPr>
              <w:t>112,543</w:t>
            </w:r>
          </w:p>
        </w:tc>
        <w:tc>
          <w:tcPr>
            <w:tcW w:w="100" w:type="dxa"/>
            <w:vAlign w:val="bottom"/>
          </w:tcPr>
          <w:p>
            <w:pPr>
              <w:spacing w:after="0"/>
              <w:rPr>
                <w:sz w:val="18"/>
                <w:szCs w:val="18"/>
                <w:color w:val="auto"/>
              </w:rPr>
            </w:pPr>
          </w:p>
        </w:tc>
        <w:tc>
          <w:tcPr>
            <w:tcW w:w="1440" w:type="dxa"/>
            <w:vAlign w:val="bottom"/>
          </w:tcPr>
          <w:p>
            <w:pPr>
              <w:jc w:val="right"/>
              <w:ind w:right="37"/>
              <w:spacing w:after="0"/>
              <w:rPr>
                <w:sz w:val="20"/>
                <w:szCs w:val="20"/>
                <w:color w:val="auto"/>
              </w:rPr>
            </w:pPr>
            <w:r>
              <w:rPr>
                <w:rFonts w:ascii="Arial" w:cs="Arial" w:eastAsia="Arial" w:hAnsi="Arial"/>
                <w:sz w:val="18"/>
                <w:szCs w:val="18"/>
                <w:color w:val="auto"/>
              </w:rPr>
              <w:t>(8,799)</w:t>
            </w:r>
          </w:p>
        </w:tc>
        <w:tc>
          <w:tcPr>
            <w:tcW w:w="1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57"/>
              <w:spacing w:after="0"/>
              <w:rPr>
                <w:sz w:val="20"/>
                <w:szCs w:val="20"/>
                <w:color w:val="auto"/>
              </w:rPr>
            </w:pPr>
            <w:r>
              <w:rPr>
                <w:rFonts w:ascii="Arial" w:cs="Arial" w:eastAsia="Arial" w:hAnsi="Arial"/>
                <w:sz w:val="18"/>
                <w:szCs w:val="18"/>
                <w:color w:val="auto"/>
              </w:rPr>
              <w:t>3,390,467</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5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4" w:name="page115"/>
    <w:bookmarkEnd w:id="1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(a)3. Exhibits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Exhibits that are not filed herewith have been previously filed with the SEC and are incorporated herein by reference.</w:t>
      </w:r>
    </w:p>
    <w:p>
      <w:pPr>
        <w:spacing w:after="0" w:line="55" w:lineRule="exact"/>
        <w:rPr>
          <w:sz w:val="20"/>
          <w:szCs w:val="20"/>
          <w:color w:val="auto"/>
        </w:rPr>
      </w:pPr>
    </w:p>
    <w:tbl>
      <w:tblPr>
        <w:tblLayout w:type="fixed"/>
        <w:tblInd w:w="400" w:type="dxa"/>
        <w:tblCellMar>
          <w:top w:w="0" w:type="dxa"/>
          <w:left w:w="0" w:type="dxa"/>
          <w:bottom w:w="0" w:type="dxa"/>
          <w:right w:w="0" w:type="dxa"/>
        </w:tblCellMar>
      </w:tblPr>
      <w:tr>
        <w:trPr>
          <w:trHeight w:val="192"/>
        </w:trPr>
        <w:tc>
          <w:tcPr>
            <w:tcW w:w="960" w:type="dxa"/>
            <w:vAlign w:val="bottom"/>
          </w:tcPr>
          <w:p>
            <w:pPr>
              <w:spacing w:after="0"/>
              <w:rPr>
                <w:sz w:val="16"/>
                <w:szCs w:val="16"/>
                <w:color w:val="auto"/>
              </w:rPr>
            </w:pPr>
          </w:p>
        </w:tc>
        <w:tc>
          <w:tcPr>
            <w:tcW w:w="6100" w:type="dxa"/>
            <w:vAlign w:val="bottom"/>
            <w:tcBorders>
              <w:bottom w:val="single" w:sz="8" w:color="auto"/>
            </w:tcBorders>
          </w:tcPr>
          <w:p>
            <w:pPr>
              <w:spacing w:after="0"/>
              <w:rPr>
                <w:sz w:val="16"/>
                <w:szCs w:val="16"/>
                <w:color w:val="auto"/>
              </w:rPr>
            </w:pPr>
          </w:p>
        </w:tc>
        <w:tc>
          <w:tcPr>
            <w:tcW w:w="3940" w:type="dxa"/>
            <w:vAlign w:val="bottom"/>
            <w:tcBorders>
              <w:bottom w:val="single" w:sz="8" w:color="auto"/>
            </w:tcBorders>
            <w:gridSpan w:val="2"/>
          </w:tcPr>
          <w:p>
            <w:pPr>
              <w:ind w:left="1920"/>
              <w:spacing w:after="0"/>
              <w:rPr>
                <w:sz w:val="20"/>
                <w:szCs w:val="20"/>
                <w:color w:val="auto"/>
              </w:rPr>
            </w:pPr>
            <w:r>
              <w:rPr>
                <w:rFonts w:ascii="Arial" w:cs="Arial" w:eastAsia="Arial" w:hAnsi="Arial"/>
                <w:sz w:val="14"/>
                <w:szCs w:val="14"/>
                <w:b w:val="1"/>
                <w:bCs w:val="1"/>
                <w:color w:val="auto"/>
              </w:rPr>
              <w:t>Incorporated by Reference</w:t>
            </w:r>
          </w:p>
        </w:tc>
      </w:tr>
      <w:tr>
        <w:trPr>
          <w:trHeight w:val="162"/>
        </w:trPr>
        <w:tc>
          <w:tcPr>
            <w:tcW w:w="960" w:type="dxa"/>
            <w:vAlign w:val="bottom"/>
          </w:tcPr>
          <w:p>
            <w:pPr>
              <w:jc w:val="center"/>
              <w:ind w:right="428"/>
              <w:spacing w:after="0"/>
              <w:rPr>
                <w:sz w:val="20"/>
                <w:szCs w:val="20"/>
                <w:color w:val="auto"/>
              </w:rPr>
            </w:pPr>
            <w:r>
              <w:rPr>
                <w:rFonts w:ascii="Arial" w:cs="Arial" w:eastAsia="Arial" w:hAnsi="Arial"/>
                <w:sz w:val="14"/>
                <w:szCs w:val="14"/>
                <w:b w:val="1"/>
                <w:bCs w:val="1"/>
                <w:color w:val="auto"/>
                <w:w w:val="98"/>
              </w:rPr>
              <w:t>Exhibit</w:t>
            </w:r>
          </w:p>
        </w:tc>
        <w:tc>
          <w:tcPr>
            <w:tcW w:w="61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04"/>
        </w:trPr>
        <w:tc>
          <w:tcPr>
            <w:tcW w:w="960" w:type="dxa"/>
            <w:vAlign w:val="bottom"/>
          </w:tcPr>
          <w:p>
            <w:pPr>
              <w:jc w:val="center"/>
              <w:ind w:right="408"/>
              <w:spacing w:after="0"/>
              <w:rPr>
                <w:sz w:val="20"/>
                <w:szCs w:val="20"/>
                <w:color w:val="auto"/>
              </w:rPr>
            </w:pPr>
            <w:r>
              <w:rPr>
                <w:rFonts w:ascii="Arial" w:cs="Arial" w:eastAsia="Arial" w:hAnsi="Arial"/>
                <w:sz w:val="14"/>
                <w:szCs w:val="14"/>
                <w:b w:val="1"/>
                <w:bCs w:val="1"/>
                <w:color w:val="auto"/>
                <w:w w:val="88"/>
              </w:rPr>
              <w:t>No.</w:t>
            </w:r>
          </w:p>
        </w:tc>
        <w:tc>
          <w:tcPr>
            <w:tcW w:w="6100" w:type="dxa"/>
            <w:vAlign w:val="bottom"/>
          </w:tcPr>
          <w:p>
            <w:pPr>
              <w:ind w:left="3480"/>
              <w:spacing w:after="0"/>
              <w:rPr>
                <w:sz w:val="20"/>
                <w:szCs w:val="20"/>
                <w:color w:val="auto"/>
              </w:rPr>
            </w:pPr>
            <w:r>
              <w:rPr>
                <w:rFonts w:ascii="Arial" w:cs="Arial" w:eastAsia="Arial" w:hAnsi="Arial"/>
                <w:sz w:val="14"/>
                <w:szCs w:val="14"/>
                <w:b w:val="1"/>
                <w:bCs w:val="1"/>
                <w:color w:val="auto"/>
              </w:rPr>
              <w:t>Description</w:t>
            </w:r>
          </w:p>
        </w:tc>
        <w:tc>
          <w:tcPr>
            <w:tcW w:w="2660" w:type="dxa"/>
            <w:vAlign w:val="bottom"/>
          </w:tcPr>
          <w:p>
            <w:pPr>
              <w:ind w:left="1980"/>
              <w:spacing w:after="0"/>
              <w:rPr>
                <w:sz w:val="20"/>
                <w:szCs w:val="20"/>
                <w:color w:val="auto"/>
              </w:rPr>
            </w:pPr>
            <w:r>
              <w:rPr>
                <w:rFonts w:ascii="Arial" w:cs="Arial" w:eastAsia="Arial" w:hAnsi="Arial"/>
                <w:sz w:val="14"/>
                <w:szCs w:val="14"/>
                <w:b w:val="1"/>
                <w:bCs w:val="1"/>
                <w:color w:val="auto"/>
              </w:rPr>
              <w:t>Form</w:t>
            </w:r>
          </w:p>
        </w:tc>
        <w:tc>
          <w:tcPr>
            <w:tcW w:w="1280" w:type="dxa"/>
            <w:vAlign w:val="bottom"/>
          </w:tcPr>
          <w:p>
            <w:pPr>
              <w:ind w:left="340"/>
              <w:spacing w:after="0"/>
              <w:rPr>
                <w:sz w:val="20"/>
                <w:szCs w:val="20"/>
                <w:color w:val="auto"/>
              </w:rPr>
            </w:pPr>
            <w:r>
              <w:rPr>
                <w:rFonts w:ascii="Arial" w:cs="Arial" w:eastAsia="Arial" w:hAnsi="Arial"/>
                <w:sz w:val="14"/>
                <w:szCs w:val="14"/>
                <w:b w:val="1"/>
                <w:bCs w:val="1"/>
                <w:color w:val="auto"/>
              </w:rPr>
              <w:t>Filing Date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7620</wp:posOffset>
            </wp:positionV>
            <wp:extent cx="63804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380480" cy="8890"/>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p>
      <w:pPr>
        <w:spacing w:after="0" w:line="8"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940" w:type="dxa"/>
            <w:vAlign w:val="bottom"/>
          </w:tcPr>
          <w:p>
            <w:pPr>
              <w:jc w:val="center"/>
              <w:ind w:right="430"/>
              <w:spacing w:after="0"/>
              <w:rPr>
                <w:sz w:val="20"/>
                <w:szCs w:val="20"/>
                <w:color w:val="auto"/>
              </w:rPr>
            </w:pPr>
            <w:r>
              <w:rPr>
                <w:rFonts w:ascii="Arial" w:cs="Arial" w:eastAsia="Arial" w:hAnsi="Arial"/>
                <w:sz w:val="18"/>
                <w:szCs w:val="18"/>
                <w:color w:val="auto"/>
                <w:w w:val="87"/>
              </w:rPr>
              <w:t>3.1</w:t>
            </w:r>
          </w:p>
        </w:tc>
        <w:tc>
          <w:tcPr>
            <w:tcW w:w="7640" w:type="dxa"/>
            <w:vAlign w:val="bottom"/>
            <w:gridSpan w:val="34"/>
          </w:tcPr>
          <w:p>
            <w:pPr>
              <w:spacing w:after="0"/>
              <w:rPr>
                <w:rFonts w:ascii="Arial" w:cs="Arial" w:eastAsia="Arial" w:hAnsi="Arial"/>
                <w:sz w:val="18"/>
                <w:szCs w:val="18"/>
                <w:color w:val="0000FF"/>
              </w:rPr>
            </w:pPr>
            <w:hyperlink r:id="rId143">
              <w:r>
                <w:rPr>
                  <w:rFonts w:ascii="Arial" w:cs="Arial" w:eastAsia="Arial" w:hAnsi="Arial"/>
                  <w:sz w:val="18"/>
                  <w:szCs w:val="18"/>
                  <w:color w:val="0000FF"/>
                </w:rPr>
                <w:t>Third Amended and Restated Articles of Incorporation of the Registrant.</w:t>
              </w:r>
            </w:hyperlink>
          </w:p>
        </w:tc>
        <w:tc>
          <w:tcPr>
            <w:tcW w:w="0" w:type="dxa"/>
            <w:vAlign w:val="bottom"/>
          </w:tcPr>
          <w:p>
            <w:pPr>
              <w:spacing w:after="0"/>
              <w:rPr>
                <w:sz w:val="1"/>
                <w:szCs w:val="1"/>
                <w:color w:val="auto"/>
              </w:rPr>
            </w:pPr>
          </w:p>
        </w:tc>
      </w:tr>
      <w:tr>
        <w:trPr>
          <w:trHeight w:val="250"/>
        </w:trPr>
        <w:tc>
          <w:tcPr>
            <w:tcW w:w="940" w:type="dxa"/>
            <w:vAlign w:val="bottom"/>
          </w:tcPr>
          <w:p>
            <w:pPr>
              <w:jc w:val="center"/>
              <w:ind w:right="430"/>
              <w:spacing w:after="0"/>
              <w:rPr>
                <w:sz w:val="20"/>
                <w:szCs w:val="20"/>
                <w:color w:val="auto"/>
              </w:rPr>
            </w:pPr>
            <w:r>
              <w:rPr>
                <w:rFonts w:ascii="Arial" w:cs="Arial" w:eastAsia="Arial" w:hAnsi="Arial"/>
                <w:sz w:val="18"/>
                <w:szCs w:val="18"/>
                <w:color w:val="auto"/>
                <w:w w:val="87"/>
              </w:rPr>
              <w:t>3.2</w:t>
            </w:r>
          </w:p>
        </w:tc>
        <w:tc>
          <w:tcPr>
            <w:tcW w:w="5240" w:type="dxa"/>
            <w:vAlign w:val="bottom"/>
            <w:tcBorders>
              <w:top w:val="single" w:sz="8" w:color="0000FF"/>
            </w:tcBorders>
            <w:gridSpan w:val="12"/>
          </w:tcPr>
          <w:p>
            <w:pPr>
              <w:spacing w:after="0"/>
              <w:rPr>
                <w:rFonts w:ascii="Arial" w:cs="Arial" w:eastAsia="Arial" w:hAnsi="Arial"/>
                <w:sz w:val="18"/>
                <w:szCs w:val="18"/>
                <w:color w:val="0000FF"/>
              </w:rPr>
            </w:pPr>
            <w:hyperlink w:anchor="page119">
              <w:r>
                <w:rPr>
                  <w:rFonts w:ascii="Arial" w:cs="Arial" w:eastAsia="Arial" w:hAnsi="Arial"/>
                  <w:sz w:val="18"/>
                  <w:szCs w:val="18"/>
                  <w:color w:val="0000FF"/>
                </w:rPr>
                <w:t>Ninth Amended and Restated Bylaws of the Registrant.</w:t>
              </w:r>
            </w:hyperlink>
          </w:p>
        </w:tc>
        <w:tc>
          <w:tcPr>
            <w:tcW w:w="2400" w:type="dxa"/>
            <w:vAlign w:val="bottom"/>
            <w:gridSpan w:val="22"/>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40" w:type="dxa"/>
            <w:vAlign w:val="bottom"/>
          </w:tcPr>
          <w:p>
            <w:pPr>
              <w:jc w:val="center"/>
              <w:ind w:right="430"/>
              <w:spacing w:after="0"/>
              <w:rPr>
                <w:sz w:val="20"/>
                <w:szCs w:val="20"/>
                <w:color w:val="auto"/>
              </w:rPr>
            </w:pPr>
            <w:r>
              <w:rPr>
                <w:rFonts w:ascii="Arial" w:cs="Arial" w:eastAsia="Arial" w:hAnsi="Arial"/>
                <w:sz w:val="18"/>
                <w:szCs w:val="18"/>
                <w:color w:val="auto"/>
                <w:w w:val="87"/>
              </w:rPr>
              <w:t>4.1</w:t>
            </w:r>
          </w:p>
        </w:tc>
        <w:tc>
          <w:tcPr>
            <w:tcW w:w="6800" w:type="dxa"/>
            <w:vAlign w:val="bottom"/>
            <w:tcBorders>
              <w:bottom w:val="single" w:sz="8" w:color="0000FF"/>
            </w:tcBorders>
            <w:gridSpan w:val="14"/>
          </w:tcPr>
          <w:p>
            <w:pPr>
              <w:spacing w:after="0"/>
              <w:rPr>
                <w:rFonts w:ascii="Arial" w:cs="Arial" w:eastAsia="Arial" w:hAnsi="Arial"/>
                <w:sz w:val="18"/>
                <w:szCs w:val="18"/>
                <w:color w:val="0000FF"/>
                <w:w w:val="90"/>
              </w:rPr>
            </w:pPr>
            <w:hyperlink r:id="rId144">
              <w:r>
                <w:rPr>
                  <w:rFonts w:ascii="Arial" w:cs="Arial" w:eastAsia="Arial" w:hAnsi="Arial"/>
                  <w:sz w:val="18"/>
                  <w:szCs w:val="18"/>
                  <w:color w:val="0000FF"/>
                  <w:w w:val="90"/>
                </w:rPr>
                <w:t xml:space="preserve">Specimen certificate for shares of Common Stock, </w:t>
              </w:r>
              <w:r>
                <w:rPr>
                  <w:rFonts w:ascii="Arial" w:cs="Arial" w:eastAsia="Arial" w:hAnsi="Arial"/>
                  <w:sz w:val="18"/>
                  <w:szCs w:val="18"/>
                  <w:u w:val="single" w:color="auto"/>
                  <w:color w:val="0000FF"/>
                  <w:w w:val="90"/>
                </w:rPr>
                <w:t>$</w:t>
              </w:r>
              <w:r>
                <w:rPr>
                  <w:rFonts w:ascii="Arial" w:cs="Arial" w:eastAsia="Arial" w:hAnsi="Arial"/>
                  <w:sz w:val="18"/>
                  <w:szCs w:val="18"/>
                  <w:color w:val="0000FF"/>
                  <w:w w:val="90"/>
                </w:rPr>
                <w:t>0.01 par value per share of the Registrant.</w:t>
              </w:r>
            </w:hyperlink>
          </w:p>
        </w:tc>
        <w:tc>
          <w:tcPr>
            <w:tcW w:w="840" w:type="dxa"/>
            <w:vAlign w:val="bottom"/>
            <w:gridSpan w:val="20"/>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40" w:type="dxa"/>
            <w:vAlign w:val="bottom"/>
          </w:tcPr>
          <w:p>
            <w:pPr>
              <w:jc w:val="center"/>
              <w:ind w:right="430"/>
              <w:spacing w:after="0"/>
              <w:rPr>
                <w:sz w:val="20"/>
                <w:szCs w:val="20"/>
                <w:color w:val="auto"/>
              </w:rPr>
            </w:pPr>
            <w:r>
              <w:rPr>
                <w:rFonts w:ascii="Arial" w:cs="Arial" w:eastAsia="Arial" w:hAnsi="Arial"/>
                <w:sz w:val="18"/>
                <w:szCs w:val="18"/>
                <w:color w:val="auto"/>
                <w:w w:val="87"/>
              </w:rPr>
              <w:t>4.2</w:t>
            </w:r>
          </w:p>
        </w:tc>
        <w:tc>
          <w:tcPr>
            <w:tcW w:w="2740" w:type="dxa"/>
            <w:vAlign w:val="bottom"/>
            <w:tcBorders>
              <w:bottom w:val="single" w:sz="8" w:color="0000FF"/>
            </w:tcBorders>
            <w:gridSpan w:val="5"/>
          </w:tcPr>
          <w:p>
            <w:pPr>
              <w:spacing w:after="0"/>
              <w:rPr>
                <w:rFonts w:ascii="Arial" w:cs="Arial" w:eastAsia="Arial" w:hAnsi="Arial"/>
                <w:sz w:val="18"/>
                <w:szCs w:val="18"/>
                <w:color w:val="0000FF"/>
                <w:w w:val="91"/>
              </w:rPr>
            </w:pPr>
            <w:hyperlink w:anchor="page144">
              <w:r>
                <w:rPr>
                  <w:rFonts w:ascii="Arial" w:cs="Arial" w:eastAsia="Arial" w:hAnsi="Arial"/>
                  <w:sz w:val="18"/>
                  <w:szCs w:val="18"/>
                  <w:color w:val="0000FF"/>
                  <w:w w:val="91"/>
                </w:rPr>
                <w:t>Description of Registrant's Securities.</w:t>
              </w:r>
            </w:hyperlink>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gridSpan w:val="2"/>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gridSpan w:val="2"/>
          </w:tcPr>
          <w:p>
            <w:pPr>
              <w:spacing w:after="0"/>
              <w:rPr>
                <w:sz w:val="21"/>
                <w:szCs w:val="21"/>
                <w:color w:val="auto"/>
              </w:rPr>
            </w:pPr>
          </w:p>
        </w:tc>
        <w:tc>
          <w:tcPr>
            <w:tcW w:w="100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40" w:type="dxa"/>
            <w:vAlign w:val="bottom"/>
          </w:tcPr>
          <w:p>
            <w:pPr>
              <w:jc w:val="center"/>
              <w:ind w:right="430"/>
              <w:spacing w:after="0"/>
              <w:rPr>
                <w:sz w:val="20"/>
                <w:szCs w:val="20"/>
                <w:color w:val="auto"/>
              </w:rPr>
            </w:pPr>
            <w:r>
              <w:rPr>
                <w:rFonts w:ascii="Arial" w:cs="Arial" w:eastAsia="Arial" w:hAnsi="Arial"/>
                <w:sz w:val="18"/>
                <w:szCs w:val="18"/>
                <w:color w:val="auto"/>
                <w:w w:val="87"/>
              </w:rPr>
              <w:t>4.3</w:t>
            </w:r>
          </w:p>
        </w:tc>
        <w:tc>
          <w:tcPr>
            <w:tcW w:w="7640" w:type="dxa"/>
            <w:vAlign w:val="bottom"/>
            <w:gridSpan w:val="34"/>
          </w:tcPr>
          <w:p>
            <w:pPr>
              <w:spacing w:after="0"/>
              <w:rPr>
                <w:rFonts w:ascii="Arial" w:cs="Arial" w:eastAsia="Arial" w:hAnsi="Arial"/>
                <w:sz w:val="18"/>
                <w:szCs w:val="18"/>
                <w:color w:val="0000FF"/>
                <w:w w:val="94"/>
              </w:rPr>
            </w:pPr>
            <w:hyperlink r:id="rId145">
              <w:r>
                <w:rPr>
                  <w:rFonts w:ascii="Arial" w:cs="Arial" w:eastAsia="Arial" w:hAnsi="Arial"/>
                  <w:sz w:val="18"/>
                  <w:szCs w:val="18"/>
                  <w:color w:val="0000FF"/>
                  <w:w w:val="94"/>
                </w:rPr>
                <w:t>Indenture, dated as of May 22, 2013, by and among Wynn Las Vegas, LLC, Wynn Las Vegas Capital</w:t>
              </w:r>
            </w:hyperlink>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732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145">
              <w:r>
                <w:rPr>
                  <w:rFonts w:ascii="Arial" w:cs="Arial" w:eastAsia="Arial" w:hAnsi="Arial"/>
                  <w:sz w:val="18"/>
                  <w:szCs w:val="18"/>
                  <w:color w:val="0000FF"/>
                </w:rPr>
                <w:t>Corp., the Guarantors named therein and U.S. Bank National Association, as trustee.</w:t>
              </w:r>
            </w:hyperlink>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tcPr>
          <w:p>
            <w:pPr>
              <w:jc w:val="center"/>
              <w:ind w:right="430"/>
              <w:spacing w:after="0"/>
              <w:rPr>
                <w:sz w:val="20"/>
                <w:szCs w:val="20"/>
                <w:color w:val="auto"/>
              </w:rPr>
            </w:pPr>
            <w:r>
              <w:rPr>
                <w:rFonts w:ascii="Arial" w:cs="Arial" w:eastAsia="Arial" w:hAnsi="Arial"/>
                <w:sz w:val="18"/>
                <w:szCs w:val="18"/>
                <w:color w:val="auto"/>
                <w:w w:val="87"/>
              </w:rPr>
              <w:t>4.4</w:t>
            </w:r>
          </w:p>
        </w:tc>
        <w:tc>
          <w:tcPr>
            <w:tcW w:w="7480" w:type="dxa"/>
            <w:vAlign w:val="bottom"/>
            <w:tcBorders>
              <w:bottom w:val="single" w:sz="8" w:color="0000FF"/>
            </w:tcBorders>
            <w:gridSpan w:val="27"/>
          </w:tcPr>
          <w:p>
            <w:pPr>
              <w:spacing w:after="0" w:line="196" w:lineRule="exact"/>
              <w:rPr>
                <w:rFonts w:ascii="Arial" w:cs="Arial" w:eastAsia="Arial" w:hAnsi="Arial"/>
                <w:sz w:val="18"/>
                <w:szCs w:val="18"/>
                <w:color w:val="0000FF"/>
                <w:w w:val="90"/>
              </w:rPr>
            </w:pPr>
            <w:hyperlink r:id="rId146">
              <w:r>
                <w:rPr>
                  <w:rFonts w:ascii="Arial" w:cs="Arial" w:eastAsia="Arial" w:hAnsi="Arial"/>
                  <w:sz w:val="18"/>
                  <w:szCs w:val="18"/>
                  <w:color w:val="0000FF"/>
                  <w:w w:val="90"/>
                </w:rPr>
                <w:t>Supplemental Indenture, dated as of February 18, 2015, to Indenture, dated as of May 22, 2013, by and</w:t>
              </w:r>
            </w:hyperlink>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7480" w:type="dxa"/>
            <w:vAlign w:val="bottom"/>
            <w:gridSpan w:val="27"/>
          </w:tcPr>
          <w:p>
            <w:pPr>
              <w:spacing w:after="0" w:line="156" w:lineRule="exact"/>
              <w:rPr>
                <w:rFonts w:ascii="Arial" w:cs="Arial" w:eastAsia="Arial" w:hAnsi="Arial"/>
                <w:sz w:val="18"/>
                <w:szCs w:val="18"/>
                <w:color w:val="0000FF"/>
                <w:w w:val="90"/>
              </w:rPr>
            </w:pPr>
            <w:hyperlink r:id="rId146">
              <w:r>
                <w:rPr>
                  <w:rFonts w:ascii="Arial" w:cs="Arial" w:eastAsia="Arial" w:hAnsi="Arial"/>
                  <w:sz w:val="18"/>
                  <w:szCs w:val="18"/>
                  <w:color w:val="0000FF"/>
                  <w:w w:val="90"/>
                </w:rPr>
                <w:t>among Wynn Las Vegas, LLC, Wynn Las Vegas Capital Corp., the Guarantors named therein and U.S.</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276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0"/>
              </w:rPr>
            </w:pPr>
            <w:hyperlink r:id="rId146">
              <w:r>
                <w:rPr>
                  <w:rFonts w:ascii="Arial" w:cs="Arial" w:eastAsia="Arial" w:hAnsi="Arial"/>
                  <w:sz w:val="18"/>
                  <w:szCs w:val="18"/>
                  <w:color w:val="0000FF"/>
                  <w:w w:val="90"/>
                </w:rPr>
                <w:t>Bank National Association, as trustee.</w:t>
              </w:r>
            </w:hyperlink>
          </w:p>
        </w:tc>
        <w:tc>
          <w:tcPr>
            <w:tcW w:w="464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940" w:type="dxa"/>
            <w:vAlign w:val="bottom"/>
          </w:tcPr>
          <w:p>
            <w:pPr>
              <w:jc w:val="center"/>
              <w:ind w:right="430"/>
              <w:spacing w:after="0" w:line="196" w:lineRule="exact"/>
              <w:rPr>
                <w:sz w:val="20"/>
                <w:szCs w:val="20"/>
                <w:color w:val="auto"/>
              </w:rPr>
            </w:pPr>
            <w:r>
              <w:rPr>
                <w:rFonts w:ascii="Arial" w:cs="Arial" w:eastAsia="Arial" w:hAnsi="Arial"/>
                <w:sz w:val="18"/>
                <w:szCs w:val="18"/>
                <w:color w:val="auto"/>
                <w:w w:val="87"/>
              </w:rPr>
              <w:t>4.5</w:t>
            </w:r>
          </w:p>
        </w:tc>
        <w:tc>
          <w:tcPr>
            <w:tcW w:w="7640" w:type="dxa"/>
            <w:vAlign w:val="bottom"/>
            <w:gridSpan w:val="34"/>
          </w:tcPr>
          <w:p>
            <w:pPr>
              <w:spacing w:after="0" w:line="196" w:lineRule="exact"/>
              <w:rPr>
                <w:rFonts w:ascii="Arial" w:cs="Arial" w:eastAsia="Arial" w:hAnsi="Arial"/>
                <w:sz w:val="18"/>
                <w:szCs w:val="18"/>
                <w:color w:val="0000FF"/>
                <w:w w:val="91"/>
              </w:rPr>
            </w:pPr>
            <w:hyperlink r:id="rId147">
              <w:r>
                <w:rPr>
                  <w:rFonts w:ascii="Arial" w:cs="Arial" w:eastAsia="Arial" w:hAnsi="Arial"/>
                  <w:sz w:val="18"/>
                  <w:szCs w:val="18"/>
                  <w:color w:val="0000FF"/>
                  <w:w w:val="91"/>
                </w:rPr>
                <w:t>Second Supplemental Indenture, dated as of March 20, 2018, to Indenture, dated as of May 22, 2013, by</w:t>
              </w:r>
            </w:hyperlink>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7520" w:type="dxa"/>
            <w:vAlign w:val="bottom"/>
            <w:tcBorders>
              <w:top w:val="single" w:sz="8" w:color="0000FF"/>
              <w:bottom w:val="single" w:sz="8" w:color="0000FF"/>
            </w:tcBorders>
            <w:gridSpan w:val="28"/>
          </w:tcPr>
          <w:p>
            <w:pPr>
              <w:spacing w:after="0" w:line="156" w:lineRule="exact"/>
              <w:rPr>
                <w:rFonts w:ascii="Arial" w:cs="Arial" w:eastAsia="Arial" w:hAnsi="Arial"/>
                <w:sz w:val="18"/>
                <w:szCs w:val="18"/>
                <w:color w:val="0000FF"/>
                <w:w w:val="89"/>
              </w:rPr>
            </w:pPr>
            <w:hyperlink r:id="rId147">
              <w:r>
                <w:rPr>
                  <w:rFonts w:ascii="Arial" w:cs="Arial" w:eastAsia="Arial" w:hAnsi="Arial"/>
                  <w:sz w:val="18"/>
                  <w:szCs w:val="18"/>
                  <w:color w:val="0000FF"/>
                  <w:w w:val="89"/>
                </w:rPr>
                <w:t>and among Wynn Las Vegas, LLC, Wynn Las Vegas Capital Corp., the guarantors party thereto and U.S.</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2000" w:type="dxa"/>
            <w:vAlign w:val="bottom"/>
            <w:tcBorders>
              <w:bottom w:val="single" w:sz="8" w:color="0000FF"/>
            </w:tcBorders>
            <w:gridSpan w:val="3"/>
          </w:tcPr>
          <w:p>
            <w:pPr>
              <w:spacing w:after="0" w:line="156" w:lineRule="exact"/>
              <w:rPr>
                <w:rFonts w:ascii="Arial" w:cs="Arial" w:eastAsia="Arial" w:hAnsi="Arial"/>
                <w:sz w:val="18"/>
                <w:szCs w:val="18"/>
                <w:color w:val="0000FF"/>
                <w:w w:val="92"/>
              </w:rPr>
            </w:pPr>
            <w:hyperlink r:id="rId147">
              <w:r>
                <w:rPr>
                  <w:rFonts w:ascii="Arial" w:cs="Arial" w:eastAsia="Arial" w:hAnsi="Arial"/>
                  <w:sz w:val="18"/>
                  <w:szCs w:val="18"/>
                  <w:color w:val="0000FF"/>
                  <w:w w:val="92"/>
                </w:rPr>
                <w:t>Bank National Association.</w:t>
              </w:r>
            </w:hyperlink>
          </w:p>
        </w:tc>
        <w:tc>
          <w:tcPr>
            <w:tcW w:w="5560" w:type="dxa"/>
            <w:vAlign w:val="bottom"/>
            <w:gridSpan w:val="2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940" w:type="dxa"/>
            <w:vAlign w:val="bottom"/>
          </w:tcPr>
          <w:p>
            <w:pPr>
              <w:jc w:val="center"/>
              <w:ind w:right="430"/>
              <w:spacing w:after="0" w:line="196" w:lineRule="exact"/>
              <w:rPr>
                <w:sz w:val="20"/>
                <w:szCs w:val="20"/>
                <w:color w:val="auto"/>
              </w:rPr>
            </w:pPr>
            <w:r>
              <w:rPr>
                <w:rFonts w:ascii="Arial" w:cs="Arial" w:eastAsia="Arial" w:hAnsi="Arial"/>
                <w:sz w:val="18"/>
                <w:szCs w:val="18"/>
                <w:color w:val="auto"/>
                <w:w w:val="87"/>
              </w:rPr>
              <w:t>4.6</w:t>
            </w:r>
          </w:p>
        </w:tc>
        <w:tc>
          <w:tcPr>
            <w:tcW w:w="7640" w:type="dxa"/>
            <w:vAlign w:val="bottom"/>
            <w:gridSpan w:val="34"/>
          </w:tcPr>
          <w:p>
            <w:pPr>
              <w:spacing w:after="0" w:line="196" w:lineRule="exact"/>
              <w:rPr>
                <w:rFonts w:ascii="Arial" w:cs="Arial" w:eastAsia="Arial" w:hAnsi="Arial"/>
                <w:sz w:val="18"/>
                <w:szCs w:val="18"/>
                <w:color w:val="0000FF"/>
                <w:w w:val="90"/>
              </w:rPr>
            </w:pPr>
            <w:hyperlink r:id="rId148">
              <w:r>
                <w:rPr>
                  <w:rFonts w:ascii="Arial" w:cs="Arial" w:eastAsia="Arial" w:hAnsi="Arial"/>
                  <w:sz w:val="18"/>
                  <w:szCs w:val="18"/>
                  <w:color w:val="0000FF"/>
                  <w:w w:val="90"/>
                </w:rPr>
                <w:t>Indenture, dated as of February 18, 2015, by and among Wynn Las Vegas, LLC, Wynn Las Vegas Capital</w:t>
              </w:r>
            </w:hyperlink>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7600" w:type="dxa"/>
            <w:vAlign w:val="bottom"/>
            <w:tcBorders>
              <w:top w:val="single" w:sz="8" w:color="0000FF"/>
            </w:tcBorders>
            <w:gridSpan w:val="32"/>
          </w:tcPr>
          <w:p>
            <w:pPr>
              <w:spacing w:after="0" w:line="156" w:lineRule="exact"/>
              <w:rPr>
                <w:rFonts w:ascii="Arial" w:cs="Arial" w:eastAsia="Arial" w:hAnsi="Arial"/>
                <w:sz w:val="18"/>
                <w:szCs w:val="18"/>
                <w:color w:val="0000FF"/>
              </w:rPr>
            </w:pPr>
            <w:hyperlink r:id="rId148">
              <w:r>
                <w:rPr>
                  <w:rFonts w:ascii="Arial" w:cs="Arial" w:eastAsia="Arial" w:hAnsi="Arial"/>
                  <w:sz w:val="18"/>
                  <w:szCs w:val="18"/>
                  <w:color w:val="0000FF"/>
                </w:rPr>
                <w:t>Corp., the Guarantors named therein and U.S. Bank National Association, as trustee.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tcPr>
          <w:p>
            <w:pPr>
              <w:jc w:val="center"/>
              <w:ind w:right="430"/>
              <w:spacing w:after="0" w:line="196" w:lineRule="exact"/>
              <w:rPr>
                <w:sz w:val="20"/>
                <w:szCs w:val="20"/>
                <w:color w:val="auto"/>
              </w:rPr>
            </w:pPr>
            <w:r>
              <w:rPr>
                <w:rFonts w:ascii="Arial" w:cs="Arial" w:eastAsia="Arial" w:hAnsi="Arial"/>
                <w:sz w:val="18"/>
                <w:szCs w:val="18"/>
                <w:color w:val="auto"/>
                <w:w w:val="87"/>
              </w:rPr>
              <w:t>4.7</w:t>
            </w:r>
          </w:p>
        </w:tc>
        <w:tc>
          <w:tcPr>
            <w:tcW w:w="7640" w:type="dxa"/>
            <w:vAlign w:val="bottom"/>
            <w:gridSpan w:val="34"/>
          </w:tcPr>
          <w:p>
            <w:pPr>
              <w:spacing w:after="0" w:line="196" w:lineRule="exact"/>
              <w:rPr>
                <w:rFonts w:ascii="Arial" w:cs="Arial" w:eastAsia="Arial" w:hAnsi="Arial"/>
                <w:sz w:val="18"/>
                <w:szCs w:val="18"/>
                <w:color w:val="0000FF"/>
                <w:w w:val="94"/>
              </w:rPr>
            </w:pPr>
            <w:hyperlink r:id="rId149">
              <w:r>
                <w:rPr>
                  <w:rFonts w:ascii="Arial" w:cs="Arial" w:eastAsia="Arial" w:hAnsi="Arial"/>
                  <w:sz w:val="18"/>
                  <w:szCs w:val="18"/>
                  <w:color w:val="0000FF"/>
                  <w:w w:val="94"/>
                </w:rPr>
                <w:t>Indenture, dated as of May 11, 2017, by and among Wynn Las Vegas, LLC, Wynn Las Vegas Capital</w:t>
              </w:r>
            </w:hyperlink>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730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149">
              <w:r>
                <w:rPr>
                  <w:rFonts w:ascii="Arial" w:cs="Arial" w:eastAsia="Arial" w:hAnsi="Arial"/>
                  <w:sz w:val="18"/>
                  <w:szCs w:val="18"/>
                  <w:color w:val="0000FF"/>
                </w:rPr>
                <w:t>Corp., the Guarantors named therein and U.S. Bank National Association, as trustee.</w:t>
              </w:r>
            </w:hyperlink>
          </w:p>
        </w:tc>
        <w:tc>
          <w:tcPr>
            <w:tcW w:w="6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tcPr>
          <w:p>
            <w:pPr>
              <w:jc w:val="center"/>
              <w:ind w:right="430"/>
              <w:spacing w:after="0"/>
              <w:rPr>
                <w:sz w:val="20"/>
                <w:szCs w:val="20"/>
                <w:color w:val="auto"/>
              </w:rPr>
            </w:pPr>
            <w:r>
              <w:rPr>
                <w:rFonts w:ascii="Arial" w:cs="Arial" w:eastAsia="Arial" w:hAnsi="Arial"/>
                <w:sz w:val="18"/>
                <w:szCs w:val="18"/>
                <w:color w:val="auto"/>
                <w:w w:val="87"/>
              </w:rPr>
              <w:t>4.8</w:t>
            </w:r>
          </w:p>
        </w:tc>
        <w:tc>
          <w:tcPr>
            <w:tcW w:w="7420" w:type="dxa"/>
            <w:vAlign w:val="bottom"/>
            <w:tcBorders>
              <w:bottom w:val="single" w:sz="8" w:color="0000FF"/>
            </w:tcBorders>
            <w:gridSpan w:val="24"/>
          </w:tcPr>
          <w:p>
            <w:pPr>
              <w:spacing w:after="0" w:line="196" w:lineRule="exact"/>
              <w:rPr>
                <w:rFonts w:ascii="Arial" w:cs="Arial" w:eastAsia="Arial" w:hAnsi="Arial"/>
                <w:sz w:val="18"/>
                <w:szCs w:val="18"/>
                <w:color w:val="0000FF"/>
                <w:w w:val="90"/>
              </w:rPr>
            </w:pPr>
            <w:hyperlink r:id="rId150">
              <w:r>
                <w:rPr>
                  <w:rFonts w:ascii="Arial" w:cs="Arial" w:eastAsia="Arial" w:hAnsi="Arial"/>
                  <w:sz w:val="18"/>
                  <w:szCs w:val="18"/>
                  <w:color w:val="0000FF"/>
                  <w:w w:val="90"/>
                </w:rPr>
                <w:t>Indenture, dated as of September 20, 2017, by and between Wynn Macau, Limited and Deutsche Bank</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gridSpan w:val="3"/>
          </w:tcPr>
          <w:p>
            <w:pPr>
              <w:spacing w:after="0"/>
              <w:rPr>
                <w:sz w:val="18"/>
                <w:szCs w:val="18"/>
                <w:color w:val="auto"/>
              </w:rPr>
            </w:pPr>
          </w:p>
        </w:tc>
        <w:tc>
          <w:tcPr>
            <w:tcW w:w="40" w:type="dxa"/>
            <w:vAlign w:val="bottom"/>
            <w:gridSpan w:val="2"/>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5120" w:type="dxa"/>
            <w:vAlign w:val="bottom"/>
            <w:tcBorders>
              <w:bottom w:val="single" w:sz="8" w:color="0000FF"/>
            </w:tcBorders>
            <w:gridSpan w:val="11"/>
          </w:tcPr>
          <w:p>
            <w:pPr>
              <w:spacing w:after="0" w:line="156" w:lineRule="exact"/>
              <w:rPr>
                <w:rFonts w:ascii="Arial" w:cs="Arial" w:eastAsia="Arial" w:hAnsi="Arial"/>
                <w:sz w:val="18"/>
                <w:szCs w:val="18"/>
                <w:color w:val="0000FF"/>
                <w:w w:val="89"/>
              </w:rPr>
            </w:pPr>
            <w:hyperlink r:id="rId150">
              <w:r>
                <w:rPr>
                  <w:rFonts w:ascii="Arial" w:cs="Arial" w:eastAsia="Arial" w:hAnsi="Arial"/>
                  <w:sz w:val="18"/>
                  <w:szCs w:val="18"/>
                  <w:color w:val="0000FF"/>
                  <w:w w:val="89"/>
                </w:rPr>
                <w:t>Trust Company Americas, as trustee, relating to senior notes due 2024.</w:t>
              </w:r>
            </w:hyperlink>
          </w:p>
        </w:tc>
        <w:tc>
          <w:tcPr>
            <w:tcW w:w="2300" w:type="dxa"/>
            <w:vAlign w:val="bottom"/>
            <w:gridSpan w:val="1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940" w:type="dxa"/>
            <w:vAlign w:val="bottom"/>
          </w:tcPr>
          <w:p>
            <w:pPr>
              <w:jc w:val="center"/>
              <w:ind w:right="430"/>
              <w:spacing w:after="0"/>
              <w:rPr>
                <w:sz w:val="20"/>
                <w:szCs w:val="20"/>
                <w:color w:val="auto"/>
              </w:rPr>
            </w:pPr>
            <w:r>
              <w:rPr>
                <w:rFonts w:ascii="Arial" w:cs="Arial" w:eastAsia="Arial" w:hAnsi="Arial"/>
                <w:sz w:val="18"/>
                <w:szCs w:val="18"/>
                <w:color w:val="auto"/>
                <w:w w:val="87"/>
              </w:rPr>
              <w:t>4.9</w:t>
            </w:r>
          </w:p>
        </w:tc>
        <w:tc>
          <w:tcPr>
            <w:tcW w:w="7420" w:type="dxa"/>
            <w:vAlign w:val="bottom"/>
            <w:tcBorders>
              <w:bottom w:val="single" w:sz="8" w:color="0000FF"/>
            </w:tcBorders>
            <w:gridSpan w:val="24"/>
          </w:tcPr>
          <w:p>
            <w:pPr>
              <w:spacing w:after="0" w:line="196" w:lineRule="exact"/>
              <w:rPr>
                <w:rFonts w:ascii="Arial" w:cs="Arial" w:eastAsia="Arial" w:hAnsi="Arial"/>
                <w:sz w:val="18"/>
                <w:szCs w:val="18"/>
                <w:color w:val="0000FF"/>
                <w:w w:val="90"/>
              </w:rPr>
            </w:pPr>
            <w:hyperlink r:id="rId151">
              <w:r>
                <w:rPr>
                  <w:rFonts w:ascii="Arial" w:cs="Arial" w:eastAsia="Arial" w:hAnsi="Arial"/>
                  <w:sz w:val="18"/>
                  <w:szCs w:val="18"/>
                  <w:color w:val="0000FF"/>
                  <w:w w:val="90"/>
                </w:rPr>
                <w:t>Indenture, dated as of September 20, 2017, by and between Wynn Macau, Limited and Deutsche Bank</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gridSpan w:val="3"/>
          </w:tcPr>
          <w:p>
            <w:pPr>
              <w:spacing w:after="0"/>
              <w:rPr>
                <w:sz w:val="18"/>
                <w:szCs w:val="18"/>
                <w:color w:val="auto"/>
              </w:rPr>
            </w:pPr>
          </w:p>
        </w:tc>
        <w:tc>
          <w:tcPr>
            <w:tcW w:w="40" w:type="dxa"/>
            <w:vAlign w:val="bottom"/>
            <w:gridSpan w:val="2"/>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5120" w:type="dxa"/>
            <w:vAlign w:val="bottom"/>
            <w:tcBorders>
              <w:bottom w:val="single" w:sz="8" w:color="0000FF"/>
            </w:tcBorders>
            <w:gridSpan w:val="11"/>
          </w:tcPr>
          <w:p>
            <w:pPr>
              <w:spacing w:after="0" w:line="156" w:lineRule="exact"/>
              <w:rPr>
                <w:rFonts w:ascii="Arial" w:cs="Arial" w:eastAsia="Arial" w:hAnsi="Arial"/>
                <w:sz w:val="18"/>
                <w:szCs w:val="18"/>
                <w:color w:val="0000FF"/>
                <w:w w:val="89"/>
              </w:rPr>
            </w:pPr>
            <w:hyperlink r:id="rId151">
              <w:r>
                <w:rPr>
                  <w:rFonts w:ascii="Arial" w:cs="Arial" w:eastAsia="Arial" w:hAnsi="Arial"/>
                  <w:sz w:val="18"/>
                  <w:szCs w:val="18"/>
                  <w:color w:val="0000FF"/>
                  <w:w w:val="89"/>
                </w:rPr>
                <w:t>Trust Company Americas, as trustee, relating to senior notes due 2027.</w:t>
              </w:r>
            </w:hyperlink>
          </w:p>
        </w:tc>
        <w:tc>
          <w:tcPr>
            <w:tcW w:w="2300" w:type="dxa"/>
            <w:vAlign w:val="bottom"/>
            <w:gridSpan w:val="1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940" w:type="dxa"/>
            <w:vAlign w:val="bottom"/>
          </w:tcPr>
          <w:p>
            <w:pPr>
              <w:jc w:val="center"/>
              <w:ind w:right="410"/>
              <w:spacing w:after="0"/>
              <w:rPr>
                <w:sz w:val="20"/>
                <w:szCs w:val="20"/>
                <w:color w:val="auto"/>
              </w:rPr>
            </w:pPr>
            <w:r>
              <w:rPr>
                <w:rFonts w:ascii="Arial" w:cs="Arial" w:eastAsia="Arial" w:hAnsi="Arial"/>
                <w:sz w:val="18"/>
                <w:szCs w:val="18"/>
                <w:color w:val="auto"/>
                <w:w w:val="91"/>
              </w:rPr>
              <w:t>4.10</w:t>
            </w:r>
          </w:p>
        </w:tc>
        <w:tc>
          <w:tcPr>
            <w:tcW w:w="7360" w:type="dxa"/>
            <w:vAlign w:val="bottom"/>
            <w:tcBorders>
              <w:bottom w:val="single" w:sz="8" w:color="0000FF"/>
            </w:tcBorders>
            <w:gridSpan w:val="22"/>
          </w:tcPr>
          <w:p>
            <w:pPr>
              <w:spacing w:after="0" w:line="196" w:lineRule="exact"/>
              <w:rPr>
                <w:rFonts w:ascii="Arial" w:cs="Arial" w:eastAsia="Arial" w:hAnsi="Arial"/>
                <w:sz w:val="18"/>
                <w:szCs w:val="18"/>
                <w:color w:val="0000FF"/>
                <w:w w:val="90"/>
              </w:rPr>
            </w:pPr>
            <w:hyperlink w:anchor="page147">
              <w:r>
                <w:rPr>
                  <w:rFonts w:ascii="Arial" w:cs="Arial" w:eastAsia="Arial" w:hAnsi="Arial"/>
                  <w:sz w:val="18"/>
                  <w:szCs w:val="18"/>
                  <w:color w:val="0000FF"/>
                  <w:w w:val="90"/>
                </w:rPr>
                <w:t>Indenture, dated as of December 17, 2019, by and between Wynn Macau, Limited and Deutsche Bank</w:t>
              </w:r>
            </w:hyperlink>
          </w:p>
        </w:tc>
        <w:tc>
          <w:tcPr>
            <w:tcW w:w="8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gridSpan w:val="3"/>
          </w:tcPr>
          <w:p>
            <w:pPr>
              <w:spacing w:after="0"/>
              <w:rPr>
                <w:sz w:val="18"/>
                <w:szCs w:val="18"/>
                <w:color w:val="auto"/>
              </w:rPr>
            </w:pPr>
          </w:p>
        </w:tc>
        <w:tc>
          <w:tcPr>
            <w:tcW w:w="40" w:type="dxa"/>
            <w:vAlign w:val="bottom"/>
            <w:gridSpan w:val="2"/>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5060" w:type="dxa"/>
            <w:vAlign w:val="bottom"/>
            <w:tcBorders>
              <w:bottom w:val="single" w:sz="8" w:color="0000FF"/>
            </w:tcBorders>
            <w:gridSpan w:val="10"/>
          </w:tcPr>
          <w:p>
            <w:pPr>
              <w:spacing w:after="0" w:line="156" w:lineRule="exact"/>
              <w:rPr>
                <w:rFonts w:ascii="Arial" w:cs="Arial" w:eastAsia="Arial" w:hAnsi="Arial"/>
                <w:sz w:val="18"/>
                <w:szCs w:val="18"/>
                <w:color w:val="0000FF"/>
                <w:w w:val="89"/>
              </w:rPr>
            </w:pPr>
            <w:hyperlink w:anchor="page147">
              <w:r>
                <w:rPr>
                  <w:rFonts w:ascii="Arial" w:cs="Arial" w:eastAsia="Arial" w:hAnsi="Arial"/>
                  <w:sz w:val="18"/>
                  <w:szCs w:val="18"/>
                  <w:color w:val="0000FF"/>
                  <w:w w:val="89"/>
                </w:rPr>
                <w:t>Trust Company Americas, as trustee, related to senior notes due 2029.</w:t>
              </w:r>
            </w:hyperlink>
          </w:p>
        </w:tc>
        <w:tc>
          <w:tcPr>
            <w:tcW w:w="2300" w:type="dxa"/>
            <w:vAlign w:val="bottom"/>
            <w:gridSpan w:val="12"/>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940" w:type="dxa"/>
            <w:vAlign w:val="bottom"/>
          </w:tcPr>
          <w:p>
            <w:pPr>
              <w:jc w:val="center"/>
              <w:ind w:right="410"/>
              <w:spacing w:after="0" w:line="196" w:lineRule="exact"/>
              <w:rPr>
                <w:sz w:val="20"/>
                <w:szCs w:val="20"/>
                <w:color w:val="auto"/>
              </w:rPr>
            </w:pPr>
            <w:r>
              <w:rPr>
                <w:rFonts w:ascii="Arial" w:cs="Arial" w:eastAsia="Arial" w:hAnsi="Arial"/>
                <w:sz w:val="18"/>
                <w:szCs w:val="18"/>
                <w:color w:val="auto"/>
                <w:w w:val="91"/>
              </w:rPr>
              <w:t>4.11</w:t>
            </w:r>
          </w:p>
        </w:tc>
        <w:tc>
          <w:tcPr>
            <w:tcW w:w="7120" w:type="dxa"/>
            <w:vAlign w:val="bottom"/>
            <w:tcBorders>
              <w:bottom w:val="single" w:sz="8" w:color="0000FF"/>
            </w:tcBorders>
            <w:gridSpan w:val="16"/>
          </w:tcPr>
          <w:p>
            <w:pPr>
              <w:spacing w:after="0" w:line="196" w:lineRule="exact"/>
              <w:rPr>
                <w:rFonts w:ascii="Arial" w:cs="Arial" w:eastAsia="Arial" w:hAnsi="Arial"/>
                <w:sz w:val="18"/>
                <w:szCs w:val="18"/>
                <w:color w:val="0000FF"/>
                <w:w w:val="90"/>
              </w:rPr>
            </w:pPr>
            <w:hyperlink r:id="rId152">
              <w:r>
                <w:rPr>
                  <w:rFonts w:ascii="Arial" w:cs="Arial" w:eastAsia="Arial" w:hAnsi="Arial"/>
                  <w:sz w:val="18"/>
                  <w:szCs w:val="18"/>
                  <w:color w:val="0000FF"/>
                  <w:w w:val="90"/>
                </w:rPr>
                <w:t>Indenture, dated as of September 20, 2019, by and among Wynn Resorts Finance, LLC, and Wynn</w:t>
              </w:r>
            </w:hyperlink>
          </w:p>
        </w:tc>
        <w:tc>
          <w:tcPr>
            <w:tcW w:w="520" w:type="dxa"/>
            <w:vAlign w:val="bottom"/>
            <w:gridSpan w:val="18"/>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7640" w:type="dxa"/>
            <w:vAlign w:val="bottom"/>
            <w:gridSpan w:val="34"/>
          </w:tcPr>
          <w:p>
            <w:pPr>
              <w:spacing w:after="0" w:line="156" w:lineRule="exact"/>
              <w:rPr>
                <w:rFonts w:ascii="Arial" w:cs="Arial" w:eastAsia="Arial" w:hAnsi="Arial"/>
                <w:sz w:val="18"/>
                <w:szCs w:val="18"/>
                <w:color w:val="0000FF"/>
                <w:w w:val="94"/>
              </w:rPr>
            </w:pPr>
            <w:hyperlink r:id="rId152">
              <w:r>
                <w:rPr>
                  <w:rFonts w:ascii="Arial" w:cs="Arial" w:eastAsia="Arial" w:hAnsi="Arial"/>
                  <w:sz w:val="18"/>
                  <w:szCs w:val="18"/>
                  <w:color w:val="0000FF"/>
                  <w:w w:val="94"/>
                </w:rPr>
                <w:t>Resorts Capital Corp., as joint and several obligors and the Guarantors named therein and U.S. Bank</w:t>
              </w:r>
            </w:hyperlink>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234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0"/>
              </w:rPr>
            </w:pPr>
            <w:hyperlink r:id="rId152">
              <w:r>
                <w:rPr>
                  <w:rFonts w:ascii="Arial" w:cs="Arial" w:eastAsia="Arial" w:hAnsi="Arial"/>
                  <w:sz w:val="18"/>
                  <w:szCs w:val="18"/>
                  <w:color w:val="0000FF"/>
                  <w:w w:val="90"/>
                </w:rPr>
                <w:t>National Association, as trustee.</w:t>
              </w:r>
            </w:hyperlink>
          </w:p>
        </w:tc>
        <w:tc>
          <w:tcPr>
            <w:tcW w:w="492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940" w:type="dxa"/>
            <w:vAlign w:val="bottom"/>
          </w:tcPr>
          <w:p>
            <w:pPr>
              <w:jc w:val="center"/>
              <w:ind w:right="410"/>
              <w:spacing w:after="0"/>
              <w:rPr>
                <w:sz w:val="20"/>
                <w:szCs w:val="20"/>
                <w:color w:val="auto"/>
              </w:rPr>
            </w:pPr>
            <w:r>
              <w:rPr>
                <w:rFonts w:ascii="Arial" w:cs="Arial" w:eastAsia="Arial" w:hAnsi="Arial"/>
                <w:sz w:val="18"/>
                <w:szCs w:val="18"/>
                <w:color w:val="auto"/>
                <w:w w:val="87"/>
              </w:rPr>
              <w:t>10.1.0</w:t>
            </w:r>
          </w:p>
        </w:tc>
        <w:tc>
          <w:tcPr>
            <w:tcW w:w="7120" w:type="dxa"/>
            <w:vAlign w:val="bottom"/>
            <w:tcBorders>
              <w:bottom w:val="single" w:sz="8" w:color="0000FF"/>
            </w:tcBorders>
            <w:gridSpan w:val="16"/>
          </w:tcPr>
          <w:p>
            <w:pPr>
              <w:spacing w:after="0" w:line="196" w:lineRule="exact"/>
              <w:rPr>
                <w:rFonts w:ascii="Arial" w:cs="Arial" w:eastAsia="Arial" w:hAnsi="Arial"/>
                <w:sz w:val="18"/>
                <w:szCs w:val="18"/>
                <w:color w:val="0000FF"/>
                <w:w w:val="89"/>
              </w:rPr>
            </w:pPr>
            <w:hyperlink r:id="rId153">
              <w:r>
                <w:rPr>
                  <w:rFonts w:ascii="Arial" w:cs="Arial" w:eastAsia="Arial" w:hAnsi="Arial"/>
                  <w:sz w:val="18"/>
                  <w:szCs w:val="18"/>
                  <w:color w:val="0000FF"/>
                  <w:w w:val="89"/>
                </w:rPr>
                <w:t>Credit Agreement, dated as of September 20, 2019, by and among Wynn Resorts Finance, LLC, as</w:t>
              </w:r>
            </w:hyperlink>
          </w:p>
        </w:tc>
        <w:tc>
          <w:tcPr>
            <w:tcW w:w="520" w:type="dxa"/>
            <w:vAlign w:val="bottom"/>
            <w:gridSpan w:val="18"/>
            <w:vMerge w:val="restart"/>
          </w:tcPr>
          <w:p>
            <w:pPr>
              <w:spacing w:after="0"/>
              <w:rPr>
                <w:rFonts w:ascii="Arial" w:cs="Arial" w:eastAsia="Arial" w:hAnsi="Arial"/>
                <w:sz w:val="18"/>
                <w:szCs w:val="18"/>
                <w:color w:val="0000FF"/>
                <w:w w:val="80"/>
              </w:rPr>
            </w:pPr>
            <w:hyperlink r:id="rId153">
              <w:r>
                <w:rPr>
                  <w:rFonts w:ascii="Arial" w:cs="Arial" w:eastAsia="Arial" w:hAnsi="Arial"/>
                  <w:sz w:val="18"/>
                  <w:szCs w:val="18"/>
                  <w:color w:val="0000FF"/>
                  <w:w w:val="80"/>
                </w:rPr>
                <w:t>Branch,</w:t>
              </w:r>
            </w:hyperlink>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7120" w:type="dxa"/>
            <w:vAlign w:val="bottom"/>
            <w:gridSpan w:val="16"/>
          </w:tcPr>
          <w:p>
            <w:pPr>
              <w:spacing w:after="0" w:line="156" w:lineRule="exact"/>
              <w:rPr>
                <w:rFonts w:ascii="Arial" w:cs="Arial" w:eastAsia="Arial" w:hAnsi="Arial"/>
                <w:sz w:val="18"/>
                <w:szCs w:val="18"/>
                <w:color w:val="0000FF"/>
                <w:w w:val="92"/>
              </w:rPr>
            </w:pPr>
            <w:hyperlink r:id="rId153">
              <w:r>
                <w:rPr>
                  <w:rFonts w:ascii="Arial" w:cs="Arial" w:eastAsia="Arial" w:hAnsi="Arial"/>
                  <w:sz w:val="18"/>
                  <w:szCs w:val="18"/>
                  <w:color w:val="0000FF"/>
                  <w:w w:val="92"/>
                </w:rPr>
                <w:t>borrower, the subsidiaries of borrower party hereto, as guarantors, Deutsche Bank AG New York</w:t>
              </w:r>
            </w:hyperlink>
          </w:p>
        </w:tc>
        <w:tc>
          <w:tcPr>
            <w:tcW w:w="520" w:type="dxa"/>
            <w:vAlign w:val="bottom"/>
            <w:gridSpan w:val="1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7620" w:type="dxa"/>
            <w:vAlign w:val="bottom"/>
            <w:tcBorders>
              <w:top w:val="single" w:sz="8" w:color="0000FF"/>
            </w:tcBorders>
            <w:gridSpan w:val="33"/>
          </w:tcPr>
          <w:p>
            <w:pPr>
              <w:spacing w:after="0" w:line="156" w:lineRule="exact"/>
              <w:rPr>
                <w:rFonts w:ascii="Arial" w:cs="Arial" w:eastAsia="Arial" w:hAnsi="Arial"/>
                <w:sz w:val="18"/>
                <w:szCs w:val="18"/>
                <w:color w:val="0000FF"/>
              </w:rPr>
            </w:pPr>
            <w:hyperlink r:id="rId153">
              <w:r>
                <w:rPr>
                  <w:rFonts w:ascii="Arial" w:cs="Arial" w:eastAsia="Arial" w:hAnsi="Arial"/>
                  <w:sz w:val="18"/>
                  <w:szCs w:val="18"/>
                  <w:color w:val="0000FF"/>
                </w:rPr>
                <w:t>as administrative agent and as collateral agent.</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20" w:type="dxa"/>
            <w:vAlign w:val="bottom"/>
            <w:gridSpan w:val="5"/>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60" w:type="dxa"/>
            <w:vAlign w:val="bottom"/>
            <w:gridSpan w:val="7"/>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tcPr>
          <w:p>
            <w:pPr>
              <w:jc w:val="center"/>
              <w:ind w:right="410"/>
              <w:spacing w:after="0"/>
              <w:rPr>
                <w:sz w:val="20"/>
                <w:szCs w:val="20"/>
                <w:color w:val="auto"/>
              </w:rPr>
            </w:pPr>
            <w:r>
              <w:rPr>
                <w:rFonts w:ascii="Arial" w:cs="Arial" w:eastAsia="Arial" w:hAnsi="Arial"/>
                <w:sz w:val="18"/>
                <w:szCs w:val="18"/>
                <w:color w:val="auto"/>
                <w:w w:val="87"/>
              </w:rPr>
              <w:t>10.1.1</w:t>
            </w:r>
          </w:p>
        </w:tc>
        <w:tc>
          <w:tcPr>
            <w:tcW w:w="7580" w:type="dxa"/>
            <w:vAlign w:val="bottom"/>
            <w:tcBorders>
              <w:bottom w:val="single" w:sz="8" w:color="0000FF"/>
            </w:tcBorders>
            <w:gridSpan w:val="31"/>
          </w:tcPr>
          <w:p>
            <w:pPr>
              <w:spacing w:after="0" w:line="196" w:lineRule="exact"/>
              <w:rPr>
                <w:rFonts w:ascii="Arial" w:cs="Arial" w:eastAsia="Arial" w:hAnsi="Arial"/>
                <w:sz w:val="18"/>
                <w:szCs w:val="18"/>
                <w:color w:val="0000FF"/>
                <w:w w:val="90"/>
              </w:rPr>
            </w:pPr>
            <w:hyperlink r:id="rId154">
              <w:r>
                <w:rPr>
                  <w:rFonts w:ascii="Arial" w:cs="Arial" w:eastAsia="Arial" w:hAnsi="Arial"/>
                  <w:sz w:val="18"/>
                  <w:szCs w:val="18"/>
                  <w:color w:val="0000FF"/>
                  <w:w w:val="90"/>
                </w:rPr>
                <w:t>Incremental Joinder Agreement No. 1, dated as of March 8, 2019, by and among Wynn Resorts, Limited,</w:t>
              </w:r>
            </w:hyperlink>
          </w:p>
        </w:tc>
        <w:tc>
          <w:tcPr>
            <w:tcW w:w="6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7580" w:type="dxa"/>
            <w:vAlign w:val="bottom"/>
            <w:gridSpan w:val="31"/>
          </w:tcPr>
          <w:p>
            <w:pPr>
              <w:spacing w:after="0" w:line="156" w:lineRule="exact"/>
              <w:rPr>
                <w:rFonts w:ascii="Arial" w:cs="Arial" w:eastAsia="Arial" w:hAnsi="Arial"/>
                <w:sz w:val="18"/>
                <w:szCs w:val="18"/>
                <w:color w:val="0000FF"/>
                <w:w w:val="94"/>
              </w:rPr>
            </w:pPr>
            <w:hyperlink r:id="rId154">
              <w:r>
                <w:rPr>
                  <w:rFonts w:ascii="Arial" w:cs="Arial" w:eastAsia="Arial" w:hAnsi="Arial"/>
                  <w:sz w:val="18"/>
                  <w:szCs w:val="18"/>
                  <w:color w:val="0000FF"/>
                  <w:w w:val="94"/>
                </w:rPr>
                <w:t>as borrower, Wynn Group Asia, Inc. and Wynn Resorts Holdings, LLC, as Guarantors, and Deutsche</w:t>
              </w:r>
            </w:hyperlink>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384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1"/>
              </w:rPr>
            </w:pPr>
            <w:hyperlink r:id="rId154">
              <w:r>
                <w:rPr>
                  <w:rFonts w:ascii="Arial" w:cs="Arial" w:eastAsia="Arial" w:hAnsi="Arial"/>
                  <w:sz w:val="18"/>
                  <w:szCs w:val="18"/>
                  <w:color w:val="0000FF"/>
                  <w:w w:val="91"/>
                </w:rPr>
                <w:t>Bank AG New York Branch, as administrative agent.</w:t>
              </w:r>
            </w:hyperlink>
          </w:p>
        </w:tc>
        <w:tc>
          <w:tcPr>
            <w:tcW w:w="3440" w:type="dxa"/>
            <w:vAlign w:val="bottom"/>
            <w:tcBorders>
              <w:top w:val="single" w:sz="8" w:color="0000FF"/>
            </w:tcBorders>
            <w:gridSpan w:val="11"/>
          </w:tcPr>
          <w:p>
            <w:pPr>
              <w:spacing w:after="0"/>
              <w:rPr>
                <w:sz w:val="13"/>
                <w:szCs w:val="13"/>
                <w:color w:val="auto"/>
              </w:rPr>
            </w:pPr>
          </w:p>
        </w:tc>
        <w:tc>
          <w:tcPr>
            <w:tcW w:w="16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940" w:type="dxa"/>
            <w:vAlign w:val="bottom"/>
          </w:tcPr>
          <w:p>
            <w:pPr>
              <w:jc w:val="center"/>
              <w:ind w:right="410"/>
              <w:spacing w:after="0" w:line="196" w:lineRule="exact"/>
              <w:rPr>
                <w:sz w:val="20"/>
                <w:szCs w:val="20"/>
                <w:color w:val="auto"/>
              </w:rPr>
            </w:pPr>
            <w:r>
              <w:rPr>
                <w:rFonts w:ascii="Arial" w:cs="Arial" w:eastAsia="Arial" w:hAnsi="Arial"/>
                <w:sz w:val="18"/>
                <w:szCs w:val="18"/>
                <w:color w:val="auto"/>
                <w:w w:val="87"/>
              </w:rPr>
              <w:t>10.2.1</w:t>
            </w:r>
          </w:p>
        </w:tc>
        <w:tc>
          <w:tcPr>
            <w:tcW w:w="7640" w:type="dxa"/>
            <w:vAlign w:val="bottom"/>
            <w:gridSpan w:val="34"/>
          </w:tcPr>
          <w:p>
            <w:pPr>
              <w:spacing w:after="0" w:line="196" w:lineRule="exact"/>
              <w:rPr>
                <w:rFonts w:ascii="Arial" w:cs="Arial" w:eastAsia="Arial" w:hAnsi="Arial"/>
                <w:sz w:val="18"/>
                <w:szCs w:val="18"/>
                <w:color w:val="0000FF"/>
                <w:w w:val="92"/>
              </w:rPr>
            </w:pPr>
            <w:hyperlink r:id="rId155">
              <w:r>
                <w:rPr>
                  <w:rFonts w:ascii="Arial" w:cs="Arial" w:eastAsia="Arial" w:hAnsi="Arial"/>
                  <w:sz w:val="18"/>
                  <w:szCs w:val="18"/>
                  <w:color w:val="0000FF"/>
                  <w:w w:val="92"/>
                </w:rPr>
                <w:t>Common Terms Agreement Sixth Amendment Agreement, dated December 21, 2018, between, among</w:t>
              </w:r>
            </w:hyperlink>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7460" w:type="dxa"/>
            <w:vAlign w:val="bottom"/>
            <w:tcBorders>
              <w:top w:val="single" w:sz="8" w:color="0000FF"/>
            </w:tcBorders>
            <w:gridSpan w:val="26"/>
          </w:tcPr>
          <w:p>
            <w:pPr>
              <w:spacing w:after="0" w:line="156" w:lineRule="exact"/>
              <w:rPr>
                <w:rFonts w:ascii="Arial" w:cs="Arial" w:eastAsia="Arial" w:hAnsi="Arial"/>
                <w:sz w:val="18"/>
                <w:szCs w:val="18"/>
                <w:color w:val="0000FF"/>
                <w:w w:val="95"/>
              </w:rPr>
            </w:pPr>
            <w:hyperlink r:id="rId155">
              <w:r>
                <w:rPr>
                  <w:rFonts w:ascii="Arial" w:cs="Arial" w:eastAsia="Arial" w:hAnsi="Arial"/>
                  <w:sz w:val="18"/>
                  <w:szCs w:val="18"/>
                  <w:color w:val="0000FF"/>
                  <w:w w:val="95"/>
                </w:rPr>
                <w:t>others, Wynn Resorts (Macau) S.A. as the company and Bank of China Limited, Macau Branch as</w:t>
              </w:r>
            </w:hyperlink>
          </w:p>
        </w:tc>
        <w:tc>
          <w:tcPr>
            <w:tcW w:w="80" w:type="dxa"/>
            <w:vAlign w:val="bottom"/>
            <w:gridSpan w:val="3"/>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10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8"/>
              </w:rPr>
            </w:pPr>
            <w:hyperlink r:id="rId155">
              <w:r>
                <w:rPr>
                  <w:rFonts w:ascii="Arial" w:cs="Arial" w:eastAsia="Arial" w:hAnsi="Arial"/>
                  <w:sz w:val="18"/>
                  <w:szCs w:val="18"/>
                  <w:color w:val="0000FF"/>
                  <w:w w:val="88"/>
                </w:rPr>
                <w:t>security agent.</w:t>
              </w:r>
            </w:hyperlink>
          </w:p>
        </w:tc>
        <w:tc>
          <w:tcPr>
            <w:tcW w:w="6040" w:type="dxa"/>
            <w:vAlign w:val="bottom"/>
            <w:tcBorders>
              <w:top w:val="single" w:sz="8" w:color="0000FF"/>
            </w:tcBorders>
            <w:gridSpan w:val="14"/>
          </w:tcPr>
          <w:p>
            <w:pPr>
              <w:spacing w:after="0"/>
              <w:rPr>
                <w:sz w:val="13"/>
                <w:szCs w:val="13"/>
                <w:color w:val="auto"/>
              </w:rPr>
            </w:pPr>
          </w:p>
        </w:tc>
        <w:tc>
          <w:tcPr>
            <w:tcW w:w="100" w:type="dxa"/>
            <w:vAlign w:val="bottom"/>
            <w:gridSpan w:val="2"/>
          </w:tcPr>
          <w:p>
            <w:pPr>
              <w:spacing w:after="0"/>
              <w:rPr>
                <w:sz w:val="13"/>
                <w:szCs w:val="13"/>
                <w:color w:val="auto"/>
              </w:rPr>
            </w:pPr>
          </w:p>
        </w:tc>
        <w:tc>
          <w:tcPr>
            <w:tcW w:w="240" w:type="dxa"/>
            <w:vAlign w:val="bottom"/>
            <w:gridSpan w:val="8"/>
          </w:tcPr>
          <w:p>
            <w:pPr>
              <w:spacing w:after="0"/>
              <w:rPr>
                <w:sz w:val="13"/>
                <w:szCs w:val="13"/>
                <w:color w:val="auto"/>
              </w:rPr>
            </w:pPr>
          </w:p>
        </w:tc>
        <w:tc>
          <w:tcPr>
            <w:tcW w:w="100" w:type="dxa"/>
            <w:vAlign w:val="bottom"/>
            <w:gridSpan w:val="4"/>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940" w:type="dxa"/>
            <w:vAlign w:val="bottom"/>
          </w:tcPr>
          <w:p>
            <w:pPr>
              <w:jc w:val="center"/>
              <w:ind w:right="410"/>
              <w:spacing w:after="0"/>
              <w:rPr>
                <w:sz w:val="20"/>
                <w:szCs w:val="20"/>
                <w:color w:val="auto"/>
              </w:rPr>
            </w:pPr>
            <w:r>
              <w:rPr>
                <w:rFonts w:ascii="Arial" w:cs="Arial" w:eastAsia="Arial" w:hAnsi="Arial"/>
                <w:sz w:val="18"/>
                <w:szCs w:val="18"/>
                <w:color w:val="auto"/>
                <w:w w:val="87"/>
              </w:rPr>
              <w:t>10.2.2</w:t>
            </w:r>
          </w:p>
        </w:tc>
        <w:tc>
          <w:tcPr>
            <w:tcW w:w="7540" w:type="dxa"/>
            <w:vAlign w:val="bottom"/>
            <w:tcBorders>
              <w:bottom w:val="single" w:sz="8" w:color="0000FF"/>
            </w:tcBorders>
            <w:gridSpan w:val="29"/>
          </w:tcPr>
          <w:p>
            <w:pPr>
              <w:spacing w:after="0" w:line="196" w:lineRule="exact"/>
              <w:rPr>
                <w:rFonts w:ascii="Arial" w:cs="Arial" w:eastAsia="Arial" w:hAnsi="Arial"/>
                <w:sz w:val="18"/>
                <w:szCs w:val="18"/>
                <w:color w:val="0000FF"/>
                <w:w w:val="91"/>
              </w:rPr>
            </w:pPr>
            <w:hyperlink r:id="rId156">
              <w:r>
                <w:rPr>
                  <w:rFonts w:ascii="Arial" w:cs="Arial" w:eastAsia="Arial" w:hAnsi="Arial"/>
                  <w:sz w:val="18"/>
                  <w:szCs w:val="18"/>
                  <w:color w:val="0000FF"/>
                  <w:w w:val="91"/>
                </w:rPr>
                <w:t>Term Facility Agreement Fifth Amendment Agreement, dated December 21, 2018, by and among Wynn</w:t>
              </w:r>
            </w:hyperlink>
          </w:p>
        </w:tc>
        <w:tc>
          <w:tcPr>
            <w:tcW w:w="10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7540" w:type="dxa"/>
            <w:vAlign w:val="bottom"/>
            <w:gridSpan w:val="29"/>
          </w:tcPr>
          <w:p>
            <w:pPr>
              <w:spacing w:after="0" w:line="156" w:lineRule="exact"/>
              <w:rPr>
                <w:rFonts w:ascii="Arial" w:cs="Arial" w:eastAsia="Arial" w:hAnsi="Arial"/>
                <w:sz w:val="18"/>
                <w:szCs w:val="18"/>
                <w:color w:val="0000FF"/>
                <w:w w:val="96"/>
              </w:rPr>
            </w:pPr>
            <w:hyperlink r:id="rId156">
              <w:r>
                <w:rPr>
                  <w:rFonts w:ascii="Arial" w:cs="Arial" w:eastAsia="Arial" w:hAnsi="Arial"/>
                  <w:sz w:val="18"/>
                  <w:szCs w:val="18"/>
                  <w:color w:val="0000FF"/>
                  <w:w w:val="96"/>
                </w:rPr>
                <w:t>Resorts (Macau) S.A. and Bank of China Limited, Macau Branch as Hotel Facility Agent and Hotel</w:t>
              </w:r>
            </w:hyperlink>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720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156">
              <w:r>
                <w:rPr>
                  <w:rFonts w:ascii="Arial" w:cs="Arial" w:eastAsia="Arial" w:hAnsi="Arial"/>
                  <w:sz w:val="18"/>
                  <w:szCs w:val="18"/>
                  <w:color w:val="0000FF"/>
                </w:rPr>
                <w:t>Facility Lender.</w:t>
              </w:r>
            </w:hyperlink>
          </w:p>
        </w:tc>
        <w:tc>
          <w:tcPr>
            <w:tcW w:w="240" w:type="dxa"/>
            <w:vAlign w:val="bottom"/>
            <w:gridSpan w:val="8"/>
          </w:tcPr>
          <w:p>
            <w:pPr>
              <w:spacing w:after="0"/>
              <w:rPr>
                <w:sz w:val="13"/>
                <w:szCs w:val="13"/>
                <w:color w:val="auto"/>
              </w:rPr>
            </w:pPr>
          </w:p>
        </w:tc>
        <w:tc>
          <w:tcPr>
            <w:tcW w:w="20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6300" w:type="dxa"/>
            <w:vAlign w:val="bottom"/>
            <w:gridSpan w:val="23"/>
          </w:tcPr>
          <w:p>
            <w:pPr>
              <w:spacing w:after="0" w:line="20" w:lineRule="exact"/>
              <w:rPr>
                <w:sz w:val="1"/>
                <w:szCs w:val="1"/>
                <w:color w:val="auto"/>
              </w:rPr>
            </w:pPr>
          </w:p>
        </w:tc>
        <w:tc>
          <w:tcPr>
            <w:tcW w:w="20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tcPr>
          <w:p>
            <w:pPr>
              <w:jc w:val="center"/>
              <w:ind w:right="410"/>
              <w:spacing w:after="0"/>
              <w:rPr>
                <w:sz w:val="20"/>
                <w:szCs w:val="20"/>
                <w:color w:val="auto"/>
              </w:rPr>
            </w:pPr>
            <w:r>
              <w:rPr>
                <w:rFonts w:ascii="Arial" w:cs="Arial" w:eastAsia="Arial" w:hAnsi="Arial"/>
                <w:sz w:val="18"/>
                <w:szCs w:val="18"/>
                <w:color w:val="auto"/>
                <w:w w:val="87"/>
              </w:rPr>
              <w:t>10.2.3</w:t>
            </w:r>
          </w:p>
        </w:tc>
        <w:tc>
          <w:tcPr>
            <w:tcW w:w="7440" w:type="dxa"/>
            <w:vAlign w:val="bottom"/>
            <w:tcBorders>
              <w:bottom w:val="single" w:sz="8" w:color="0000FF"/>
            </w:tcBorders>
            <w:gridSpan w:val="25"/>
          </w:tcPr>
          <w:p>
            <w:pPr>
              <w:spacing w:after="0" w:line="196" w:lineRule="exact"/>
              <w:rPr>
                <w:rFonts w:ascii="Arial" w:cs="Arial" w:eastAsia="Arial" w:hAnsi="Arial"/>
                <w:sz w:val="18"/>
                <w:szCs w:val="18"/>
                <w:color w:val="0000FF"/>
                <w:w w:val="91"/>
              </w:rPr>
            </w:pPr>
            <w:hyperlink r:id="rId157">
              <w:r>
                <w:rPr>
                  <w:rFonts w:ascii="Arial" w:cs="Arial" w:eastAsia="Arial" w:hAnsi="Arial"/>
                  <w:sz w:val="18"/>
                  <w:szCs w:val="18"/>
                  <w:color w:val="0000FF"/>
                  <w:w w:val="91"/>
                </w:rPr>
                <w:t>Revolving Credit Facility Agreement Second Amendment Agreement, dated as of December 21, 2018,</w:t>
              </w:r>
            </w:hyperlink>
          </w:p>
        </w:tc>
        <w:tc>
          <w:tcPr>
            <w:tcW w:w="200" w:type="dxa"/>
            <w:vAlign w:val="bottom"/>
            <w:gridSpan w:val="9"/>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940" w:type="dxa"/>
            <w:vAlign w:val="bottom"/>
          </w:tcPr>
          <w:p>
            <w:pPr>
              <w:spacing w:after="0"/>
              <w:rPr>
                <w:sz w:val="13"/>
                <w:szCs w:val="13"/>
                <w:color w:val="auto"/>
              </w:rPr>
            </w:pPr>
          </w:p>
        </w:tc>
        <w:tc>
          <w:tcPr>
            <w:tcW w:w="7440" w:type="dxa"/>
            <w:vAlign w:val="bottom"/>
            <w:gridSpan w:val="25"/>
          </w:tcPr>
          <w:p>
            <w:pPr>
              <w:spacing w:after="0" w:line="157" w:lineRule="exact"/>
              <w:rPr>
                <w:rFonts w:ascii="Arial" w:cs="Arial" w:eastAsia="Arial" w:hAnsi="Arial"/>
                <w:sz w:val="18"/>
                <w:szCs w:val="18"/>
                <w:u w:val="single" w:color="auto"/>
                <w:color w:val="0000FF"/>
                <w:w w:val="93"/>
              </w:rPr>
            </w:pPr>
            <w:hyperlink r:id="rId157">
              <w:r>
                <w:rPr>
                  <w:rFonts w:ascii="Arial" w:cs="Arial" w:eastAsia="Arial" w:hAnsi="Arial"/>
                  <w:sz w:val="18"/>
                  <w:szCs w:val="18"/>
                  <w:u w:val="single" w:color="auto"/>
                  <w:color w:val="0000FF"/>
                  <w:w w:val="93"/>
                </w:rPr>
                <w:t>by and among Wynn Resorts (Macau) S.A. and Bank of China Limited, Macau Branch as Revolving</w:t>
              </w:r>
            </w:hyperlink>
          </w:p>
        </w:tc>
        <w:tc>
          <w:tcPr>
            <w:tcW w:w="20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bl>
    <w:p>
      <w:pPr>
        <w:ind w:left="1360"/>
        <w:spacing w:after="0"/>
        <w:rPr>
          <w:rFonts w:ascii="Arial" w:cs="Arial" w:eastAsia="Arial" w:hAnsi="Arial"/>
          <w:sz w:val="18"/>
          <w:szCs w:val="18"/>
          <w:u w:val="single" w:color="auto"/>
          <w:color w:val="0000FF"/>
        </w:rPr>
      </w:pPr>
      <w:hyperlink r:id="rId157">
        <w:r>
          <w:rPr>
            <w:rFonts w:ascii="Arial" w:cs="Arial" w:eastAsia="Arial" w:hAnsi="Arial"/>
            <w:sz w:val="18"/>
            <w:szCs w:val="18"/>
            <w:u w:val="single" w:color="auto"/>
            <w:color w:val="0000FF"/>
          </w:rPr>
          <w:t>Credit Facility Agent and Revolving Credit Facility Lender.</w:t>
        </w:r>
      </w:hyperlink>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jc w:val="center"/>
              <w:ind w:right="230"/>
              <w:spacing w:after="0"/>
              <w:rPr>
                <w:sz w:val="20"/>
                <w:szCs w:val="20"/>
                <w:color w:val="auto"/>
              </w:rPr>
            </w:pPr>
            <w:r>
              <w:rPr>
                <w:rFonts w:ascii="Arial" w:cs="Arial" w:eastAsia="Arial" w:hAnsi="Arial"/>
                <w:sz w:val="18"/>
                <w:szCs w:val="18"/>
                <w:color w:val="auto"/>
                <w:w w:val="89"/>
              </w:rPr>
              <w:t>10-Q</w:t>
            </w:r>
          </w:p>
        </w:tc>
        <w:tc>
          <w:tcPr>
            <w:tcW w:w="1060" w:type="dxa"/>
            <w:vAlign w:val="bottom"/>
          </w:tcPr>
          <w:p>
            <w:pPr>
              <w:jc w:val="center"/>
              <w:ind w:left="210"/>
              <w:spacing w:after="0"/>
              <w:rPr>
                <w:sz w:val="20"/>
                <w:szCs w:val="20"/>
                <w:color w:val="auto"/>
              </w:rPr>
            </w:pPr>
            <w:r>
              <w:rPr>
                <w:rFonts w:ascii="Arial" w:cs="Arial" w:eastAsia="Arial" w:hAnsi="Arial"/>
                <w:sz w:val="18"/>
                <w:szCs w:val="18"/>
                <w:color w:val="auto"/>
                <w:w w:val="91"/>
              </w:rPr>
              <w:t>5/8/2015</w:t>
            </w:r>
          </w:p>
        </w:tc>
      </w:tr>
      <w:tr>
        <w:trPr>
          <w:trHeight w:val="270"/>
        </w:trPr>
        <w:tc>
          <w:tcPr>
            <w:tcW w:w="680" w:type="dxa"/>
            <w:vAlign w:val="bottom"/>
          </w:tcPr>
          <w:p>
            <w:pPr>
              <w:jc w:val="center"/>
              <w:ind w:right="230"/>
              <w:spacing w:after="0"/>
              <w:rPr>
                <w:sz w:val="20"/>
                <w:szCs w:val="20"/>
                <w:color w:val="auto"/>
              </w:rPr>
            </w:pPr>
            <w:r>
              <w:rPr>
                <w:rFonts w:ascii="Arial" w:cs="Arial" w:eastAsia="Arial" w:hAnsi="Arial"/>
                <w:sz w:val="18"/>
                <w:szCs w:val="18"/>
                <w:color w:val="auto"/>
                <w:w w:val="94"/>
              </w:rPr>
              <w:t>10-K</w:t>
            </w:r>
          </w:p>
        </w:tc>
        <w:tc>
          <w:tcPr>
            <w:tcW w:w="1060" w:type="dxa"/>
            <w:vAlign w:val="bottom"/>
          </w:tcPr>
          <w:p>
            <w:pPr>
              <w:jc w:val="center"/>
              <w:ind w:left="230"/>
              <w:spacing w:after="0"/>
              <w:rPr>
                <w:sz w:val="20"/>
                <w:szCs w:val="20"/>
                <w:color w:val="auto"/>
              </w:rPr>
            </w:pPr>
            <w:r>
              <w:rPr>
                <w:rFonts w:ascii="Arial" w:cs="Arial" w:eastAsia="Arial" w:hAnsi="Arial"/>
                <w:sz w:val="18"/>
                <w:szCs w:val="18"/>
                <w:color w:val="auto"/>
              </w:rPr>
              <w:t>*</w:t>
            </w:r>
          </w:p>
        </w:tc>
      </w:tr>
      <w:tr>
        <w:trPr>
          <w:trHeight w:val="270"/>
        </w:trPr>
        <w:tc>
          <w:tcPr>
            <w:tcW w:w="680" w:type="dxa"/>
            <w:vAlign w:val="bottom"/>
          </w:tcPr>
          <w:p>
            <w:pPr>
              <w:jc w:val="center"/>
              <w:ind w:right="230"/>
              <w:spacing w:after="0"/>
              <w:rPr>
                <w:sz w:val="20"/>
                <w:szCs w:val="20"/>
                <w:color w:val="auto"/>
              </w:rPr>
            </w:pPr>
            <w:r>
              <w:rPr>
                <w:rFonts w:ascii="Arial" w:cs="Arial" w:eastAsia="Arial" w:hAnsi="Arial"/>
                <w:sz w:val="18"/>
                <w:szCs w:val="18"/>
                <w:color w:val="auto"/>
                <w:w w:val="85"/>
              </w:rPr>
              <w:t>S-1</w:t>
            </w:r>
          </w:p>
        </w:tc>
        <w:tc>
          <w:tcPr>
            <w:tcW w:w="1060" w:type="dxa"/>
            <w:vAlign w:val="bottom"/>
          </w:tcPr>
          <w:p>
            <w:pPr>
              <w:jc w:val="center"/>
              <w:ind w:left="230"/>
              <w:spacing w:after="0"/>
              <w:rPr>
                <w:sz w:val="20"/>
                <w:szCs w:val="20"/>
                <w:color w:val="auto"/>
              </w:rPr>
            </w:pPr>
            <w:r>
              <w:rPr>
                <w:rFonts w:ascii="Arial" w:cs="Arial" w:eastAsia="Arial" w:hAnsi="Arial"/>
                <w:sz w:val="18"/>
                <w:szCs w:val="18"/>
                <w:color w:val="auto"/>
                <w:w w:val="92"/>
              </w:rPr>
              <w:t>10/7/2002</w:t>
            </w:r>
          </w:p>
        </w:tc>
      </w:tr>
      <w:tr>
        <w:trPr>
          <w:trHeight w:val="270"/>
        </w:trPr>
        <w:tc>
          <w:tcPr>
            <w:tcW w:w="680" w:type="dxa"/>
            <w:vAlign w:val="bottom"/>
          </w:tcPr>
          <w:p>
            <w:pPr>
              <w:jc w:val="center"/>
              <w:ind w:right="230"/>
              <w:spacing w:after="0"/>
              <w:rPr>
                <w:sz w:val="20"/>
                <w:szCs w:val="20"/>
                <w:color w:val="auto"/>
              </w:rPr>
            </w:pPr>
            <w:r>
              <w:rPr>
                <w:rFonts w:ascii="Arial" w:cs="Arial" w:eastAsia="Arial" w:hAnsi="Arial"/>
                <w:sz w:val="18"/>
                <w:szCs w:val="18"/>
                <w:color w:val="auto"/>
                <w:w w:val="94"/>
              </w:rPr>
              <w:t>10-K</w:t>
            </w:r>
          </w:p>
        </w:tc>
        <w:tc>
          <w:tcPr>
            <w:tcW w:w="1060" w:type="dxa"/>
            <w:vAlign w:val="bottom"/>
          </w:tcPr>
          <w:p>
            <w:pPr>
              <w:jc w:val="center"/>
              <w:ind w:left="230"/>
              <w:spacing w:after="0"/>
              <w:rPr>
                <w:sz w:val="20"/>
                <w:szCs w:val="20"/>
                <w:color w:val="auto"/>
              </w:rPr>
            </w:pPr>
            <w:r>
              <w:rPr>
                <w:rFonts w:ascii="Arial" w:cs="Arial" w:eastAsia="Arial" w:hAnsi="Arial"/>
                <w:sz w:val="18"/>
                <w:szCs w:val="18"/>
                <w:color w:val="auto"/>
              </w:rPr>
              <w:t>*</w:t>
            </w:r>
          </w:p>
        </w:tc>
      </w:tr>
      <w:tr>
        <w:trPr>
          <w:trHeight w:val="270"/>
        </w:trPr>
        <w:tc>
          <w:tcPr>
            <w:tcW w:w="680" w:type="dxa"/>
            <w:vAlign w:val="bottom"/>
          </w:tcPr>
          <w:p>
            <w:pPr>
              <w:jc w:val="center"/>
              <w:ind w:right="230"/>
              <w:spacing w:after="0"/>
              <w:rPr>
                <w:sz w:val="20"/>
                <w:szCs w:val="20"/>
                <w:color w:val="auto"/>
              </w:rPr>
            </w:pPr>
            <w:r>
              <w:rPr>
                <w:rFonts w:ascii="Arial" w:cs="Arial" w:eastAsia="Arial" w:hAnsi="Arial"/>
                <w:sz w:val="18"/>
                <w:szCs w:val="18"/>
                <w:color w:val="auto"/>
                <w:w w:val="99"/>
              </w:rPr>
              <w:t>8-K</w:t>
            </w:r>
          </w:p>
        </w:tc>
        <w:tc>
          <w:tcPr>
            <w:tcW w:w="1060" w:type="dxa"/>
            <w:vAlign w:val="bottom"/>
          </w:tcPr>
          <w:p>
            <w:pPr>
              <w:jc w:val="center"/>
              <w:ind w:left="230"/>
              <w:spacing w:after="0"/>
              <w:rPr>
                <w:sz w:val="20"/>
                <w:szCs w:val="20"/>
                <w:color w:val="auto"/>
              </w:rPr>
            </w:pPr>
            <w:r>
              <w:rPr>
                <w:rFonts w:ascii="Arial" w:cs="Arial" w:eastAsia="Arial" w:hAnsi="Arial"/>
                <w:sz w:val="18"/>
                <w:szCs w:val="18"/>
                <w:color w:val="auto"/>
                <w:w w:val="92"/>
              </w:rPr>
              <w:t>5/22/2013</w:t>
            </w:r>
          </w:p>
        </w:tc>
      </w:tr>
      <w:tr>
        <w:trPr>
          <w:trHeight w:val="405"/>
        </w:trPr>
        <w:tc>
          <w:tcPr>
            <w:tcW w:w="680" w:type="dxa"/>
            <w:vAlign w:val="bottom"/>
          </w:tcPr>
          <w:p>
            <w:pPr>
              <w:jc w:val="center"/>
              <w:ind w:right="230"/>
              <w:spacing w:after="0"/>
              <w:rPr>
                <w:sz w:val="20"/>
                <w:szCs w:val="20"/>
                <w:color w:val="auto"/>
              </w:rPr>
            </w:pPr>
            <w:r>
              <w:rPr>
                <w:rFonts w:ascii="Arial" w:cs="Arial" w:eastAsia="Arial" w:hAnsi="Arial"/>
                <w:sz w:val="18"/>
                <w:szCs w:val="18"/>
                <w:color w:val="auto"/>
                <w:w w:val="94"/>
              </w:rPr>
              <w:t>10-K</w:t>
            </w:r>
          </w:p>
        </w:tc>
        <w:tc>
          <w:tcPr>
            <w:tcW w:w="1060" w:type="dxa"/>
            <w:vAlign w:val="bottom"/>
          </w:tcPr>
          <w:p>
            <w:pPr>
              <w:jc w:val="center"/>
              <w:ind w:left="210"/>
              <w:spacing w:after="0"/>
              <w:rPr>
                <w:sz w:val="20"/>
                <w:szCs w:val="20"/>
                <w:color w:val="auto"/>
              </w:rPr>
            </w:pPr>
            <w:r>
              <w:rPr>
                <w:rFonts w:ascii="Arial" w:cs="Arial" w:eastAsia="Arial" w:hAnsi="Arial"/>
                <w:sz w:val="18"/>
                <w:szCs w:val="18"/>
                <w:color w:val="auto"/>
                <w:w w:val="91"/>
              </w:rPr>
              <w:t>3/2/2015</w:t>
            </w:r>
          </w:p>
        </w:tc>
      </w:tr>
      <w:tr>
        <w:trPr>
          <w:trHeight w:val="581"/>
        </w:trPr>
        <w:tc>
          <w:tcPr>
            <w:tcW w:w="680" w:type="dxa"/>
            <w:vAlign w:val="bottom"/>
          </w:tcPr>
          <w:p>
            <w:pPr>
              <w:jc w:val="center"/>
              <w:ind w:right="230"/>
              <w:spacing w:after="0"/>
              <w:rPr>
                <w:sz w:val="20"/>
                <w:szCs w:val="20"/>
                <w:color w:val="auto"/>
              </w:rPr>
            </w:pPr>
            <w:r>
              <w:rPr>
                <w:rFonts w:ascii="Arial" w:cs="Arial" w:eastAsia="Arial" w:hAnsi="Arial"/>
                <w:sz w:val="18"/>
                <w:szCs w:val="18"/>
                <w:color w:val="auto"/>
                <w:w w:val="99"/>
              </w:rPr>
              <w:t>8-K</w:t>
            </w:r>
          </w:p>
        </w:tc>
        <w:tc>
          <w:tcPr>
            <w:tcW w:w="1060" w:type="dxa"/>
            <w:vAlign w:val="bottom"/>
          </w:tcPr>
          <w:p>
            <w:pPr>
              <w:jc w:val="center"/>
              <w:ind w:left="230"/>
              <w:spacing w:after="0"/>
              <w:rPr>
                <w:sz w:val="20"/>
                <w:szCs w:val="20"/>
                <w:color w:val="auto"/>
              </w:rPr>
            </w:pPr>
            <w:r>
              <w:rPr>
                <w:rFonts w:ascii="Arial" w:cs="Arial" w:eastAsia="Arial" w:hAnsi="Arial"/>
                <w:sz w:val="18"/>
                <w:szCs w:val="18"/>
                <w:color w:val="auto"/>
                <w:w w:val="92"/>
              </w:rPr>
              <w:t>3/21/2018</w:t>
            </w:r>
          </w:p>
        </w:tc>
      </w:tr>
      <w:tr>
        <w:trPr>
          <w:trHeight w:val="581"/>
        </w:trPr>
        <w:tc>
          <w:tcPr>
            <w:tcW w:w="680" w:type="dxa"/>
            <w:vAlign w:val="bottom"/>
          </w:tcPr>
          <w:p>
            <w:pPr>
              <w:jc w:val="center"/>
              <w:ind w:right="230"/>
              <w:spacing w:after="0"/>
              <w:rPr>
                <w:sz w:val="20"/>
                <w:szCs w:val="20"/>
                <w:color w:val="auto"/>
              </w:rPr>
            </w:pPr>
            <w:r>
              <w:rPr>
                <w:rFonts w:ascii="Arial" w:cs="Arial" w:eastAsia="Arial" w:hAnsi="Arial"/>
                <w:sz w:val="18"/>
                <w:szCs w:val="18"/>
                <w:color w:val="auto"/>
                <w:w w:val="99"/>
              </w:rPr>
              <w:t>8-K</w:t>
            </w:r>
          </w:p>
        </w:tc>
        <w:tc>
          <w:tcPr>
            <w:tcW w:w="1060" w:type="dxa"/>
            <w:vAlign w:val="bottom"/>
          </w:tcPr>
          <w:p>
            <w:pPr>
              <w:jc w:val="center"/>
              <w:ind w:left="230"/>
              <w:spacing w:after="0"/>
              <w:rPr>
                <w:sz w:val="20"/>
                <w:szCs w:val="20"/>
                <w:color w:val="auto"/>
              </w:rPr>
            </w:pPr>
            <w:r>
              <w:rPr>
                <w:rFonts w:ascii="Arial" w:cs="Arial" w:eastAsia="Arial" w:hAnsi="Arial"/>
                <w:sz w:val="18"/>
                <w:szCs w:val="18"/>
                <w:color w:val="auto"/>
                <w:w w:val="92"/>
              </w:rPr>
              <w:t>2/18/2015</w:t>
            </w:r>
          </w:p>
        </w:tc>
      </w:tr>
      <w:tr>
        <w:trPr>
          <w:trHeight w:val="405"/>
        </w:trPr>
        <w:tc>
          <w:tcPr>
            <w:tcW w:w="680" w:type="dxa"/>
            <w:vAlign w:val="bottom"/>
          </w:tcPr>
          <w:p>
            <w:pPr>
              <w:jc w:val="center"/>
              <w:ind w:right="230"/>
              <w:spacing w:after="0"/>
              <w:rPr>
                <w:sz w:val="20"/>
                <w:szCs w:val="20"/>
                <w:color w:val="auto"/>
              </w:rPr>
            </w:pPr>
            <w:r>
              <w:rPr>
                <w:rFonts w:ascii="Arial" w:cs="Arial" w:eastAsia="Arial" w:hAnsi="Arial"/>
                <w:sz w:val="18"/>
                <w:szCs w:val="18"/>
                <w:color w:val="auto"/>
                <w:w w:val="99"/>
              </w:rPr>
              <w:t>8-K</w:t>
            </w:r>
          </w:p>
        </w:tc>
        <w:tc>
          <w:tcPr>
            <w:tcW w:w="1060" w:type="dxa"/>
            <w:vAlign w:val="bottom"/>
          </w:tcPr>
          <w:p>
            <w:pPr>
              <w:jc w:val="center"/>
              <w:ind w:left="210"/>
              <w:spacing w:after="0"/>
              <w:rPr>
                <w:sz w:val="20"/>
                <w:szCs w:val="20"/>
                <w:color w:val="auto"/>
              </w:rPr>
            </w:pPr>
            <w:r>
              <w:rPr>
                <w:rFonts w:ascii="Arial" w:cs="Arial" w:eastAsia="Arial" w:hAnsi="Arial"/>
                <w:sz w:val="18"/>
                <w:szCs w:val="18"/>
                <w:color w:val="auto"/>
                <w:w w:val="89"/>
              </w:rPr>
              <w:t>5/11/2017</w:t>
            </w:r>
          </w:p>
        </w:tc>
      </w:tr>
      <w:tr>
        <w:trPr>
          <w:trHeight w:val="405"/>
        </w:trPr>
        <w:tc>
          <w:tcPr>
            <w:tcW w:w="680" w:type="dxa"/>
            <w:vAlign w:val="bottom"/>
          </w:tcPr>
          <w:p>
            <w:pPr>
              <w:jc w:val="center"/>
              <w:ind w:right="230"/>
              <w:spacing w:after="0"/>
              <w:rPr>
                <w:sz w:val="20"/>
                <w:szCs w:val="20"/>
                <w:color w:val="auto"/>
              </w:rPr>
            </w:pPr>
            <w:r>
              <w:rPr>
                <w:rFonts w:ascii="Arial" w:cs="Arial" w:eastAsia="Arial" w:hAnsi="Arial"/>
                <w:sz w:val="18"/>
                <w:szCs w:val="18"/>
                <w:color w:val="auto"/>
                <w:w w:val="89"/>
              </w:rPr>
              <w:t>10-Q</w:t>
            </w:r>
          </w:p>
        </w:tc>
        <w:tc>
          <w:tcPr>
            <w:tcW w:w="1060" w:type="dxa"/>
            <w:vAlign w:val="bottom"/>
          </w:tcPr>
          <w:p>
            <w:pPr>
              <w:jc w:val="center"/>
              <w:ind w:left="210"/>
              <w:spacing w:after="0"/>
              <w:rPr>
                <w:sz w:val="20"/>
                <w:szCs w:val="20"/>
                <w:color w:val="auto"/>
              </w:rPr>
            </w:pPr>
            <w:r>
              <w:rPr>
                <w:rFonts w:ascii="Arial" w:cs="Arial" w:eastAsia="Arial" w:hAnsi="Arial"/>
                <w:sz w:val="18"/>
                <w:szCs w:val="18"/>
                <w:color w:val="auto"/>
                <w:w w:val="89"/>
              </w:rPr>
              <w:t>11/8/2017</w:t>
            </w:r>
          </w:p>
        </w:tc>
      </w:tr>
      <w:tr>
        <w:trPr>
          <w:trHeight w:val="405"/>
        </w:trPr>
        <w:tc>
          <w:tcPr>
            <w:tcW w:w="680" w:type="dxa"/>
            <w:vAlign w:val="bottom"/>
          </w:tcPr>
          <w:p>
            <w:pPr>
              <w:jc w:val="center"/>
              <w:ind w:right="230"/>
              <w:spacing w:after="0"/>
              <w:rPr>
                <w:sz w:val="20"/>
                <w:szCs w:val="20"/>
                <w:color w:val="auto"/>
              </w:rPr>
            </w:pPr>
            <w:r>
              <w:rPr>
                <w:rFonts w:ascii="Arial" w:cs="Arial" w:eastAsia="Arial" w:hAnsi="Arial"/>
                <w:sz w:val="18"/>
                <w:szCs w:val="18"/>
                <w:color w:val="auto"/>
                <w:w w:val="89"/>
              </w:rPr>
              <w:t>10-Q</w:t>
            </w:r>
          </w:p>
        </w:tc>
        <w:tc>
          <w:tcPr>
            <w:tcW w:w="1060" w:type="dxa"/>
            <w:vAlign w:val="bottom"/>
          </w:tcPr>
          <w:p>
            <w:pPr>
              <w:jc w:val="center"/>
              <w:ind w:left="210"/>
              <w:spacing w:after="0"/>
              <w:rPr>
                <w:sz w:val="20"/>
                <w:szCs w:val="20"/>
                <w:color w:val="auto"/>
              </w:rPr>
            </w:pPr>
            <w:r>
              <w:rPr>
                <w:rFonts w:ascii="Arial" w:cs="Arial" w:eastAsia="Arial" w:hAnsi="Arial"/>
                <w:sz w:val="18"/>
                <w:szCs w:val="18"/>
                <w:color w:val="auto"/>
                <w:w w:val="89"/>
              </w:rPr>
              <w:t>11/8/2017</w:t>
            </w:r>
          </w:p>
        </w:tc>
      </w:tr>
      <w:tr>
        <w:trPr>
          <w:trHeight w:val="405"/>
        </w:trPr>
        <w:tc>
          <w:tcPr>
            <w:tcW w:w="680" w:type="dxa"/>
            <w:vAlign w:val="bottom"/>
          </w:tcPr>
          <w:p>
            <w:pPr>
              <w:jc w:val="center"/>
              <w:ind w:right="230"/>
              <w:spacing w:after="0"/>
              <w:rPr>
                <w:sz w:val="20"/>
                <w:szCs w:val="20"/>
                <w:color w:val="auto"/>
              </w:rPr>
            </w:pPr>
            <w:r>
              <w:rPr>
                <w:rFonts w:ascii="Arial" w:cs="Arial" w:eastAsia="Arial" w:hAnsi="Arial"/>
                <w:sz w:val="18"/>
                <w:szCs w:val="18"/>
                <w:color w:val="auto"/>
                <w:w w:val="94"/>
              </w:rPr>
              <w:t>10-K</w:t>
            </w:r>
          </w:p>
        </w:tc>
        <w:tc>
          <w:tcPr>
            <w:tcW w:w="1060" w:type="dxa"/>
            <w:vAlign w:val="bottom"/>
          </w:tcPr>
          <w:p>
            <w:pPr>
              <w:jc w:val="center"/>
              <w:ind w:left="230"/>
              <w:spacing w:after="0"/>
              <w:rPr>
                <w:sz w:val="20"/>
                <w:szCs w:val="20"/>
                <w:color w:val="auto"/>
              </w:rPr>
            </w:pPr>
            <w:r>
              <w:rPr>
                <w:rFonts w:ascii="Arial" w:cs="Arial" w:eastAsia="Arial" w:hAnsi="Arial"/>
                <w:sz w:val="18"/>
                <w:szCs w:val="18"/>
                <w:color w:val="auto"/>
              </w:rPr>
              <w:t>*</w:t>
            </w:r>
          </w:p>
        </w:tc>
      </w:tr>
      <w:tr>
        <w:trPr>
          <w:trHeight w:val="405"/>
        </w:trPr>
        <w:tc>
          <w:tcPr>
            <w:tcW w:w="680" w:type="dxa"/>
            <w:vAlign w:val="bottom"/>
          </w:tcPr>
          <w:p>
            <w:pPr>
              <w:jc w:val="center"/>
              <w:ind w:right="230"/>
              <w:spacing w:after="0"/>
              <w:rPr>
                <w:sz w:val="20"/>
                <w:szCs w:val="20"/>
                <w:color w:val="auto"/>
              </w:rPr>
            </w:pPr>
            <w:r>
              <w:rPr>
                <w:rFonts w:ascii="Arial" w:cs="Arial" w:eastAsia="Arial" w:hAnsi="Arial"/>
                <w:sz w:val="18"/>
                <w:szCs w:val="18"/>
                <w:color w:val="auto"/>
                <w:w w:val="89"/>
              </w:rPr>
              <w:t>10-Q</w:t>
            </w:r>
          </w:p>
        </w:tc>
        <w:tc>
          <w:tcPr>
            <w:tcW w:w="1060" w:type="dxa"/>
            <w:vAlign w:val="bottom"/>
          </w:tcPr>
          <w:p>
            <w:pPr>
              <w:jc w:val="center"/>
              <w:ind w:left="210"/>
              <w:spacing w:after="0"/>
              <w:rPr>
                <w:sz w:val="20"/>
                <w:szCs w:val="20"/>
                <w:color w:val="auto"/>
              </w:rPr>
            </w:pPr>
            <w:r>
              <w:rPr>
                <w:rFonts w:ascii="Arial" w:cs="Arial" w:eastAsia="Arial" w:hAnsi="Arial"/>
                <w:sz w:val="18"/>
                <w:szCs w:val="18"/>
                <w:color w:val="auto"/>
                <w:w w:val="89"/>
              </w:rPr>
              <w:t>11/6/2019</w:t>
            </w:r>
          </w:p>
        </w:tc>
      </w:tr>
      <w:tr>
        <w:trPr>
          <w:trHeight w:val="581"/>
        </w:trPr>
        <w:tc>
          <w:tcPr>
            <w:tcW w:w="680" w:type="dxa"/>
            <w:vAlign w:val="bottom"/>
          </w:tcPr>
          <w:p>
            <w:pPr>
              <w:jc w:val="center"/>
              <w:ind w:right="230"/>
              <w:spacing w:after="0"/>
              <w:rPr>
                <w:sz w:val="20"/>
                <w:szCs w:val="20"/>
                <w:color w:val="auto"/>
              </w:rPr>
            </w:pPr>
            <w:r>
              <w:rPr>
                <w:rFonts w:ascii="Arial" w:cs="Arial" w:eastAsia="Arial" w:hAnsi="Arial"/>
                <w:sz w:val="18"/>
                <w:szCs w:val="18"/>
                <w:color w:val="auto"/>
                <w:w w:val="89"/>
              </w:rPr>
              <w:t>10-Q</w:t>
            </w:r>
          </w:p>
        </w:tc>
        <w:tc>
          <w:tcPr>
            <w:tcW w:w="1060" w:type="dxa"/>
            <w:vAlign w:val="bottom"/>
          </w:tcPr>
          <w:p>
            <w:pPr>
              <w:jc w:val="center"/>
              <w:ind w:left="210"/>
              <w:spacing w:after="0"/>
              <w:rPr>
                <w:sz w:val="20"/>
                <w:szCs w:val="20"/>
                <w:color w:val="auto"/>
              </w:rPr>
            </w:pPr>
            <w:r>
              <w:rPr>
                <w:rFonts w:ascii="Arial" w:cs="Arial" w:eastAsia="Arial" w:hAnsi="Arial"/>
                <w:sz w:val="18"/>
                <w:szCs w:val="18"/>
                <w:color w:val="auto"/>
                <w:w w:val="89"/>
              </w:rPr>
              <w:t>11/6/2019</w:t>
            </w:r>
          </w:p>
        </w:tc>
      </w:tr>
      <w:tr>
        <w:trPr>
          <w:trHeight w:val="581"/>
        </w:trPr>
        <w:tc>
          <w:tcPr>
            <w:tcW w:w="680" w:type="dxa"/>
            <w:vAlign w:val="bottom"/>
          </w:tcPr>
          <w:p>
            <w:pPr>
              <w:jc w:val="center"/>
              <w:ind w:right="230"/>
              <w:spacing w:after="0"/>
              <w:rPr>
                <w:sz w:val="20"/>
                <w:szCs w:val="20"/>
                <w:color w:val="auto"/>
              </w:rPr>
            </w:pPr>
            <w:r>
              <w:rPr>
                <w:rFonts w:ascii="Arial" w:cs="Arial" w:eastAsia="Arial" w:hAnsi="Arial"/>
                <w:sz w:val="18"/>
                <w:szCs w:val="18"/>
                <w:color w:val="auto"/>
                <w:w w:val="89"/>
              </w:rPr>
              <w:t>10-Q</w:t>
            </w:r>
          </w:p>
        </w:tc>
        <w:tc>
          <w:tcPr>
            <w:tcW w:w="1060" w:type="dxa"/>
            <w:vAlign w:val="bottom"/>
          </w:tcPr>
          <w:p>
            <w:pPr>
              <w:jc w:val="center"/>
              <w:ind w:left="210"/>
              <w:spacing w:after="0"/>
              <w:rPr>
                <w:sz w:val="20"/>
                <w:szCs w:val="20"/>
                <w:color w:val="auto"/>
              </w:rPr>
            </w:pPr>
            <w:r>
              <w:rPr>
                <w:rFonts w:ascii="Arial" w:cs="Arial" w:eastAsia="Arial" w:hAnsi="Arial"/>
                <w:sz w:val="18"/>
                <w:szCs w:val="18"/>
                <w:color w:val="auto"/>
                <w:w w:val="91"/>
              </w:rPr>
              <w:t>5/9/2019</w:t>
            </w:r>
          </w:p>
        </w:tc>
      </w:tr>
      <w:tr>
        <w:trPr>
          <w:trHeight w:val="581"/>
        </w:trPr>
        <w:tc>
          <w:tcPr>
            <w:tcW w:w="680" w:type="dxa"/>
            <w:vAlign w:val="bottom"/>
          </w:tcPr>
          <w:p>
            <w:pPr>
              <w:jc w:val="center"/>
              <w:ind w:right="230"/>
              <w:spacing w:after="0"/>
              <w:rPr>
                <w:sz w:val="20"/>
                <w:szCs w:val="20"/>
                <w:color w:val="auto"/>
              </w:rPr>
            </w:pPr>
            <w:r>
              <w:rPr>
                <w:rFonts w:ascii="Arial" w:cs="Arial" w:eastAsia="Arial" w:hAnsi="Arial"/>
                <w:sz w:val="18"/>
                <w:szCs w:val="18"/>
                <w:color w:val="auto"/>
                <w:w w:val="89"/>
              </w:rPr>
              <w:t>10-Q</w:t>
            </w:r>
          </w:p>
        </w:tc>
        <w:tc>
          <w:tcPr>
            <w:tcW w:w="1060" w:type="dxa"/>
            <w:vAlign w:val="bottom"/>
          </w:tcPr>
          <w:p>
            <w:pPr>
              <w:jc w:val="center"/>
              <w:ind w:left="230"/>
              <w:spacing w:after="0"/>
              <w:rPr>
                <w:sz w:val="20"/>
                <w:szCs w:val="20"/>
                <w:color w:val="auto"/>
              </w:rPr>
            </w:pPr>
            <w:r>
              <w:rPr>
                <w:rFonts w:ascii="Arial" w:cs="Arial" w:eastAsia="Arial" w:hAnsi="Arial"/>
                <w:sz w:val="18"/>
                <w:szCs w:val="18"/>
                <w:color w:val="auto"/>
                <w:w w:val="89"/>
              </w:rPr>
              <w:t>2/28/19</w:t>
            </w:r>
          </w:p>
        </w:tc>
      </w:tr>
      <w:tr>
        <w:trPr>
          <w:trHeight w:val="581"/>
        </w:trPr>
        <w:tc>
          <w:tcPr>
            <w:tcW w:w="680" w:type="dxa"/>
            <w:vAlign w:val="bottom"/>
          </w:tcPr>
          <w:p>
            <w:pPr>
              <w:jc w:val="center"/>
              <w:ind w:right="230"/>
              <w:spacing w:after="0"/>
              <w:rPr>
                <w:sz w:val="20"/>
                <w:szCs w:val="20"/>
                <w:color w:val="auto"/>
              </w:rPr>
            </w:pPr>
            <w:r>
              <w:rPr>
                <w:rFonts w:ascii="Arial" w:cs="Arial" w:eastAsia="Arial" w:hAnsi="Arial"/>
                <w:sz w:val="18"/>
                <w:szCs w:val="18"/>
                <w:color w:val="auto"/>
                <w:w w:val="89"/>
              </w:rPr>
              <w:t>10-Q</w:t>
            </w:r>
          </w:p>
        </w:tc>
        <w:tc>
          <w:tcPr>
            <w:tcW w:w="1060" w:type="dxa"/>
            <w:vAlign w:val="bottom"/>
          </w:tcPr>
          <w:p>
            <w:pPr>
              <w:jc w:val="center"/>
              <w:ind w:left="230"/>
              <w:spacing w:after="0"/>
              <w:rPr>
                <w:sz w:val="20"/>
                <w:szCs w:val="20"/>
                <w:color w:val="auto"/>
              </w:rPr>
            </w:pPr>
            <w:r>
              <w:rPr>
                <w:rFonts w:ascii="Arial" w:cs="Arial" w:eastAsia="Arial" w:hAnsi="Arial"/>
                <w:sz w:val="18"/>
                <w:szCs w:val="18"/>
                <w:color w:val="auto"/>
                <w:w w:val="89"/>
              </w:rPr>
              <w:t>2/28/19</w:t>
            </w:r>
          </w:p>
        </w:tc>
      </w:tr>
      <w:tr>
        <w:trPr>
          <w:trHeight w:val="581"/>
        </w:trPr>
        <w:tc>
          <w:tcPr>
            <w:tcW w:w="680" w:type="dxa"/>
            <w:vAlign w:val="bottom"/>
          </w:tcPr>
          <w:p>
            <w:pPr>
              <w:jc w:val="center"/>
              <w:ind w:right="230"/>
              <w:spacing w:after="0"/>
              <w:rPr>
                <w:sz w:val="20"/>
                <w:szCs w:val="20"/>
                <w:color w:val="auto"/>
              </w:rPr>
            </w:pPr>
            <w:r>
              <w:rPr>
                <w:rFonts w:ascii="Arial" w:cs="Arial" w:eastAsia="Arial" w:hAnsi="Arial"/>
                <w:sz w:val="18"/>
                <w:szCs w:val="18"/>
                <w:color w:val="auto"/>
                <w:w w:val="89"/>
              </w:rPr>
              <w:t>10-Q</w:t>
            </w:r>
          </w:p>
        </w:tc>
        <w:tc>
          <w:tcPr>
            <w:tcW w:w="1060" w:type="dxa"/>
            <w:vAlign w:val="bottom"/>
          </w:tcPr>
          <w:p>
            <w:pPr>
              <w:jc w:val="center"/>
              <w:ind w:left="230"/>
              <w:spacing w:after="0"/>
              <w:rPr>
                <w:sz w:val="20"/>
                <w:szCs w:val="20"/>
                <w:color w:val="auto"/>
              </w:rPr>
            </w:pPr>
            <w:r>
              <w:rPr>
                <w:rFonts w:ascii="Arial" w:cs="Arial" w:eastAsia="Arial" w:hAnsi="Arial"/>
                <w:sz w:val="18"/>
                <w:szCs w:val="18"/>
                <w:color w:val="auto"/>
                <w:w w:val="89"/>
              </w:rPr>
              <w:t>2/28/19</w:t>
            </w:r>
          </w:p>
        </w:tc>
      </w:tr>
    </w:tbl>
    <w:p>
      <w:pPr>
        <w:spacing w:after="0" w:line="530" w:lineRule="exact"/>
        <w:rPr>
          <w:sz w:val="20"/>
          <w:szCs w:val="20"/>
          <w:color w:val="auto"/>
        </w:rPr>
      </w:pPr>
    </w:p>
    <w:p>
      <w:pPr>
        <w:sectPr>
          <w:pgSz w:w="11900" w:h="16838" w:orient="portrait"/>
          <w:cols w:equalWidth="0" w:num="2">
            <w:col w:w="8960" w:space="480"/>
            <w:col w:w="1960"/>
          </w:cols>
          <w:pgMar w:left="240" w:top="122" w:right="259" w:bottom="1440" w:gutter="0" w:footer="0" w:header="0"/>
          <w:type w:val="continuous"/>
        </w:sect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2720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type w:val="continuous"/>
        </w:sectPr>
      </w:pPr>
    </w:p>
    <w:bookmarkStart w:id="115" w:name="page116"/>
    <w:bookmarkEnd w:id="115"/>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ectPr>
          <w:pgSz w:w="11900" w:h="16838" w:orient="portrait"/>
          <w:cols w:equalWidth="0" w:num="1">
            <w:col w:w="11180"/>
          </w:cols>
          <w:pgMar w:left="240" w:top="122"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60" w:right="200" w:hanging="958"/>
        <w:spacing w:after="0" w:line="224" w:lineRule="auto"/>
        <w:tabs>
          <w:tab w:leader="none" w:pos="1340" w:val="left"/>
        </w:tabs>
        <w:rPr>
          <w:rFonts w:ascii="Arial" w:cs="Arial" w:eastAsia="Arial" w:hAnsi="Arial"/>
          <w:sz w:val="18"/>
          <w:szCs w:val="18"/>
          <w:u w:val="single" w:color="auto"/>
          <w:color w:val="0000FF"/>
        </w:rPr>
      </w:pPr>
      <w:r>
        <w:rPr>
          <w:rFonts w:ascii="Arial" w:cs="Arial" w:eastAsia="Arial" w:hAnsi="Arial"/>
          <w:sz w:val="18"/>
          <w:szCs w:val="18"/>
          <w:color w:val="auto"/>
        </w:rPr>
        <w:t>10.2.4</w:t>
      </w:r>
      <w:r>
        <w:rPr>
          <w:sz w:val="20"/>
          <w:szCs w:val="20"/>
          <w:color w:val="auto"/>
        </w:rPr>
        <w:tab/>
      </w:r>
      <w:hyperlink r:id="rId159">
        <w:r>
          <w:rPr>
            <w:rFonts w:ascii="Arial" w:cs="Arial" w:eastAsia="Arial" w:hAnsi="Arial"/>
            <w:sz w:val="18"/>
            <w:szCs w:val="18"/>
            <w:u w:val="single" w:color="auto"/>
            <w:color w:val="0000FF"/>
          </w:rPr>
          <w:t>Common Terms Agreement Fifth Amendment Agreement, dated September 30, 2015, between, among</w:t>
        </w:r>
      </w:hyperlink>
      <w:r>
        <w:rPr>
          <w:rFonts w:ascii="Arial" w:cs="Arial" w:eastAsia="Arial" w:hAnsi="Arial"/>
          <w:sz w:val="18"/>
          <w:szCs w:val="18"/>
          <w:u w:val="single" w:color="auto"/>
          <w:color w:val="0000FF"/>
        </w:rPr>
        <w:t xml:space="preserve"> </w:t>
      </w:r>
      <w:hyperlink r:id="rId159">
        <w:r>
          <w:rPr>
            <w:rFonts w:ascii="Arial" w:cs="Arial" w:eastAsia="Arial" w:hAnsi="Arial"/>
            <w:sz w:val="18"/>
            <w:szCs w:val="18"/>
            <w:u w:val="single" w:color="auto"/>
            <w:color w:val="0000FF"/>
          </w:rPr>
          <w:t>others, Wynn Resorts (Macau) S.A. as the company and Bank of China Limited, Macau Branch as</w:t>
        </w:r>
      </w:hyperlink>
      <w:r>
        <w:rPr>
          <w:rFonts w:ascii="Arial" w:cs="Arial" w:eastAsia="Arial" w:hAnsi="Arial"/>
          <w:sz w:val="18"/>
          <w:szCs w:val="18"/>
          <w:u w:val="single" w:color="auto"/>
          <w:color w:val="0000FF"/>
        </w:rPr>
        <w:t xml:space="preserve"> </w:t>
      </w:r>
      <w:hyperlink r:id="rId159">
        <w:r>
          <w:rPr>
            <w:rFonts w:ascii="Arial" w:cs="Arial" w:eastAsia="Arial" w:hAnsi="Arial"/>
            <w:sz w:val="18"/>
            <w:szCs w:val="18"/>
            <w:u w:val="single" w:color="auto"/>
            <w:color w:val="0000FF"/>
          </w:rPr>
          <w:t>security agent.</w:t>
        </w:r>
      </w:hyperlink>
    </w:p>
    <w:p>
      <w:pPr>
        <w:spacing w:after="0" w:line="2" w:lineRule="exact"/>
        <w:rPr>
          <w:rFonts w:ascii="Arial" w:cs="Arial" w:eastAsia="Arial" w:hAnsi="Arial"/>
          <w:sz w:val="18"/>
          <w:szCs w:val="18"/>
          <w:u w:val="single" w:color="auto"/>
          <w:color w:val="0000FF"/>
        </w:rPr>
      </w:pPr>
    </w:p>
    <w:p>
      <w:pPr>
        <w:jc w:val="both"/>
        <w:ind w:left="1360" w:right="420" w:hanging="958"/>
        <w:spacing w:after="0" w:line="224" w:lineRule="auto"/>
        <w:tabs>
          <w:tab w:leader="none" w:pos="1340" w:val="left"/>
        </w:tabs>
        <w:rPr>
          <w:rFonts w:ascii="Arial" w:cs="Arial" w:eastAsia="Arial" w:hAnsi="Arial"/>
          <w:sz w:val="18"/>
          <w:szCs w:val="18"/>
          <w:u w:val="single" w:color="auto"/>
          <w:color w:val="0000FF"/>
        </w:rPr>
      </w:pPr>
      <w:r>
        <w:rPr>
          <w:rFonts w:ascii="Arial" w:cs="Arial" w:eastAsia="Arial" w:hAnsi="Arial"/>
          <w:sz w:val="18"/>
          <w:szCs w:val="18"/>
          <w:color w:val="auto"/>
        </w:rPr>
        <w:t>10.2.5</w:t>
      </w:r>
      <w:r>
        <w:rPr>
          <w:sz w:val="20"/>
          <w:szCs w:val="20"/>
          <w:color w:val="auto"/>
        </w:rPr>
        <w:tab/>
      </w:r>
      <w:hyperlink r:id="rId160">
        <w:r>
          <w:rPr>
            <w:rFonts w:ascii="Arial" w:cs="Arial" w:eastAsia="Arial" w:hAnsi="Arial"/>
            <w:sz w:val="18"/>
            <w:szCs w:val="18"/>
            <w:u w:val="single" w:color="auto"/>
            <w:color w:val="0000FF"/>
          </w:rPr>
          <w:t>Term Facility Agreement Fourth Amendment Agreement, dated September 30, 2015, by and among</w:t>
        </w:r>
      </w:hyperlink>
      <w:r>
        <w:rPr>
          <w:rFonts w:ascii="Arial" w:cs="Arial" w:eastAsia="Arial" w:hAnsi="Arial"/>
          <w:sz w:val="18"/>
          <w:szCs w:val="18"/>
          <w:u w:val="single" w:color="auto"/>
          <w:color w:val="0000FF"/>
        </w:rPr>
        <w:t xml:space="preserve"> </w:t>
      </w:r>
      <w:hyperlink r:id="rId160">
        <w:r>
          <w:rPr>
            <w:rFonts w:ascii="Arial" w:cs="Arial" w:eastAsia="Arial" w:hAnsi="Arial"/>
            <w:sz w:val="18"/>
            <w:szCs w:val="18"/>
            <w:u w:val="single" w:color="auto"/>
            <w:color w:val="0000FF"/>
          </w:rPr>
          <w:t>Wynn Resorts (Macau) S.A. and Bank of China Limited, Macau Branch as Hotel Facility Agent and</w:t>
        </w:r>
      </w:hyperlink>
      <w:r>
        <w:rPr>
          <w:rFonts w:ascii="Arial" w:cs="Arial" w:eastAsia="Arial" w:hAnsi="Arial"/>
          <w:sz w:val="18"/>
          <w:szCs w:val="18"/>
          <w:u w:val="single" w:color="auto"/>
          <w:color w:val="0000FF"/>
        </w:rPr>
        <w:t xml:space="preserve"> </w:t>
      </w:r>
      <w:hyperlink r:id="rId160">
        <w:r>
          <w:rPr>
            <w:rFonts w:ascii="Arial" w:cs="Arial" w:eastAsia="Arial" w:hAnsi="Arial"/>
            <w:sz w:val="18"/>
            <w:szCs w:val="18"/>
            <w:u w:val="single" w:color="auto"/>
            <w:color w:val="0000FF"/>
          </w:rPr>
          <w:t>Hotel Facility Lender.</w:t>
        </w:r>
      </w:hyperlink>
    </w:p>
    <w:p>
      <w:pPr>
        <w:spacing w:after="0" w:line="1" w:lineRule="exact"/>
        <w:rPr>
          <w:rFonts w:ascii="Arial" w:cs="Arial" w:eastAsia="Arial" w:hAnsi="Arial"/>
          <w:sz w:val="18"/>
          <w:szCs w:val="18"/>
          <w:u w:val="single" w:color="auto"/>
          <w:color w:val="0000FF"/>
        </w:rPr>
      </w:pPr>
    </w:p>
    <w:p>
      <w:pPr>
        <w:ind w:left="1360" w:right="240" w:hanging="958"/>
        <w:spacing w:after="0" w:line="224" w:lineRule="auto"/>
        <w:tabs>
          <w:tab w:leader="none" w:pos="1340" w:val="left"/>
        </w:tabs>
        <w:rPr>
          <w:rFonts w:ascii="Arial" w:cs="Arial" w:eastAsia="Arial" w:hAnsi="Arial"/>
          <w:sz w:val="18"/>
          <w:szCs w:val="18"/>
          <w:u w:val="single" w:color="auto"/>
          <w:color w:val="0000FF"/>
        </w:rPr>
      </w:pPr>
      <w:r>
        <w:rPr>
          <w:rFonts w:ascii="Arial" w:cs="Arial" w:eastAsia="Arial" w:hAnsi="Arial"/>
          <w:sz w:val="18"/>
          <w:szCs w:val="18"/>
          <w:color w:val="auto"/>
        </w:rPr>
        <w:t>10.2.6</w:t>
      </w:r>
      <w:r>
        <w:rPr>
          <w:sz w:val="20"/>
          <w:szCs w:val="20"/>
          <w:color w:val="auto"/>
        </w:rPr>
        <w:tab/>
      </w:r>
      <w:hyperlink r:id="rId161">
        <w:r>
          <w:rPr>
            <w:rFonts w:ascii="Arial" w:cs="Arial" w:eastAsia="Arial" w:hAnsi="Arial"/>
            <w:sz w:val="18"/>
            <w:szCs w:val="18"/>
            <w:u w:val="single" w:color="auto"/>
            <w:color w:val="0000FF"/>
          </w:rPr>
          <w:t>Revolving Credit Facility Agreement Amendment Agreement, dated as of September 30, 2015, by and</w:t>
        </w:r>
      </w:hyperlink>
      <w:r>
        <w:rPr>
          <w:rFonts w:ascii="Arial" w:cs="Arial" w:eastAsia="Arial" w:hAnsi="Arial"/>
          <w:sz w:val="18"/>
          <w:szCs w:val="18"/>
          <w:u w:val="single" w:color="auto"/>
          <w:color w:val="0000FF"/>
        </w:rPr>
        <w:t xml:space="preserve"> </w:t>
      </w:r>
      <w:hyperlink r:id="rId161">
        <w:r>
          <w:rPr>
            <w:rFonts w:ascii="Arial" w:cs="Arial" w:eastAsia="Arial" w:hAnsi="Arial"/>
            <w:sz w:val="18"/>
            <w:szCs w:val="18"/>
            <w:u w:val="single" w:color="auto"/>
            <w:color w:val="0000FF"/>
          </w:rPr>
          <w:t>among Wynn Resorts (Macau) S.A. and Bank of China Limited, Macau Branch as Revolving Credit</w:t>
        </w:r>
      </w:hyperlink>
      <w:r>
        <w:rPr>
          <w:rFonts w:ascii="Arial" w:cs="Arial" w:eastAsia="Arial" w:hAnsi="Arial"/>
          <w:sz w:val="18"/>
          <w:szCs w:val="18"/>
          <w:u w:val="single" w:color="auto"/>
          <w:color w:val="0000FF"/>
        </w:rPr>
        <w:t xml:space="preserve"> </w:t>
      </w:r>
      <w:hyperlink r:id="rId161">
        <w:r>
          <w:rPr>
            <w:rFonts w:ascii="Arial" w:cs="Arial" w:eastAsia="Arial" w:hAnsi="Arial"/>
            <w:sz w:val="18"/>
            <w:szCs w:val="18"/>
            <w:u w:val="single" w:color="auto"/>
            <w:color w:val="0000FF"/>
          </w:rPr>
          <w:t>Facility Agent and Revolving Credit Facility Lender.</w:t>
        </w:r>
      </w:hyperlink>
    </w:p>
    <w:p>
      <w:pPr>
        <w:spacing w:after="0" w:line="1" w:lineRule="exact"/>
        <w:rPr>
          <w:rFonts w:ascii="Arial" w:cs="Arial" w:eastAsia="Arial" w:hAnsi="Arial"/>
          <w:sz w:val="18"/>
          <w:szCs w:val="18"/>
          <w:u w:val="single" w:color="auto"/>
          <w:color w:val="0000FF"/>
        </w:rPr>
      </w:pPr>
    </w:p>
    <w:p>
      <w:pPr>
        <w:ind w:left="1360" w:right="80" w:hanging="958"/>
        <w:spacing w:after="0" w:line="234" w:lineRule="auto"/>
        <w:tabs>
          <w:tab w:leader="none" w:pos="1340" w:val="left"/>
        </w:tabs>
        <w:rPr>
          <w:rFonts w:ascii="Arial" w:cs="Arial" w:eastAsia="Arial" w:hAnsi="Arial"/>
          <w:sz w:val="18"/>
          <w:szCs w:val="18"/>
          <w:u w:val="single" w:color="auto"/>
          <w:color w:val="0000FF"/>
        </w:rPr>
      </w:pPr>
      <w:r>
        <w:rPr>
          <w:rFonts w:ascii="Arial" w:cs="Arial" w:eastAsia="Arial" w:hAnsi="Arial"/>
          <w:sz w:val="18"/>
          <w:szCs w:val="18"/>
          <w:color w:val="auto"/>
        </w:rPr>
        <w:t>10.2.7</w:t>
      </w:r>
      <w:r>
        <w:rPr>
          <w:sz w:val="20"/>
          <w:szCs w:val="20"/>
          <w:color w:val="auto"/>
        </w:rPr>
        <w:tab/>
      </w:r>
      <w:hyperlink r:id="rId162">
        <w:r>
          <w:rPr>
            <w:rFonts w:ascii="Arial" w:cs="Arial" w:eastAsia="Arial" w:hAnsi="Arial"/>
            <w:sz w:val="18"/>
            <w:szCs w:val="18"/>
            <w:u w:val="single" w:color="auto"/>
            <w:color w:val="0000FF"/>
          </w:rPr>
          <w:t>Debenture, dated as of September 14, 2004, between Wynn Resorts (Macau), S.A. and Société Générale,</w:t>
        </w:r>
      </w:hyperlink>
      <w:r>
        <w:rPr>
          <w:rFonts w:ascii="Arial" w:cs="Arial" w:eastAsia="Arial" w:hAnsi="Arial"/>
          <w:sz w:val="18"/>
          <w:szCs w:val="18"/>
          <w:u w:val="single" w:color="auto"/>
          <w:color w:val="0000FF"/>
        </w:rPr>
        <w:t xml:space="preserve"> </w:t>
      </w:r>
      <w:hyperlink r:id="rId162">
        <w:r>
          <w:rPr>
            <w:rFonts w:ascii="Arial" w:cs="Arial" w:eastAsia="Arial" w:hAnsi="Arial"/>
            <w:sz w:val="18"/>
            <w:szCs w:val="18"/>
            <w:u w:val="single" w:color="auto"/>
            <w:color w:val="0000FF"/>
          </w:rPr>
          <w:t>Hong Kong Branch as the Security Agent.</w:t>
        </w:r>
      </w:hyperlink>
    </w:p>
    <w:p>
      <w:pPr>
        <w:spacing w:after="0" w:line="2" w:lineRule="exact"/>
        <w:rPr>
          <w:sz w:val="20"/>
          <w:szCs w:val="20"/>
          <w:color w:val="auto"/>
        </w:rPr>
      </w:pPr>
    </w:p>
    <w:p>
      <w:pPr>
        <w:ind w:left="1360" w:right="160" w:hanging="958"/>
        <w:spacing w:after="0" w:line="216" w:lineRule="auto"/>
        <w:tabs>
          <w:tab w:leader="none" w:pos="1340" w:val="left"/>
        </w:tabs>
        <w:rPr>
          <w:rFonts w:ascii="Arial" w:cs="Arial" w:eastAsia="Arial" w:hAnsi="Arial"/>
          <w:sz w:val="18"/>
          <w:szCs w:val="18"/>
          <w:u w:val="single" w:color="auto"/>
          <w:color w:val="0000FF"/>
        </w:rPr>
      </w:pPr>
      <w:r>
        <w:rPr>
          <w:rFonts w:ascii="Arial" w:cs="Arial" w:eastAsia="Arial" w:hAnsi="Arial"/>
          <w:sz w:val="18"/>
          <w:szCs w:val="18"/>
          <w:color w:val="auto"/>
        </w:rPr>
        <w:t>10.3.0</w:t>
      </w:r>
      <w:r>
        <w:rPr>
          <w:sz w:val="20"/>
          <w:szCs w:val="20"/>
          <w:color w:val="auto"/>
        </w:rPr>
        <w:tab/>
      </w:r>
      <w:hyperlink r:id="rId163">
        <w:r>
          <w:rPr>
            <w:rFonts w:ascii="Arial" w:cs="Arial" w:eastAsia="Arial" w:hAnsi="Arial"/>
            <w:sz w:val="18"/>
            <w:szCs w:val="18"/>
            <w:u w:val="single" w:color="auto"/>
            <w:color w:val="0000FF"/>
          </w:rPr>
          <w:t>Term Loan Agreement, dated as of July 25, 2018, by and among Wynn/CA Plaza Property Owner, LLC</w:t>
        </w:r>
      </w:hyperlink>
      <w:r>
        <w:rPr>
          <w:rFonts w:ascii="Arial" w:cs="Arial" w:eastAsia="Arial" w:hAnsi="Arial"/>
          <w:sz w:val="18"/>
          <w:szCs w:val="18"/>
          <w:u w:val="single" w:color="auto"/>
          <w:color w:val="0000FF"/>
        </w:rPr>
        <w:t xml:space="preserve"> </w:t>
      </w:r>
      <w:hyperlink r:id="rId163">
        <w:r>
          <w:rPr>
            <w:rFonts w:ascii="Arial" w:cs="Arial" w:eastAsia="Arial" w:hAnsi="Arial"/>
            <w:sz w:val="18"/>
            <w:szCs w:val="18"/>
            <w:u w:val="single" w:color="auto"/>
            <w:color w:val="0000FF"/>
          </w:rPr>
          <w:t>and Wynn/CA Property Owner, LLC, as borrowers, United Overseas Bank Limited, New York Agency,</w:t>
        </w:r>
      </w:hyperlink>
      <w:r>
        <w:rPr>
          <w:rFonts w:ascii="Arial" w:cs="Arial" w:eastAsia="Arial" w:hAnsi="Arial"/>
          <w:sz w:val="18"/>
          <w:szCs w:val="18"/>
          <w:u w:val="single" w:color="auto"/>
          <w:color w:val="0000FF"/>
        </w:rPr>
        <w:t xml:space="preserve"> </w:t>
      </w:r>
      <w:hyperlink r:id="rId163">
        <w:r>
          <w:rPr>
            <w:rFonts w:ascii="Arial" w:cs="Arial" w:eastAsia="Arial" w:hAnsi="Arial"/>
            <w:sz w:val="18"/>
            <w:szCs w:val="18"/>
            <w:u w:val="single" w:color="auto"/>
            <w:color w:val="0000FF"/>
          </w:rPr>
          <w:t>as administrative agent and lead arranger, Fifth Third Bank, as joint lead arranger, Sumitomo Mitsui</w:t>
        </w:r>
      </w:hyperlink>
      <w:r>
        <w:rPr>
          <w:rFonts w:ascii="Arial" w:cs="Arial" w:eastAsia="Arial" w:hAnsi="Arial"/>
          <w:sz w:val="18"/>
          <w:szCs w:val="18"/>
          <w:u w:val="single" w:color="auto"/>
          <w:color w:val="0000FF"/>
        </w:rPr>
        <w:t xml:space="preserve"> </w:t>
      </w:r>
      <w:hyperlink r:id="rId163">
        <w:r>
          <w:rPr>
            <w:rFonts w:ascii="Arial" w:cs="Arial" w:eastAsia="Arial" w:hAnsi="Arial"/>
            <w:sz w:val="18"/>
            <w:szCs w:val="18"/>
            <w:u w:val="single" w:color="auto"/>
            <w:color w:val="0000FF"/>
          </w:rPr>
          <w:t>Banking Corporation, as joint lead arranger, Credit Agricole Corporate and Investment Bank, as</w:t>
        </w:r>
      </w:hyperlink>
      <w:r>
        <w:rPr>
          <w:rFonts w:ascii="Arial" w:cs="Arial" w:eastAsia="Arial" w:hAnsi="Arial"/>
          <w:sz w:val="18"/>
          <w:szCs w:val="18"/>
          <w:u w:val="single" w:color="auto"/>
          <w:color w:val="0000FF"/>
        </w:rPr>
        <w:t xml:space="preserve"> </w:t>
      </w:r>
      <w:hyperlink r:id="rId163">
        <w:r>
          <w:rPr>
            <w:rFonts w:ascii="Arial" w:cs="Arial" w:eastAsia="Arial" w:hAnsi="Arial"/>
            <w:sz w:val="18"/>
            <w:szCs w:val="18"/>
            <w:u w:val="single" w:color="auto"/>
            <w:color w:val="0000FF"/>
          </w:rPr>
          <w:t>managing agent, and the lenders party thereto.</w:t>
        </w:r>
      </w:hyperlink>
    </w:p>
    <w:p>
      <w:pPr>
        <w:ind w:left="1360" w:right="120" w:hanging="958"/>
        <w:spacing w:after="0" w:line="252" w:lineRule="auto"/>
        <w:tabs>
          <w:tab w:leader="none" w:pos="1340" w:val="left"/>
        </w:tabs>
        <w:rPr>
          <w:rFonts w:ascii="Arial" w:cs="Arial" w:eastAsia="Arial" w:hAnsi="Arial"/>
          <w:sz w:val="16"/>
          <w:szCs w:val="16"/>
          <w:u w:val="single" w:color="auto"/>
          <w:color w:val="0000FF"/>
        </w:rPr>
      </w:pPr>
      <w:r>
        <w:rPr>
          <w:rFonts w:ascii="Arial" w:cs="Arial" w:eastAsia="Arial" w:hAnsi="Arial"/>
          <w:sz w:val="18"/>
          <w:szCs w:val="18"/>
          <w:color w:val="auto"/>
        </w:rPr>
        <w:t>10.4.1</w:t>
      </w:r>
      <w:r>
        <w:rPr>
          <w:sz w:val="20"/>
          <w:szCs w:val="20"/>
          <w:color w:val="auto"/>
        </w:rPr>
        <w:tab/>
      </w:r>
      <w:hyperlink r:id="rId164">
        <w:r>
          <w:rPr>
            <w:rFonts w:ascii="Arial" w:cs="Arial" w:eastAsia="Arial" w:hAnsi="Arial"/>
            <w:sz w:val="16"/>
            <w:szCs w:val="16"/>
            <w:u w:val="single" w:color="auto"/>
            <w:color w:val="0000FF"/>
          </w:rPr>
          <w:t>Concession Contract for the Operation of Games of Chance or Other Games in Casinos in the Macau</w:t>
        </w:r>
      </w:hyperlink>
      <w:r>
        <w:rPr>
          <w:rFonts w:ascii="Arial" w:cs="Arial" w:eastAsia="Arial" w:hAnsi="Arial"/>
          <w:sz w:val="16"/>
          <w:szCs w:val="16"/>
          <w:u w:val="single" w:color="auto"/>
          <w:color w:val="0000FF"/>
        </w:rPr>
        <w:t xml:space="preserve"> </w:t>
      </w:r>
      <w:hyperlink r:id="rId164">
        <w:r>
          <w:rPr>
            <w:rFonts w:ascii="Arial" w:cs="Arial" w:eastAsia="Arial" w:hAnsi="Arial"/>
            <w:sz w:val="16"/>
            <w:szCs w:val="16"/>
            <w:u w:val="single" w:color="auto"/>
            <w:color w:val="0000FF"/>
          </w:rPr>
          <w:t>Special Administrative Region, dated June 24, 2002, between the Macau Special Administrative Region</w:t>
        </w:r>
      </w:hyperlink>
      <w:r>
        <w:rPr>
          <w:rFonts w:ascii="Arial" w:cs="Arial" w:eastAsia="Arial" w:hAnsi="Arial"/>
          <w:sz w:val="16"/>
          <w:szCs w:val="16"/>
          <w:u w:val="single" w:color="auto"/>
          <w:color w:val="0000FF"/>
        </w:rPr>
        <w:t xml:space="preserve"> </w:t>
      </w:r>
      <w:hyperlink r:id="rId164">
        <w:r>
          <w:rPr>
            <w:rFonts w:ascii="Arial" w:cs="Arial" w:eastAsia="Arial" w:hAnsi="Arial"/>
            <w:sz w:val="16"/>
            <w:szCs w:val="16"/>
            <w:u w:val="single" w:color="auto"/>
            <w:color w:val="0000FF"/>
          </w:rPr>
          <w:t>and Wynn Resorts (Macau), S.A. (English translation of Portuguese version of Concession Agreement).</w:t>
        </w:r>
      </w:hyperlink>
    </w:p>
    <w:p>
      <w:pPr>
        <w:spacing w:after="0" w:line="1" w:lineRule="exact"/>
        <w:rPr>
          <w:rFonts w:ascii="Arial" w:cs="Arial" w:eastAsia="Arial" w:hAnsi="Arial"/>
          <w:sz w:val="16"/>
          <w:szCs w:val="16"/>
          <w:u w:val="single" w:color="auto"/>
          <w:color w:val="0000FF"/>
        </w:rPr>
      </w:pPr>
    </w:p>
    <w:p>
      <w:pPr>
        <w:jc w:val="both"/>
        <w:ind w:left="1360" w:right="400" w:hanging="958"/>
        <w:spacing w:after="0" w:line="252" w:lineRule="auto"/>
        <w:tabs>
          <w:tab w:leader="none" w:pos="1340" w:val="left"/>
        </w:tabs>
        <w:rPr>
          <w:rFonts w:ascii="Arial" w:cs="Arial" w:eastAsia="Arial" w:hAnsi="Arial"/>
          <w:sz w:val="16"/>
          <w:szCs w:val="16"/>
          <w:u w:val="single" w:color="auto"/>
          <w:color w:val="0000FF"/>
        </w:rPr>
      </w:pPr>
      <w:r>
        <w:rPr>
          <w:rFonts w:ascii="Arial" w:cs="Arial" w:eastAsia="Arial" w:hAnsi="Arial"/>
          <w:sz w:val="18"/>
          <w:szCs w:val="18"/>
          <w:color w:val="auto"/>
        </w:rPr>
        <w:t>10.4.2</w:t>
      </w:r>
      <w:r>
        <w:rPr>
          <w:sz w:val="20"/>
          <w:szCs w:val="20"/>
          <w:color w:val="auto"/>
        </w:rPr>
        <w:tab/>
      </w:r>
      <w:hyperlink r:id="rId165">
        <w:r>
          <w:rPr>
            <w:rFonts w:ascii="Arial" w:cs="Arial" w:eastAsia="Arial" w:hAnsi="Arial"/>
            <w:sz w:val="16"/>
            <w:szCs w:val="16"/>
            <w:u w:val="single" w:color="auto"/>
            <w:color w:val="0000FF"/>
          </w:rPr>
          <w:t>Concession Contract for Operating Casino Gaming or Other Forms of Gaming in the Macao Special</w:t>
        </w:r>
      </w:hyperlink>
      <w:r>
        <w:rPr>
          <w:rFonts w:ascii="Arial" w:cs="Arial" w:eastAsia="Arial" w:hAnsi="Arial"/>
          <w:sz w:val="16"/>
          <w:szCs w:val="16"/>
          <w:u w:val="single" w:color="auto"/>
          <w:color w:val="0000FF"/>
        </w:rPr>
        <w:t xml:space="preserve"> </w:t>
      </w:r>
      <w:hyperlink r:id="rId165">
        <w:r>
          <w:rPr>
            <w:rFonts w:ascii="Arial" w:cs="Arial" w:eastAsia="Arial" w:hAnsi="Arial"/>
            <w:sz w:val="16"/>
            <w:szCs w:val="16"/>
            <w:u w:val="single" w:color="auto"/>
            <w:color w:val="0000FF"/>
          </w:rPr>
          <w:t>Administrative Region, dated June 24, 2002, between the Macau Special Administrative Region and</w:t>
        </w:r>
      </w:hyperlink>
      <w:r>
        <w:rPr>
          <w:rFonts w:ascii="Arial" w:cs="Arial" w:eastAsia="Arial" w:hAnsi="Arial"/>
          <w:sz w:val="16"/>
          <w:szCs w:val="16"/>
          <w:u w:val="single" w:color="auto"/>
          <w:color w:val="0000FF"/>
        </w:rPr>
        <w:t xml:space="preserve"> </w:t>
      </w:r>
      <w:hyperlink r:id="rId165">
        <w:r>
          <w:rPr>
            <w:rFonts w:ascii="Arial" w:cs="Arial" w:eastAsia="Arial" w:hAnsi="Arial"/>
            <w:sz w:val="16"/>
            <w:szCs w:val="16"/>
            <w:u w:val="single" w:color="auto"/>
            <w:color w:val="0000FF"/>
          </w:rPr>
          <w:t>Wynn Resorts (Macau), S.A. (English translation of Chinese version of Concession Agreement).</w:t>
        </w:r>
      </w:hyperlink>
    </w:p>
    <w:p>
      <w:pPr>
        <w:spacing w:after="0" w:line="1" w:lineRule="exact"/>
        <w:rPr>
          <w:rFonts w:ascii="Arial" w:cs="Arial" w:eastAsia="Arial" w:hAnsi="Arial"/>
          <w:sz w:val="16"/>
          <w:szCs w:val="16"/>
          <w:u w:val="single" w:color="auto"/>
          <w:color w:val="0000FF"/>
        </w:rPr>
      </w:pPr>
    </w:p>
    <w:p>
      <w:pPr>
        <w:ind w:left="1360" w:right="200" w:hanging="958"/>
        <w:spacing w:after="0" w:line="234" w:lineRule="auto"/>
        <w:tabs>
          <w:tab w:leader="none" w:pos="1340" w:val="left"/>
        </w:tabs>
        <w:rPr>
          <w:rFonts w:ascii="Arial" w:cs="Arial" w:eastAsia="Arial" w:hAnsi="Arial"/>
          <w:sz w:val="18"/>
          <w:szCs w:val="18"/>
          <w:u w:val="single" w:color="auto"/>
          <w:color w:val="0000FF"/>
        </w:rPr>
      </w:pPr>
      <w:r>
        <w:rPr>
          <w:rFonts w:ascii="Arial" w:cs="Arial" w:eastAsia="Arial" w:hAnsi="Arial"/>
          <w:sz w:val="18"/>
          <w:szCs w:val="18"/>
          <w:color w:val="auto"/>
        </w:rPr>
        <w:t>10.4.3</w:t>
      </w:r>
      <w:r>
        <w:rPr>
          <w:sz w:val="20"/>
          <w:szCs w:val="20"/>
          <w:color w:val="auto"/>
        </w:rPr>
        <w:tab/>
      </w:r>
      <w:hyperlink r:id="rId166">
        <w:r>
          <w:rPr>
            <w:rFonts w:ascii="Arial" w:cs="Arial" w:eastAsia="Arial" w:hAnsi="Arial"/>
            <w:sz w:val="18"/>
            <w:szCs w:val="18"/>
            <w:u w:val="single" w:color="auto"/>
            <w:color w:val="0000FF"/>
          </w:rPr>
          <w:t>Unofficial English translation of Land Concession Contract between the Macau Special Administrative</w:t>
        </w:r>
      </w:hyperlink>
      <w:r>
        <w:rPr>
          <w:rFonts w:ascii="Arial" w:cs="Arial" w:eastAsia="Arial" w:hAnsi="Arial"/>
          <w:sz w:val="18"/>
          <w:szCs w:val="18"/>
          <w:u w:val="single" w:color="auto"/>
          <w:color w:val="0000FF"/>
        </w:rPr>
        <w:t xml:space="preserve"> </w:t>
      </w:r>
      <w:hyperlink r:id="rId166">
        <w:r>
          <w:rPr>
            <w:rFonts w:ascii="Arial" w:cs="Arial" w:eastAsia="Arial" w:hAnsi="Arial"/>
            <w:sz w:val="18"/>
            <w:szCs w:val="18"/>
            <w:u w:val="single" w:color="auto"/>
            <w:color w:val="0000FF"/>
          </w:rPr>
          <w:t>Region and Wynn Resorts (Macau), S.A.</w:t>
        </w:r>
      </w:hyperlink>
    </w:p>
    <w:p>
      <w:pPr>
        <w:spacing w:after="0" w:line="2" w:lineRule="exact"/>
        <w:rPr>
          <w:sz w:val="20"/>
          <w:szCs w:val="20"/>
          <w:color w:val="auto"/>
        </w:rPr>
      </w:pPr>
    </w:p>
    <w:p>
      <w:pPr>
        <w:ind w:left="1360" w:hanging="958"/>
        <w:spacing w:after="0" w:line="237" w:lineRule="auto"/>
        <w:tabs>
          <w:tab w:leader="none" w:pos="1340" w:val="left"/>
        </w:tabs>
        <w:rPr>
          <w:rFonts w:ascii="Arial" w:cs="Arial" w:eastAsia="Arial" w:hAnsi="Arial"/>
          <w:sz w:val="17"/>
          <w:szCs w:val="17"/>
          <w:u w:val="single" w:color="auto"/>
          <w:color w:val="0000FF"/>
        </w:rPr>
      </w:pPr>
      <w:r>
        <w:rPr>
          <w:rFonts w:ascii="Arial" w:cs="Arial" w:eastAsia="Arial" w:hAnsi="Arial"/>
          <w:sz w:val="18"/>
          <w:szCs w:val="18"/>
          <w:color w:val="auto"/>
        </w:rPr>
        <w:t>10.4.4</w:t>
      </w:r>
      <w:r>
        <w:rPr>
          <w:sz w:val="20"/>
          <w:szCs w:val="20"/>
          <w:color w:val="auto"/>
        </w:rPr>
        <w:tab/>
      </w:r>
      <w:hyperlink r:id="rId167">
        <w:r>
          <w:rPr>
            <w:rFonts w:ascii="Arial" w:cs="Arial" w:eastAsia="Arial" w:hAnsi="Arial"/>
            <w:sz w:val="17"/>
            <w:szCs w:val="17"/>
            <w:u w:val="single" w:color="auto"/>
            <w:color w:val="0000FF"/>
          </w:rPr>
          <w:t>Land Concession Contract, published on May 2, 2012, by and among Palo Real Estate Company Limited,</w:t>
        </w:r>
      </w:hyperlink>
      <w:r>
        <w:rPr>
          <w:rFonts w:ascii="Arial" w:cs="Arial" w:eastAsia="Arial" w:hAnsi="Arial"/>
          <w:sz w:val="17"/>
          <w:szCs w:val="17"/>
          <w:u w:val="single" w:color="auto"/>
          <w:color w:val="0000FF"/>
        </w:rPr>
        <w:t xml:space="preserve"> </w:t>
      </w:r>
      <w:hyperlink r:id="rId167">
        <w:r>
          <w:rPr>
            <w:rFonts w:ascii="Arial" w:cs="Arial" w:eastAsia="Arial" w:hAnsi="Arial"/>
            <w:sz w:val="17"/>
            <w:szCs w:val="17"/>
            <w:u w:val="single" w:color="auto"/>
            <w:color w:val="0000FF"/>
          </w:rPr>
          <w:t>Wynn Resorts (Macau), S.A. and the Macau Special Administrative Region of the People's Republic of</w:t>
        </w:r>
      </w:hyperlink>
      <w:r>
        <w:rPr>
          <w:rFonts w:ascii="Arial" w:cs="Arial" w:eastAsia="Arial" w:hAnsi="Arial"/>
          <w:sz w:val="17"/>
          <w:szCs w:val="17"/>
          <w:u w:val="single" w:color="auto"/>
          <w:color w:val="0000FF"/>
        </w:rPr>
        <w:t xml:space="preserve"> </w:t>
      </w:r>
      <w:hyperlink r:id="rId167">
        <w:r>
          <w:rPr>
            <w:rFonts w:ascii="Arial" w:cs="Arial" w:eastAsia="Arial" w:hAnsi="Arial"/>
            <w:sz w:val="17"/>
            <w:szCs w:val="17"/>
            <w:u w:val="single" w:color="auto"/>
            <w:color w:val="0000FF"/>
          </w:rPr>
          <w:t>China (translated to English from traditional Chinese and Portuguese).</w:t>
        </w:r>
      </w:hyperlink>
    </w:p>
    <w:p>
      <w:pPr>
        <w:spacing w:after="0" w:line="2" w:lineRule="exact"/>
        <w:rPr>
          <w:rFonts w:ascii="Arial" w:cs="Arial" w:eastAsia="Arial" w:hAnsi="Arial"/>
          <w:sz w:val="17"/>
          <w:szCs w:val="17"/>
          <w:u w:val="single" w:color="auto"/>
          <w:color w:val="0000FF"/>
        </w:rPr>
      </w:pPr>
    </w:p>
    <w:p>
      <w:pPr>
        <w:ind w:left="1360" w:right="320" w:hanging="958"/>
        <w:spacing w:after="0" w:line="234" w:lineRule="auto"/>
        <w:tabs>
          <w:tab w:leader="none" w:pos="1340" w:val="left"/>
        </w:tabs>
        <w:rPr>
          <w:rFonts w:ascii="Arial" w:cs="Arial" w:eastAsia="Arial" w:hAnsi="Arial"/>
          <w:sz w:val="18"/>
          <w:szCs w:val="18"/>
          <w:u w:val="single" w:color="auto"/>
          <w:color w:val="0000FF"/>
        </w:rPr>
      </w:pPr>
      <w:r>
        <w:rPr>
          <w:rFonts w:ascii="Arial" w:cs="Arial" w:eastAsia="Arial" w:hAnsi="Arial"/>
          <w:sz w:val="18"/>
          <w:szCs w:val="18"/>
          <w:color w:val="auto"/>
        </w:rPr>
        <w:t>10.4.5</w:t>
      </w:r>
      <w:r>
        <w:rPr>
          <w:sz w:val="20"/>
          <w:szCs w:val="20"/>
          <w:color w:val="auto"/>
        </w:rPr>
        <w:tab/>
      </w:r>
      <w:hyperlink r:id="rId168">
        <w:r>
          <w:rPr>
            <w:rFonts w:ascii="Arial" w:cs="Arial" w:eastAsia="Arial" w:hAnsi="Arial"/>
            <w:sz w:val="18"/>
            <w:szCs w:val="18"/>
            <w:u w:val="single" w:color="auto"/>
            <w:color w:val="0000FF"/>
          </w:rPr>
          <w:t>Bank Guarantee Reimbursement Agreement, dated as of September 14, 2004, between Wynn Resorts</w:t>
        </w:r>
      </w:hyperlink>
      <w:r>
        <w:rPr>
          <w:rFonts w:ascii="Arial" w:cs="Arial" w:eastAsia="Arial" w:hAnsi="Arial"/>
          <w:sz w:val="18"/>
          <w:szCs w:val="18"/>
          <w:u w:val="single" w:color="auto"/>
          <w:color w:val="0000FF"/>
        </w:rPr>
        <w:t xml:space="preserve"> </w:t>
      </w:r>
      <w:hyperlink r:id="rId168">
        <w:r>
          <w:rPr>
            <w:rFonts w:ascii="Arial" w:cs="Arial" w:eastAsia="Arial" w:hAnsi="Arial"/>
            <w:sz w:val="18"/>
            <w:szCs w:val="18"/>
            <w:u w:val="single" w:color="auto"/>
            <w:color w:val="0000FF"/>
          </w:rPr>
          <w:t>(Macau), S.A. and Banco Nacional Ultramarino.</w:t>
        </w:r>
      </w:hyperlink>
    </w:p>
    <w:p>
      <w:pPr>
        <w:spacing w:after="0" w:line="2" w:lineRule="exact"/>
        <w:rPr>
          <w:sz w:val="20"/>
          <w:szCs w:val="20"/>
          <w:color w:val="auto"/>
        </w:rPr>
      </w:pPr>
    </w:p>
    <w:p>
      <w:pPr>
        <w:ind w:left="1360" w:right="180" w:hanging="958"/>
        <w:spacing w:after="0" w:line="234" w:lineRule="auto"/>
        <w:tabs>
          <w:tab w:leader="none" w:pos="1340" w:val="left"/>
        </w:tabs>
        <w:rPr>
          <w:rFonts w:ascii="Arial" w:cs="Arial" w:eastAsia="Arial" w:hAnsi="Arial"/>
          <w:sz w:val="18"/>
          <w:szCs w:val="18"/>
          <w:u w:val="single" w:color="auto"/>
          <w:color w:val="0000FF"/>
        </w:rPr>
      </w:pPr>
      <w:r>
        <w:rPr>
          <w:rFonts w:ascii="Arial" w:cs="Arial" w:eastAsia="Arial" w:hAnsi="Arial"/>
          <w:sz w:val="18"/>
          <w:szCs w:val="18"/>
          <w:color w:val="auto"/>
        </w:rPr>
        <w:t>10.5.1</w:t>
      </w:r>
      <w:r>
        <w:rPr>
          <w:sz w:val="20"/>
          <w:szCs w:val="20"/>
          <w:color w:val="auto"/>
        </w:rPr>
        <w:tab/>
      </w:r>
      <w:hyperlink r:id="rId169">
        <w:r>
          <w:rPr>
            <w:rFonts w:ascii="Arial" w:cs="Arial" w:eastAsia="Arial" w:hAnsi="Arial"/>
            <w:sz w:val="18"/>
            <w:szCs w:val="18"/>
            <w:u w:val="single" w:color="auto"/>
            <w:color w:val="0000FF"/>
          </w:rPr>
          <w:t>Corporate Allocation Agreement, dated as of September 19, 2009, by Wynn Macau, Limited and Wynn</w:t>
        </w:r>
      </w:hyperlink>
      <w:r>
        <w:rPr>
          <w:rFonts w:ascii="Arial" w:cs="Arial" w:eastAsia="Arial" w:hAnsi="Arial"/>
          <w:sz w:val="18"/>
          <w:szCs w:val="18"/>
          <w:u w:val="single" w:color="auto"/>
          <w:color w:val="0000FF"/>
        </w:rPr>
        <w:t xml:space="preserve"> </w:t>
      </w:r>
      <w:hyperlink r:id="rId169">
        <w:r>
          <w:rPr>
            <w:rFonts w:ascii="Arial" w:cs="Arial" w:eastAsia="Arial" w:hAnsi="Arial"/>
            <w:sz w:val="18"/>
            <w:szCs w:val="18"/>
            <w:u w:val="single" w:color="auto"/>
            <w:color w:val="0000FF"/>
          </w:rPr>
          <w:t>Resorts, Limited.</w:t>
        </w:r>
      </w:hyperlink>
    </w:p>
    <w:p>
      <w:pPr>
        <w:spacing w:after="0" w:line="2" w:lineRule="exact"/>
        <w:rPr>
          <w:sz w:val="20"/>
          <w:szCs w:val="20"/>
          <w:color w:val="auto"/>
        </w:rPr>
      </w:pPr>
    </w:p>
    <w:p>
      <w:pPr>
        <w:ind w:left="1360" w:right="440" w:hanging="958"/>
        <w:spacing w:after="0" w:line="234" w:lineRule="auto"/>
        <w:tabs>
          <w:tab w:leader="none" w:pos="1340" w:val="left"/>
        </w:tabs>
        <w:rPr>
          <w:rFonts w:ascii="Arial" w:cs="Arial" w:eastAsia="Arial" w:hAnsi="Arial"/>
          <w:sz w:val="18"/>
          <w:szCs w:val="18"/>
          <w:u w:val="single" w:color="auto"/>
          <w:color w:val="0000FF"/>
        </w:rPr>
      </w:pPr>
      <w:r>
        <w:rPr>
          <w:rFonts w:ascii="Arial" w:cs="Arial" w:eastAsia="Arial" w:hAnsi="Arial"/>
          <w:sz w:val="18"/>
          <w:szCs w:val="18"/>
          <w:color w:val="auto"/>
        </w:rPr>
        <w:t>10.5.2</w:t>
      </w:r>
      <w:r>
        <w:rPr>
          <w:sz w:val="20"/>
          <w:szCs w:val="20"/>
          <w:color w:val="auto"/>
        </w:rPr>
        <w:tab/>
      </w:r>
      <w:hyperlink r:id="rId170">
        <w:r>
          <w:rPr>
            <w:rFonts w:ascii="Arial" w:cs="Arial" w:eastAsia="Arial" w:hAnsi="Arial"/>
            <w:sz w:val="18"/>
            <w:szCs w:val="18"/>
            <w:u w:val="single" w:color="auto"/>
            <w:color w:val="0000FF"/>
          </w:rPr>
          <w:t>Amended and Restated Corporate Allocation Agreement, dated as of September 19, 2009, by Wynn</w:t>
        </w:r>
      </w:hyperlink>
      <w:r>
        <w:rPr>
          <w:rFonts w:ascii="Arial" w:cs="Arial" w:eastAsia="Arial" w:hAnsi="Arial"/>
          <w:sz w:val="18"/>
          <w:szCs w:val="18"/>
          <w:u w:val="single" w:color="auto"/>
          <w:color w:val="0000FF"/>
        </w:rPr>
        <w:t xml:space="preserve"> </w:t>
      </w:r>
      <w:hyperlink r:id="rId170">
        <w:r>
          <w:rPr>
            <w:rFonts w:ascii="Arial" w:cs="Arial" w:eastAsia="Arial" w:hAnsi="Arial"/>
            <w:sz w:val="18"/>
            <w:szCs w:val="18"/>
            <w:u w:val="single" w:color="auto"/>
            <w:color w:val="0000FF"/>
          </w:rPr>
          <w:t>Resorts (Macau), S.A., and Wynn Resorts, Limited.</w:t>
        </w:r>
      </w:hyperlink>
    </w:p>
    <w:p>
      <w:pPr>
        <w:spacing w:after="0" w:line="2" w:lineRule="exact"/>
        <w:rPr>
          <w:sz w:val="20"/>
          <w:szCs w:val="20"/>
          <w:color w:val="auto"/>
        </w:rPr>
      </w:pPr>
    </w:p>
    <w:p>
      <w:pPr>
        <w:ind w:left="1360" w:right="200" w:hanging="958"/>
        <w:spacing w:after="0" w:line="234" w:lineRule="auto"/>
        <w:tabs>
          <w:tab w:leader="none" w:pos="1340" w:val="left"/>
        </w:tabs>
        <w:rPr>
          <w:rFonts w:ascii="Arial" w:cs="Arial" w:eastAsia="Arial" w:hAnsi="Arial"/>
          <w:sz w:val="18"/>
          <w:szCs w:val="18"/>
          <w:u w:val="single" w:color="auto"/>
          <w:color w:val="0000FF"/>
        </w:rPr>
      </w:pPr>
      <w:r>
        <w:rPr>
          <w:rFonts w:ascii="Arial" w:cs="Arial" w:eastAsia="Arial" w:hAnsi="Arial"/>
          <w:sz w:val="18"/>
          <w:szCs w:val="18"/>
          <w:color w:val="auto"/>
        </w:rPr>
        <w:t>10.5.3</w:t>
      </w:r>
      <w:r>
        <w:rPr>
          <w:sz w:val="20"/>
          <w:szCs w:val="20"/>
          <w:color w:val="auto"/>
        </w:rPr>
        <w:tab/>
      </w:r>
      <w:hyperlink r:id="rId171">
        <w:r>
          <w:rPr>
            <w:rFonts w:ascii="Arial" w:cs="Arial" w:eastAsia="Arial" w:hAnsi="Arial"/>
            <w:sz w:val="18"/>
            <w:szCs w:val="18"/>
            <w:u w:val="single" w:color="auto"/>
            <w:color w:val="0000FF"/>
          </w:rPr>
          <w:t>Management Fee and Corporate Allocation Agreement, dated as of February 26, 2015, by and between</w:t>
        </w:r>
      </w:hyperlink>
      <w:r>
        <w:rPr>
          <w:rFonts w:ascii="Arial" w:cs="Arial" w:eastAsia="Arial" w:hAnsi="Arial"/>
          <w:sz w:val="18"/>
          <w:szCs w:val="18"/>
          <w:u w:val="single" w:color="auto"/>
          <w:color w:val="0000FF"/>
        </w:rPr>
        <w:t xml:space="preserve"> </w:t>
      </w:r>
      <w:hyperlink r:id="rId171">
        <w:r>
          <w:rPr>
            <w:rFonts w:ascii="Arial" w:cs="Arial" w:eastAsia="Arial" w:hAnsi="Arial"/>
            <w:sz w:val="18"/>
            <w:szCs w:val="18"/>
            <w:u w:val="single" w:color="auto"/>
            <w:color w:val="0000FF"/>
          </w:rPr>
          <w:t>Wynn Las Vegas, LLC and Wynn Resorts, Limited.</w:t>
        </w:r>
      </w:hyperlink>
    </w:p>
    <w:p>
      <w:pPr>
        <w:spacing w:after="0" w:line="2" w:lineRule="exact"/>
        <w:rPr>
          <w:sz w:val="20"/>
          <w:szCs w:val="20"/>
          <w:color w:val="auto"/>
        </w:rPr>
      </w:pPr>
    </w:p>
    <w:p>
      <w:pPr>
        <w:ind w:left="1360" w:right="200" w:hanging="958"/>
        <w:spacing w:after="0" w:line="234" w:lineRule="auto"/>
        <w:tabs>
          <w:tab w:leader="none" w:pos="1340" w:val="left"/>
        </w:tabs>
        <w:rPr>
          <w:rFonts w:ascii="Arial" w:cs="Arial" w:eastAsia="Arial" w:hAnsi="Arial"/>
          <w:sz w:val="18"/>
          <w:szCs w:val="18"/>
          <w:u w:val="single" w:color="auto"/>
          <w:color w:val="0000FF"/>
        </w:rPr>
      </w:pPr>
      <w:r>
        <w:rPr>
          <w:rFonts w:ascii="Arial" w:cs="Arial" w:eastAsia="Arial" w:hAnsi="Arial"/>
          <w:sz w:val="18"/>
          <w:szCs w:val="18"/>
          <w:color w:val="auto"/>
        </w:rPr>
        <w:t>10.5.4</w:t>
      </w:r>
      <w:r>
        <w:rPr>
          <w:sz w:val="20"/>
          <w:szCs w:val="20"/>
          <w:color w:val="auto"/>
        </w:rPr>
        <w:tab/>
      </w:r>
      <w:hyperlink r:id="rId172">
        <w:r>
          <w:rPr>
            <w:rFonts w:ascii="Arial" w:cs="Arial" w:eastAsia="Arial" w:hAnsi="Arial"/>
            <w:sz w:val="18"/>
            <w:szCs w:val="18"/>
            <w:u w:val="single" w:color="auto"/>
            <w:color w:val="0000FF"/>
          </w:rPr>
          <w:t>Management Fee and Corporate Allocation Agreement, dated as of November 20, 2014, by and among</w:t>
        </w:r>
      </w:hyperlink>
      <w:r>
        <w:rPr>
          <w:rFonts w:ascii="Arial" w:cs="Arial" w:eastAsia="Arial" w:hAnsi="Arial"/>
          <w:sz w:val="18"/>
          <w:szCs w:val="18"/>
          <w:u w:val="single" w:color="auto"/>
          <w:color w:val="0000FF"/>
        </w:rPr>
        <w:t xml:space="preserve"> </w:t>
      </w:r>
      <w:hyperlink r:id="rId172">
        <w:r>
          <w:rPr>
            <w:rFonts w:ascii="Arial" w:cs="Arial" w:eastAsia="Arial" w:hAnsi="Arial"/>
            <w:sz w:val="18"/>
            <w:szCs w:val="18"/>
            <w:u w:val="single" w:color="auto"/>
            <w:color w:val="0000FF"/>
          </w:rPr>
          <w:t>Wynn MA, LLC and Wynn Resorts, Limited.</w:t>
        </w:r>
      </w:hyperlink>
    </w:p>
    <w:p>
      <w:pPr>
        <w:spacing w:after="0" w:line="2" w:lineRule="exact"/>
        <w:rPr>
          <w:sz w:val="20"/>
          <w:szCs w:val="20"/>
          <w:color w:val="auto"/>
        </w:rPr>
      </w:pPr>
    </w:p>
    <w:p>
      <w:pPr>
        <w:ind w:left="1360" w:right="180" w:hanging="958"/>
        <w:spacing w:after="0" w:line="234" w:lineRule="auto"/>
        <w:tabs>
          <w:tab w:leader="none" w:pos="1340" w:val="left"/>
        </w:tabs>
        <w:rPr>
          <w:rFonts w:ascii="Arial" w:cs="Arial" w:eastAsia="Arial" w:hAnsi="Arial"/>
          <w:sz w:val="18"/>
          <w:szCs w:val="18"/>
          <w:u w:val="single" w:color="auto"/>
          <w:color w:val="0000FF"/>
        </w:rPr>
      </w:pPr>
      <w:r>
        <w:rPr>
          <w:rFonts w:ascii="Arial" w:cs="Arial" w:eastAsia="Arial" w:hAnsi="Arial"/>
          <w:sz w:val="18"/>
          <w:szCs w:val="18"/>
          <w:color w:val="auto"/>
        </w:rPr>
        <w:t>10.6.1</w:t>
      </w:r>
      <w:r>
        <w:rPr>
          <w:sz w:val="20"/>
          <w:szCs w:val="20"/>
          <w:color w:val="auto"/>
        </w:rPr>
        <w:tab/>
      </w:r>
      <w:hyperlink r:id="rId173">
        <w:r>
          <w:rPr>
            <w:rFonts w:ascii="Arial" w:cs="Arial" w:eastAsia="Arial" w:hAnsi="Arial"/>
            <w:sz w:val="18"/>
            <w:szCs w:val="18"/>
            <w:u w:val="single" w:color="auto"/>
            <w:color w:val="0000FF"/>
          </w:rPr>
          <w:t>Intellectual Property License Agreement, dated as of September 19, 2009, by and among Wynn Resorts</w:t>
        </w:r>
      </w:hyperlink>
      <w:r>
        <w:rPr>
          <w:rFonts w:ascii="Arial" w:cs="Arial" w:eastAsia="Arial" w:hAnsi="Arial"/>
          <w:sz w:val="18"/>
          <w:szCs w:val="18"/>
          <w:u w:val="single" w:color="auto"/>
          <w:color w:val="0000FF"/>
        </w:rPr>
        <w:t xml:space="preserve"> </w:t>
      </w:r>
      <w:hyperlink r:id="rId173">
        <w:r>
          <w:rPr>
            <w:rFonts w:ascii="Arial" w:cs="Arial" w:eastAsia="Arial" w:hAnsi="Arial"/>
            <w:sz w:val="18"/>
            <w:szCs w:val="18"/>
            <w:u w:val="single" w:color="auto"/>
            <w:color w:val="0000FF"/>
          </w:rPr>
          <w:t>Holdings, LLC, Wynn Resorts, Limited and Wynn Macau, Limited.</w:t>
        </w:r>
      </w:hyperlink>
    </w:p>
    <w:p>
      <w:pPr>
        <w:spacing w:after="0" w:line="2" w:lineRule="exact"/>
        <w:rPr>
          <w:sz w:val="20"/>
          <w:szCs w:val="20"/>
          <w:color w:val="auto"/>
        </w:rPr>
      </w:pPr>
    </w:p>
    <w:p>
      <w:pPr>
        <w:ind w:left="1360" w:right="60" w:hanging="958"/>
        <w:spacing w:after="0" w:line="264" w:lineRule="auto"/>
        <w:tabs>
          <w:tab w:leader="none" w:pos="1340" w:val="left"/>
        </w:tabs>
        <w:rPr>
          <w:rFonts w:ascii="Arial" w:cs="Arial" w:eastAsia="Arial" w:hAnsi="Arial"/>
          <w:sz w:val="16"/>
          <w:szCs w:val="16"/>
          <w:u w:val="single" w:color="auto"/>
          <w:color w:val="0000FF"/>
        </w:rPr>
      </w:pPr>
      <w:r>
        <w:rPr>
          <w:rFonts w:ascii="Arial" w:cs="Arial" w:eastAsia="Arial" w:hAnsi="Arial"/>
          <w:sz w:val="18"/>
          <w:szCs w:val="18"/>
          <w:color w:val="auto"/>
        </w:rPr>
        <w:t>10.6.2</w:t>
      </w:r>
      <w:r>
        <w:rPr>
          <w:sz w:val="20"/>
          <w:szCs w:val="20"/>
          <w:color w:val="auto"/>
        </w:rPr>
        <w:tab/>
      </w:r>
      <w:hyperlink r:id="rId174">
        <w:r>
          <w:rPr>
            <w:rFonts w:ascii="Arial" w:cs="Arial" w:eastAsia="Arial" w:hAnsi="Arial"/>
            <w:sz w:val="16"/>
            <w:szCs w:val="16"/>
            <w:u w:val="single" w:color="auto"/>
            <w:color w:val="0000FF"/>
          </w:rPr>
          <w:t>Amended and Restated Intellectual Property License Agreement, dated as of September 19, 2009, by and</w:t>
        </w:r>
      </w:hyperlink>
      <w:r>
        <w:rPr>
          <w:rFonts w:ascii="Arial" w:cs="Arial" w:eastAsia="Arial" w:hAnsi="Arial"/>
          <w:sz w:val="16"/>
          <w:szCs w:val="16"/>
          <w:u w:val="single" w:color="auto"/>
          <w:color w:val="0000FF"/>
        </w:rPr>
        <w:t xml:space="preserve"> </w:t>
      </w:r>
      <w:hyperlink r:id="rId174">
        <w:r>
          <w:rPr>
            <w:rFonts w:ascii="Arial" w:cs="Arial" w:eastAsia="Arial" w:hAnsi="Arial"/>
            <w:sz w:val="16"/>
            <w:szCs w:val="16"/>
            <w:u w:val="single" w:color="auto"/>
            <w:color w:val="0000FF"/>
          </w:rPr>
          <w:t>among Wynn Resorts Holdings, LLC, Wynn Resorts, Limited and Wynn Resorts (Macau), S.A.</w:t>
        </w:r>
      </w:hyperlink>
    </w:p>
    <w:p>
      <w:pPr>
        <w:ind w:left="1360" w:right="360" w:hanging="958"/>
        <w:spacing w:after="0" w:line="234" w:lineRule="auto"/>
        <w:tabs>
          <w:tab w:leader="none" w:pos="1340" w:val="left"/>
        </w:tabs>
        <w:rPr>
          <w:rFonts w:ascii="Arial" w:cs="Arial" w:eastAsia="Arial" w:hAnsi="Arial"/>
          <w:sz w:val="18"/>
          <w:szCs w:val="18"/>
          <w:u w:val="single" w:color="auto"/>
          <w:color w:val="0000FF"/>
        </w:rPr>
      </w:pPr>
      <w:r>
        <w:rPr>
          <w:rFonts w:ascii="Arial" w:cs="Arial" w:eastAsia="Arial" w:hAnsi="Arial"/>
          <w:sz w:val="18"/>
          <w:szCs w:val="18"/>
          <w:color w:val="auto"/>
        </w:rPr>
        <w:t>10.6.3</w:t>
      </w:r>
      <w:r>
        <w:rPr>
          <w:sz w:val="20"/>
          <w:szCs w:val="20"/>
          <w:color w:val="auto"/>
        </w:rPr>
        <w:tab/>
      </w:r>
      <w:hyperlink r:id="rId175">
        <w:r>
          <w:rPr>
            <w:rFonts w:ascii="Arial" w:cs="Arial" w:eastAsia="Arial" w:hAnsi="Arial"/>
            <w:sz w:val="18"/>
            <w:szCs w:val="18"/>
            <w:u w:val="single" w:color="auto"/>
            <w:color w:val="0000FF"/>
          </w:rPr>
          <w:t>2015 Intellectual Property License Agreement, dated as of February 26, 2015, by and between Wynn</w:t>
        </w:r>
      </w:hyperlink>
      <w:r>
        <w:rPr>
          <w:rFonts w:ascii="Arial" w:cs="Arial" w:eastAsia="Arial" w:hAnsi="Arial"/>
          <w:sz w:val="18"/>
          <w:szCs w:val="18"/>
          <w:u w:val="single" w:color="auto"/>
          <w:color w:val="0000FF"/>
        </w:rPr>
        <w:t xml:space="preserve"> </w:t>
      </w:r>
      <w:hyperlink r:id="rId175">
        <w:r>
          <w:rPr>
            <w:rFonts w:ascii="Arial" w:cs="Arial" w:eastAsia="Arial" w:hAnsi="Arial"/>
            <w:sz w:val="18"/>
            <w:szCs w:val="18"/>
            <w:u w:val="single" w:color="auto"/>
            <w:color w:val="0000FF"/>
          </w:rPr>
          <w:t>Resorts Holdings, LLC, Wynn Resorts, Limited and Wynn Las Vegas, LLC.</w:t>
        </w:r>
      </w:hyperlink>
    </w:p>
    <w:p>
      <w:pPr>
        <w:spacing w:after="0" w:line="2" w:lineRule="exact"/>
        <w:rPr>
          <w:sz w:val="20"/>
          <w:szCs w:val="20"/>
          <w:color w:val="auto"/>
        </w:rPr>
      </w:pPr>
    </w:p>
    <w:p>
      <w:pPr>
        <w:ind w:left="1360" w:right="260" w:hanging="958"/>
        <w:spacing w:after="0" w:line="234" w:lineRule="auto"/>
        <w:tabs>
          <w:tab w:leader="none" w:pos="1340" w:val="left"/>
        </w:tabs>
        <w:rPr>
          <w:rFonts w:ascii="Arial" w:cs="Arial" w:eastAsia="Arial" w:hAnsi="Arial"/>
          <w:sz w:val="18"/>
          <w:szCs w:val="18"/>
          <w:u w:val="single" w:color="auto"/>
          <w:color w:val="0000FF"/>
        </w:rPr>
      </w:pPr>
      <w:r>
        <w:rPr>
          <w:rFonts w:ascii="Arial" w:cs="Arial" w:eastAsia="Arial" w:hAnsi="Arial"/>
          <w:sz w:val="18"/>
          <w:szCs w:val="18"/>
          <w:color w:val="auto"/>
        </w:rPr>
        <w:t>10.6.4</w:t>
      </w:r>
      <w:r>
        <w:rPr>
          <w:sz w:val="20"/>
          <w:szCs w:val="20"/>
          <w:color w:val="auto"/>
        </w:rPr>
        <w:tab/>
      </w:r>
      <w:hyperlink r:id="rId176">
        <w:r>
          <w:rPr>
            <w:rFonts w:ascii="Arial" w:cs="Arial" w:eastAsia="Arial" w:hAnsi="Arial"/>
            <w:sz w:val="18"/>
            <w:szCs w:val="18"/>
            <w:u w:val="single" w:color="auto"/>
            <w:color w:val="0000FF"/>
          </w:rPr>
          <w:t>2014 Intellectual Property License Agreement, dated as of November 20, 2014, by and between Wynn</w:t>
        </w:r>
      </w:hyperlink>
      <w:r>
        <w:rPr>
          <w:rFonts w:ascii="Arial" w:cs="Arial" w:eastAsia="Arial" w:hAnsi="Arial"/>
          <w:sz w:val="18"/>
          <w:szCs w:val="18"/>
          <w:u w:val="single" w:color="auto"/>
          <w:color w:val="0000FF"/>
        </w:rPr>
        <w:t xml:space="preserve"> </w:t>
      </w:r>
      <w:hyperlink r:id="rId176">
        <w:r>
          <w:rPr>
            <w:rFonts w:ascii="Arial" w:cs="Arial" w:eastAsia="Arial" w:hAnsi="Arial"/>
            <w:sz w:val="18"/>
            <w:szCs w:val="18"/>
            <w:u w:val="single" w:color="auto"/>
            <w:color w:val="0000FF"/>
          </w:rPr>
          <w:t>Resorts Holdings, LLC, Wynn Resorts, Limited and Wynn MA, LLC.</w:t>
        </w:r>
      </w:hyperlink>
    </w:p>
    <w:p>
      <w:pPr>
        <w:spacing w:after="0" w:line="2" w:lineRule="exact"/>
        <w:rPr>
          <w:sz w:val="20"/>
          <w:szCs w:val="20"/>
          <w:color w:val="auto"/>
        </w:rPr>
      </w:pPr>
    </w:p>
    <w:p>
      <w:pPr>
        <w:ind w:left="1360" w:right="300" w:hanging="958"/>
        <w:spacing w:after="0" w:line="234" w:lineRule="auto"/>
        <w:tabs>
          <w:tab w:leader="none" w:pos="1340" w:val="left"/>
        </w:tabs>
        <w:rPr>
          <w:rFonts w:ascii="Arial" w:cs="Arial" w:eastAsia="Arial" w:hAnsi="Arial"/>
          <w:sz w:val="18"/>
          <w:szCs w:val="18"/>
          <w:u w:val="single" w:color="auto"/>
          <w:color w:val="0000FF"/>
        </w:rPr>
      </w:pPr>
      <w:r>
        <w:rPr>
          <w:rFonts w:ascii="Arial" w:cs="Arial" w:eastAsia="Arial" w:hAnsi="Arial"/>
          <w:sz w:val="18"/>
          <w:szCs w:val="18"/>
          <w:color w:val="auto"/>
        </w:rPr>
        <w:t>10.6.5</w:t>
      </w:r>
      <w:r>
        <w:rPr>
          <w:sz w:val="20"/>
          <w:szCs w:val="20"/>
          <w:color w:val="auto"/>
        </w:rPr>
        <w:tab/>
      </w:r>
      <w:hyperlink r:id="rId177">
        <w:r>
          <w:rPr>
            <w:rFonts w:ascii="Arial" w:cs="Arial" w:eastAsia="Arial" w:hAnsi="Arial"/>
            <w:sz w:val="18"/>
            <w:szCs w:val="18"/>
            <w:u w:val="single" w:color="auto"/>
            <w:color w:val="0000FF"/>
          </w:rPr>
          <w:t>Surname Rights Agreement, dated as of August 6, 2004, by and between Stephen A. Wynn and Wynn</w:t>
        </w:r>
      </w:hyperlink>
      <w:r>
        <w:rPr>
          <w:rFonts w:ascii="Arial" w:cs="Arial" w:eastAsia="Arial" w:hAnsi="Arial"/>
          <w:sz w:val="18"/>
          <w:szCs w:val="18"/>
          <w:u w:val="single" w:color="auto"/>
          <w:color w:val="0000FF"/>
        </w:rPr>
        <w:t xml:space="preserve"> </w:t>
      </w:r>
      <w:hyperlink r:id="rId177">
        <w:r>
          <w:rPr>
            <w:rFonts w:ascii="Arial" w:cs="Arial" w:eastAsia="Arial" w:hAnsi="Arial"/>
            <w:sz w:val="18"/>
            <w:szCs w:val="18"/>
            <w:u w:val="single" w:color="auto"/>
            <w:color w:val="0000FF"/>
          </w:rPr>
          <w:t>Resorts Holdings, LLC.</w:t>
        </w:r>
      </w:hyperlink>
    </w:p>
    <w:p>
      <w:pPr>
        <w:spacing w:after="0" w:line="2" w:lineRule="exact"/>
        <w:rPr>
          <w:sz w:val="20"/>
          <w:szCs w:val="20"/>
          <w:color w:val="auto"/>
        </w:rPr>
      </w:pPr>
    </w:p>
    <w:p>
      <w:pPr>
        <w:ind w:left="1360" w:right="320" w:hanging="958"/>
        <w:spacing w:after="0" w:line="234" w:lineRule="auto"/>
        <w:tabs>
          <w:tab w:leader="none" w:pos="1340" w:val="left"/>
        </w:tabs>
        <w:rPr>
          <w:rFonts w:ascii="Arial" w:cs="Arial" w:eastAsia="Arial" w:hAnsi="Arial"/>
          <w:sz w:val="18"/>
          <w:szCs w:val="18"/>
          <w:u w:val="single" w:color="auto"/>
          <w:color w:val="0000FF"/>
        </w:rPr>
      </w:pPr>
      <w:r>
        <w:rPr>
          <w:rFonts w:ascii="Arial" w:cs="Arial" w:eastAsia="Arial" w:hAnsi="Arial"/>
          <w:sz w:val="18"/>
          <w:szCs w:val="18"/>
          <w:color w:val="auto"/>
        </w:rPr>
        <w:t>10.6.6</w:t>
      </w:r>
      <w:r>
        <w:rPr>
          <w:sz w:val="20"/>
          <w:szCs w:val="20"/>
          <w:color w:val="auto"/>
        </w:rPr>
        <w:tab/>
      </w:r>
      <w:hyperlink r:id="rId178">
        <w:r>
          <w:rPr>
            <w:rFonts w:ascii="Arial" w:cs="Arial" w:eastAsia="Arial" w:hAnsi="Arial"/>
            <w:sz w:val="18"/>
            <w:szCs w:val="18"/>
            <w:u w:val="single" w:color="auto"/>
            <w:color w:val="0000FF"/>
          </w:rPr>
          <w:t>Rights of Publicity License, dated as of August 6, 2004, by and between Stephen A. Wynn and Wynn</w:t>
        </w:r>
      </w:hyperlink>
      <w:r>
        <w:rPr>
          <w:rFonts w:ascii="Arial" w:cs="Arial" w:eastAsia="Arial" w:hAnsi="Arial"/>
          <w:sz w:val="18"/>
          <w:szCs w:val="18"/>
          <w:u w:val="single" w:color="auto"/>
          <w:color w:val="0000FF"/>
        </w:rPr>
        <w:t xml:space="preserve"> </w:t>
      </w:r>
      <w:hyperlink r:id="rId178">
        <w:r>
          <w:rPr>
            <w:rFonts w:ascii="Arial" w:cs="Arial" w:eastAsia="Arial" w:hAnsi="Arial"/>
            <w:sz w:val="18"/>
            <w:szCs w:val="18"/>
            <w:u w:val="single" w:color="auto"/>
            <w:color w:val="0000FF"/>
          </w:rPr>
          <w:t>Resorts Holdings, LLC.</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6"/>
          <w:szCs w:val="16"/>
          <w:color w:val="auto"/>
        </w:rPr>
        <w:t>11/6/2015</w:t>
      </w:r>
    </w:p>
    <w:p>
      <w:pPr>
        <w:spacing w:after="0" w:line="374"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6"/>
          <w:szCs w:val="16"/>
          <w:color w:val="auto"/>
        </w:rPr>
        <w:t>11/6/2015</w:t>
      </w:r>
    </w:p>
    <w:p>
      <w:pPr>
        <w:spacing w:after="0" w:line="374"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6"/>
          <w:szCs w:val="16"/>
          <w:color w:val="auto"/>
        </w:rPr>
        <w:t>11/6/2015</w:t>
      </w:r>
    </w:p>
    <w:p>
      <w:pPr>
        <w:spacing w:after="0" w:line="374"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6"/>
          <w:szCs w:val="16"/>
          <w:color w:val="auto"/>
        </w:rPr>
        <w:t>11/4/2004</w:t>
      </w:r>
    </w:p>
    <w:p>
      <w:pPr>
        <w:spacing w:after="0" w:line="19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6"/>
          <w:szCs w:val="16"/>
          <w:color w:val="auto"/>
        </w:rPr>
        <w:t>7/30/2018</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6"/>
          <w:szCs w:val="16"/>
          <w:color w:val="auto"/>
        </w:rPr>
        <w:t>8/20/2002</w:t>
      </w:r>
    </w:p>
    <w:p>
      <w:pPr>
        <w:spacing w:after="0" w:line="374"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6"/>
          <w:szCs w:val="16"/>
          <w:color w:val="auto"/>
        </w:rPr>
        <w:t>9/18/2002</w:t>
      </w:r>
    </w:p>
    <w:p>
      <w:pPr>
        <w:spacing w:after="0" w:line="37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6"/>
          <w:szCs w:val="16"/>
          <w:color w:val="auto"/>
        </w:rPr>
        <w:t>8/3/2004</w:t>
      </w:r>
    </w:p>
    <w:p>
      <w:pPr>
        <w:spacing w:after="0" w:line="19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6"/>
          <w:szCs w:val="16"/>
          <w:color w:val="auto"/>
        </w:rPr>
        <w:t>5/2/2012</w:t>
      </w:r>
    </w:p>
    <w:p>
      <w:pPr>
        <w:spacing w:after="0" w:line="374"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6"/>
          <w:szCs w:val="16"/>
          <w:color w:val="auto"/>
        </w:rPr>
        <w:t>11/4/2004</w:t>
      </w:r>
    </w:p>
    <w:p>
      <w:pPr>
        <w:spacing w:after="0" w:line="19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6"/>
          <w:szCs w:val="16"/>
          <w:color w:val="auto"/>
        </w:rPr>
        <w:t>3/2/2015</w:t>
      </w:r>
    </w:p>
    <w:p>
      <w:pPr>
        <w:spacing w:after="0" w:line="19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6"/>
          <w:szCs w:val="16"/>
          <w:color w:val="auto"/>
        </w:rPr>
        <w:t>3/2/2015</w:t>
      </w:r>
    </w:p>
    <w:p>
      <w:pPr>
        <w:spacing w:after="0" w:line="19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6"/>
          <w:szCs w:val="16"/>
          <w:color w:val="auto"/>
        </w:rPr>
        <w:t>3/2/2015</w:t>
      </w:r>
    </w:p>
    <w:p>
      <w:pPr>
        <w:spacing w:after="0" w:line="19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6"/>
          <w:szCs w:val="16"/>
          <w:color w:val="auto"/>
        </w:rPr>
        <w:t>2/29/2016</w:t>
      </w:r>
    </w:p>
    <w:p>
      <w:pPr>
        <w:spacing w:after="0" w:line="19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6"/>
          <w:szCs w:val="16"/>
          <w:color w:val="auto"/>
        </w:rPr>
        <w:t>3/2/2015</w:t>
      </w:r>
    </w:p>
    <w:p>
      <w:pPr>
        <w:spacing w:after="0" w:line="19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6"/>
          <w:szCs w:val="16"/>
          <w:color w:val="auto"/>
        </w:rPr>
        <w:t>3/2/2015</w:t>
      </w:r>
    </w:p>
    <w:p>
      <w:pPr>
        <w:spacing w:after="0" w:line="19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6"/>
          <w:szCs w:val="16"/>
          <w:color w:val="auto"/>
        </w:rPr>
        <w:t>5/8/2015</w:t>
      </w:r>
    </w:p>
    <w:p>
      <w:pPr>
        <w:spacing w:after="0" w:line="19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6"/>
          <w:szCs w:val="16"/>
          <w:color w:val="auto"/>
        </w:rPr>
        <w:t>2/29/2016</w:t>
      </w:r>
    </w:p>
    <w:p>
      <w:pPr>
        <w:spacing w:after="0" w:line="19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6"/>
          <w:szCs w:val="16"/>
          <w:color w:val="auto"/>
        </w:rPr>
        <w:t>11/4/2004</w:t>
      </w:r>
    </w:p>
    <w:p>
      <w:pPr>
        <w:spacing w:after="0" w:line="19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6"/>
          <w:szCs w:val="16"/>
          <w:color w:val="auto"/>
        </w:rPr>
        <w:t>11/4/2004</w:t>
      </w:r>
    </w:p>
    <w:p>
      <w:pPr>
        <w:sectPr>
          <w:pgSz w:w="11900" w:h="16838" w:orient="portrait"/>
          <w:cols w:equalWidth="0" w:num="2">
            <w:col w:w="9000" w:space="440"/>
            <w:col w:w="1740"/>
          </w:cols>
          <w:pgMar w:left="240" w:top="122" w:right="479" w:bottom="1440" w:gutter="0" w:footer="0" w:header="0"/>
          <w:type w:val="continuous"/>
        </w:sectPr>
      </w:pPr>
    </w:p>
    <w:bookmarkStart w:id="116" w:name="page117"/>
    <w:bookmarkEnd w:id="116"/>
    <w:p>
      <w:pPr>
        <w:spacing w:after="0" w:line="223" w:lineRule="auto"/>
        <w:tabs>
          <w:tab w:leader="none" w:pos="980" w:val="left"/>
        </w:tabs>
        <w:framePr w:w="480" w:h="160" w:wrap="auto" w:vAnchor="page" w:hAnchor="page" w:x="640" w:y="5017"/>
        <w:rPr>
          <w:rFonts w:ascii="Arial" w:cs="Arial" w:eastAsia="Arial" w:hAnsi="Arial"/>
          <w:sz w:val="15"/>
          <w:szCs w:val="15"/>
          <w:color w:val="auto"/>
        </w:rPr>
      </w:pPr>
      <w:r>
        <w:rPr>
          <w:rFonts w:ascii="Arial" w:cs="Arial" w:eastAsia="Arial" w:hAnsi="Arial"/>
          <w:sz w:val="15"/>
          <w:szCs w:val="15"/>
          <w:color w:val="auto"/>
        </w:rPr>
        <w:t>10.11</w:t>
      </w:r>
    </w:p>
    <w:p>
      <w:pPr>
        <w:spacing w:after="0" w:line="223" w:lineRule="auto"/>
        <w:tabs>
          <w:tab w:leader="none" w:pos="980" w:val="left"/>
        </w:tabs>
        <w:framePr w:w="480" w:h="160" w:wrap="auto" w:vAnchor="page" w:hAnchor="page" w:x="640" w:y="4436"/>
        <w:rPr>
          <w:rFonts w:ascii="Arial" w:cs="Arial" w:eastAsia="Arial" w:hAnsi="Arial"/>
          <w:sz w:val="15"/>
          <w:szCs w:val="15"/>
          <w:color w:val="auto"/>
        </w:rPr>
      </w:pPr>
      <w:r>
        <w:rPr>
          <w:rFonts w:ascii="Arial" w:cs="Arial" w:eastAsia="Arial" w:hAnsi="Arial"/>
          <w:sz w:val="15"/>
          <w:szCs w:val="15"/>
          <w:color w:val="auto"/>
        </w:rPr>
        <w:t>10.10</w:t>
      </w:r>
    </w:p>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ectPr>
          <w:pgSz w:w="11900" w:h="16838" w:orient="portrait"/>
          <w:cols w:equalWidth="0" w:num="1">
            <w:col w:w="11180"/>
          </w:cols>
          <w:pgMar w:left="240" w:top="121" w:right="479" w:bottom="1440" w:gutter="0" w:footer="0" w:header="0"/>
        </w:sect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41" w:lineRule="exact"/>
        <w:rPr>
          <w:rFonts w:ascii="Arial" w:cs="Arial" w:eastAsia="Arial" w:hAnsi="Arial"/>
          <w:sz w:val="15"/>
          <w:szCs w:val="15"/>
          <w:color w:val="auto"/>
        </w:rPr>
      </w:pPr>
    </w:p>
    <w:p>
      <w:pPr>
        <w:ind w:left="1360" w:right="60" w:hanging="1053"/>
        <w:spacing w:after="0" w:line="235" w:lineRule="auto"/>
        <w:tabs>
          <w:tab w:leader="none" w:pos="1340" w:val="left"/>
        </w:tabs>
        <w:rPr>
          <w:rFonts w:ascii="Arial" w:cs="Arial" w:eastAsia="Arial" w:hAnsi="Arial"/>
          <w:sz w:val="18"/>
          <w:szCs w:val="18"/>
          <w:u w:val="single" w:color="auto"/>
          <w:color w:val="0000FF"/>
        </w:rPr>
      </w:pPr>
      <w:r>
        <w:rPr>
          <w:rFonts w:ascii="Arial" w:cs="Arial" w:eastAsia="Arial" w:hAnsi="Arial"/>
          <w:sz w:val="18"/>
          <w:szCs w:val="18"/>
          <w:color w:val="auto"/>
        </w:rPr>
        <w:t>+10.7.1.0</w:t>
      </w:r>
      <w:r>
        <w:rPr>
          <w:sz w:val="20"/>
          <w:szCs w:val="20"/>
          <w:color w:val="auto"/>
        </w:rPr>
        <w:tab/>
      </w:r>
      <w:hyperlink w:anchor="page257">
        <w:r>
          <w:rPr>
            <w:rFonts w:ascii="Arial" w:cs="Arial" w:eastAsia="Arial" w:hAnsi="Arial"/>
            <w:sz w:val="18"/>
            <w:szCs w:val="18"/>
            <w:u w:val="single" w:color="auto"/>
            <w:color w:val="0000FF"/>
          </w:rPr>
          <w:t>Amended and Restated Employment Agreement, dated as of December 16, 2019, by and between Wynn</w:t>
        </w:r>
      </w:hyperlink>
      <w:r>
        <w:rPr>
          <w:rFonts w:ascii="Arial" w:cs="Arial" w:eastAsia="Arial" w:hAnsi="Arial"/>
          <w:sz w:val="18"/>
          <w:szCs w:val="18"/>
          <w:u w:val="single" w:color="auto"/>
          <w:color w:val="0000FF"/>
        </w:rPr>
        <w:t xml:space="preserve"> </w:t>
      </w:r>
      <w:hyperlink w:anchor="page257">
        <w:r>
          <w:rPr>
            <w:rFonts w:ascii="Arial" w:cs="Arial" w:eastAsia="Arial" w:hAnsi="Arial"/>
            <w:sz w:val="18"/>
            <w:szCs w:val="18"/>
            <w:u w:val="single" w:color="auto"/>
            <w:color w:val="0000FF"/>
          </w:rPr>
          <w:t>Resorts, Limited and Matt Maddox.</w:t>
        </w:r>
      </w:hyperlink>
    </w:p>
    <w:p>
      <w:pPr>
        <w:spacing w:after="0" w:line="1" w:lineRule="exact"/>
        <w:rPr>
          <w:sz w:val="20"/>
          <w:szCs w:val="20"/>
          <w:color w:val="auto"/>
        </w:rPr>
      </w:pPr>
    </w:p>
    <w:p>
      <w:pPr>
        <w:ind w:left="1360" w:hanging="1076"/>
        <w:spacing w:after="0" w:line="234" w:lineRule="auto"/>
        <w:tabs>
          <w:tab w:leader="none" w:pos="1340" w:val="left"/>
        </w:tabs>
        <w:rPr>
          <w:rFonts w:ascii="Arial" w:cs="Arial" w:eastAsia="Arial" w:hAnsi="Arial"/>
          <w:sz w:val="18"/>
          <w:szCs w:val="18"/>
          <w:u w:val="single" w:color="auto"/>
          <w:color w:val="0000FF"/>
        </w:rPr>
      </w:pPr>
      <w:r>
        <w:rPr>
          <w:rFonts w:ascii="Arial" w:cs="Arial" w:eastAsia="Arial" w:hAnsi="Arial"/>
          <w:sz w:val="18"/>
          <w:szCs w:val="18"/>
          <w:color w:val="auto"/>
        </w:rPr>
        <w:t>+10.7.2.0</w:t>
      </w:r>
      <w:r>
        <w:rPr>
          <w:sz w:val="20"/>
          <w:szCs w:val="20"/>
          <w:color w:val="auto"/>
        </w:rPr>
        <w:tab/>
      </w:r>
      <w:hyperlink r:id="rId180">
        <w:r>
          <w:rPr>
            <w:rFonts w:ascii="Arial" w:cs="Arial" w:eastAsia="Arial" w:hAnsi="Arial"/>
            <w:sz w:val="18"/>
            <w:szCs w:val="18"/>
            <w:u w:val="single" w:color="auto"/>
            <w:color w:val="0000FF"/>
          </w:rPr>
          <w:t>Employment Agreement, dated as of January 27, 2017 by and between Wynn Resorts, Limited and Craig</w:t>
        </w:r>
      </w:hyperlink>
      <w:r>
        <w:rPr>
          <w:rFonts w:ascii="Arial" w:cs="Arial" w:eastAsia="Arial" w:hAnsi="Arial"/>
          <w:sz w:val="18"/>
          <w:szCs w:val="18"/>
          <w:u w:val="single" w:color="auto"/>
          <w:color w:val="0000FF"/>
        </w:rPr>
        <w:t xml:space="preserve"> </w:t>
      </w:r>
      <w:hyperlink r:id="rId180">
        <w:r>
          <w:rPr>
            <w:rFonts w:ascii="Arial" w:cs="Arial" w:eastAsia="Arial" w:hAnsi="Arial"/>
            <w:sz w:val="18"/>
            <w:szCs w:val="18"/>
            <w:u w:val="single" w:color="auto"/>
            <w:color w:val="0000FF"/>
          </w:rPr>
          <w:t>Billings.</w:t>
        </w:r>
      </w:hyperlink>
    </w:p>
    <w:p>
      <w:pPr>
        <w:spacing w:after="0" w:line="2" w:lineRule="exact"/>
        <w:rPr>
          <w:sz w:val="20"/>
          <w:szCs w:val="20"/>
          <w:color w:val="auto"/>
        </w:rPr>
      </w:pPr>
    </w:p>
    <w:p>
      <w:pPr>
        <w:ind w:left="1360" w:hanging="1076"/>
        <w:spacing w:after="0" w:line="234" w:lineRule="auto"/>
        <w:tabs>
          <w:tab w:leader="none" w:pos="1340" w:val="left"/>
        </w:tabs>
        <w:rPr>
          <w:rFonts w:ascii="Arial" w:cs="Arial" w:eastAsia="Arial" w:hAnsi="Arial"/>
          <w:sz w:val="18"/>
          <w:szCs w:val="18"/>
          <w:u w:val="single" w:color="auto"/>
          <w:color w:val="0000FF"/>
        </w:rPr>
      </w:pPr>
      <w:r>
        <w:rPr>
          <w:rFonts w:ascii="Arial" w:cs="Arial" w:eastAsia="Arial" w:hAnsi="Arial"/>
          <w:sz w:val="18"/>
          <w:szCs w:val="18"/>
          <w:color w:val="auto"/>
        </w:rPr>
        <w:t>+10.7.2.1</w:t>
      </w:r>
      <w:r>
        <w:rPr>
          <w:sz w:val="20"/>
          <w:szCs w:val="20"/>
          <w:color w:val="auto"/>
        </w:rPr>
        <w:tab/>
      </w:r>
      <w:hyperlink r:id="rId181">
        <w:r>
          <w:rPr>
            <w:rFonts w:ascii="Arial" w:cs="Arial" w:eastAsia="Arial" w:hAnsi="Arial"/>
            <w:sz w:val="18"/>
            <w:szCs w:val="18"/>
            <w:u w:val="single" w:color="auto"/>
            <w:color w:val="0000FF"/>
          </w:rPr>
          <w:t>First Amendment to Employment Agreement, dated as of April 17, 2018, by and between Wynn Resorts,</w:t>
        </w:r>
      </w:hyperlink>
      <w:r>
        <w:rPr>
          <w:rFonts w:ascii="Arial" w:cs="Arial" w:eastAsia="Arial" w:hAnsi="Arial"/>
          <w:sz w:val="18"/>
          <w:szCs w:val="18"/>
          <w:u w:val="single" w:color="auto"/>
          <w:color w:val="0000FF"/>
        </w:rPr>
        <w:t xml:space="preserve"> </w:t>
      </w:r>
      <w:hyperlink r:id="rId181">
        <w:r>
          <w:rPr>
            <w:rFonts w:ascii="Arial" w:cs="Arial" w:eastAsia="Arial" w:hAnsi="Arial"/>
            <w:sz w:val="18"/>
            <w:szCs w:val="18"/>
            <w:u w:val="single" w:color="auto"/>
            <w:color w:val="0000FF"/>
          </w:rPr>
          <w:t>Limited and Craig S. Billings.</w:t>
        </w:r>
      </w:hyperlink>
    </w:p>
    <w:p>
      <w:pPr>
        <w:spacing w:after="0" w:line="2" w:lineRule="exact"/>
        <w:rPr>
          <w:sz w:val="20"/>
          <w:szCs w:val="20"/>
          <w:color w:val="auto"/>
        </w:rPr>
      </w:pPr>
    </w:p>
    <w:p>
      <w:pPr>
        <w:ind w:left="1360" w:right="480" w:hanging="1076"/>
        <w:spacing w:after="0" w:line="234" w:lineRule="auto"/>
        <w:tabs>
          <w:tab w:leader="none" w:pos="1340" w:val="left"/>
        </w:tabs>
        <w:rPr>
          <w:rFonts w:ascii="Arial" w:cs="Arial" w:eastAsia="Arial" w:hAnsi="Arial"/>
          <w:sz w:val="18"/>
          <w:szCs w:val="18"/>
          <w:u w:val="single" w:color="auto"/>
          <w:color w:val="0000FF"/>
        </w:rPr>
      </w:pPr>
      <w:r>
        <w:rPr>
          <w:rFonts w:ascii="Arial" w:cs="Arial" w:eastAsia="Arial" w:hAnsi="Arial"/>
          <w:sz w:val="18"/>
          <w:szCs w:val="18"/>
          <w:color w:val="auto"/>
        </w:rPr>
        <w:t>+10.7.2.2</w:t>
      </w:r>
      <w:r>
        <w:rPr>
          <w:sz w:val="20"/>
          <w:szCs w:val="20"/>
          <w:color w:val="auto"/>
        </w:rPr>
        <w:tab/>
      </w:r>
      <w:hyperlink r:id="rId182">
        <w:r>
          <w:rPr>
            <w:rFonts w:ascii="Arial" w:cs="Arial" w:eastAsia="Arial" w:hAnsi="Arial"/>
            <w:sz w:val="18"/>
            <w:szCs w:val="18"/>
            <w:u w:val="single" w:color="auto"/>
            <w:color w:val="0000FF"/>
          </w:rPr>
          <w:t>Second Amendment to Employment Agreement, dated as of May 29, 2019, by and between Wynn</w:t>
        </w:r>
      </w:hyperlink>
      <w:r>
        <w:rPr>
          <w:rFonts w:ascii="Arial" w:cs="Arial" w:eastAsia="Arial" w:hAnsi="Arial"/>
          <w:sz w:val="18"/>
          <w:szCs w:val="18"/>
          <w:u w:val="single" w:color="auto"/>
          <w:color w:val="0000FF"/>
        </w:rPr>
        <w:t xml:space="preserve"> </w:t>
      </w:r>
      <w:hyperlink r:id="rId182">
        <w:r>
          <w:rPr>
            <w:rFonts w:ascii="Arial" w:cs="Arial" w:eastAsia="Arial" w:hAnsi="Arial"/>
            <w:sz w:val="18"/>
            <w:szCs w:val="18"/>
            <w:u w:val="single" w:color="auto"/>
            <w:color w:val="0000FF"/>
          </w:rPr>
          <w:t>Resorts, Limited and Craig Billings.</w:t>
        </w:r>
      </w:hyperlink>
    </w:p>
    <w:p>
      <w:pPr>
        <w:spacing w:after="0" w:line="2" w:lineRule="exact"/>
        <w:rPr>
          <w:sz w:val="20"/>
          <w:szCs w:val="20"/>
          <w:color w:val="auto"/>
        </w:rPr>
      </w:pPr>
    </w:p>
    <w:p>
      <w:pPr>
        <w:ind w:left="1360" w:right="100" w:hanging="1076"/>
        <w:spacing w:after="0" w:line="234" w:lineRule="auto"/>
        <w:tabs>
          <w:tab w:leader="none" w:pos="1340" w:val="left"/>
        </w:tabs>
        <w:rPr>
          <w:rFonts w:ascii="Arial" w:cs="Arial" w:eastAsia="Arial" w:hAnsi="Arial"/>
          <w:sz w:val="18"/>
          <w:szCs w:val="18"/>
          <w:u w:val="single" w:color="auto"/>
          <w:color w:val="0000FF"/>
        </w:rPr>
      </w:pPr>
      <w:r>
        <w:rPr>
          <w:rFonts w:ascii="Arial" w:cs="Arial" w:eastAsia="Arial" w:hAnsi="Arial"/>
          <w:sz w:val="18"/>
          <w:szCs w:val="18"/>
          <w:color w:val="auto"/>
        </w:rPr>
        <w:t>+10.7.3.0</w:t>
      </w:r>
      <w:r>
        <w:rPr>
          <w:sz w:val="20"/>
          <w:szCs w:val="20"/>
          <w:color w:val="auto"/>
        </w:rPr>
        <w:tab/>
      </w:r>
      <w:hyperlink r:id="rId183">
        <w:r>
          <w:rPr>
            <w:rFonts w:ascii="Arial" w:cs="Arial" w:eastAsia="Arial" w:hAnsi="Arial"/>
            <w:sz w:val="18"/>
            <w:szCs w:val="18"/>
            <w:u w:val="single" w:color="auto"/>
            <w:color w:val="0000FF"/>
          </w:rPr>
          <w:t>Employment Agreement, dated as of August 2, 2018, by and between Wynn Resorts, Limited and Ellen</w:t>
        </w:r>
      </w:hyperlink>
      <w:r>
        <w:rPr>
          <w:rFonts w:ascii="Arial" w:cs="Arial" w:eastAsia="Arial" w:hAnsi="Arial"/>
          <w:sz w:val="18"/>
          <w:szCs w:val="18"/>
          <w:u w:val="single" w:color="auto"/>
          <w:color w:val="0000FF"/>
        </w:rPr>
        <w:t xml:space="preserve"> </w:t>
      </w:r>
      <w:hyperlink r:id="rId183">
        <w:r>
          <w:rPr>
            <w:rFonts w:ascii="Arial" w:cs="Arial" w:eastAsia="Arial" w:hAnsi="Arial"/>
            <w:sz w:val="18"/>
            <w:szCs w:val="18"/>
            <w:u w:val="single" w:color="auto"/>
            <w:color w:val="0000FF"/>
          </w:rPr>
          <w:t>Whittemore.</w:t>
        </w:r>
      </w:hyperlink>
    </w:p>
    <w:p>
      <w:pPr>
        <w:spacing w:after="0" w:line="2" w:lineRule="exact"/>
        <w:rPr>
          <w:sz w:val="20"/>
          <w:szCs w:val="20"/>
          <w:color w:val="auto"/>
        </w:rPr>
      </w:pPr>
    </w:p>
    <w:p>
      <w:pPr>
        <w:ind w:left="1360" w:right="60" w:hanging="1076"/>
        <w:spacing w:after="0" w:line="234" w:lineRule="auto"/>
        <w:tabs>
          <w:tab w:leader="none" w:pos="1340" w:val="left"/>
        </w:tabs>
        <w:rPr>
          <w:rFonts w:ascii="Arial" w:cs="Arial" w:eastAsia="Arial" w:hAnsi="Arial"/>
          <w:sz w:val="18"/>
          <w:szCs w:val="18"/>
          <w:u w:val="single" w:color="auto"/>
          <w:color w:val="0000FF"/>
        </w:rPr>
      </w:pPr>
      <w:r>
        <w:rPr>
          <w:rFonts w:ascii="Arial" w:cs="Arial" w:eastAsia="Arial" w:hAnsi="Arial"/>
          <w:sz w:val="18"/>
          <w:szCs w:val="18"/>
          <w:color w:val="auto"/>
        </w:rPr>
        <w:t>+10.7.3.1</w:t>
      </w:r>
      <w:r>
        <w:rPr>
          <w:sz w:val="20"/>
          <w:szCs w:val="20"/>
          <w:color w:val="auto"/>
        </w:rPr>
        <w:tab/>
      </w:r>
      <w:hyperlink r:id="rId184">
        <w:r>
          <w:rPr>
            <w:rFonts w:ascii="Arial" w:cs="Arial" w:eastAsia="Arial" w:hAnsi="Arial"/>
            <w:sz w:val="18"/>
            <w:szCs w:val="18"/>
            <w:u w:val="single" w:color="auto"/>
            <w:color w:val="0000FF"/>
          </w:rPr>
          <w:t>First Amendment to Employment Agreement, dated as of May 29, 2019, by and between Wynn Resorts,</w:t>
        </w:r>
      </w:hyperlink>
      <w:r>
        <w:rPr>
          <w:rFonts w:ascii="Arial" w:cs="Arial" w:eastAsia="Arial" w:hAnsi="Arial"/>
          <w:sz w:val="18"/>
          <w:szCs w:val="18"/>
          <w:u w:val="single" w:color="auto"/>
          <w:color w:val="0000FF"/>
        </w:rPr>
        <w:t xml:space="preserve"> </w:t>
      </w:r>
      <w:hyperlink r:id="rId184">
        <w:r>
          <w:rPr>
            <w:rFonts w:ascii="Arial" w:cs="Arial" w:eastAsia="Arial" w:hAnsi="Arial"/>
            <w:sz w:val="18"/>
            <w:szCs w:val="18"/>
            <w:u w:val="single" w:color="auto"/>
            <w:color w:val="0000FF"/>
          </w:rPr>
          <w:t>Limited and Ellen Whittemore.</w:t>
        </w:r>
      </w:hyperlink>
    </w:p>
    <w:p>
      <w:pPr>
        <w:spacing w:after="0" w:line="2" w:lineRule="exact"/>
        <w:rPr>
          <w:sz w:val="20"/>
          <w:szCs w:val="20"/>
          <w:color w:val="auto"/>
        </w:rPr>
      </w:pPr>
    </w:p>
    <w:p>
      <w:pPr>
        <w:ind w:left="420"/>
        <w:spacing w:after="0"/>
        <w:tabs>
          <w:tab w:leader="none" w:pos="1340" w:val="left"/>
        </w:tabs>
        <w:rPr>
          <w:rFonts w:ascii="Arial" w:cs="Arial" w:eastAsia="Arial" w:hAnsi="Arial"/>
          <w:sz w:val="16"/>
          <w:szCs w:val="16"/>
          <w:u w:val="single" w:color="auto"/>
          <w:color w:val="0000FF"/>
        </w:rPr>
      </w:pPr>
      <w:r>
        <w:rPr>
          <w:rFonts w:ascii="Arial" w:cs="Arial" w:eastAsia="Arial" w:hAnsi="Arial"/>
          <w:sz w:val="18"/>
          <w:szCs w:val="18"/>
          <w:color w:val="auto"/>
        </w:rPr>
        <w:t>+10.8</w:t>
      </w:r>
      <w:r>
        <w:rPr>
          <w:sz w:val="20"/>
          <w:szCs w:val="20"/>
          <w:color w:val="auto"/>
        </w:rPr>
        <w:tab/>
      </w:r>
      <w:hyperlink r:id="rId185">
        <w:r>
          <w:rPr>
            <w:rFonts w:ascii="Arial" w:cs="Arial" w:eastAsia="Arial" w:hAnsi="Arial"/>
            <w:sz w:val="16"/>
            <w:szCs w:val="16"/>
            <w:u w:val="single" w:color="auto"/>
            <w:color w:val="0000FF"/>
          </w:rPr>
          <w:t>Amended and Restated 2014 Omnibus Incentive Plan, dated January 1, 2017.</w:t>
        </w:r>
      </w:hyperlink>
    </w:p>
    <w:p>
      <w:pPr>
        <w:spacing w:after="0" w:line="33" w:lineRule="exact"/>
        <w:rPr>
          <w:sz w:val="20"/>
          <w:szCs w:val="20"/>
          <w:color w:val="auto"/>
        </w:rPr>
      </w:pPr>
    </w:p>
    <w:p>
      <w:pPr>
        <w:ind w:left="480"/>
        <w:spacing w:after="0"/>
        <w:tabs>
          <w:tab w:leader="none" w:pos="1340" w:val="left"/>
        </w:tabs>
        <w:rPr>
          <w:rFonts w:ascii="Arial" w:cs="Arial" w:eastAsia="Arial" w:hAnsi="Arial"/>
          <w:sz w:val="16"/>
          <w:szCs w:val="16"/>
          <w:u w:val="single" w:color="auto"/>
          <w:color w:val="0000FF"/>
        </w:rPr>
      </w:pPr>
      <w:r>
        <w:rPr>
          <w:rFonts w:ascii="Arial" w:cs="Arial" w:eastAsia="Arial" w:hAnsi="Arial"/>
          <w:sz w:val="18"/>
          <w:szCs w:val="18"/>
          <w:color w:val="auto"/>
        </w:rPr>
        <w:t>10.9</w:t>
      </w:r>
      <w:r>
        <w:rPr>
          <w:sz w:val="20"/>
          <w:szCs w:val="20"/>
          <w:color w:val="auto"/>
        </w:rPr>
        <w:tab/>
      </w:r>
      <w:hyperlink r:id="rId186">
        <w:r>
          <w:rPr>
            <w:rFonts w:ascii="Arial" w:cs="Arial" w:eastAsia="Arial" w:hAnsi="Arial"/>
            <w:sz w:val="16"/>
            <w:szCs w:val="16"/>
            <w:u w:val="single" w:color="auto"/>
            <w:color w:val="0000FF"/>
          </w:rPr>
          <w:t>Cooperation Agreement, dated as of August 3, 2018, by and between Wynn Resorts, Limited and Elaine</w:t>
        </w:r>
      </w:hyperlink>
    </w:p>
    <w:p>
      <w:pPr>
        <w:spacing w:after="0" w:line="8" w:lineRule="exact"/>
        <w:rPr>
          <w:sz w:val="20"/>
          <w:szCs w:val="20"/>
          <w:color w:val="auto"/>
        </w:rPr>
      </w:pPr>
    </w:p>
    <w:p>
      <w:pPr>
        <w:ind w:left="1360"/>
        <w:spacing w:after="0"/>
        <w:rPr>
          <w:rFonts w:ascii="Arial" w:cs="Arial" w:eastAsia="Arial" w:hAnsi="Arial"/>
          <w:sz w:val="18"/>
          <w:szCs w:val="18"/>
          <w:u w:val="single" w:color="auto"/>
          <w:color w:val="0000FF"/>
        </w:rPr>
      </w:pPr>
      <w:hyperlink r:id="rId186">
        <w:r>
          <w:rPr>
            <w:rFonts w:ascii="Arial" w:cs="Arial" w:eastAsia="Arial" w:hAnsi="Arial"/>
            <w:sz w:val="18"/>
            <w:szCs w:val="18"/>
            <w:u w:val="single" w:color="auto"/>
            <w:color w:val="0000FF"/>
          </w:rPr>
          <w:t>P. Wynn.</w:t>
        </w:r>
      </w:hyperlink>
    </w:p>
    <w:p>
      <w:pPr>
        <w:spacing w:after="0" w:line="7" w:lineRule="exact"/>
        <w:rPr>
          <w:sz w:val="20"/>
          <w:szCs w:val="20"/>
          <w:color w:val="auto"/>
        </w:rPr>
      </w:pPr>
    </w:p>
    <w:p>
      <w:pPr>
        <w:ind w:left="1360" w:right="80"/>
        <w:spacing w:after="0" w:line="224" w:lineRule="auto"/>
        <w:rPr>
          <w:rFonts w:ascii="Arial" w:cs="Arial" w:eastAsia="Arial" w:hAnsi="Arial"/>
          <w:sz w:val="18"/>
          <w:szCs w:val="18"/>
          <w:u w:val="single" w:color="auto"/>
          <w:color w:val="0000FF"/>
        </w:rPr>
      </w:pPr>
      <w:hyperlink r:id="rId187">
        <w:r>
          <w:rPr>
            <w:rFonts w:ascii="Arial" w:cs="Arial" w:eastAsia="Arial" w:hAnsi="Arial"/>
            <w:sz w:val="18"/>
            <w:szCs w:val="18"/>
            <w:u w:val="single" w:color="auto"/>
            <w:color w:val="0000FF"/>
          </w:rPr>
          <w:t>Second Amended and Restated Shareholders' Agreement, dated as of January 14, 2016, by and among</w:t>
        </w:r>
      </w:hyperlink>
      <w:r>
        <w:rPr>
          <w:rFonts w:ascii="Arial" w:cs="Arial" w:eastAsia="Arial" w:hAnsi="Arial"/>
          <w:sz w:val="18"/>
          <w:szCs w:val="18"/>
          <w:u w:val="single" w:color="auto"/>
          <w:color w:val="0000FF"/>
        </w:rPr>
        <w:t xml:space="preserve"> </w:t>
      </w:r>
      <w:hyperlink r:id="rId187">
        <w:r>
          <w:rPr>
            <w:rFonts w:ascii="Arial" w:cs="Arial" w:eastAsia="Arial" w:hAnsi="Arial"/>
            <w:sz w:val="18"/>
            <w:szCs w:val="18"/>
            <w:u w:val="single" w:color="auto"/>
            <w:color w:val="0000FF"/>
          </w:rPr>
          <w:t>Wynn Resorts (Macau), Ltd., Wynn Resorts International, Ltd., Chen Chi Ling Linda and Wynn Resorts</w:t>
        </w:r>
      </w:hyperlink>
      <w:r>
        <w:rPr>
          <w:rFonts w:ascii="Arial" w:cs="Arial" w:eastAsia="Arial" w:hAnsi="Arial"/>
          <w:sz w:val="18"/>
          <w:szCs w:val="18"/>
          <w:u w:val="single" w:color="auto"/>
          <w:color w:val="0000FF"/>
        </w:rPr>
        <w:t xml:space="preserve"> </w:t>
      </w:r>
      <w:hyperlink r:id="rId187">
        <w:r>
          <w:rPr>
            <w:rFonts w:ascii="Arial" w:cs="Arial" w:eastAsia="Arial" w:hAnsi="Arial"/>
            <w:sz w:val="18"/>
            <w:szCs w:val="18"/>
            <w:u w:val="single" w:color="auto"/>
            <w:color w:val="0000FF"/>
          </w:rPr>
          <w:t>(Macau), S.A.</w:t>
        </w:r>
      </w:hyperlink>
    </w:p>
    <w:p>
      <w:pPr>
        <w:spacing w:after="0" w:line="1" w:lineRule="exact"/>
        <w:rPr>
          <w:rFonts w:ascii="Arial" w:cs="Arial" w:eastAsia="Arial" w:hAnsi="Arial"/>
          <w:sz w:val="18"/>
          <w:szCs w:val="18"/>
          <w:u w:val="single" w:color="auto"/>
          <w:color w:val="0000FF"/>
        </w:rPr>
      </w:pPr>
    </w:p>
    <w:p>
      <w:pPr>
        <w:ind w:left="1360"/>
        <w:spacing w:after="0"/>
        <w:rPr>
          <w:rFonts w:ascii="Arial" w:cs="Arial" w:eastAsia="Arial" w:hAnsi="Arial"/>
          <w:sz w:val="18"/>
          <w:szCs w:val="18"/>
          <w:u w:val="single" w:color="auto"/>
          <w:color w:val="0000FF"/>
        </w:rPr>
      </w:pPr>
      <w:hyperlink r:id="rId188">
        <w:r>
          <w:rPr>
            <w:rFonts w:ascii="Arial" w:cs="Arial" w:eastAsia="Arial" w:hAnsi="Arial"/>
            <w:sz w:val="18"/>
            <w:szCs w:val="18"/>
            <w:u w:val="single" w:color="auto"/>
            <w:color w:val="0000FF"/>
          </w:rPr>
          <w:t>Form of Indemnity Agreement.</w:t>
        </w:r>
      </w:hyperlink>
    </w:p>
    <w:p>
      <w:pPr>
        <w:spacing w:after="0" w:line="62" w:lineRule="exact"/>
        <w:rPr>
          <w:rFonts w:ascii="Arial" w:cs="Arial" w:eastAsia="Arial" w:hAnsi="Arial"/>
          <w:sz w:val="18"/>
          <w:szCs w:val="18"/>
          <w:u w:val="single" w:color="auto"/>
          <w:color w:val="0000FF"/>
        </w:rPr>
      </w:pPr>
    </w:p>
    <w:p>
      <w:pPr>
        <w:ind w:left="480"/>
        <w:spacing w:after="0"/>
        <w:tabs>
          <w:tab w:leader="none" w:pos="1340" w:val="left"/>
        </w:tabs>
        <w:rPr>
          <w:rFonts w:ascii="Arial" w:cs="Arial" w:eastAsia="Arial" w:hAnsi="Arial"/>
          <w:sz w:val="16"/>
          <w:szCs w:val="16"/>
          <w:u w:val="single" w:color="auto"/>
          <w:color w:val="0000FF"/>
        </w:rPr>
      </w:pPr>
      <w:r>
        <w:rPr>
          <w:rFonts w:ascii="Arial" w:cs="Arial" w:eastAsia="Arial" w:hAnsi="Arial"/>
          <w:sz w:val="18"/>
          <w:szCs w:val="18"/>
          <w:color w:val="auto"/>
        </w:rPr>
        <w:t>21.1</w:t>
      </w:r>
      <w:r>
        <w:rPr>
          <w:sz w:val="20"/>
          <w:szCs w:val="20"/>
          <w:color w:val="auto"/>
        </w:rPr>
        <w:tab/>
      </w:r>
      <w:hyperlink w:anchor="page282">
        <w:r>
          <w:rPr>
            <w:rFonts w:ascii="Arial" w:cs="Arial" w:eastAsia="Arial" w:hAnsi="Arial"/>
            <w:sz w:val="16"/>
            <w:szCs w:val="16"/>
            <w:u w:val="single" w:color="auto"/>
            <w:color w:val="0000FF"/>
          </w:rPr>
          <w:t>Subsidiaries of the Registrant.</w:t>
        </w:r>
      </w:hyperlink>
    </w:p>
    <w:p>
      <w:pPr>
        <w:spacing w:after="0" w:line="63" w:lineRule="exact"/>
        <w:rPr>
          <w:rFonts w:ascii="Arial" w:cs="Arial" w:eastAsia="Arial" w:hAnsi="Arial"/>
          <w:sz w:val="18"/>
          <w:szCs w:val="18"/>
          <w:u w:val="single" w:color="auto"/>
          <w:color w:val="0000FF"/>
        </w:rPr>
      </w:pPr>
    </w:p>
    <w:p>
      <w:pPr>
        <w:ind w:left="480"/>
        <w:spacing w:after="0"/>
        <w:tabs>
          <w:tab w:leader="none" w:pos="1340" w:val="left"/>
        </w:tabs>
        <w:rPr>
          <w:rFonts w:ascii="Arial" w:cs="Arial" w:eastAsia="Arial" w:hAnsi="Arial"/>
          <w:sz w:val="16"/>
          <w:szCs w:val="16"/>
          <w:u w:val="single" w:color="auto"/>
          <w:color w:val="0000FF"/>
        </w:rPr>
      </w:pPr>
      <w:r>
        <w:rPr>
          <w:rFonts w:ascii="Arial" w:cs="Arial" w:eastAsia="Arial" w:hAnsi="Arial"/>
          <w:sz w:val="18"/>
          <w:szCs w:val="18"/>
          <w:color w:val="auto"/>
        </w:rPr>
        <w:t>23.1</w:t>
      </w:r>
      <w:r>
        <w:rPr>
          <w:sz w:val="20"/>
          <w:szCs w:val="20"/>
          <w:color w:val="auto"/>
        </w:rPr>
        <w:tab/>
      </w:r>
      <w:hyperlink w:anchor="page285">
        <w:r>
          <w:rPr>
            <w:rFonts w:ascii="Arial" w:cs="Arial" w:eastAsia="Arial" w:hAnsi="Arial"/>
            <w:sz w:val="16"/>
            <w:szCs w:val="16"/>
            <w:u w:val="single" w:color="auto"/>
            <w:color w:val="0000FF"/>
          </w:rPr>
          <w:t>Consent of Ernst &amp; Young LLP, Independent Registered Accounting Firm.</w:t>
        </w:r>
      </w:hyperlink>
    </w:p>
    <w:p>
      <w:pPr>
        <w:spacing w:after="0" w:line="63" w:lineRule="exact"/>
        <w:rPr>
          <w:rFonts w:ascii="Arial" w:cs="Arial" w:eastAsia="Arial" w:hAnsi="Arial"/>
          <w:sz w:val="18"/>
          <w:szCs w:val="18"/>
          <w:u w:val="single" w:color="auto"/>
          <w:color w:val="0000FF"/>
        </w:rPr>
      </w:pPr>
    </w:p>
    <w:p>
      <w:pPr>
        <w:ind w:left="1360" w:right="80" w:hanging="890"/>
        <w:spacing w:after="0" w:line="235" w:lineRule="auto"/>
        <w:tabs>
          <w:tab w:leader="none" w:pos="1340" w:val="left"/>
        </w:tabs>
        <w:rPr>
          <w:rFonts w:ascii="Arial" w:cs="Arial" w:eastAsia="Arial" w:hAnsi="Arial"/>
          <w:sz w:val="18"/>
          <w:szCs w:val="18"/>
          <w:u w:val="single" w:color="auto"/>
          <w:color w:val="0000FF"/>
        </w:rPr>
      </w:pPr>
      <w:r>
        <w:rPr>
          <w:rFonts w:ascii="Arial" w:cs="Arial" w:eastAsia="Arial" w:hAnsi="Arial"/>
          <w:sz w:val="18"/>
          <w:szCs w:val="18"/>
          <w:color w:val="auto"/>
        </w:rPr>
        <w:t>31.1</w:t>
      </w:r>
      <w:r>
        <w:rPr>
          <w:sz w:val="20"/>
          <w:szCs w:val="20"/>
          <w:color w:val="auto"/>
        </w:rPr>
        <w:tab/>
      </w:r>
      <w:hyperlink w:anchor="page286">
        <w:r>
          <w:rPr>
            <w:rFonts w:ascii="Arial" w:cs="Arial" w:eastAsia="Arial" w:hAnsi="Arial"/>
            <w:sz w:val="18"/>
            <w:szCs w:val="18"/>
            <w:u w:val="single" w:color="auto"/>
            <w:color w:val="0000FF"/>
          </w:rPr>
          <w:t>Certification of Chief Executive Officer of Periodic Report Pursuant to Rule 13a – 14(a) and Rule 15d –</w:t>
        </w:r>
      </w:hyperlink>
      <w:r>
        <w:rPr>
          <w:rFonts w:ascii="Arial" w:cs="Arial" w:eastAsia="Arial" w:hAnsi="Arial"/>
          <w:sz w:val="18"/>
          <w:szCs w:val="18"/>
          <w:u w:val="single" w:color="auto"/>
          <w:color w:val="0000FF"/>
        </w:rPr>
        <w:t xml:space="preserve"> </w:t>
      </w:r>
      <w:hyperlink w:anchor="page286">
        <w:r>
          <w:rPr>
            <w:rFonts w:ascii="Arial" w:cs="Arial" w:eastAsia="Arial" w:hAnsi="Arial"/>
            <w:sz w:val="18"/>
            <w:szCs w:val="18"/>
            <w:u w:val="single" w:color="auto"/>
            <w:color w:val="0000FF"/>
          </w:rPr>
          <w:t>14(a).</w:t>
        </w:r>
      </w:hyperlink>
    </w:p>
    <w:p>
      <w:pPr>
        <w:spacing w:after="0" w:line="1" w:lineRule="exact"/>
        <w:rPr>
          <w:sz w:val="20"/>
          <w:szCs w:val="20"/>
          <w:color w:val="auto"/>
        </w:rPr>
      </w:pPr>
    </w:p>
    <w:p>
      <w:pPr>
        <w:ind w:left="1360" w:right="120" w:hanging="890"/>
        <w:spacing w:after="0" w:line="234" w:lineRule="auto"/>
        <w:tabs>
          <w:tab w:leader="none" w:pos="1340" w:val="left"/>
        </w:tabs>
        <w:rPr>
          <w:rFonts w:ascii="Arial" w:cs="Arial" w:eastAsia="Arial" w:hAnsi="Arial"/>
          <w:sz w:val="18"/>
          <w:szCs w:val="18"/>
          <w:u w:val="single" w:color="auto"/>
          <w:color w:val="0000FF"/>
        </w:rPr>
      </w:pPr>
      <w:r>
        <w:rPr>
          <w:rFonts w:ascii="Arial" w:cs="Arial" w:eastAsia="Arial" w:hAnsi="Arial"/>
          <w:sz w:val="18"/>
          <w:szCs w:val="18"/>
          <w:color w:val="auto"/>
        </w:rPr>
        <w:t>31.2</w:t>
      </w:r>
      <w:r>
        <w:rPr>
          <w:sz w:val="20"/>
          <w:szCs w:val="20"/>
          <w:color w:val="auto"/>
        </w:rPr>
        <w:tab/>
      </w:r>
      <w:hyperlink w:anchor="page287">
        <w:r>
          <w:rPr>
            <w:rFonts w:ascii="Arial" w:cs="Arial" w:eastAsia="Arial" w:hAnsi="Arial"/>
            <w:sz w:val="18"/>
            <w:szCs w:val="18"/>
            <w:u w:val="single" w:color="auto"/>
            <w:color w:val="0000FF"/>
          </w:rPr>
          <w:t>Certification of Chief Financial Officer of Periodic Report Pursuant to Rule 13a – 14(a) and Rule 15d –</w:t>
        </w:r>
      </w:hyperlink>
      <w:r>
        <w:rPr>
          <w:rFonts w:ascii="Arial" w:cs="Arial" w:eastAsia="Arial" w:hAnsi="Arial"/>
          <w:sz w:val="18"/>
          <w:szCs w:val="18"/>
          <w:u w:val="single" w:color="auto"/>
          <w:color w:val="0000FF"/>
        </w:rPr>
        <w:t xml:space="preserve"> </w:t>
      </w:r>
      <w:hyperlink w:anchor="page287">
        <w:r>
          <w:rPr>
            <w:rFonts w:ascii="Arial" w:cs="Arial" w:eastAsia="Arial" w:hAnsi="Arial"/>
            <w:sz w:val="18"/>
            <w:szCs w:val="18"/>
            <w:u w:val="single" w:color="auto"/>
            <w:color w:val="0000FF"/>
          </w:rPr>
          <w:t>14(a).</w:t>
        </w:r>
      </w:hyperlink>
    </w:p>
    <w:p>
      <w:pPr>
        <w:spacing w:after="0" w:line="2" w:lineRule="exact"/>
        <w:rPr>
          <w:sz w:val="20"/>
          <w:szCs w:val="20"/>
          <w:color w:val="auto"/>
        </w:rPr>
      </w:pPr>
    </w:p>
    <w:p>
      <w:pPr>
        <w:ind w:left="1360" w:hanging="814"/>
        <w:spacing w:after="0"/>
        <w:tabs>
          <w:tab w:leader="none" w:pos="1360" w:val="left"/>
        </w:tabs>
        <w:numPr>
          <w:ilvl w:val="0"/>
          <w:numId w:val="41"/>
        </w:numPr>
        <w:rPr>
          <w:rFonts w:ascii="Arial" w:cs="Arial" w:eastAsia="Arial" w:hAnsi="Arial"/>
          <w:sz w:val="18"/>
          <w:szCs w:val="18"/>
          <w:u w:val="single" w:color="auto"/>
          <w:color w:val="0000FF"/>
        </w:rPr>
      </w:pPr>
      <w:hyperlink w:anchor="page288">
        <w:r>
          <w:rPr>
            <w:rFonts w:ascii="Arial" w:cs="Arial" w:eastAsia="Arial" w:hAnsi="Arial"/>
            <w:sz w:val="18"/>
            <w:szCs w:val="18"/>
            <w:u w:val="single" w:color="auto"/>
            <w:color w:val="0000FF"/>
          </w:rPr>
          <w:t>Certification of CEO and CFO pursuant to 18 U.S.C. Section 1350.</w:t>
        </w:r>
      </w:hyperlink>
    </w:p>
    <w:p>
      <w:pPr>
        <w:spacing w:after="0" w:line="76" w:lineRule="exact"/>
        <w:rPr>
          <w:sz w:val="20"/>
          <w:szCs w:val="20"/>
          <w:color w:val="auto"/>
        </w:rPr>
      </w:pPr>
    </w:p>
    <w:p>
      <w:pPr>
        <w:ind w:left="1360" w:right="60" w:hanging="859"/>
        <w:spacing w:after="0" w:line="289" w:lineRule="auto"/>
        <w:tabs>
          <w:tab w:leader="none" w:pos="13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following material from Wynn Resorts, Limited's Annual Report on Form 10-K, formatted in Inline XBRL (Inline Extensible Business Reporting Language): (i) the Consolidated Balance Sheets as of December 31, 2019 and December 31, 2018; (ii) the Consolidated Statements of Income for the years ended December 31, 2019, 2018, and 2017; (iii) the Consolidated Statements of Comprehensive Income for the years ended December 31, 2019, 2018, and 2017; (iv) the Consolidated Statements of Stockholders' Equity for the years ended December 31, 2019, 2018, and 2017; (v) the Consolidated Statements of Cash Flows for the years ended December 31, 2019, 2018 and 2017; and (vi) Notes to Consolidated Financial Statements. The instance document does not appear in the Interactive Data File because its XBRL tags are embedded within the Inline XBRL document.</w:t>
      </w:r>
    </w:p>
    <w:p>
      <w:pPr>
        <w:spacing w:after="0" w:line="5" w:lineRule="exact"/>
        <w:rPr>
          <w:sz w:val="20"/>
          <w:szCs w:val="20"/>
          <w:color w:val="auto"/>
        </w:rPr>
      </w:pPr>
    </w:p>
    <w:p>
      <w:pPr>
        <w:ind w:left="1360" w:right="280" w:hanging="859"/>
        <w:spacing w:after="0" w:line="277" w:lineRule="auto"/>
        <w:tabs>
          <w:tab w:leader="none" w:pos="13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Cover Page Interactive Data File - The cover page XBRL tags are embedded within the Inline XBRL document.</w:t>
      </w:r>
    </w:p>
    <w:p>
      <w:pPr>
        <w:spacing w:after="0" w:line="8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Denotes management contract or compensatory plan or arrangement.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10-K</w:t>
            </w:r>
          </w:p>
        </w:tc>
        <w:tc>
          <w:tcPr>
            <w:tcW w:w="1060" w:type="dxa"/>
            <w:vAlign w:val="bottom"/>
          </w:tcPr>
          <w:p>
            <w:pPr>
              <w:jc w:val="center"/>
              <w:ind w:left="230"/>
              <w:spacing w:after="0"/>
              <w:rPr>
                <w:sz w:val="20"/>
                <w:szCs w:val="20"/>
                <w:color w:val="auto"/>
              </w:rPr>
            </w:pPr>
            <w:r>
              <w:rPr>
                <w:rFonts w:ascii="Arial" w:cs="Arial" w:eastAsia="Arial" w:hAnsi="Arial"/>
                <w:sz w:val="18"/>
                <w:szCs w:val="18"/>
                <w:color w:val="auto"/>
              </w:rPr>
              <w:t>*</w:t>
            </w:r>
          </w:p>
        </w:tc>
      </w:tr>
      <w:tr>
        <w:trPr>
          <w:trHeight w:val="405"/>
        </w:trPr>
        <w:tc>
          <w:tcPr>
            <w:tcW w:w="680" w:type="dxa"/>
            <w:vAlign w:val="bottom"/>
          </w:tcPr>
          <w:p>
            <w:pPr>
              <w:spacing w:after="0"/>
              <w:rPr>
                <w:sz w:val="20"/>
                <w:szCs w:val="20"/>
                <w:color w:val="auto"/>
              </w:rPr>
            </w:pPr>
            <w:r>
              <w:rPr>
                <w:rFonts w:ascii="Arial" w:cs="Arial" w:eastAsia="Arial" w:hAnsi="Arial"/>
                <w:sz w:val="18"/>
                <w:szCs w:val="18"/>
                <w:color w:val="auto"/>
              </w:rPr>
              <w:t>10-Q</w:t>
            </w:r>
          </w:p>
        </w:tc>
        <w:tc>
          <w:tcPr>
            <w:tcW w:w="1060" w:type="dxa"/>
            <w:vAlign w:val="bottom"/>
          </w:tcPr>
          <w:p>
            <w:pPr>
              <w:jc w:val="center"/>
              <w:ind w:left="210"/>
              <w:spacing w:after="0"/>
              <w:rPr>
                <w:sz w:val="20"/>
                <w:szCs w:val="20"/>
                <w:color w:val="auto"/>
              </w:rPr>
            </w:pPr>
            <w:r>
              <w:rPr>
                <w:rFonts w:ascii="Arial" w:cs="Arial" w:eastAsia="Arial" w:hAnsi="Arial"/>
                <w:sz w:val="18"/>
                <w:szCs w:val="18"/>
                <w:color w:val="auto"/>
                <w:w w:val="91"/>
              </w:rPr>
              <w:t>5/4/2017</w:t>
            </w:r>
          </w:p>
        </w:tc>
      </w:tr>
      <w:tr>
        <w:trPr>
          <w:trHeight w:val="405"/>
        </w:trPr>
        <w:tc>
          <w:tcPr>
            <w:tcW w:w="680" w:type="dxa"/>
            <w:vAlign w:val="bottom"/>
          </w:tcPr>
          <w:p>
            <w:pPr>
              <w:spacing w:after="0"/>
              <w:rPr>
                <w:sz w:val="20"/>
                <w:szCs w:val="20"/>
                <w:color w:val="auto"/>
              </w:rPr>
            </w:pPr>
            <w:r>
              <w:rPr>
                <w:rFonts w:ascii="Arial" w:cs="Arial" w:eastAsia="Arial" w:hAnsi="Arial"/>
                <w:sz w:val="18"/>
                <w:szCs w:val="18"/>
                <w:color w:val="auto"/>
              </w:rPr>
              <w:t>10-Q</w:t>
            </w:r>
          </w:p>
        </w:tc>
        <w:tc>
          <w:tcPr>
            <w:tcW w:w="1060" w:type="dxa"/>
            <w:vAlign w:val="bottom"/>
          </w:tcPr>
          <w:p>
            <w:pPr>
              <w:jc w:val="center"/>
              <w:ind w:left="210"/>
              <w:spacing w:after="0"/>
              <w:rPr>
                <w:sz w:val="20"/>
                <w:szCs w:val="20"/>
                <w:color w:val="auto"/>
              </w:rPr>
            </w:pPr>
            <w:r>
              <w:rPr>
                <w:rFonts w:ascii="Arial" w:cs="Arial" w:eastAsia="Arial" w:hAnsi="Arial"/>
                <w:sz w:val="18"/>
                <w:szCs w:val="18"/>
                <w:color w:val="auto"/>
                <w:w w:val="91"/>
              </w:rPr>
              <w:t>5/9/2018</w:t>
            </w:r>
          </w:p>
        </w:tc>
      </w:tr>
      <w:tr>
        <w:trPr>
          <w:trHeight w:val="405"/>
        </w:trPr>
        <w:tc>
          <w:tcPr>
            <w:tcW w:w="680" w:type="dxa"/>
            <w:vAlign w:val="bottom"/>
          </w:tcPr>
          <w:p>
            <w:pPr>
              <w:spacing w:after="0"/>
              <w:rPr>
                <w:sz w:val="20"/>
                <w:szCs w:val="20"/>
                <w:color w:val="auto"/>
              </w:rPr>
            </w:pPr>
            <w:r>
              <w:rPr>
                <w:rFonts w:ascii="Arial" w:cs="Arial" w:eastAsia="Arial" w:hAnsi="Arial"/>
                <w:sz w:val="18"/>
                <w:szCs w:val="18"/>
                <w:color w:val="auto"/>
              </w:rPr>
              <w:t>10-Q</w:t>
            </w:r>
          </w:p>
        </w:tc>
        <w:tc>
          <w:tcPr>
            <w:tcW w:w="1060" w:type="dxa"/>
            <w:vAlign w:val="bottom"/>
          </w:tcPr>
          <w:p>
            <w:pPr>
              <w:jc w:val="center"/>
              <w:ind w:left="210"/>
              <w:spacing w:after="0"/>
              <w:rPr>
                <w:sz w:val="20"/>
                <w:szCs w:val="20"/>
                <w:color w:val="auto"/>
              </w:rPr>
            </w:pPr>
            <w:r>
              <w:rPr>
                <w:rFonts w:ascii="Arial" w:cs="Arial" w:eastAsia="Arial" w:hAnsi="Arial"/>
                <w:sz w:val="18"/>
                <w:szCs w:val="18"/>
                <w:color w:val="auto"/>
                <w:w w:val="91"/>
              </w:rPr>
              <w:t>8/8/2019</w:t>
            </w:r>
          </w:p>
        </w:tc>
      </w:tr>
      <w:tr>
        <w:trPr>
          <w:trHeight w:val="405"/>
        </w:trPr>
        <w:tc>
          <w:tcPr>
            <w:tcW w:w="680" w:type="dxa"/>
            <w:vAlign w:val="bottom"/>
          </w:tcPr>
          <w:p>
            <w:pPr>
              <w:spacing w:after="0"/>
              <w:rPr>
                <w:sz w:val="20"/>
                <w:szCs w:val="20"/>
                <w:color w:val="auto"/>
              </w:rPr>
            </w:pPr>
            <w:r>
              <w:rPr>
                <w:rFonts w:ascii="Arial" w:cs="Arial" w:eastAsia="Arial" w:hAnsi="Arial"/>
                <w:sz w:val="18"/>
                <w:szCs w:val="18"/>
                <w:color w:val="auto"/>
              </w:rPr>
              <w:t>10-Q</w:t>
            </w:r>
          </w:p>
        </w:tc>
        <w:tc>
          <w:tcPr>
            <w:tcW w:w="1060" w:type="dxa"/>
            <w:vAlign w:val="bottom"/>
          </w:tcPr>
          <w:p>
            <w:pPr>
              <w:jc w:val="center"/>
              <w:ind w:left="210"/>
              <w:spacing w:after="0"/>
              <w:rPr>
                <w:sz w:val="20"/>
                <w:szCs w:val="20"/>
                <w:color w:val="auto"/>
              </w:rPr>
            </w:pPr>
            <w:r>
              <w:rPr>
                <w:rFonts w:ascii="Arial" w:cs="Arial" w:eastAsia="Arial" w:hAnsi="Arial"/>
                <w:sz w:val="18"/>
                <w:szCs w:val="18"/>
                <w:color w:val="auto"/>
                <w:w w:val="91"/>
              </w:rPr>
              <w:t>8/8/2018</w:t>
            </w:r>
          </w:p>
        </w:tc>
      </w:tr>
      <w:tr>
        <w:trPr>
          <w:trHeight w:val="405"/>
        </w:trPr>
        <w:tc>
          <w:tcPr>
            <w:tcW w:w="680" w:type="dxa"/>
            <w:vAlign w:val="bottom"/>
          </w:tcPr>
          <w:p>
            <w:pPr>
              <w:spacing w:after="0"/>
              <w:rPr>
                <w:sz w:val="20"/>
                <w:szCs w:val="20"/>
                <w:color w:val="auto"/>
              </w:rPr>
            </w:pPr>
            <w:r>
              <w:rPr>
                <w:rFonts w:ascii="Arial" w:cs="Arial" w:eastAsia="Arial" w:hAnsi="Arial"/>
                <w:sz w:val="18"/>
                <w:szCs w:val="18"/>
                <w:color w:val="auto"/>
              </w:rPr>
              <w:t>10-Q</w:t>
            </w:r>
          </w:p>
        </w:tc>
        <w:tc>
          <w:tcPr>
            <w:tcW w:w="1060" w:type="dxa"/>
            <w:vAlign w:val="bottom"/>
          </w:tcPr>
          <w:p>
            <w:pPr>
              <w:jc w:val="center"/>
              <w:ind w:left="210"/>
              <w:spacing w:after="0"/>
              <w:rPr>
                <w:sz w:val="20"/>
                <w:szCs w:val="20"/>
                <w:color w:val="auto"/>
              </w:rPr>
            </w:pPr>
            <w:r>
              <w:rPr>
                <w:rFonts w:ascii="Arial" w:cs="Arial" w:eastAsia="Arial" w:hAnsi="Arial"/>
                <w:sz w:val="18"/>
                <w:szCs w:val="18"/>
                <w:color w:val="auto"/>
                <w:w w:val="91"/>
              </w:rPr>
              <w:t>8/8/2019</w:t>
            </w:r>
          </w:p>
        </w:tc>
      </w:tr>
      <w:tr>
        <w:trPr>
          <w:trHeight w:val="405"/>
        </w:trPr>
        <w:tc>
          <w:tcPr>
            <w:tcW w:w="680" w:type="dxa"/>
            <w:vAlign w:val="bottom"/>
          </w:tcPr>
          <w:p>
            <w:pPr>
              <w:spacing w:after="0"/>
              <w:rPr>
                <w:sz w:val="20"/>
                <w:szCs w:val="20"/>
                <w:color w:val="auto"/>
              </w:rPr>
            </w:pPr>
            <w:r>
              <w:rPr>
                <w:rFonts w:ascii="Arial" w:cs="Arial" w:eastAsia="Arial" w:hAnsi="Arial"/>
                <w:sz w:val="18"/>
                <w:szCs w:val="18"/>
                <w:color w:val="auto"/>
              </w:rPr>
              <w:t>10-Q</w:t>
            </w:r>
          </w:p>
        </w:tc>
        <w:tc>
          <w:tcPr>
            <w:tcW w:w="1060" w:type="dxa"/>
            <w:vAlign w:val="bottom"/>
          </w:tcPr>
          <w:p>
            <w:pPr>
              <w:jc w:val="center"/>
              <w:ind w:left="230"/>
              <w:spacing w:after="0"/>
              <w:rPr>
                <w:sz w:val="20"/>
                <w:szCs w:val="20"/>
                <w:color w:val="auto"/>
              </w:rPr>
            </w:pPr>
            <w:r>
              <w:rPr>
                <w:rFonts w:ascii="Arial" w:cs="Arial" w:eastAsia="Arial" w:hAnsi="Arial"/>
                <w:sz w:val="18"/>
                <w:szCs w:val="18"/>
                <w:color w:val="auto"/>
                <w:w w:val="92"/>
              </w:rPr>
              <w:t>2/24/2017</w:t>
            </w: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10-Q</w:t>
            </w:r>
          </w:p>
        </w:tc>
        <w:tc>
          <w:tcPr>
            <w:tcW w:w="1060" w:type="dxa"/>
            <w:vAlign w:val="bottom"/>
          </w:tcPr>
          <w:p>
            <w:pPr>
              <w:jc w:val="center"/>
              <w:ind w:left="210"/>
              <w:spacing w:after="0"/>
              <w:rPr>
                <w:sz w:val="20"/>
                <w:szCs w:val="20"/>
                <w:color w:val="auto"/>
              </w:rPr>
            </w:pPr>
            <w:r>
              <w:rPr>
                <w:rFonts w:ascii="Arial" w:cs="Arial" w:eastAsia="Arial" w:hAnsi="Arial"/>
                <w:sz w:val="18"/>
                <w:szCs w:val="18"/>
                <w:color w:val="auto"/>
                <w:w w:val="91"/>
              </w:rPr>
              <w:t>8/6/2018</w:t>
            </w:r>
          </w:p>
        </w:tc>
      </w:tr>
      <w:tr>
        <w:trPr>
          <w:trHeight w:val="405"/>
        </w:trPr>
        <w:tc>
          <w:tcPr>
            <w:tcW w:w="680" w:type="dxa"/>
            <w:vAlign w:val="bottom"/>
          </w:tcPr>
          <w:p>
            <w:pPr>
              <w:spacing w:after="0"/>
              <w:rPr>
                <w:sz w:val="20"/>
                <w:szCs w:val="20"/>
                <w:color w:val="auto"/>
              </w:rPr>
            </w:pPr>
            <w:r>
              <w:rPr>
                <w:rFonts w:ascii="Arial" w:cs="Arial" w:eastAsia="Arial" w:hAnsi="Arial"/>
                <w:sz w:val="18"/>
                <w:szCs w:val="18"/>
                <w:color w:val="auto"/>
              </w:rPr>
              <w:t>10-Q</w:t>
            </w:r>
          </w:p>
        </w:tc>
        <w:tc>
          <w:tcPr>
            <w:tcW w:w="1060" w:type="dxa"/>
            <w:vAlign w:val="bottom"/>
          </w:tcPr>
          <w:p>
            <w:pPr>
              <w:jc w:val="center"/>
              <w:ind w:left="230"/>
              <w:spacing w:after="0"/>
              <w:rPr>
                <w:sz w:val="20"/>
                <w:szCs w:val="20"/>
                <w:color w:val="auto"/>
              </w:rPr>
            </w:pPr>
            <w:r>
              <w:rPr>
                <w:rFonts w:ascii="Arial" w:cs="Arial" w:eastAsia="Arial" w:hAnsi="Arial"/>
                <w:sz w:val="18"/>
                <w:szCs w:val="18"/>
                <w:color w:val="auto"/>
                <w:w w:val="92"/>
              </w:rPr>
              <w:t>2/28/2018</w:t>
            </w:r>
          </w:p>
        </w:tc>
      </w:tr>
      <w:tr>
        <w:trPr>
          <w:trHeight w:val="581"/>
        </w:trPr>
        <w:tc>
          <w:tcPr>
            <w:tcW w:w="680" w:type="dxa"/>
            <w:vAlign w:val="bottom"/>
          </w:tcPr>
          <w:p>
            <w:pPr>
              <w:spacing w:after="0"/>
              <w:rPr>
                <w:sz w:val="20"/>
                <w:szCs w:val="20"/>
                <w:color w:val="auto"/>
              </w:rPr>
            </w:pPr>
            <w:r>
              <w:rPr>
                <w:rFonts w:ascii="Arial" w:cs="Arial" w:eastAsia="Arial" w:hAnsi="Arial"/>
                <w:sz w:val="18"/>
                <w:szCs w:val="18"/>
                <w:color w:val="auto"/>
              </w:rPr>
              <w:t>10-Q</w:t>
            </w:r>
          </w:p>
        </w:tc>
        <w:tc>
          <w:tcPr>
            <w:tcW w:w="1060" w:type="dxa"/>
            <w:vAlign w:val="bottom"/>
          </w:tcPr>
          <w:p>
            <w:pPr>
              <w:jc w:val="center"/>
              <w:ind w:left="230"/>
              <w:spacing w:after="0"/>
              <w:rPr>
                <w:sz w:val="20"/>
                <w:szCs w:val="20"/>
                <w:color w:val="auto"/>
              </w:rPr>
            </w:pPr>
            <w:r>
              <w:rPr>
                <w:rFonts w:ascii="Arial" w:cs="Arial" w:eastAsia="Arial" w:hAnsi="Arial"/>
                <w:sz w:val="18"/>
                <w:szCs w:val="18"/>
                <w:color w:val="auto"/>
                <w:w w:val="92"/>
              </w:rPr>
              <w:t>9/18/2002</w:t>
            </w: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10-K</w:t>
            </w:r>
          </w:p>
        </w:tc>
        <w:tc>
          <w:tcPr>
            <w:tcW w:w="1060" w:type="dxa"/>
            <w:vAlign w:val="bottom"/>
          </w:tcPr>
          <w:p>
            <w:pPr>
              <w:jc w:val="center"/>
              <w:ind w:left="230"/>
              <w:spacing w:after="0"/>
              <w:rPr>
                <w:sz w:val="20"/>
                <w:szCs w:val="20"/>
                <w:color w:val="auto"/>
              </w:rPr>
            </w:pPr>
            <w:r>
              <w:rPr>
                <w:rFonts w:ascii="Arial" w:cs="Arial" w:eastAsia="Arial" w:hAnsi="Arial"/>
                <w:sz w:val="18"/>
                <w:szCs w:val="18"/>
                <w:color w:val="auto"/>
              </w:rPr>
              <w:t>*</w:t>
            </w: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10-K</w:t>
            </w:r>
          </w:p>
        </w:tc>
        <w:tc>
          <w:tcPr>
            <w:tcW w:w="1060" w:type="dxa"/>
            <w:vAlign w:val="bottom"/>
          </w:tcPr>
          <w:p>
            <w:pPr>
              <w:jc w:val="center"/>
              <w:ind w:left="230"/>
              <w:spacing w:after="0"/>
              <w:rPr>
                <w:sz w:val="20"/>
                <w:szCs w:val="20"/>
                <w:color w:val="auto"/>
              </w:rPr>
            </w:pPr>
            <w:r>
              <w:rPr>
                <w:rFonts w:ascii="Arial" w:cs="Arial" w:eastAsia="Arial" w:hAnsi="Arial"/>
                <w:sz w:val="18"/>
                <w:szCs w:val="18"/>
                <w:color w:val="auto"/>
              </w:rPr>
              <w:t>*</w:t>
            </w: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10-K</w:t>
            </w:r>
          </w:p>
        </w:tc>
        <w:tc>
          <w:tcPr>
            <w:tcW w:w="1060" w:type="dxa"/>
            <w:vAlign w:val="bottom"/>
          </w:tcPr>
          <w:p>
            <w:pPr>
              <w:jc w:val="center"/>
              <w:ind w:left="230"/>
              <w:spacing w:after="0"/>
              <w:rPr>
                <w:sz w:val="20"/>
                <w:szCs w:val="20"/>
                <w:color w:val="auto"/>
              </w:rPr>
            </w:pPr>
            <w:r>
              <w:rPr>
                <w:rFonts w:ascii="Arial" w:cs="Arial" w:eastAsia="Arial" w:hAnsi="Arial"/>
                <w:sz w:val="18"/>
                <w:szCs w:val="18"/>
                <w:color w:val="auto"/>
              </w:rPr>
              <w:t>*</w:t>
            </w:r>
          </w:p>
        </w:tc>
      </w:tr>
      <w:tr>
        <w:trPr>
          <w:trHeight w:val="405"/>
        </w:trPr>
        <w:tc>
          <w:tcPr>
            <w:tcW w:w="680" w:type="dxa"/>
            <w:vAlign w:val="bottom"/>
          </w:tcPr>
          <w:p>
            <w:pPr>
              <w:spacing w:after="0"/>
              <w:rPr>
                <w:sz w:val="20"/>
                <w:szCs w:val="20"/>
                <w:color w:val="auto"/>
              </w:rPr>
            </w:pPr>
            <w:r>
              <w:rPr>
                <w:rFonts w:ascii="Arial" w:cs="Arial" w:eastAsia="Arial" w:hAnsi="Arial"/>
                <w:sz w:val="18"/>
                <w:szCs w:val="18"/>
                <w:color w:val="auto"/>
              </w:rPr>
              <w:t>10-K</w:t>
            </w:r>
          </w:p>
        </w:tc>
        <w:tc>
          <w:tcPr>
            <w:tcW w:w="1060" w:type="dxa"/>
            <w:vAlign w:val="bottom"/>
          </w:tcPr>
          <w:p>
            <w:pPr>
              <w:jc w:val="center"/>
              <w:ind w:left="230"/>
              <w:spacing w:after="0"/>
              <w:rPr>
                <w:sz w:val="20"/>
                <w:szCs w:val="20"/>
                <w:color w:val="auto"/>
              </w:rPr>
            </w:pPr>
            <w:r>
              <w:rPr>
                <w:rFonts w:ascii="Arial" w:cs="Arial" w:eastAsia="Arial" w:hAnsi="Arial"/>
                <w:sz w:val="18"/>
                <w:szCs w:val="18"/>
                <w:color w:val="auto"/>
              </w:rPr>
              <w:t>*</w:t>
            </w:r>
          </w:p>
        </w:tc>
      </w:tr>
      <w:tr>
        <w:trPr>
          <w:trHeight w:val="405"/>
        </w:trPr>
        <w:tc>
          <w:tcPr>
            <w:tcW w:w="680" w:type="dxa"/>
            <w:vAlign w:val="bottom"/>
          </w:tcPr>
          <w:p>
            <w:pPr>
              <w:spacing w:after="0"/>
              <w:rPr>
                <w:sz w:val="20"/>
                <w:szCs w:val="20"/>
                <w:color w:val="auto"/>
              </w:rPr>
            </w:pPr>
            <w:r>
              <w:rPr>
                <w:rFonts w:ascii="Arial" w:cs="Arial" w:eastAsia="Arial" w:hAnsi="Arial"/>
                <w:sz w:val="18"/>
                <w:szCs w:val="18"/>
                <w:color w:val="auto"/>
              </w:rPr>
              <w:t>10-K</w:t>
            </w:r>
          </w:p>
        </w:tc>
        <w:tc>
          <w:tcPr>
            <w:tcW w:w="1060" w:type="dxa"/>
            <w:vAlign w:val="bottom"/>
          </w:tcPr>
          <w:p>
            <w:pPr>
              <w:jc w:val="center"/>
              <w:ind w:left="230"/>
              <w:spacing w:after="0"/>
              <w:rPr>
                <w:sz w:val="20"/>
                <w:szCs w:val="20"/>
                <w:color w:val="auto"/>
              </w:rPr>
            </w:pPr>
            <w:r>
              <w:rPr>
                <w:rFonts w:ascii="Arial" w:cs="Arial" w:eastAsia="Arial" w:hAnsi="Arial"/>
                <w:sz w:val="18"/>
                <w:szCs w:val="18"/>
                <w:color w:val="auto"/>
              </w:rPr>
              <w:t>*</w:t>
            </w: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10-K</w:t>
            </w:r>
          </w:p>
        </w:tc>
        <w:tc>
          <w:tcPr>
            <w:tcW w:w="1060" w:type="dxa"/>
            <w:vAlign w:val="bottom"/>
          </w:tcPr>
          <w:p>
            <w:pPr>
              <w:jc w:val="center"/>
              <w:ind w:left="230"/>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2">
            <w:col w:w="8940" w:space="500"/>
            <w:col w:w="1740"/>
          </w:cols>
          <w:pgMar w:left="240" w:top="121" w:right="479" w:bottom="1440" w:gutter="0" w:footer="0" w:header="0"/>
          <w:type w:val="continuous"/>
        </w:sectPr>
      </w:pPr>
    </w:p>
    <w:bookmarkStart w:id="117" w:name="page118"/>
    <w:bookmarkEnd w:id="1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140" w:firstLine="97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WYNN RESORTS, LIMITED</w:t>
      </w:r>
    </w:p>
    <w:p>
      <w:pPr>
        <w:spacing w:after="0" w:line="121" w:lineRule="exact"/>
        <w:rPr>
          <w:sz w:val="20"/>
          <w:szCs w:val="20"/>
          <w:color w:val="auto"/>
        </w:rPr>
      </w:pPr>
    </w:p>
    <w:p>
      <w:pPr>
        <w:ind w:left="20"/>
        <w:spacing w:after="0"/>
        <w:tabs>
          <w:tab w:leader="none" w:pos="4240" w:val="left"/>
          <w:tab w:leader="none" w:pos="4860" w:val="left"/>
        </w:tabs>
        <w:rPr>
          <w:sz w:val="20"/>
          <w:szCs w:val="20"/>
          <w:color w:val="auto"/>
        </w:rPr>
      </w:pPr>
      <w:r>
        <w:rPr>
          <w:rFonts w:ascii="Arial" w:cs="Arial" w:eastAsia="Arial" w:hAnsi="Arial"/>
          <w:sz w:val="18"/>
          <w:szCs w:val="18"/>
          <w:color w:val="auto"/>
        </w:rPr>
        <w:t>Dated: February 28,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31750</wp:posOffset>
            </wp:positionV>
            <wp:extent cx="42621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0">
                      <a:extLst>
                        <a:ext uri="{28A0092B-C50C-407E-A947-70E740481C1C}"/>
                      </a:extLst>
                    </a:blip>
                    <a:srcRect/>
                    <a:stretch>
                      <a:fillRect/>
                    </a:stretch>
                  </pic:blipFill>
                  <pic:spPr bwMode="auto">
                    <a:xfrm>
                      <a:off x="0" y="0"/>
                      <a:ext cx="4262120" cy="8890"/>
                    </a:xfrm>
                    <a:prstGeom prst="rect">
                      <a:avLst/>
                    </a:prstGeom>
                    <a:noFill/>
                  </pic:spPr>
                </pic:pic>
              </a:graphicData>
            </a:graphic>
          </wp:anchor>
        </w:drawing>
      </w:r>
    </w:p>
    <w:p>
      <w:pPr>
        <w:spacing w:after="0" w:line="57"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Matt Maddox</w:t>
      </w:r>
    </w:p>
    <w:p>
      <w:pPr>
        <w:spacing w:after="0" w:line="6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Director, Chief Executive Officer (Principal Executive Officer)</w:t>
      </w:r>
    </w:p>
    <w:p>
      <w:pPr>
        <w:spacing w:after="0" w:line="198" w:lineRule="exact"/>
        <w:rPr>
          <w:sz w:val="20"/>
          <w:szCs w:val="20"/>
          <w:color w:val="auto"/>
        </w:rPr>
      </w:pPr>
    </w:p>
    <w:p>
      <w:pPr>
        <w:ind w:firstLine="97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2680" w:type="dxa"/>
            <w:vAlign w:val="bottom"/>
            <w:gridSpan w:val="2"/>
          </w:tcPr>
          <w:p>
            <w:pPr>
              <w:spacing w:after="0"/>
              <w:rPr>
                <w:sz w:val="20"/>
                <w:szCs w:val="20"/>
                <w:color w:val="auto"/>
              </w:rPr>
            </w:pPr>
            <w:r>
              <w:rPr>
                <w:rFonts w:ascii="Arial" w:cs="Arial" w:eastAsia="Arial" w:hAnsi="Arial"/>
                <w:sz w:val="14"/>
                <w:szCs w:val="14"/>
                <w:color w:val="auto"/>
              </w:rPr>
              <w:t>Signature</w:t>
            </w:r>
          </w:p>
        </w:tc>
        <w:tc>
          <w:tcPr>
            <w:tcW w:w="4360" w:type="dxa"/>
            <w:vAlign w:val="bottom"/>
            <w:gridSpan w:val="3"/>
          </w:tcPr>
          <w:p>
            <w:pPr>
              <w:ind w:left="2020"/>
              <w:spacing w:after="0"/>
              <w:rPr>
                <w:sz w:val="20"/>
                <w:szCs w:val="20"/>
                <w:color w:val="auto"/>
              </w:rPr>
            </w:pPr>
            <w:r>
              <w:rPr>
                <w:rFonts w:ascii="Arial" w:cs="Arial" w:eastAsia="Arial" w:hAnsi="Arial"/>
                <w:sz w:val="14"/>
                <w:szCs w:val="14"/>
                <w:color w:val="auto"/>
              </w:rPr>
              <w:t>Title</w:t>
            </w:r>
          </w:p>
        </w:tc>
        <w:tc>
          <w:tcPr>
            <w:tcW w:w="1060" w:type="dxa"/>
            <w:vAlign w:val="bottom"/>
          </w:tcPr>
          <w:p>
            <w:pPr>
              <w:spacing w:after="0"/>
              <w:rPr>
                <w:sz w:val="14"/>
                <w:szCs w:val="14"/>
                <w:color w:val="auto"/>
              </w:rPr>
            </w:pPr>
          </w:p>
        </w:tc>
        <w:tc>
          <w:tcPr>
            <w:tcW w:w="800" w:type="dxa"/>
            <w:vAlign w:val="bottom"/>
            <w:gridSpan w:val="2"/>
          </w:tcPr>
          <w:p>
            <w:pPr>
              <w:jc w:val="center"/>
              <w:ind w:right="540"/>
              <w:spacing w:after="0"/>
              <w:rPr>
                <w:sz w:val="20"/>
                <w:szCs w:val="20"/>
                <w:color w:val="auto"/>
              </w:rPr>
            </w:pPr>
            <w:r>
              <w:rPr>
                <w:rFonts w:ascii="Arial" w:cs="Arial" w:eastAsia="Arial" w:hAnsi="Arial"/>
                <w:sz w:val="14"/>
                <w:szCs w:val="14"/>
                <w:color w:val="auto"/>
                <w:w w:val="87"/>
              </w:rPr>
              <w:t>Date</w:t>
            </w:r>
          </w:p>
        </w:tc>
      </w:tr>
      <w:tr>
        <w:trPr>
          <w:trHeight w:val="20"/>
        </w:trPr>
        <w:tc>
          <w:tcPr>
            <w:tcW w:w="2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03"/>
        </w:trPr>
        <w:tc>
          <w:tcPr>
            <w:tcW w:w="2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360" w:type="dxa"/>
            <w:vAlign w:val="bottom"/>
            <w:gridSpan w:val="3"/>
          </w:tcPr>
          <w:p>
            <w:pPr>
              <w:ind w:left="360"/>
              <w:spacing w:after="0"/>
              <w:rPr>
                <w:sz w:val="20"/>
                <w:szCs w:val="20"/>
                <w:color w:val="auto"/>
              </w:rPr>
            </w:pPr>
            <w:r>
              <w:rPr>
                <w:rFonts w:ascii="Arial" w:cs="Arial" w:eastAsia="Arial" w:hAnsi="Arial"/>
                <w:sz w:val="18"/>
                <w:szCs w:val="18"/>
                <w:color w:val="auto"/>
              </w:rPr>
              <w:t>Director, Chief Executive Officer (Principal</w:t>
            </w:r>
          </w:p>
        </w:tc>
        <w:tc>
          <w:tcPr>
            <w:tcW w:w="1860" w:type="dxa"/>
            <w:vAlign w:val="bottom"/>
            <w:gridSpan w:val="3"/>
          </w:tcPr>
          <w:p>
            <w:pPr>
              <w:jc w:val="center"/>
              <w:ind w:left="450"/>
              <w:spacing w:after="0"/>
              <w:rPr>
                <w:sz w:val="20"/>
                <w:szCs w:val="20"/>
                <w:color w:val="auto"/>
              </w:rPr>
            </w:pPr>
            <w:r>
              <w:rPr>
                <w:rFonts w:ascii="Arial" w:cs="Arial" w:eastAsia="Arial" w:hAnsi="Arial"/>
                <w:sz w:val="18"/>
                <w:szCs w:val="18"/>
                <w:color w:val="auto"/>
                <w:w w:val="89"/>
              </w:rPr>
              <w:t>February 28, 2020</w:t>
            </w:r>
          </w:p>
        </w:tc>
      </w:tr>
      <w:tr>
        <w:trPr>
          <w:trHeight w:val="230"/>
        </w:trPr>
        <w:tc>
          <w:tcPr>
            <w:tcW w:w="4800" w:type="dxa"/>
            <w:vAlign w:val="bottom"/>
            <w:gridSpan w:val="3"/>
          </w:tcPr>
          <w:p>
            <w:pPr>
              <w:ind w:left="220"/>
              <w:spacing w:after="0"/>
              <w:rPr>
                <w:sz w:val="20"/>
                <w:szCs w:val="20"/>
                <w:color w:val="auto"/>
              </w:rPr>
            </w:pPr>
            <w:r>
              <w:rPr>
                <w:rFonts w:ascii="Arial" w:cs="Arial" w:eastAsia="Arial" w:hAnsi="Arial"/>
                <w:sz w:val="18"/>
                <w:szCs w:val="18"/>
                <w:color w:val="auto"/>
              </w:rPr>
              <w:t>/s/ Matt Maddox</w:t>
            </w:r>
          </w:p>
        </w:tc>
        <w:tc>
          <w:tcPr>
            <w:tcW w:w="4360" w:type="dxa"/>
            <w:vAlign w:val="bottom"/>
            <w:gridSpan w:val="3"/>
          </w:tcPr>
          <w:p>
            <w:pPr>
              <w:ind w:left="360"/>
              <w:spacing w:after="0"/>
              <w:rPr>
                <w:sz w:val="20"/>
                <w:szCs w:val="20"/>
                <w:color w:val="auto"/>
              </w:rPr>
            </w:pPr>
            <w:r>
              <w:rPr>
                <w:rFonts w:ascii="Arial" w:cs="Arial" w:eastAsia="Arial" w:hAnsi="Arial"/>
                <w:sz w:val="18"/>
                <w:szCs w:val="18"/>
                <w:color w:val="auto"/>
              </w:rPr>
              <w:t>Executive Officer)</w:t>
            </w: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7"/>
        </w:trPr>
        <w:tc>
          <w:tcPr>
            <w:tcW w:w="2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37"/>
        </w:trPr>
        <w:tc>
          <w:tcPr>
            <w:tcW w:w="4800" w:type="dxa"/>
            <w:vAlign w:val="bottom"/>
            <w:gridSpan w:val="3"/>
          </w:tcPr>
          <w:p>
            <w:pPr>
              <w:ind w:left="20"/>
              <w:spacing w:after="0"/>
              <w:rPr>
                <w:sz w:val="20"/>
                <w:szCs w:val="20"/>
                <w:color w:val="auto"/>
              </w:rPr>
            </w:pPr>
            <w:r>
              <w:rPr>
                <w:rFonts w:ascii="Arial" w:cs="Arial" w:eastAsia="Arial" w:hAnsi="Arial"/>
                <w:sz w:val="18"/>
                <w:szCs w:val="18"/>
                <w:color w:val="auto"/>
              </w:rPr>
              <w:t>Matt Maddox</w:t>
            </w:r>
          </w:p>
        </w:tc>
        <w:tc>
          <w:tcPr>
            <w:tcW w:w="2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310"/>
        </w:trPr>
        <w:tc>
          <w:tcPr>
            <w:tcW w:w="2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360" w:type="dxa"/>
            <w:vAlign w:val="bottom"/>
            <w:gridSpan w:val="3"/>
          </w:tcPr>
          <w:p>
            <w:pPr>
              <w:ind w:left="360"/>
              <w:spacing w:after="0"/>
              <w:rPr>
                <w:sz w:val="20"/>
                <w:szCs w:val="20"/>
                <w:color w:val="auto"/>
              </w:rPr>
            </w:pPr>
            <w:r>
              <w:rPr>
                <w:rFonts w:ascii="Arial" w:cs="Arial" w:eastAsia="Arial" w:hAnsi="Arial"/>
                <w:sz w:val="18"/>
                <w:szCs w:val="18"/>
                <w:color w:val="auto"/>
              </w:rPr>
              <w:t>President, Chief Financial Officer and Treasurer</w:t>
            </w:r>
          </w:p>
        </w:tc>
        <w:tc>
          <w:tcPr>
            <w:tcW w:w="1860" w:type="dxa"/>
            <w:vAlign w:val="bottom"/>
            <w:gridSpan w:val="3"/>
          </w:tcPr>
          <w:p>
            <w:pPr>
              <w:jc w:val="center"/>
              <w:ind w:left="450"/>
              <w:spacing w:after="0"/>
              <w:rPr>
                <w:sz w:val="20"/>
                <w:szCs w:val="20"/>
                <w:color w:val="auto"/>
              </w:rPr>
            </w:pPr>
            <w:r>
              <w:rPr>
                <w:rFonts w:ascii="Arial" w:cs="Arial" w:eastAsia="Arial" w:hAnsi="Arial"/>
                <w:sz w:val="18"/>
                <w:szCs w:val="18"/>
                <w:color w:val="auto"/>
                <w:w w:val="89"/>
              </w:rPr>
              <w:t>February 28, 2020</w:t>
            </w:r>
          </w:p>
        </w:tc>
      </w:tr>
      <w:tr>
        <w:trPr>
          <w:trHeight w:val="230"/>
        </w:trPr>
        <w:tc>
          <w:tcPr>
            <w:tcW w:w="4800" w:type="dxa"/>
            <w:vAlign w:val="bottom"/>
            <w:gridSpan w:val="3"/>
          </w:tcPr>
          <w:p>
            <w:pPr>
              <w:ind w:left="220"/>
              <w:spacing w:after="0"/>
              <w:rPr>
                <w:sz w:val="20"/>
                <w:szCs w:val="20"/>
                <w:color w:val="auto"/>
              </w:rPr>
            </w:pPr>
            <w:r>
              <w:rPr>
                <w:rFonts w:ascii="Arial" w:cs="Arial" w:eastAsia="Arial" w:hAnsi="Arial"/>
                <w:sz w:val="18"/>
                <w:szCs w:val="18"/>
                <w:color w:val="auto"/>
              </w:rPr>
              <w:t>/s/ Craig S. Billings</w:t>
            </w:r>
          </w:p>
        </w:tc>
        <w:tc>
          <w:tcPr>
            <w:tcW w:w="4360" w:type="dxa"/>
            <w:vAlign w:val="bottom"/>
            <w:gridSpan w:val="3"/>
          </w:tcPr>
          <w:p>
            <w:pPr>
              <w:ind w:left="360"/>
              <w:spacing w:after="0"/>
              <w:rPr>
                <w:sz w:val="20"/>
                <w:szCs w:val="20"/>
                <w:color w:val="auto"/>
              </w:rPr>
            </w:pPr>
            <w:r>
              <w:rPr>
                <w:rFonts w:ascii="Arial" w:cs="Arial" w:eastAsia="Arial" w:hAnsi="Arial"/>
                <w:sz w:val="18"/>
                <w:szCs w:val="18"/>
                <w:color w:val="auto"/>
              </w:rPr>
              <w:t>(Principal Financial and Accounting Officer)</w:t>
            </w: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7"/>
        </w:trPr>
        <w:tc>
          <w:tcPr>
            <w:tcW w:w="2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37"/>
        </w:trPr>
        <w:tc>
          <w:tcPr>
            <w:tcW w:w="4800" w:type="dxa"/>
            <w:vAlign w:val="bottom"/>
            <w:gridSpan w:val="3"/>
          </w:tcPr>
          <w:p>
            <w:pPr>
              <w:ind w:left="20"/>
              <w:spacing w:after="0"/>
              <w:rPr>
                <w:sz w:val="20"/>
                <w:szCs w:val="20"/>
                <w:color w:val="auto"/>
              </w:rPr>
            </w:pPr>
            <w:r>
              <w:rPr>
                <w:rFonts w:ascii="Arial" w:cs="Arial" w:eastAsia="Arial" w:hAnsi="Arial"/>
                <w:sz w:val="18"/>
                <w:szCs w:val="18"/>
                <w:color w:val="auto"/>
              </w:rPr>
              <w:t>Craig S. Billings</w:t>
            </w:r>
          </w:p>
        </w:tc>
        <w:tc>
          <w:tcPr>
            <w:tcW w:w="2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324"/>
        </w:trPr>
        <w:tc>
          <w:tcPr>
            <w:tcW w:w="4800" w:type="dxa"/>
            <w:vAlign w:val="bottom"/>
            <w:gridSpan w:val="3"/>
          </w:tcPr>
          <w:p>
            <w:pPr>
              <w:ind w:left="220"/>
              <w:spacing w:after="0"/>
              <w:rPr>
                <w:sz w:val="20"/>
                <w:szCs w:val="20"/>
                <w:color w:val="auto"/>
              </w:rPr>
            </w:pPr>
            <w:r>
              <w:rPr>
                <w:rFonts w:ascii="Arial" w:cs="Arial" w:eastAsia="Arial" w:hAnsi="Arial"/>
                <w:sz w:val="18"/>
                <w:szCs w:val="18"/>
                <w:color w:val="auto"/>
              </w:rPr>
              <w:t>/s/ Philip G. Satre</w:t>
            </w:r>
          </w:p>
        </w:tc>
        <w:tc>
          <w:tcPr>
            <w:tcW w:w="4360" w:type="dxa"/>
            <w:vAlign w:val="bottom"/>
            <w:gridSpan w:val="3"/>
          </w:tcPr>
          <w:p>
            <w:pPr>
              <w:ind w:left="360"/>
              <w:spacing w:after="0"/>
              <w:rPr>
                <w:sz w:val="20"/>
                <w:szCs w:val="20"/>
                <w:color w:val="auto"/>
              </w:rPr>
            </w:pPr>
            <w:r>
              <w:rPr>
                <w:rFonts w:ascii="Arial" w:cs="Arial" w:eastAsia="Arial" w:hAnsi="Arial"/>
                <w:sz w:val="18"/>
                <w:szCs w:val="18"/>
                <w:color w:val="auto"/>
              </w:rPr>
              <w:t>Non-Executive Chair of the Board and Director</w:t>
            </w:r>
          </w:p>
        </w:tc>
        <w:tc>
          <w:tcPr>
            <w:tcW w:w="1860" w:type="dxa"/>
            <w:vAlign w:val="bottom"/>
            <w:gridSpan w:val="3"/>
          </w:tcPr>
          <w:p>
            <w:pPr>
              <w:jc w:val="center"/>
              <w:ind w:left="450"/>
              <w:spacing w:after="0"/>
              <w:rPr>
                <w:sz w:val="20"/>
                <w:szCs w:val="20"/>
                <w:color w:val="auto"/>
              </w:rPr>
            </w:pPr>
            <w:r>
              <w:rPr>
                <w:rFonts w:ascii="Arial" w:cs="Arial" w:eastAsia="Arial" w:hAnsi="Arial"/>
                <w:sz w:val="18"/>
                <w:szCs w:val="18"/>
                <w:color w:val="auto"/>
                <w:w w:val="89"/>
              </w:rPr>
              <w:t>February 28, 2020</w:t>
            </w:r>
          </w:p>
        </w:tc>
      </w:tr>
      <w:tr>
        <w:trPr>
          <w:trHeight w:val="27"/>
        </w:trPr>
        <w:tc>
          <w:tcPr>
            <w:tcW w:w="2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37"/>
        </w:trPr>
        <w:tc>
          <w:tcPr>
            <w:tcW w:w="4800" w:type="dxa"/>
            <w:vAlign w:val="bottom"/>
            <w:gridSpan w:val="3"/>
          </w:tcPr>
          <w:p>
            <w:pPr>
              <w:ind w:left="20"/>
              <w:spacing w:after="0"/>
              <w:rPr>
                <w:sz w:val="20"/>
                <w:szCs w:val="20"/>
                <w:color w:val="auto"/>
              </w:rPr>
            </w:pPr>
            <w:r>
              <w:rPr>
                <w:rFonts w:ascii="Arial" w:cs="Arial" w:eastAsia="Arial" w:hAnsi="Arial"/>
                <w:sz w:val="18"/>
                <w:szCs w:val="18"/>
                <w:color w:val="auto"/>
              </w:rPr>
              <w:t>Philip G. Satre</w:t>
            </w:r>
          </w:p>
        </w:tc>
        <w:tc>
          <w:tcPr>
            <w:tcW w:w="2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324"/>
        </w:trPr>
        <w:tc>
          <w:tcPr>
            <w:tcW w:w="4800" w:type="dxa"/>
            <w:vAlign w:val="bottom"/>
            <w:gridSpan w:val="3"/>
          </w:tcPr>
          <w:p>
            <w:pPr>
              <w:ind w:left="220"/>
              <w:spacing w:after="0"/>
              <w:rPr>
                <w:sz w:val="20"/>
                <w:szCs w:val="20"/>
                <w:color w:val="auto"/>
              </w:rPr>
            </w:pPr>
            <w:r>
              <w:rPr>
                <w:rFonts w:ascii="Arial" w:cs="Arial" w:eastAsia="Arial" w:hAnsi="Arial"/>
                <w:sz w:val="18"/>
                <w:szCs w:val="18"/>
                <w:color w:val="auto"/>
              </w:rPr>
              <w:t>/s/ Betsy S. Atkins</w:t>
            </w:r>
          </w:p>
        </w:tc>
        <w:tc>
          <w:tcPr>
            <w:tcW w:w="436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c>
          <w:tcPr>
            <w:tcW w:w="1860" w:type="dxa"/>
            <w:vAlign w:val="bottom"/>
            <w:gridSpan w:val="3"/>
          </w:tcPr>
          <w:p>
            <w:pPr>
              <w:jc w:val="center"/>
              <w:ind w:left="450"/>
              <w:spacing w:after="0"/>
              <w:rPr>
                <w:sz w:val="20"/>
                <w:szCs w:val="20"/>
                <w:color w:val="auto"/>
              </w:rPr>
            </w:pPr>
            <w:r>
              <w:rPr>
                <w:rFonts w:ascii="Arial" w:cs="Arial" w:eastAsia="Arial" w:hAnsi="Arial"/>
                <w:sz w:val="18"/>
                <w:szCs w:val="18"/>
                <w:color w:val="auto"/>
                <w:w w:val="89"/>
              </w:rPr>
              <w:t>February 28, 2020</w:t>
            </w:r>
          </w:p>
        </w:tc>
      </w:tr>
      <w:tr>
        <w:trPr>
          <w:trHeight w:val="27"/>
        </w:trPr>
        <w:tc>
          <w:tcPr>
            <w:tcW w:w="2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37"/>
        </w:trPr>
        <w:tc>
          <w:tcPr>
            <w:tcW w:w="4800" w:type="dxa"/>
            <w:vAlign w:val="bottom"/>
            <w:gridSpan w:val="3"/>
          </w:tcPr>
          <w:p>
            <w:pPr>
              <w:ind w:left="20"/>
              <w:spacing w:after="0"/>
              <w:rPr>
                <w:sz w:val="20"/>
                <w:szCs w:val="20"/>
                <w:color w:val="auto"/>
              </w:rPr>
            </w:pPr>
            <w:r>
              <w:rPr>
                <w:rFonts w:ascii="Arial" w:cs="Arial" w:eastAsia="Arial" w:hAnsi="Arial"/>
                <w:sz w:val="18"/>
                <w:szCs w:val="18"/>
                <w:color w:val="auto"/>
              </w:rPr>
              <w:t>Betsy S. Atkins</w:t>
            </w:r>
          </w:p>
        </w:tc>
        <w:tc>
          <w:tcPr>
            <w:tcW w:w="2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324"/>
        </w:trPr>
        <w:tc>
          <w:tcPr>
            <w:tcW w:w="4800" w:type="dxa"/>
            <w:vAlign w:val="bottom"/>
            <w:gridSpan w:val="3"/>
          </w:tcPr>
          <w:p>
            <w:pPr>
              <w:ind w:left="220"/>
              <w:spacing w:after="0"/>
              <w:rPr>
                <w:sz w:val="20"/>
                <w:szCs w:val="20"/>
                <w:color w:val="auto"/>
              </w:rPr>
            </w:pPr>
            <w:r>
              <w:rPr>
                <w:rFonts w:ascii="Arial" w:cs="Arial" w:eastAsia="Arial" w:hAnsi="Arial"/>
                <w:sz w:val="18"/>
                <w:szCs w:val="18"/>
                <w:color w:val="auto"/>
              </w:rPr>
              <w:t>/s/ Richard J. Byrne</w:t>
            </w:r>
          </w:p>
        </w:tc>
        <w:tc>
          <w:tcPr>
            <w:tcW w:w="436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c>
          <w:tcPr>
            <w:tcW w:w="1860" w:type="dxa"/>
            <w:vAlign w:val="bottom"/>
            <w:gridSpan w:val="3"/>
          </w:tcPr>
          <w:p>
            <w:pPr>
              <w:jc w:val="center"/>
              <w:ind w:left="450"/>
              <w:spacing w:after="0"/>
              <w:rPr>
                <w:sz w:val="20"/>
                <w:szCs w:val="20"/>
                <w:color w:val="auto"/>
              </w:rPr>
            </w:pPr>
            <w:r>
              <w:rPr>
                <w:rFonts w:ascii="Arial" w:cs="Arial" w:eastAsia="Arial" w:hAnsi="Arial"/>
                <w:sz w:val="18"/>
                <w:szCs w:val="18"/>
                <w:color w:val="auto"/>
                <w:w w:val="89"/>
              </w:rPr>
              <w:t>February 28, 2020</w:t>
            </w:r>
          </w:p>
        </w:tc>
      </w:tr>
      <w:tr>
        <w:trPr>
          <w:trHeight w:val="27"/>
        </w:trPr>
        <w:tc>
          <w:tcPr>
            <w:tcW w:w="2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37"/>
        </w:trPr>
        <w:tc>
          <w:tcPr>
            <w:tcW w:w="4800" w:type="dxa"/>
            <w:vAlign w:val="bottom"/>
            <w:gridSpan w:val="3"/>
          </w:tcPr>
          <w:p>
            <w:pPr>
              <w:ind w:left="20"/>
              <w:spacing w:after="0"/>
              <w:rPr>
                <w:sz w:val="20"/>
                <w:szCs w:val="20"/>
                <w:color w:val="auto"/>
              </w:rPr>
            </w:pPr>
            <w:r>
              <w:rPr>
                <w:rFonts w:ascii="Arial" w:cs="Arial" w:eastAsia="Arial" w:hAnsi="Arial"/>
                <w:sz w:val="18"/>
                <w:szCs w:val="18"/>
                <w:color w:val="auto"/>
              </w:rPr>
              <w:t>Richard J. Byrne</w:t>
            </w:r>
          </w:p>
        </w:tc>
        <w:tc>
          <w:tcPr>
            <w:tcW w:w="2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324"/>
        </w:trPr>
        <w:tc>
          <w:tcPr>
            <w:tcW w:w="4800" w:type="dxa"/>
            <w:vAlign w:val="bottom"/>
            <w:gridSpan w:val="3"/>
          </w:tcPr>
          <w:p>
            <w:pPr>
              <w:ind w:left="220"/>
              <w:spacing w:after="0"/>
              <w:rPr>
                <w:sz w:val="20"/>
                <w:szCs w:val="20"/>
                <w:color w:val="auto"/>
              </w:rPr>
            </w:pPr>
            <w:r>
              <w:rPr>
                <w:rFonts w:ascii="Arial" w:cs="Arial" w:eastAsia="Arial" w:hAnsi="Arial"/>
                <w:sz w:val="18"/>
                <w:szCs w:val="18"/>
                <w:color w:val="auto"/>
              </w:rPr>
              <w:t>/s/ Jay L. Johnson</w:t>
            </w:r>
          </w:p>
        </w:tc>
        <w:tc>
          <w:tcPr>
            <w:tcW w:w="436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c>
          <w:tcPr>
            <w:tcW w:w="1860" w:type="dxa"/>
            <w:vAlign w:val="bottom"/>
            <w:gridSpan w:val="3"/>
          </w:tcPr>
          <w:p>
            <w:pPr>
              <w:jc w:val="center"/>
              <w:ind w:left="450"/>
              <w:spacing w:after="0"/>
              <w:rPr>
                <w:sz w:val="20"/>
                <w:szCs w:val="20"/>
                <w:color w:val="auto"/>
              </w:rPr>
            </w:pPr>
            <w:r>
              <w:rPr>
                <w:rFonts w:ascii="Arial" w:cs="Arial" w:eastAsia="Arial" w:hAnsi="Arial"/>
                <w:sz w:val="18"/>
                <w:szCs w:val="18"/>
                <w:color w:val="auto"/>
                <w:w w:val="89"/>
              </w:rPr>
              <w:t>February 28, 2020</w:t>
            </w:r>
          </w:p>
        </w:tc>
      </w:tr>
      <w:tr>
        <w:trPr>
          <w:trHeight w:val="27"/>
        </w:trPr>
        <w:tc>
          <w:tcPr>
            <w:tcW w:w="2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37"/>
        </w:trPr>
        <w:tc>
          <w:tcPr>
            <w:tcW w:w="4800" w:type="dxa"/>
            <w:vAlign w:val="bottom"/>
            <w:gridSpan w:val="3"/>
          </w:tcPr>
          <w:p>
            <w:pPr>
              <w:ind w:left="20"/>
              <w:spacing w:after="0"/>
              <w:rPr>
                <w:sz w:val="20"/>
                <w:szCs w:val="20"/>
                <w:color w:val="auto"/>
              </w:rPr>
            </w:pPr>
            <w:r>
              <w:rPr>
                <w:rFonts w:ascii="Arial" w:cs="Arial" w:eastAsia="Arial" w:hAnsi="Arial"/>
                <w:sz w:val="18"/>
                <w:szCs w:val="18"/>
                <w:color w:val="auto"/>
              </w:rPr>
              <w:t>Jay L. Johnson</w:t>
            </w:r>
          </w:p>
        </w:tc>
        <w:tc>
          <w:tcPr>
            <w:tcW w:w="2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324"/>
        </w:trPr>
        <w:tc>
          <w:tcPr>
            <w:tcW w:w="4800" w:type="dxa"/>
            <w:vAlign w:val="bottom"/>
            <w:gridSpan w:val="3"/>
          </w:tcPr>
          <w:p>
            <w:pPr>
              <w:ind w:left="220"/>
              <w:spacing w:after="0"/>
              <w:rPr>
                <w:sz w:val="20"/>
                <w:szCs w:val="20"/>
                <w:color w:val="auto"/>
              </w:rPr>
            </w:pPr>
            <w:r>
              <w:rPr>
                <w:rFonts w:ascii="Arial" w:cs="Arial" w:eastAsia="Arial" w:hAnsi="Arial"/>
                <w:sz w:val="18"/>
                <w:szCs w:val="18"/>
                <w:color w:val="auto"/>
              </w:rPr>
              <w:t>/s/ Patricia Mulroy</w:t>
            </w:r>
          </w:p>
        </w:tc>
        <w:tc>
          <w:tcPr>
            <w:tcW w:w="436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c>
          <w:tcPr>
            <w:tcW w:w="1860" w:type="dxa"/>
            <w:vAlign w:val="bottom"/>
            <w:gridSpan w:val="3"/>
          </w:tcPr>
          <w:p>
            <w:pPr>
              <w:jc w:val="center"/>
              <w:ind w:left="450"/>
              <w:spacing w:after="0"/>
              <w:rPr>
                <w:sz w:val="20"/>
                <w:szCs w:val="20"/>
                <w:color w:val="auto"/>
              </w:rPr>
            </w:pPr>
            <w:r>
              <w:rPr>
                <w:rFonts w:ascii="Arial" w:cs="Arial" w:eastAsia="Arial" w:hAnsi="Arial"/>
                <w:sz w:val="18"/>
                <w:szCs w:val="18"/>
                <w:color w:val="auto"/>
                <w:w w:val="89"/>
              </w:rPr>
              <w:t>February 28, 2020</w:t>
            </w:r>
          </w:p>
        </w:tc>
      </w:tr>
      <w:tr>
        <w:trPr>
          <w:trHeight w:val="27"/>
        </w:trPr>
        <w:tc>
          <w:tcPr>
            <w:tcW w:w="2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37"/>
        </w:trPr>
        <w:tc>
          <w:tcPr>
            <w:tcW w:w="4800" w:type="dxa"/>
            <w:vAlign w:val="bottom"/>
            <w:gridSpan w:val="3"/>
          </w:tcPr>
          <w:p>
            <w:pPr>
              <w:ind w:left="20"/>
              <w:spacing w:after="0"/>
              <w:rPr>
                <w:sz w:val="20"/>
                <w:szCs w:val="20"/>
                <w:color w:val="auto"/>
              </w:rPr>
            </w:pPr>
            <w:r>
              <w:rPr>
                <w:rFonts w:ascii="Arial" w:cs="Arial" w:eastAsia="Arial" w:hAnsi="Arial"/>
                <w:sz w:val="18"/>
                <w:szCs w:val="18"/>
                <w:color w:val="auto"/>
              </w:rPr>
              <w:t>Patricia Mulroy</w:t>
            </w:r>
          </w:p>
        </w:tc>
        <w:tc>
          <w:tcPr>
            <w:tcW w:w="2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324"/>
        </w:trPr>
        <w:tc>
          <w:tcPr>
            <w:tcW w:w="4800" w:type="dxa"/>
            <w:vAlign w:val="bottom"/>
            <w:gridSpan w:val="3"/>
          </w:tcPr>
          <w:p>
            <w:pPr>
              <w:ind w:left="220"/>
              <w:spacing w:after="0"/>
              <w:rPr>
                <w:sz w:val="20"/>
                <w:szCs w:val="20"/>
                <w:color w:val="auto"/>
              </w:rPr>
            </w:pPr>
            <w:r>
              <w:rPr>
                <w:rFonts w:ascii="Arial" w:cs="Arial" w:eastAsia="Arial" w:hAnsi="Arial"/>
                <w:sz w:val="18"/>
                <w:szCs w:val="18"/>
                <w:color w:val="auto"/>
              </w:rPr>
              <w:t>/s/ Margaret J. Myers</w:t>
            </w:r>
          </w:p>
        </w:tc>
        <w:tc>
          <w:tcPr>
            <w:tcW w:w="436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c>
          <w:tcPr>
            <w:tcW w:w="1860" w:type="dxa"/>
            <w:vAlign w:val="bottom"/>
            <w:gridSpan w:val="3"/>
          </w:tcPr>
          <w:p>
            <w:pPr>
              <w:jc w:val="center"/>
              <w:ind w:left="450"/>
              <w:spacing w:after="0"/>
              <w:rPr>
                <w:sz w:val="20"/>
                <w:szCs w:val="20"/>
                <w:color w:val="auto"/>
              </w:rPr>
            </w:pPr>
            <w:r>
              <w:rPr>
                <w:rFonts w:ascii="Arial" w:cs="Arial" w:eastAsia="Arial" w:hAnsi="Arial"/>
                <w:sz w:val="18"/>
                <w:szCs w:val="18"/>
                <w:color w:val="auto"/>
                <w:w w:val="89"/>
              </w:rPr>
              <w:t>February 28, 2020</w:t>
            </w:r>
          </w:p>
        </w:tc>
      </w:tr>
      <w:tr>
        <w:trPr>
          <w:trHeight w:val="27"/>
        </w:trPr>
        <w:tc>
          <w:tcPr>
            <w:tcW w:w="2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37"/>
        </w:trPr>
        <w:tc>
          <w:tcPr>
            <w:tcW w:w="4800" w:type="dxa"/>
            <w:vAlign w:val="bottom"/>
            <w:gridSpan w:val="3"/>
          </w:tcPr>
          <w:p>
            <w:pPr>
              <w:ind w:left="20"/>
              <w:spacing w:after="0"/>
              <w:rPr>
                <w:sz w:val="20"/>
                <w:szCs w:val="20"/>
                <w:color w:val="auto"/>
              </w:rPr>
            </w:pPr>
            <w:r>
              <w:rPr>
                <w:rFonts w:ascii="Arial" w:cs="Arial" w:eastAsia="Arial" w:hAnsi="Arial"/>
                <w:sz w:val="18"/>
                <w:szCs w:val="18"/>
                <w:color w:val="auto"/>
              </w:rPr>
              <w:t>Margaret J. Myers</w:t>
            </w:r>
          </w:p>
        </w:tc>
        <w:tc>
          <w:tcPr>
            <w:tcW w:w="2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324"/>
        </w:trPr>
        <w:tc>
          <w:tcPr>
            <w:tcW w:w="4800" w:type="dxa"/>
            <w:vAlign w:val="bottom"/>
            <w:gridSpan w:val="3"/>
          </w:tcPr>
          <w:p>
            <w:pPr>
              <w:ind w:left="220"/>
              <w:spacing w:after="0"/>
              <w:rPr>
                <w:sz w:val="20"/>
                <w:szCs w:val="20"/>
                <w:color w:val="auto"/>
              </w:rPr>
            </w:pPr>
            <w:r>
              <w:rPr>
                <w:rFonts w:ascii="Arial" w:cs="Arial" w:eastAsia="Arial" w:hAnsi="Arial"/>
                <w:sz w:val="18"/>
                <w:szCs w:val="18"/>
                <w:color w:val="auto"/>
              </w:rPr>
              <w:t>/s/ Clark T. Randt, Jr.</w:t>
            </w:r>
          </w:p>
        </w:tc>
        <w:tc>
          <w:tcPr>
            <w:tcW w:w="436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c>
          <w:tcPr>
            <w:tcW w:w="1860" w:type="dxa"/>
            <w:vAlign w:val="bottom"/>
            <w:gridSpan w:val="3"/>
          </w:tcPr>
          <w:p>
            <w:pPr>
              <w:jc w:val="center"/>
              <w:ind w:left="450"/>
              <w:spacing w:after="0"/>
              <w:rPr>
                <w:sz w:val="20"/>
                <w:szCs w:val="20"/>
                <w:color w:val="auto"/>
              </w:rPr>
            </w:pPr>
            <w:r>
              <w:rPr>
                <w:rFonts w:ascii="Arial" w:cs="Arial" w:eastAsia="Arial" w:hAnsi="Arial"/>
                <w:sz w:val="18"/>
                <w:szCs w:val="18"/>
                <w:color w:val="auto"/>
                <w:w w:val="89"/>
              </w:rPr>
              <w:t>February 28, 2020</w:t>
            </w:r>
          </w:p>
        </w:tc>
      </w:tr>
      <w:tr>
        <w:trPr>
          <w:trHeight w:val="27"/>
        </w:trPr>
        <w:tc>
          <w:tcPr>
            <w:tcW w:w="2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37"/>
        </w:trPr>
        <w:tc>
          <w:tcPr>
            <w:tcW w:w="4800" w:type="dxa"/>
            <w:vAlign w:val="bottom"/>
            <w:gridSpan w:val="3"/>
          </w:tcPr>
          <w:p>
            <w:pPr>
              <w:ind w:left="20"/>
              <w:spacing w:after="0"/>
              <w:rPr>
                <w:sz w:val="20"/>
                <w:szCs w:val="20"/>
                <w:color w:val="auto"/>
              </w:rPr>
            </w:pPr>
            <w:r>
              <w:rPr>
                <w:rFonts w:ascii="Arial" w:cs="Arial" w:eastAsia="Arial" w:hAnsi="Arial"/>
                <w:sz w:val="18"/>
                <w:szCs w:val="18"/>
                <w:color w:val="auto"/>
              </w:rPr>
              <w:t>Clark T. Randt, Jr.</w:t>
            </w:r>
          </w:p>
        </w:tc>
        <w:tc>
          <w:tcPr>
            <w:tcW w:w="2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324"/>
        </w:trPr>
        <w:tc>
          <w:tcPr>
            <w:tcW w:w="4800" w:type="dxa"/>
            <w:vAlign w:val="bottom"/>
            <w:gridSpan w:val="3"/>
          </w:tcPr>
          <w:p>
            <w:pPr>
              <w:ind w:left="220"/>
              <w:spacing w:after="0"/>
              <w:rPr>
                <w:sz w:val="20"/>
                <w:szCs w:val="20"/>
                <w:color w:val="auto"/>
              </w:rPr>
            </w:pPr>
            <w:r>
              <w:rPr>
                <w:rFonts w:ascii="Arial" w:cs="Arial" w:eastAsia="Arial" w:hAnsi="Arial"/>
                <w:sz w:val="18"/>
                <w:szCs w:val="18"/>
                <w:color w:val="auto"/>
              </w:rPr>
              <w:t>/s/ Winifred Webb</w:t>
            </w:r>
          </w:p>
        </w:tc>
        <w:tc>
          <w:tcPr>
            <w:tcW w:w="436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c>
          <w:tcPr>
            <w:tcW w:w="1860" w:type="dxa"/>
            <w:vAlign w:val="bottom"/>
            <w:gridSpan w:val="3"/>
          </w:tcPr>
          <w:p>
            <w:pPr>
              <w:jc w:val="center"/>
              <w:ind w:left="450"/>
              <w:spacing w:after="0"/>
              <w:rPr>
                <w:sz w:val="20"/>
                <w:szCs w:val="20"/>
                <w:color w:val="auto"/>
              </w:rPr>
            </w:pPr>
            <w:r>
              <w:rPr>
                <w:rFonts w:ascii="Arial" w:cs="Arial" w:eastAsia="Arial" w:hAnsi="Arial"/>
                <w:sz w:val="18"/>
                <w:szCs w:val="18"/>
                <w:color w:val="auto"/>
                <w:w w:val="89"/>
              </w:rPr>
              <w:t>February 28, 2020</w:t>
            </w:r>
          </w:p>
        </w:tc>
      </w:tr>
      <w:tr>
        <w:trPr>
          <w:trHeight w:val="27"/>
        </w:trPr>
        <w:tc>
          <w:tcPr>
            <w:tcW w:w="2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37"/>
        </w:trPr>
        <w:tc>
          <w:tcPr>
            <w:tcW w:w="4800" w:type="dxa"/>
            <w:vAlign w:val="bottom"/>
            <w:gridSpan w:val="3"/>
          </w:tcPr>
          <w:p>
            <w:pPr>
              <w:ind w:left="20"/>
              <w:spacing w:after="0"/>
              <w:rPr>
                <w:sz w:val="20"/>
                <w:szCs w:val="20"/>
                <w:color w:val="auto"/>
              </w:rPr>
            </w:pPr>
            <w:r>
              <w:rPr>
                <w:rFonts w:ascii="Arial" w:cs="Arial" w:eastAsia="Arial" w:hAnsi="Arial"/>
                <w:sz w:val="18"/>
                <w:szCs w:val="18"/>
                <w:color w:val="auto"/>
              </w:rPr>
              <w:t>Winifred Webb</w:t>
            </w:r>
          </w:p>
        </w:tc>
        <w:tc>
          <w:tcPr>
            <w:tcW w:w="2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60"/>
          </w:cols>
          <w:pgMar w:left="240" w:top="121" w:right="499" w:bottom="1440" w:gutter="0" w:footer="0" w:header="0"/>
        </w:sectPr>
      </w:pPr>
    </w:p>
    <w:bookmarkStart w:id="118" w:name="page119"/>
    <w:bookmarkEnd w:id="118"/>
    <w:p>
      <w:pPr>
        <w:spacing w:after="0" w:line="37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WYNN RESORTS, LIMITED</w:t>
      </w:r>
    </w:p>
    <w:p>
      <w:pPr>
        <w:spacing w:after="0" w:line="28"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A NEVADA CORPORATION</w:t>
      </w:r>
    </w:p>
    <w:p>
      <w:pPr>
        <w:spacing w:after="0" w:line="4" w:lineRule="exact"/>
        <w:rPr>
          <w:sz w:val="20"/>
          <w:szCs w:val="20"/>
          <w:color w:val="auto"/>
        </w:rPr>
      </w:pPr>
    </w:p>
    <w:p>
      <w:pPr>
        <w:jc w:val="center"/>
        <w:ind w:right="1200"/>
        <w:spacing w:after="0"/>
        <w:rPr>
          <w:sz w:val="20"/>
          <w:szCs w:val="20"/>
          <w:color w:val="auto"/>
        </w:rPr>
      </w:pPr>
      <w:r>
        <w:rPr>
          <w:rFonts w:ascii="Arial" w:cs="Arial" w:eastAsia="Arial" w:hAnsi="Arial"/>
          <w:sz w:val="21"/>
          <w:szCs w:val="21"/>
          <w:b w:val="1"/>
          <w:bCs w:val="1"/>
          <w:color w:val="auto"/>
        </w:rPr>
        <w:t>NINTH AMENDED AND RESTATED BYLAWS EFFECTIVE AS OF</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February 27, 2020</w:t>
      </w:r>
    </w:p>
    <w:p>
      <w:pPr>
        <w:sectPr>
          <w:pgSz w:w="11900" w:h="16838" w:orient="portrait"/>
          <w:cols w:equalWidth="0" w:num="1">
            <w:col w:w="10220"/>
          </w:cols>
          <w:pgMar w:left="1440" w:top="1440" w:right="239" w:bottom="1440" w:gutter="0" w:footer="0" w:header="0"/>
        </w:sectPr>
      </w:pPr>
    </w:p>
    <w:bookmarkStart w:id="119" w:name="page120"/>
    <w:bookmarkEnd w:id="119"/>
    <w:p>
      <w:pPr>
        <w:spacing w:after="0" w:line="236" w:lineRule="exact"/>
        <w:rPr>
          <w:sz w:val="20"/>
          <w:szCs w:val="20"/>
          <w:color w:val="auto"/>
        </w:rPr>
      </w:pPr>
    </w:p>
    <w:p>
      <w:pPr>
        <w:jc w:val="center"/>
        <w:ind w:right="360"/>
        <w:spacing w:after="0"/>
        <w:rPr>
          <w:sz w:val="20"/>
          <w:szCs w:val="20"/>
          <w:color w:val="auto"/>
        </w:rPr>
      </w:pPr>
      <w:r>
        <w:rPr>
          <w:rFonts w:ascii="Arial" w:cs="Arial" w:eastAsia="Arial" w:hAnsi="Arial"/>
          <w:sz w:val="20"/>
          <w:szCs w:val="20"/>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280" w:type="dxa"/>
            <w:vAlign w:val="bottom"/>
          </w:tcPr>
          <w:p>
            <w:pPr>
              <w:ind w:left="920"/>
              <w:spacing w:after="0"/>
              <w:rPr>
                <w:sz w:val="20"/>
                <w:szCs w:val="20"/>
                <w:color w:val="auto"/>
              </w:rPr>
            </w:pPr>
            <w:r>
              <w:rPr>
                <w:rFonts w:ascii="Arial" w:cs="Arial" w:eastAsia="Arial" w:hAnsi="Arial"/>
                <w:sz w:val="18"/>
                <w:szCs w:val="18"/>
                <w:color w:val="auto"/>
                <w:w w:val="80"/>
              </w:rPr>
              <w:t>Page</w:t>
            </w:r>
          </w:p>
        </w:tc>
      </w:tr>
      <w:tr>
        <w:trPr>
          <w:trHeight w:val="270"/>
        </w:trPr>
        <w:tc>
          <w:tcPr>
            <w:tcW w:w="1320" w:type="dxa"/>
            <w:vAlign w:val="bottom"/>
          </w:tcPr>
          <w:p>
            <w:pPr>
              <w:jc w:val="center"/>
              <w:ind w:right="250"/>
              <w:spacing w:after="0"/>
              <w:rPr>
                <w:sz w:val="20"/>
                <w:szCs w:val="20"/>
                <w:color w:val="auto"/>
              </w:rPr>
            </w:pPr>
            <w:r>
              <w:rPr>
                <w:rFonts w:ascii="Arial" w:cs="Arial" w:eastAsia="Arial" w:hAnsi="Arial"/>
                <w:sz w:val="18"/>
                <w:szCs w:val="18"/>
                <w:color w:val="auto"/>
                <w:w w:val="99"/>
              </w:rPr>
              <w:t>ARTICLE I</w:t>
            </w:r>
          </w:p>
        </w:tc>
        <w:tc>
          <w:tcPr>
            <w:tcW w:w="7420" w:type="dxa"/>
            <w:vAlign w:val="bottom"/>
          </w:tcPr>
          <w:p>
            <w:pPr>
              <w:ind w:left="320"/>
              <w:spacing w:after="0"/>
              <w:rPr>
                <w:sz w:val="20"/>
                <w:szCs w:val="20"/>
                <w:color w:val="auto"/>
              </w:rPr>
            </w:pPr>
            <w:r>
              <w:rPr>
                <w:rFonts w:ascii="Arial" w:cs="Arial" w:eastAsia="Arial" w:hAnsi="Arial"/>
                <w:sz w:val="18"/>
                <w:szCs w:val="18"/>
                <w:color w:val="auto"/>
              </w:rPr>
              <w:t>OFFICES</w:t>
            </w:r>
          </w:p>
        </w:tc>
        <w:tc>
          <w:tcPr>
            <w:tcW w:w="1280" w:type="dxa"/>
            <w:vAlign w:val="bottom"/>
          </w:tcPr>
          <w:p>
            <w:pPr>
              <w:spacing w:after="0"/>
              <w:rPr>
                <w:sz w:val="23"/>
                <w:szCs w:val="23"/>
                <w:color w:val="auto"/>
              </w:rPr>
            </w:pPr>
          </w:p>
        </w:tc>
      </w:tr>
      <w:tr>
        <w:trPr>
          <w:trHeight w:val="270"/>
        </w:trPr>
        <w:tc>
          <w:tcPr>
            <w:tcW w:w="1320" w:type="dxa"/>
            <w:vAlign w:val="bottom"/>
          </w:tcPr>
          <w:p>
            <w:pPr>
              <w:jc w:val="center"/>
              <w:ind w:right="250"/>
              <w:spacing w:after="0"/>
              <w:rPr>
                <w:sz w:val="20"/>
                <w:szCs w:val="20"/>
                <w:color w:val="auto"/>
              </w:rPr>
            </w:pPr>
            <w:r>
              <w:rPr>
                <w:rFonts w:ascii="Arial" w:cs="Arial" w:eastAsia="Arial" w:hAnsi="Arial"/>
                <w:sz w:val="18"/>
                <w:szCs w:val="18"/>
                <w:color w:val="auto"/>
                <w:w w:val="87"/>
              </w:rPr>
              <w:t>1.1</w:t>
            </w:r>
          </w:p>
        </w:tc>
        <w:tc>
          <w:tcPr>
            <w:tcW w:w="7420" w:type="dxa"/>
            <w:vAlign w:val="bottom"/>
          </w:tcPr>
          <w:p>
            <w:pPr>
              <w:ind w:left="320"/>
              <w:spacing w:after="0"/>
              <w:rPr>
                <w:sz w:val="20"/>
                <w:szCs w:val="20"/>
                <w:color w:val="auto"/>
              </w:rPr>
            </w:pPr>
            <w:r>
              <w:rPr>
                <w:rFonts w:ascii="Arial" w:cs="Arial" w:eastAsia="Arial" w:hAnsi="Arial"/>
                <w:sz w:val="18"/>
                <w:szCs w:val="18"/>
                <w:color w:val="auto"/>
              </w:rPr>
              <w:t>Principal Office</w:t>
            </w:r>
          </w:p>
        </w:tc>
        <w:tc>
          <w:tcPr>
            <w:tcW w:w="1280" w:type="dxa"/>
            <w:vAlign w:val="bottom"/>
          </w:tcPr>
          <w:p>
            <w:pPr>
              <w:jc w:val="center"/>
              <w:ind w:left="830"/>
              <w:spacing w:after="0"/>
              <w:rPr>
                <w:sz w:val="20"/>
                <w:szCs w:val="20"/>
                <w:color w:val="auto"/>
              </w:rPr>
            </w:pPr>
            <w:r>
              <w:rPr>
                <w:rFonts w:ascii="Arial" w:cs="Arial" w:eastAsia="Arial" w:hAnsi="Arial"/>
                <w:sz w:val="18"/>
                <w:szCs w:val="18"/>
                <w:color w:val="auto"/>
                <w:w w:val="79"/>
              </w:rPr>
              <w:t>1</w:t>
            </w:r>
          </w:p>
        </w:tc>
      </w:tr>
      <w:tr>
        <w:trPr>
          <w:trHeight w:val="270"/>
        </w:trPr>
        <w:tc>
          <w:tcPr>
            <w:tcW w:w="1320" w:type="dxa"/>
            <w:vAlign w:val="bottom"/>
          </w:tcPr>
          <w:p>
            <w:pPr>
              <w:jc w:val="center"/>
              <w:ind w:right="250"/>
              <w:spacing w:after="0"/>
              <w:rPr>
                <w:sz w:val="20"/>
                <w:szCs w:val="20"/>
                <w:color w:val="auto"/>
              </w:rPr>
            </w:pPr>
            <w:r>
              <w:rPr>
                <w:rFonts w:ascii="Arial" w:cs="Arial" w:eastAsia="Arial" w:hAnsi="Arial"/>
                <w:sz w:val="18"/>
                <w:szCs w:val="18"/>
                <w:color w:val="auto"/>
                <w:w w:val="87"/>
              </w:rPr>
              <w:t>1.2</w:t>
            </w:r>
          </w:p>
        </w:tc>
        <w:tc>
          <w:tcPr>
            <w:tcW w:w="7420" w:type="dxa"/>
            <w:vAlign w:val="bottom"/>
          </w:tcPr>
          <w:p>
            <w:pPr>
              <w:ind w:left="320"/>
              <w:spacing w:after="0"/>
              <w:rPr>
                <w:sz w:val="20"/>
                <w:szCs w:val="20"/>
                <w:color w:val="auto"/>
              </w:rPr>
            </w:pPr>
            <w:r>
              <w:rPr>
                <w:rFonts w:ascii="Arial" w:cs="Arial" w:eastAsia="Arial" w:hAnsi="Arial"/>
                <w:sz w:val="18"/>
                <w:szCs w:val="18"/>
                <w:color w:val="auto"/>
              </w:rPr>
              <w:t>Other Offices</w:t>
            </w:r>
          </w:p>
        </w:tc>
        <w:tc>
          <w:tcPr>
            <w:tcW w:w="1280" w:type="dxa"/>
            <w:vAlign w:val="bottom"/>
          </w:tcPr>
          <w:p>
            <w:pPr>
              <w:jc w:val="center"/>
              <w:ind w:left="830"/>
              <w:spacing w:after="0"/>
              <w:rPr>
                <w:sz w:val="20"/>
                <w:szCs w:val="20"/>
                <w:color w:val="auto"/>
              </w:rPr>
            </w:pPr>
            <w:r>
              <w:rPr>
                <w:rFonts w:ascii="Arial" w:cs="Arial" w:eastAsia="Arial" w:hAnsi="Arial"/>
                <w:sz w:val="18"/>
                <w:szCs w:val="18"/>
                <w:color w:val="auto"/>
                <w:w w:val="79"/>
              </w:rPr>
              <w:t>1</w:t>
            </w:r>
          </w:p>
        </w:tc>
      </w:tr>
      <w:tr>
        <w:trPr>
          <w:trHeight w:val="270"/>
        </w:trPr>
        <w:tc>
          <w:tcPr>
            <w:tcW w:w="1320" w:type="dxa"/>
            <w:vAlign w:val="bottom"/>
          </w:tcPr>
          <w:p>
            <w:pPr>
              <w:jc w:val="center"/>
              <w:ind w:right="270"/>
              <w:spacing w:after="0"/>
              <w:rPr>
                <w:sz w:val="20"/>
                <w:szCs w:val="20"/>
                <w:color w:val="auto"/>
              </w:rPr>
            </w:pPr>
            <w:r>
              <w:rPr>
                <w:rFonts w:ascii="Arial" w:cs="Arial" w:eastAsia="Arial" w:hAnsi="Arial"/>
                <w:sz w:val="18"/>
                <w:szCs w:val="18"/>
                <w:color w:val="auto"/>
              </w:rPr>
              <w:t>ARTICLE II</w:t>
            </w:r>
          </w:p>
        </w:tc>
        <w:tc>
          <w:tcPr>
            <w:tcW w:w="7420" w:type="dxa"/>
            <w:vAlign w:val="bottom"/>
          </w:tcPr>
          <w:p>
            <w:pPr>
              <w:ind w:left="320"/>
              <w:spacing w:after="0"/>
              <w:rPr>
                <w:sz w:val="20"/>
                <w:szCs w:val="20"/>
                <w:color w:val="auto"/>
              </w:rPr>
            </w:pPr>
            <w:r>
              <w:rPr>
                <w:rFonts w:ascii="Arial" w:cs="Arial" w:eastAsia="Arial" w:hAnsi="Arial"/>
                <w:sz w:val="18"/>
                <w:szCs w:val="18"/>
                <w:color w:val="auto"/>
              </w:rPr>
              <w:t>STOCKHOLDERS</w:t>
            </w:r>
          </w:p>
        </w:tc>
        <w:tc>
          <w:tcPr>
            <w:tcW w:w="1280" w:type="dxa"/>
            <w:vAlign w:val="bottom"/>
          </w:tcPr>
          <w:p>
            <w:pPr>
              <w:jc w:val="center"/>
              <w:ind w:left="830"/>
              <w:spacing w:after="0"/>
              <w:rPr>
                <w:sz w:val="20"/>
                <w:szCs w:val="20"/>
                <w:color w:val="auto"/>
              </w:rPr>
            </w:pPr>
            <w:r>
              <w:rPr>
                <w:rFonts w:ascii="Arial" w:cs="Arial" w:eastAsia="Arial" w:hAnsi="Arial"/>
                <w:sz w:val="18"/>
                <w:szCs w:val="18"/>
                <w:color w:val="auto"/>
                <w:w w:val="79"/>
              </w:rPr>
              <w:t>1</w:t>
            </w:r>
          </w:p>
        </w:tc>
      </w:tr>
      <w:tr>
        <w:trPr>
          <w:trHeight w:val="270"/>
        </w:trPr>
        <w:tc>
          <w:tcPr>
            <w:tcW w:w="1320" w:type="dxa"/>
            <w:vAlign w:val="bottom"/>
          </w:tcPr>
          <w:p>
            <w:pPr>
              <w:jc w:val="center"/>
              <w:ind w:right="250"/>
              <w:spacing w:after="0"/>
              <w:rPr>
                <w:sz w:val="20"/>
                <w:szCs w:val="20"/>
                <w:color w:val="auto"/>
              </w:rPr>
            </w:pPr>
            <w:r>
              <w:rPr>
                <w:rFonts w:ascii="Arial" w:cs="Arial" w:eastAsia="Arial" w:hAnsi="Arial"/>
                <w:sz w:val="18"/>
                <w:szCs w:val="18"/>
                <w:color w:val="auto"/>
                <w:w w:val="87"/>
              </w:rPr>
              <w:t>2.1</w:t>
            </w:r>
          </w:p>
        </w:tc>
        <w:tc>
          <w:tcPr>
            <w:tcW w:w="7420" w:type="dxa"/>
            <w:vAlign w:val="bottom"/>
          </w:tcPr>
          <w:p>
            <w:pPr>
              <w:ind w:left="320"/>
              <w:spacing w:after="0"/>
              <w:rPr>
                <w:sz w:val="20"/>
                <w:szCs w:val="20"/>
                <w:color w:val="auto"/>
              </w:rPr>
            </w:pPr>
            <w:r>
              <w:rPr>
                <w:rFonts w:ascii="Arial" w:cs="Arial" w:eastAsia="Arial" w:hAnsi="Arial"/>
                <w:sz w:val="18"/>
                <w:szCs w:val="18"/>
                <w:color w:val="auto"/>
              </w:rPr>
              <w:t>Annual Meeting</w:t>
            </w:r>
          </w:p>
        </w:tc>
        <w:tc>
          <w:tcPr>
            <w:tcW w:w="1280" w:type="dxa"/>
            <w:vAlign w:val="bottom"/>
          </w:tcPr>
          <w:p>
            <w:pPr>
              <w:jc w:val="center"/>
              <w:ind w:left="830"/>
              <w:spacing w:after="0"/>
              <w:rPr>
                <w:sz w:val="20"/>
                <w:szCs w:val="20"/>
                <w:color w:val="auto"/>
              </w:rPr>
            </w:pPr>
            <w:r>
              <w:rPr>
                <w:rFonts w:ascii="Arial" w:cs="Arial" w:eastAsia="Arial" w:hAnsi="Arial"/>
                <w:sz w:val="18"/>
                <w:szCs w:val="18"/>
                <w:color w:val="auto"/>
                <w:w w:val="79"/>
              </w:rPr>
              <w:t>1</w:t>
            </w:r>
          </w:p>
        </w:tc>
      </w:tr>
      <w:tr>
        <w:trPr>
          <w:trHeight w:val="270"/>
        </w:trPr>
        <w:tc>
          <w:tcPr>
            <w:tcW w:w="1320" w:type="dxa"/>
            <w:vAlign w:val="bottom"/>
          </w:tcPr>
          <w:p>
            <w:pPr>
              <w:jc w:val="center"/>
              <w:ind w:right="250"/>
              <w:spacing w:after="0"/>
              <w:rPr>
                <w:sz w:val="20"/>
                <w:szCs w:val="20"/>
                <w:color w:val="auto"/>
              </w:rPr>
            </w:pPr>
            <w:r>
              <w:rPr>
                <w:rFonts w:ascii="Arial" w:cs="Arial" w:eastAsia="Arial" w:hAnsi="Arial"/>
                <w:sz w:val="18"/>
                <w:szCs w:val="18"/>
                <w:color w:val="auto"/>
                <w:w w:val="87"/>
              </w:rPr>
              <w:t>2.2</w:t>
            </w:r>
          </w:p>
        </w:tc>
        <w:tc>
          <w:tcPr>
            <w:tcW w:w="7420" w:type="dxa"/>
            <w:vAlign w:val="bottom"/>
          </w:tcPr>
          <w:p>
            <w:pPr>
              <w:ind w:left="320"/>
              <w:spacing w:after="0"/>
              <w:rPr>
                <w:sz w:val="20"/>
                <w:szCs w:val="20"/>
                <w:color w:val="auto"/>
              </w:rPr>
            </w:pPr>
            <w:r>
              <w:rPr>
                <w:rFonts w:ascii="Arial" w:cs="Arial" w:eastAsia="Arial" w:hAnsi="Arial"/>
                <w:sz w:val="18"/>
                <w:szCs w:val="18"/>
                <w:color w:val="auto"/>
              </w:rPr>
              <w:t>Special Meetings</w:t>
            </w:r>
          </w:p>
        </w:tc>
        <w:tc>
          <w:tcPr>
            <w:tcW w:w="1280" w:type="dxa"/>
            <w:vAlign w:val="bottom"/>
          </w:tcPr>
          <w:p>
            <w:pPr>
              <w:jc w:val="center"/>
              <w:ind w:left="830"/>
              <w:spacing w:after="0"/>
              <w:rPr>
                <w:sz w:val="20"/>
                <w:szCs w:val="20"/>
                <w:color w:val="auto"/>
              </w:rPr>
            </w:pPr>
            <w:r>
              <w:rPr>
                <w:rFonts w:ascii="Arial" w:cs="Arial" w:eastAsia="Arial" w:hAnsi="Arial"/>
                <w:sz w:val="18"/>
                <w:szCs w:val="18"/>
                <w:color w:val="auto"/>
                <w:w w:val="79"/>
              </w:rPr>
              <w:t>1</w:t>
            </w:r>
          </w:p>
        </w:tc>
      </w:tr>
      <w:tr>
        <w:trPr>
          <w:trHeight w:val="270"/>
        </w:trPr>
        <w:tc>
          <w:tcPr>
            <w:tcW w:w="1320" w:type="dxa"/>
            <w:vAlign w:val="bottom"/>
          </w:tcPr>
          <w:p>
            <w:pPr>
              <w:jc w:val="center"/>
              <w:ind w:right="250"/>
              <w:spacing w:after="0"/>
              <w:rPr>
                <w:sz w:val="20"/>
                <w:szCs w:val="20"/>
                <w:color w:val="auto"/>
              </w:rPr>
            </w:pPr>
            <w:r>
              <w:rPr>
                <w:rFonts w:ascii="Arial" w:cs="Arial" w:eastAsia="Arial" w:hAnsi="Arial"/>
                <w:sz w:val="18"/>
                <w:szCs w:val="18"/>
                <w:color w:val="auto"/>
                <w:w w:val="87"/>
              </w:rPr>
              <w:t>2.3</w:t>
            </w:r>
          </w:p>
        </w:tc>
        <w:tc>
          <w:tcPr>
            <w:tcW w:w="7420" w:type="dxa"/>
            <w:vAlign w:val="bottom"/>
          </w:tcPr>
          <w:p>
            <w:pPr>
              <w:ind w:left="320"/>
              <w:spacing w:after="0"/>
              <w:rPr>
                <w:sz w:val="20"/>
                <w:szCs w:val="20"/>
                <w:color w:val="auto"/>
              </w:rPr>
            </w:pPr>
            <w:r>
              <w:rPr>
                <w:rFonts w:ascii="Arial" w:cs="Arial" w:eastAsia="Arial" w:hAnsi="Arial"/>
                <w:sz w:val="18"/>
                <w:szCs w:val="18"/>
                <w:color w:val="auto"/>
              </w:rPr>
              <w:t>Place of Meetings</w:t>
            </w:r>
          </w:p>
        </w:tc>
        <w:tc>
          <w:tcPr>
            <w:tcW w:w="1280" w:type="dxa"/>
            <w:vAlign w:val="bottom"/>
          </w:tcPr>
          <w:p>
            <w:pPr>
              <w:jc w:val="center"/>
              <w:ind w:left="830"/>
              <w:spacing w:after="0"/>
              <w:rPr>
                <w:sz w:val="20"/>
                <w:szCs w:val="20"/>
                <w:color w:val="auto"/>
              </w:rPr>
            </w:pPr>
            <w:r>
              <w:rPr>
                <w:rFonts w:ascii="Arial" w:cs="Arial" w:eastAsia="Arial" w:hAnsi="Arial"/>
                <w:sz w:val="18"/>
                <w:szCs w:val="18"/>
                <w:color w:val="auto"/>
                <w:w w:val="79"/>
              </w:rPr>
              <w:t>1</w:t>
            </w:r>
          </w:p>
        </w:tc>
      </w:tr>
      <w:tr>
        <w:trPr>
          <w:trHeight w:val="270"/>
        </w:trPr>
        <w:tc>
          <w:tcPr>
            <w:tcW w:w="1320" w:type="dxa"/>
            <w:vAlign w:val="bottom"/>
          </w:tcPr>
          <w:p>
            <w:pPr>
              <w:jc w:val="center"/>
              <w:ind w:right="250"/>
              <w:spacing w:after="0"/>
              <w:rPr>
                <w:sz w:val="20"/>
                <w:szCs w:val="20"/>
                <w:color w:val="auto"/>
              </w:rPr>
            </w:pPr>
            <w:r>
              <w:rPr>
                <w:rFonts w:ascii="Arial" w:cs="Arial" w:eastAsia="Arial" w:hAnsi="Arial"/>
                <w:sz w:val="18"/>
                <w:szCs w:val="18"/>
                <w:color w:val="auto"/>
                <w:w w:val="87"/>
              </w:rPr>
              <w:t>2.4</w:t>
            </w:r>
          </w:p>
        </w:tc>
        <w:tc>
          <w:tcPr>
            <w:tcW w:w="7420" w:type="dxa"/>
            <w:vAlign w:val="bottom"/>
          </w:tcPr>
          <w:p>
            <w:pPr>
              <w:ind w:left="320"/>
              <w:spacing w:after="0"/>
              <w:rPr>
                <w:sz w:val="20"/>
                <w:szCs w:val="20"/>
                <w:color w:val="auto"/>
              </w:rPr>
            </w:pPr>
            <w:r>
              <w:rPr>
                <w:rFonts w:ascii="Arial" w:cs="Arial" w:eastAsia="Arial" w:hAnsi="Arial"/>
                <w:sz w:val="18"/>
                <w:szCs w:val="18"/>
                <w:color w:val="auto"/>
              </w:rPr>
              <w:t>Notice of Meetings; Waiver of Notice</w:t>
            </w:r>
          </w:p>
        </w:tc>
        <w:tc>
          <w:tcPr>
            <w:tcW w:w="1280" w:type="dxa"/>
            <w:vAlign w:val="bottom"/>
          </w:tcPr>
          <w:p>
            <w:pPr>
              <w:jc w:val="center"/>
              <w:ind w:left="830"/>
              <w:spacing w:after="0"/>
              <w:rPr>
                <w:sz w:val="20"/>
                <w:szCs w:val="20"/>
                <w:color w:val="auto"/>
              </w:rPr>
            </w:pPr>
            <w:r>
              <w:rPr>
                <w:rFonts w:ascii="Arial" w:cs="Arial" w:eastAsia="Arial" w:hAnsi="Arial"/>
                <w:sz w:val="18"/>
                <w:szCs w:val="18"/>
                <w:color w:val="auto"/>
                <w:w w:val="79"/>
              </w:rPr>
              <w:t>2</w:t>
            </w:r>
          </w:p>
        </w:tc>
      </w:tr>
      <w:tr>
        <w:trPr>
          <w:trHeight w:val="270"/>
        </w:trPr>
        <w:tc>
          <w:tcPr>
            <w:tcW w:w="1320" w:type="dxa"/>
            <w:vAlign w:val="bottom"/>
          </w:tcPr>
          <w:p>
            <w:pPr>
              <w:jc w:val="center"/>
              <w:ind w:right="250"/>
              <w:spacing w:after="0"/>
              <w:rPr>
                <w:sz w:val="20"/>
                <w:szCs w:val="20"/>
                <w:color w:val="auto"/>
              </w:rPr>
            </w:pPr>
            <w:r>
              <w:rPr>
                <w:rFonts w:ascii="Arial" w:cs="Arial" w:eastAsia="Arial" w:hAnsi="Arial"/>
                <w:sz w:val="18"/>
                <w:szCs w:val="18"/>
                <w:color w:val="auto"/>
                <w:w w:val="87"/>
              </w:rPr>
              <w:t>2.5</w:t>
            </w:r>
          </w:p>
        </w:tc>
        <w:tc>
          <w:tcPr>
            <w:tcW w:w="7420" w:type="dxa"/>
            <w:vAlign w:val="bottom"/>
          </w:tcPr>
          <w:p>
            <w:pPr>
              <w:ind w:left="320"/>
              <w:spacing w:after="0"/>
              <w:rPr>
                <w:sz w:val="20"/>
                <w:szCs w:val="20"/>
                <w:color w:val="auto"/>
              </w:rPr>
            </w:pPr>
            <w:r>
              <w:rPr>
                <w:rFonts w:ascii="Arial" w:cs="Arial" w:eastAsia="Arial" w:hAnsi="Arial"/>
                <w:sz w:val="18"/>
                <w:szCs w:val="18"/>
                <w:color w:val="auto"/>
              </w:rPr>
              <w:t>Determination of Stockholders of Record</w:t>
            </w:r>
          </w:p>
        </w:tc>
        <w:tc>
          <w:tcPr>
            <w:tcW w:w="1280" w:type="dxa"/>
            <w:vAlign w:val="bottom"/>
          </w:tcPr>
          <w:p>
            <w:pPr>
              <w:jc w:val="center"/>
              <w:ind w:left="830"/>
              <w:spacing w:after="0"/>
              <w:rPr>
                <w:sz w:val="20"/>
                <w:szCs w:val="20"/>
                <w:color w:val="auto"/>
              </w:rPr>
            </w:pPr>
            <w:r>
              <w:rPr>
                <w:rFonts w:ascii="Arial" w:cs="Arial" w:eastAsia="Arial" w:hAnsi="Arial"/>
                <w:sz w:val="18"/>
                <w:szCs w:val="18"/>
                <w:color w:val="auto"/>
                <w:w w:val="79"/>
              </w:rPr>
              <w:t>3</w:t>
            </w:r>
          </w:p>
        </w:tc>
      </w:tr>
      <w:tr>
        <w:trPr>
          <w:trHeight w:val="270"/>
        </w:trPr>
        <w:tc>
          <w:tcPr>
            <w:tcW w:w="1320" w:type="dxa"/>
            <w:vAlign w:val="bottom"/>
          </w:tcPr>
          <w:p>
            <w:pPr>
              <w:jc w:val="center"/>
              <w:ind w:right="250"/>
              <w:spacing w:after="0"/>
              <w:rPr>
                <w:sz w:val="20"/>
                <w:szCs w:val="20"/>
                <w:color w:val="auto"/>
              </w:rPr>
            </w:pPr>
            <w:r>
              <w:rPr>
                <w:rFonts w:ascii="Arial" w:cs="Arial" w:eastAsia="Arial" w:hAnsi="Arial"/>
                <w:sz w:val="18"/>
                <w:szCs w:val="18"/>
                <w:color w:val="auto"/>
                <w:w w:val="87"/>
              </w:rPr>
              <w:t>2.6</w:t>
            </w:r>
          </w:p>
        </w:tc>
        <w:tc>
          <w:tcPr>
            <w:tcW w:w="7420" w:type="dxa"/>
            <w:vAlign w:val="bottom"/>
          </w:tcPr>
          <w:p>
            <w:pPr>
              <w:ind w:left="320"/>
              <w:spacing w:after="0"/>
              <w:rPr>
                <w:sz w:val="20"/>
                <w:szCs w:val="20"/>
                <w:color w:val="auto"/>
              </w:rPr>
            </w:pPr>
            <w:r>
              <w:rPr>
                <w:rFonts w:ascii="Arial" w:cs="Arial" w:eastAsia="Arial" w:hAnsi="Arial"/>
                <w:sz w:val="18"/>
                <w:szCs w:val="18"/>
                <w:color w:val="auto"/>
              </w:rPr>
              <w:t>Quorum; Adjourned Meetings</w:t>
            </w:r>
          </w:p>
        </w:tc>
        <w:tc>
          <w:tcPr>
            <w:tcW w:w="1280" w:type="dxa"/>
            <w:vAlign w:val="bottom"/>
          </w:tcPr>
          <w:p>
            <w:pPr>
              <w:jc w:val="center"/>
              <w:ind w:left="830"/>
              <w:spacing w:after="0"/>
              <w:rPr>
                <w:sz w:val="20"/>
                <w:szCs w:val="20"/>
                <w:color w:val="auto"/>
              </w:rPr>
            </w:pPr>
            <w:r>
              <w:rPr>
                <w:rFonts w:ascii="Arial" w:cs="Arial" w:eastAsia="Arial" w:hAnsi="Arial"/>
                <w:sz w:val="18"/>
                <w:szCs w:val="18"/>
                <w:color w:val="auto"/>
                <w:w w:val="79"/>
              </w:rPr>
              <w:t>3</w:t>
            </w:r>
          </w:p>
        </w:tc>
      </w:tr>
      <w:tr>
        <w:trPr>
          <w:trHeight w:val="270"/>
        </w:trPr>
        <w:tc>
          <w:tcPr>
            <w:tcW w:w="1320" w:type="dxa"/>
            <w:vAlign w:val="bottom"/>
          </w:tcPr>
          <w:p>
            <w:pPr>
              <w:jc w:val="center"/>
              <w:ind w:right="250"/>
              <w:spacing w:after="0"/>
              <w:rPr>
                <w:sz w:val="20"/>
                <w:szCs w:val="20"/>
                <w:color w:val="auto"/>
              </w:rPr>
            </w:pPr>
            <w:r>
              <w:rPr>
                <w:rFonts w:ascii="Arial" w:cs="Arial" w:eastAsia="Arial" w:hAnsi="Arial"/>
                <w:sz w:val="18"/>
                <w:szCs w:val="18"/>
                <w:color w:val="auto"/>
                <w:w w:val="87"/>
              </w:rPr>
              <w:t>2.7</w:t>
            </w:r>
          </w:p>
        </w:tc>
        <w:tc>
          <w:tcPr>
            <w:tcW w:w="7420" w:type="dxa"/>
            <w:vAlign w:val="bottom"/>
          </w:tcPr>
          <w:p>
            <w:pPr>
              <w:ind w:left="320"/>
              <w:spacing w:after="0"/>
              <w:rPr>
                <w:sz w:val="20"/>
                <w:szCs w:val="20"/>
                <w:color w:val="auto"/>
              </w:rPr>
            </w:pPr>
            <w:r>
              <w:rPr>
                <w:rFonts w:ascii="Arial" w:cs="Arial" w:eastAsia="Arial" w:hAnsi="Arial"/>
                <w:sz w:val="18"/>
                <w:szCs w:val="18"/>
                <w:color w:val="auto"/>
              </w:rPr>
              <w:t>Voting</w:t>
            </w:r>
          </w:p>
        </w:tc>
        <w:tc>
          <w:tcPr>
            <w:tcW w:w="1280" w:type="dxa"/>
            <w:vAlign w:val="bottom"/>
          </w:tcPr>
          <w:p>
            <w:pPr>
              <w:jc w:val="center"/>
              <w:ind w:left="830"/>
              <w:spacing w:after="0"/>
              <w:rPr>
                <w:sz w:val="20"/>
                <w:szCs w:val="20"/>
                <w:color w:val="auto"/>
              </w:rPr>
            </w:pPr>
            <w:r>
              <w:rPr>
                <w:rFonts w:ascii="Arial" w:cs="Arial" w:eastAsia="Arial" w:hAnsi="Arial"/>
                <w:sz w:val="18"/>
                <w:szCs w:val="18"/>
                <w:color w:val="auto"/>
                <w:w w:val="79"/>
              </w:rPr>
              <w:t>4</w:t>
            </w:r>
          </w:p>
        </w:tc>
      </w:tr>
      <w:tr>
        <w:trPr>
          <w:trHeight w:val="270"/>
        </w:trPr>
        <w:tc>
          <w:tcPr>
            <w:tcW w:w="1320" w:type="dxa"/>
            <w:vAlign w:val="bottom"/>
          </w:tcPr>
          <w:p>
            <w:pPr>
              <w:jc w:val="center"/>
              <w:ind w:right="250"/>
              <w:spacing w:after="0"/>
              <w:rPr>
                <w:sz w:val="20"/>
                <w:szCs w:val="20"/>
                <w:color w:val="auto"/>
              </w:rPr>
            </w:pPr>
            <w:r>
              <w:rPr>
                <w:rFonts w:ascii="Arial" w:cs="Arial" w:eastAsia="Arial" w:hAnsi="Arial"/>
                <w:sz w:val="18"/>
                <w:szCs w:val="18"/>
                <w:color w:val="auto"/>
                <w:w w:val="87"/>
              </w:rPr>
              <w:t>2.8</w:t>
            </w:r>
          </w:p>
        </w:tc>
        <w:tc>
          <w:tcPr>
            <w:tcW w:w="7420" w:type="dxa"/>
            <w:vAlign w:val="bottom"/>
          </w:tcPr>
          <w:p>
            <w:pPr>
              <w:ind w:left="320"/>
              <w:spacing w:after="0"/>
              <w:rPr>
                <w:sz w:val="20"/>
                <w:szCs w:val="20"/>
                <w:color w:val="auto"/>
              </w:rPr>
            </w:pPr>
            <w:r>
              <w:rPr>
                <w:rFonts w:ascii="Arial" w:cs="Arial" w:eastAsia="Arial" w:hAnsi="Arial"/>
                <w:sz w:val="18"/>
                <w:szCs w:val="18"/>
                <w:color w:val="auto"/>
              </w:rPr>
              <w:t>Proxies</w:t>
            </w:r>
          </w:p>
        </w:tc>
        <w:tc>
          <w:tcPr>
            <w:tcW w:w="1280" w:type="dxa"/>
            <w:vAlign w:val="bottom"/>
          </w:tcPr>
          <w:p>
            <w:pPr>
              <w:jc w:val="center"/>
              <w:ind w:left="830"/>
              <w:spacing w:after="0"/>
              <w:rPr>
                <w:sz w:val="20"/>
                <w:szCs w:val="20"/>
                <w:color w:val="auto"/>
              </w:rPr>
            </w:pPr>
            <w:r>
              <w:rPr>
                <w:rFonts w:ascii="Arial" w:cs="Arial" w:eastAsia="Arial" w:hAnsi="Arial"/>
                <w:sz w:val="18"/>
                <w:szCs w:val="18"/>
                <w:color w:val="auto"/>
                <w:w w:val="79"/>
              </w:rPr>
              <w:t>5</w:t>
            </w:r>
          </w:p>
        </w:tc>
      </w:tr>
      <w:tr>
        <w:trPr>
          <w:trHeight w:val="270"/>
        </w:trPr>
        <w:tc>
          <w:tcPr>
            <w:tcW w:w="1320" w:type="dxa"/>
            <w:vAlign w:val="bottom"/>
          </w:tcPr>
          <w:p>
            <w:pPr>
              <w:jc w:val="center"/>
              <w:ind w:right="250"/>
              <w:spacing w:after="0"/>
              <w:rPr>
                <w:sz w:val="20"/>
                <w:szCs w:val="20"/>
                <w:color w:val="auto"/>
              </w:rPr>
            </w:pPr>
            <w:r>
              <w:rPr>
                <w:rFonts w:ascii="Arial" w:cs="Arial" w:eastAsia="Arial" w:hAnsi="Arial"/>
                <w:sz w:val="18"/>
                <w:szCs w:val="18"/>
                <w:color w:val="auto"/>
                <w:w w:val="87"/>
              </w:rPr>
              <w:t>2.9</w:t>
            </w:r>
          </w:p>
        </w:tc>
        <w:tc>
          <w:tcPr>
            <w:tcW w:w="7420" w:type="dxa"/>
            <w:vAlign w:val="bottom"/>
          </w:tcPr>
          <w:p>
            <w:pPr>
              <w:ind w:left="320"/>
              <w:spacing w:after="0"/>
              <w:rPr>
                <w:sz w:val="20"/>
                <w:szCs w:val="20"/>
                <w:color w:val="auto"/>
              </w:rPr>
            </w:pPr>
            <w:r>
              <w:rPr>
                <w:rFonts w:ascii="Arial" w:cs="Arial" w:eastAsia="Arial" w:hAnsi="Arial"/>
                <w:sz w:val="18"/>
                <w:szCs w:val="18"/>
                <w:color w:val="auto"/>
              </w:rPr>
              <w:t>No Action Without A Meeting</w:t>
            </w:r>
          </w:p>
        </w:tc>
        <w:tc>
          <w:tcPr>
            <w:tcW w:w="1280" w:type="dxa"/>
            <w:vAlign w:val="bottom"/>
          </w:tcPr>
          <w:p>
            <w:pPr>
              <w:jc w:val="center"/>
              <w:ind w:left="830"/>
              <w:spacing w:after="0"/>
              <w:rPr>
                <w:sz w:val="20"/>
                <w:szCs w:val="20"/>
                <w:color w:val="auto"/>
              </w:rPr>
            </w:pPr>
            <w:r>
              <w:rPr>
                <w:rFonts w:ascii="Arial" w:cs="Arial" w:eastAsia="Arial" w:hAnsi="Arial"/>
                <w:sz w:val="18"/>
                <w:szCs w:val="18"/>
                <w:color w:val="auto"/>
                <w:w w:val="79"/>
              </w:rPr>
              <w:t>5</w:t>
            </w:r>
          </w:p>
        </w:tc>
      </w:tr>
      <w:tr>
        <w:trPr>
          <w:trHeight w:val="270"/>
        </w:trPr>
        <w:tc>
          <w:tcPr>
            <w:tcW w:w="1320" w:type="dxa"/>
            <w:vAlign w:val="bottom"/>
          </w:tcPr>
          <w:p>
            <w:pPr>
              <w:jc w:val="center"/>
              <w:ind w:right="270"/>
              <w:spacing w:after="0"/>
              <w:rPr>
                <w:sz w:val="20"/>
                <w:szCs w:val="20"/>
                <w:color w:val="auto"/>
              </w:rPr>
            </w:pPr>
            <w:r>
              <w:rPr>
                <w:rFonts w:ascii="Arial" w:cs="Arial" w:eastAsia="Arial" w:hAnsi="Arial"/>
                <w:sz w:val="18"/>
                <w:szCs w:val="18"/>
                <w:color w:val="auto"/>
                <w:w w:val="91"/>
              </w:rPr>
              <w:t>2.10</w:t>
            </w:r>
          </w:p>
        </w:tc>
        <w:tc>
          <w:tcPr>
            <w:tcW w:w="7420" w:type="dxa"/>
            <w:vAlign w:val="bottom"/>
          </w:tcPr>
          <w:p>
            <w:pPr>
              <w:ind w:left="320"/>
              <w:spacing w:after="0"/>
              <w:rPr>
                <w:sz w:val="20"/>
                <w:szCs w:val="20"/>
                <w:color w:val="auto"/>
              </w:rPr>
            </w:pPr>
            <w:r>
              <w:rPr>
                <w:rFonts w:ascii="Arial" w:cs="Arial" w:eastAsia="Arial" w:hAnsi="Arial"/>
                <w:sz w:val="18"/>
                <w:szCs w:val="18"/>
                <w:color w:val="auto"/>
              </w:rPr>
              <w:t>Organization</w:t>
            </w:r>
          </w:p>
        </w:tc>
        <w:tc>
          <w:tcPr>
            <w:tcW w:w="1280" w:type="dxa"/>
            <w:vAlign w:val="bottom"/>
          </w:tcPr>
          <w:p>
            <w:pPr>
              <w:jc w:val="center"/>
              <w:ind w:left="830"/>
              <w:spacing w:after="0"/>
              <w:rPr>
                <w:sz w:val="20"/>
                <w:szCs w:val="20"/>
                <w:color w:val="auto"/>
              </w:rPr>
            </w:pPr>
            <w:r>
              <w:rPr>
                <w:rFonts w:ascii="Arial" w:cs="Arial" w:eastAsia="Arial" w:hAnsi="Arial"/>
                <w:sz w:val="18"/>
                <w:szCs w:val="18"/>
                <w:color w:val="auto"/>
                <w:w w:val="79"/>
              </w:rPr>
              <w:t>5</w:t>
            </w:r>
          </w:p>
        </w:tc>
      </w:tr>
      <w:tr>
        <w:trPr>
          <w:trHeight w:val="270"/>
        </w:trPr>
        <w:tc>
          <w:tcPr>
            <w:tcW w:w="1320" w:type="dxa"/>
            <w:vAlign w:val="bottom"/>
          </w:tcPr>
          <w:p>
            <w:pPr>
              <w:jc w:val="center"/>
              <w:ind w:right="250"/>
              <w:spacing w:after="0"/>
              <w:rPr>
                <w:sz w:val="20"/>
                <w:szCs w:val="20"/>
                <w:color w:val="auto"/>
              </w:rPr>
            </w:pPr>
            <w:r>
              <w:rPr>
                <w:rFonts w:ascii="Arial" w:cs="Arial" w:eastAsia="Arial" w:hAnsi="Arial"/>
                <w:sz w:val="18"/>
                <w:szCs w:val="18"/>
                <w:color w:val="auto"/>
                <w:w w:val="85"/>
              </w:rPr>
              <w:t>2.11</w:t>
            </w:r>
          </w:p>
        </w:tc>
        <w:tc>
          <w:tcPr>
            <w:tcW w:w="7420" w:type="dxa"/>
            <w:vAlign w:val="bottom"/>
          </w:tcPr>
          <w:p>
            <w:pPr>
              <w:ind w:left="320"/>
              <w:spacing w:after="0"/>
              <w:rPr>
                <w:sz w:val="20"/>
                <w:szCs w:val="20"/>
                <w:color w:val="auto"/>
              </w:rPr>
            </w:pPr>
            <w:r>
              <w:rPr>
                <w:rFonts w:ascii="Arial" w:cs="Arial" w:eastAsia="Arial" w:hAnsi="Arial"/>
                <w:sz w:val="18"/>
                <w:szCs w:val="18"/>
                <w:color w:val="auto"/>
              </w:rPr>
              <w:t>Consent to Meetings</w:t>
            </w:r>
          </w:p>
        </w:tc>
        <w:tc>
          <w:tcPr>
            <w:tcW w:w="1280" w:type="dxa"/>
            <w:vAlign w:val="bottom"/>
          </w:tcPr>
          <w:p>
            <w:pPr>
              <w:jc w:val="center"/>
              <w:ind w:left="830"/>
              <w:spacing w:after="0"/>
              <w:rPr>
                <w:sz w:val="20"/>
                <w:szCs w:val="20"/>
                <w:color w:val="auto"/>
              </w:rPr>
            </w:pPr>
            <w:r>
              <w:rPr>
                <w:rFonts w:ascii="Arial" w:cs="Arial" w:eastAsia="Arial" w:hAnsi="Arial"/>
                <w:sz w:val="18"/>
                <w:szCs w:val="18"/>
                <w:color w:val="auto"/>
                <w:w w:val="79"/>
              </w:rPr>
              <w:t>6</w:t>
            </w:r>
          </w:p>
        </w:tc>
      </w:tr>
      <w:tr>
        <w:trPr>
          <w:trHeight w:val="270"/>
        </w:trPr>
        <w:tc>
          <w:tcPr>
            <w:tcW w:w="1320" w:type="dxa"/>
            <w:vAlign w:val="bottom"/>
          </w:tcPr>
          <w:p>
            <w:pPr>
              <w:jc w:val="center"/>
              <w:ind w:right="270"/>
              <w:spacing w:after="0"/>
              <w:rPr>
                <w:sz w:val="20"/>
                <w:szCs w:val="20"/>
                <w:color w:val="auto"/>
              </w:rPr>
            </w:pPr>
            <w:r>
              <w:rPr>
                <w:rFonts w:ascii="Arial" w:cs="Arial" w:eastAsia="Arial" w:hAnsi="Arial"/>
                <w:sz w:val="18"/>
                <w:szCs w:val="18"/>
                <w:color w:val="auto"/>
                <w:w w:val="91"/>
              </w:rPr>
              <w:t>2.12</w:t>
            </w:r>
          </w:p>
        </w:tc>
        <w:tc>
          <w:tcPr>
            <w:tcW w:w="7420" w:type="dxa"/>
            <w:vAlign w:val="bottom"/>
          </w:tcPr>
          <w:p>
            <w:pPr>
              <w:ind w:left="320"/>
              <w:spacing w:after="0"/>
              <w:rPr>
                <w:sz w:val="20"/>
                <w:szCs w:val="20"/>
                <w:color w:val="auto"/>
              </w:rPr>
            </w:pPr>
            <w:r>
              <w:rPr>
                <w:rFonts w:ascii="Arial" w:cs="Arial" w:eastAsia="Arial" w:hAnsi="Arial"/>
                <w:sz w:val="18"/>
                <w:szCs w:val="18"/>
                <w:color w:val="auto"/>
              </w:rPr>
              <w:t>Director Nominations and Business Conducted at Meetings of Stockholders</w:t>
            </w:r>
          </w:p>
        </w:tc>
        <w:tc>
          <w:tcPr>
            <w:tcW w:w="1280" w:type="dxa"/>
            <w:vAlign w:val="bottom"/>
          </w:tcPr>
          <w:p>
            <w:pPr>
              <w:jc w:val="center"/>
              <w:ind w:left="830"/>
              <w:spacing w:after="0"/>
              <w:rPr>
                <w:sz w:val="20"/>
                <w:szCs w:val="20"/>
                <w:color w:val="auto"/>
              </w:rPr>
            </w:pPr>
            <w:r>
              <w:rPr>
                <w:rFonts w:ascii="Arial" w:cs="Arial" w:eastAsia="Arial" w:hAnsi="Arial"/>
                <w:sz w:val="18"/>
                <w:szCs w:val="18"/>
                <w:color w:val="auto"/>
                <w:w w:val="79"/>
              </w:rPr>
              <w:t>6</w:t>
            </w:r>
          </w:p>
        </w:tc>
      </w:tr>
      <w:tr>
        <w:trPr>
          <w:trHeight w:val="270"/>
        </w:trPr>
        <w:tc>
          <w:tcPr>
            <w:tcW w:w="1320" w:type="dxa"/>
            <w:vAlign w:val="bottom"/>
          </w:tcPr>
          <w:p>
            <w:pPr>
              <w:jc w:val="center"/>
              <w:ind w:right="270"/>
              <w:spacing w:after="0"/>
              <w:rPr>
                <w:sz w:val="20"/>
                <w:szCs w:val="20"/>
                <w:color w:val="auto"/>
              </w:rPr>
            </w:pPr>
            <w:r>
              <w:rPr>
                <w:rFonts w:ascii="Arial" w:cs="Arial" w:eastAsia="Arial" w:hAnsi="Arial"/>
                <w:sz w:val="18"/>
                <w:szCs w:val="18"/>
                <w:color w:val="auto"/>
                <w:w w:val="91"/>
              </w:rPr>
              <w:t>2.13</w:t>
            </w:r>
          </w:p>
        </w:tc>
        <w:tc>
          <w:tcPr>
            <w:tcW w:w="7420" w:type="dxa"/>
            <w:vAlign w:val="bottom"/>
          </w:tcPr>
          <w:p>
            <w:pPr>
              <w:ind w:left="320"/>
              <w:spacing w:after="0"/>
              <w:rPr>
                <w:sz w:val="20"/>
                <w:szCs w:val="20"/>
                <w:color w:val="auto"/>
              </w:rPr>
            </w:pPr>
            <w:r>
              <w:rPr>
                <w:rFonts w:ascii="Arial" w:cs="Arial" w:eastAsia="Arial" w:hAnsi="Arial"/>
                <w:sz w:val="18"/>
                <w:szCs w:val="18"/>
                <w:color w:val="auto"/>
              </w:rPr>
              <w:t>Advance Notice of Director Nominations and Stockholder Proposals by Stockholders</w:t>
            </w:r>
          </w:p>
        </w:tc>
        <w:tc>
          <w:tcPr>
            <w:tcW w:w="1280" w:type="dxa"/>
            <w:vAlign w:val="bottom"/>
          </w:tcPr>
          <w:p>
            <w:pPr>
              <w:jc w:val="center"/>
              <w:ind w:left="830"/>
              <w:spacing w:after="0"/>
              <w:rPr>
                <w:sz w:val="20"/>
                <w:szCs w:val="20"/>
                <w:color w:val="auto"/>
              </w:rPr>
            </w:pPr>
            <w:r>
              <w:rPr>
                <w:rFonts w:ascii="Arial" w:cs="Arial" w:eastAsia="Arial" w:hAnsi="Arial"/>
                <w:sz w:val="18"/>
                <w:szCs w:val="18"/>
                <w:color w:val="auto"/>
                <w:w w:val="79"/>
              </w:rPr>
              <w:t>7</w:t>
            </w:r>
          </w:p>
        </w:tc>
      </w:tr>
      <w:tr>
        <w:trPr>
          <w:trHeight w:val="270"/>
        </w:trPr>
        <w:tc>
          <w:tcPr>
            <w:tcW w:w="1320" w:type="dxa"/>
            <w:vAlign w:val="bottom"/>
          </w:tcPr>
          <w:p>
            <w:pPr>
              <w:jc w:val="center"/>
              <w:ind w:right="270"/>
              <w:spacing w:after="0"/>
              <w:rPr>
                <w:sz w:val="20"/>
                <w:szCs w:val="20"/>
                <w:color w:val="auto"/>
              </w:rPr>
            </w:pPr>
            <w:r>
              <w:rPr>
                <w:rFonts w:ascii="Arial" w:cs="Arial" w:eastAsia="Arial" w:hAnsi="Arial"/>
                <w:sz w:val="18"/>
                <w:szCs w:val="18"/>
                <w:color w:val="auto"/>
                <w:w w:val="91"/>
              </w:rPr>
              <w:t>2.14</w:t>
            </w:r>
          </w:p>
        </w:tc>
        <w:tc>
          <w:tcPr>
            <w:tcW w:w="7420" w:type="dxa"/>
            <w:vAlign w:val="bottom"/>
          </w:tcPr>
          <w:p>
            <w:pPr>
              <w:ind w:left="320"/>
              <w:spacing w:after="0"/>
              <w:rPr>
                <w:sz w:val="20"/>
                <w:szCs w:val="20"/>
                <w:color w:val="auto"/>
              </w:rPr>
            </w:pPr>
            <w:r>
              <w:rPr>
                <w:rFonts w:ascii="Arial" w:cs="Arial" w:eastAsia="Arial" w:hAnsi="Arial"/>
                <w:sz w:val="18"/>
                <w:szCs w:val="18"/>
                <w:color w:val="auto"/>
              </w:rPr>
              <w:t>Meetings Through Electronic Communications</w:t>
            </w:r>
          </w:p>
        </w:tc>
        <w:tc>
          <w:tcPr>
            <w:tcW w:w="1280" w:type="dxa"/>
            <w:vAlign w:val="bottom"/>
          </w:tcPr>
          <w:p>
            <w:pPr>
              <w:jc w:val="center"/>
              <w:ind w:left="830"/>
              <w:spacing w:after="0"/>
              <w:rPr>
                <w:sz w:val="20"/>
                <w:szCs w:val="20"/>
                <w:color w:val="auto"/>
              </w:rPr>
            </w:pPr>
            <w:r>
              <w:rPr>
                <w:rFonts w:ascii="Arial" w:cs="Arial" w:eastAsia="Arial" w:hAnsi="Arial"/>
                <w:sz w:val="18"/>
                <w:szCs w:val="18"/>
                <w:color w:val="auto"/>
                <w:w w:val="79"/>
              </w:rPr>
              <w:t>9</w:t>
            </w:r>
          </w:p>
        </w:tc>
      </w:tr>
      <w:tr>
        <w:trPr>
          <w:trHeight w:val="270"/>
        </w:trPr>
        <w:tc>
          <w:tcPr>
            <w:tcW w:w="1320" w:type="dxa"/>
            <w:vAlign w:val="bottom"/>
          </w:tcPr>
          <w:p>
            <w:pPr>
              <w:jc w:val="center"/>
              <w:ind w:right="250"/>
              <w:spacing w:after="0"/>
              <w:rPr>
                <w:sz w:val="20"/>
                <w:szCs w:val="20"/>
                <w:color w:val="auto"/>
              </w:rPr>
            </w:pPr>
            <w:r>
              <w:rPr>
                <w:rFonts w:ascii="Arial" w:cs="Arial" w:eastAsia="Arial" w:hAnsi="Arial"/>
                <w:sz w:val="18"/>
                <w:szCs w:val="18"/>
                <w:color w:val="auto"/>
              </w:rPr>
              <w:t>ARTICLE III</w:t>
            </w:r>
          </w:p>
        </w:tc>
        <w:tc>
          <w:tcPr>
            <w:tcW w:w="7420" w:type="dxa"/>
            <w:vAlign w:val="bottom"/>
          </w:tcPr>
          <w:p>
            <w:pPr>
              <w:ind w:left="320"/>
              <w:spacing w:after="0"/>
              <w:rPr>
                <w:sz w:val="20"/>
                <w:szCs w:val="20"/>
                <w:color w:val="auto"/>
              </w:rPr>
            </w:pPr>
            <w:r>
              <w:rPr>
                <w:rFonts w:ascii="Arial" w:cs="Arial" w:eastAsia="Arial" w:hAnsi="Arial"/>
                <w:sz w:val="18"/>
                <w:szCs w:val="18"/>
                <w:color w:val="auto"/>
              </w:rPr>
              <w:t>DIRECTORS</w:t>
            </w:r>
          </w:p>
        </w:tc>
        <w:tc>
          <w:tcPr>
            <w:tcW w:w="1280" w:type="dxa"/>
            <w:vAlign w:val="bottom"/>
          </w:tcPr>
          <w:p>
            <w:pPr>
              <w:jc w:val="center"/>
              <w:ind w:left="830"/>
              <w:spacing w:after="0"/>
              <w:rPr>
                <w:sz w:val="20"/>
                <w:szCs w:val="20"/>
                <w:color w:val="auto"/>
              </w:rPr>
            </w:pPr>
            <w:r>
              <w:rPr>
                <w:rFonts w:ascii="Arial" w:cs="Arial" w:eastAsia="Arial" w:hAnsi="Arial"/>
                <w:sz w:val="18"/>
                <w:szCs w:val="18"/>
                <w:color w:val="auto"/>
                <w:w w:val="79"/>
              </w:rPr>
              <w:t>9</w:t>
            </w:r>
          </w:p>
        </w:tc>
      </w:tr>
      <w:tr>
        <w:trPr>
          <w:trHeight w:val="270"/>
        </w:trPr>
        <w:tc>
          <w:tcPr>
            <w:tcW w:w="1320" w:type="dxa"/>
            <w:vAlign w:val="bottom"/>
          </w:tcPr>
          <w:p>
            <w:pPr>
              <w:jc w:val="center"/>
              <w:ind w:right="250"/>
              <w:spacing w:after="0"/>
              <w:rPr>
                <w:sz w:val="20"/>
                <w:szCs w:val="20"/>
                <w:color w:val="auto"/>
              </w:rPr>
            </w:pPr>
            <w:r>
              <w:rPr>
                <w:rFonts w:ascii="Arial" w:cs="Arial" w:eastAsia="Arial" w:hAnsi="Arial"/>
                <w:sz w:val="18"/>
                <w:szCs w:val="18"/>
                <w:color w:val="auto"/>
                <w:w w:val="87"/>
              </w:rPr>
              <w:t>3.1</w:t>
            </w:r>
          </w:p>
        </w:tc>
        <w:tc>
          <w:tcPr>
            <w:tcW w:w="7420" w:type="dxa"/>
            <w:vAlign w:val="bottom"/>
          </w:tcPr>
          <w:p>
            <w:pPr>
              <w:ind w:left="320"/>
              <w:spacing w:after="0"/>
              <w:rPr>
                <w:sz w:val="20"/>
                <w:szCs w:val="20"/>
                <w:color w:val="auto"/>
              </w:rPr>
            </w:pPr>
            <w:r>
              <w:rPr>
                <w:rFonts w:ascii="Arial" w:cs="Arial" w:eastAsia="Arial" w:hAnsi="Arial"/>
                <w:sz w:val="18"/>
                <w:szCs w:val="18"/>
                <w:color w:val="auto"/>
              </w:rPr>
              <w:t>General Powers; Performance of Duties</w:t>
            </w:r>
          </w:p>
        </w:tc>
        <w:tc>
          <w:tcPr>
            <w:tcW w:w="1280" w:type="dxa"/>
            <w:vAlign w:val="bottom"/>
          </w:tcPr>
          <w:p>
            <w:pPr>
              <w:jc w:val="center"/>
              <w:ind w:left="830"/>
              <w:spacing w:after="0"/>
              <w:rPr>
                <w:sz w:val="20"/>
                <w:szCs w:val="20"/>
                <w:color w:val="auto"/>
              </w:rPr>
            </w:pPr>
            <w:r>
              <w:rPr>
                <w:rFonts w:ascii="Arial" w:cs="Arial" w:eastAsia="Arial" w:hAnsi="Arial"/>
                <w:sz w:val="18"/>
                <w:szCs w:val="18"/>
                <w:color w:val="auto"/>
                <w:w w:val="79"/>
              </w:rPr>
              <w:t>9</w:t>
            </w:r>
          </w:p>
        </w:tc>
      </w:tr>
      <w:tr>
        <w:trPr>
          <w:trHeight w:val="270"/>
        </w:trPr>
        <w:tc>
          <w:tcPr>
            <w:tcW w:w="1320" w:type="dxa"/>
            <w:vAlign w:val="bottom"/>
          </w:tcPr>
          <w:p>
            <w:pPr>
              <w:jc w:val="center"/>
              <w:ind w:right="250"/>
              <w:spacing w:after="0"/>
              <w:rPr>
                <w:sz w:val="20"/>
                <w:szCs w:val="20"/>
                <w:color w:val="auto"/>
              </w:rPr>
            </w:pPr>
            <w:r>
              <w:rPr>
                <w:rFonts w:ascii="Arial" w:cs="Arial" w:eastAsia="Arial" w:hAnsi="Arial"/>
                <w:sz w:val="18"/>
                <w:szCs w:val="18"/>
                <w:color w:val="auto"/>
                <w:w w:val="87"/>
              </w:rPr>
              <w:t>3.2</w:t>
            </w:r>
          </w:p>
        </w:tc>
        <w:tc>
          <w:tcPr>
            <w:tcW w:w="7420" w:type="dxa"/>
            <w:vAlign w:val="bottom"/>
          </w:tcPr>
          <w:p>
            <w:pPr>
              <w:ind w:left="320"/>
              <w:spacing w:after="0"/>
              <w:rPr>
                <w:sz w:val="20"/>
                <w:szCs w:val="20"/>
                <w:color w:val="auto"/>
              </w:rPr>
            </w:pPr>
            <w:r>
              <w:rPr>
                <w:rFonts w:ascii="Arial" w:cs="Arial" w:eastAsia="Arial" w:hAnsi="Arial"/>
                <w:sz w:val="18"/>
                <w:szCs w:val="18"/>
                <w:color w:val="auto"/>
              </w:rPr>
              <w:t>Number, Tenure, and Qualifications</w:t>
            </w:r>
          </w:p>
        </w:tc>
        <w:tc>
          <w:tcPr>
            <w:tcW w:w="1280" w:type="dxa"/>
            <w:vAlign w:val="bottom"/>
          </w:tcPr>
          <w:p>
            <w:pPr>
              <w:jc w:val="center"/>
              <w:ind w:left="830"/>
              <w:spacing w:after="0"/>
              <w:rPr>
                <w:sz w:val="20"/>
                <w:szCs w:val="20"/>
                <w:color w:val="auto"/>
              </w:rPr>
            </w:pPr>
            <w:r>
              <w:rPr>
                <w:rFonts w:ascii="Arial" w:cs="Arial" w:eastAsia="Arial" w:hAnsi="Arial"/>
                <w:sz w:val="18"/>
                <w:szCs w:val="18"/>
                <w:color w:val="auto"/>
                <w:w w:val="79"/>
              </w:rPr>
              <w:t>9</w:t>
            </w:r>
          </w:p>
        </w:tc>
      </w:tr>
      <w:tr>
        <w:trPr>
          <w:trHeight w:val="270"/>
        </w:trPr>
        <w:tc>
          <w:tcPr>
            <w:tcW w:w="1320" w:type="dxa"/>
            <w:vAlign w:val="bottom"/>
          </w:tcPr>
          <w:p>
            <w:pPr>
              <w:jc w:val="center"/>
              <w:ind w:right="250"/>
              <w:spacing w:after="0"/>
              <w:rPr>
                <w:sz w:val="20"/>
                <w:szCs w:val="20"/>
                <w:color w:val="auto"/>
              </w:rPr>
            </w:pPr>
            <w:r>
              <w:rPr>
                <w:rFonts w:ascii="Arial" w:cs="Arial" w:eastAsia="Arial" w:hAnsi="Arial"/>
                <w:sz w:val="18"/>
                <w:szCs w:val="18"/>
                <w:color w:val="auto"/>
                <w:w w:val="87"/>
              </w:rPr>
              <w:t>3.3</w:t>
            </w:r>
          </w:p>
        </w:tc>
        <w:tc>
          <w:tcPr>
            <w:tcW w:w="7420" w:type="dxa"/>
            <w:vAlign w:val="bottom"/>
          </w:tcPr>
          <w:p>
            <w:pPr>
              <w:ind w:left="320"/>
              <w:spacing w:after="0"/>
              <w:rPr>
                <w:sz w:val="20"/>
                <w:szCs w:val="20"/>
                <w:color w:val="auto"/>
              </w:rPr>
            </w:pPr>
            <w:r>
              <w:rPr>
                <w:rFonts w:ascii="Arial" w:cs="Arial" w:eastAsia="Arial" w:hAnsi="Arial"/>
                <w:sz w:val="18"/>
                <w:szCs w:val="18"/>
                <w:color w:val="auto"/>
              </w:rPr>
              <w:t>Chair of the Board</w:t>
            </w:r>
          </w:p>
        </w:tc>
        <w:tc>
          <w:tcPr>
            <w:tcW w:w="1280" w:type="dxa"/>
            <w:vAlign w:val="bottom"/>
          </w:tcPr>
          <w:p>
            <w:pPr>
              <w:jc w:val="center"/>
              <w:ind w:left="810"/>
              <w:spacing w:after="0"/>
              <w:rPr>
                <w:sz w:val="20"/>
                <w:szCs w:val="20"/>
                <w:color w:val="auto"/>
              </w:rPr>
            </w:pPr>
            <w:r>
              <w:rPr>
                <w:rFonts w:ascii="Arial" w:cs="Arial" w:eastAsia="Arial" w:hAnsi="Arial"/>
                <w:sz w:val="18"/>
                <w:szCs w:val="18"/>
                <w:color w:val="auto"/>
                <w:w w:val="89"/>
              </w:rPr>
              <w:t>10</w:t>
            </w:r>
          </w:p>
        </w:tc>
      </w:tr>
      <w:tr>
        <w:trPr>
          <w:trHeight w:val="270"/>
        </w:trPr>
        <w:tc>
          <w:tcPr>
            <w:tcW w:w="1320" w:type="dxa"/>
            <w:vAlign w:val="bottom"/>
          </w:tcPr>
          <w:p>
            <w:pPr>
              <w:jc w:val="center"/>
              <w:ind w:right="250"/>
              <w:spacing w:after="0"/>
              <w:rPr>
                <w:sz w:val="20"/>
                <w:szCs w:val="20"/>
                <w:color w:val="auto"/>
              </w:rPr>
            </w:pPr>
            <w:r>
              <w:rPr>
                <w:rFonts w:ascii="Arial" w:cs="Arial" w:eastAsia="Arial" w:hAnsi="Arial"/>
                <w:sz w:val="18"/>
                <w:szCs w:val="18"/>
                <w:color w:val="auto"/>
                <w:w w:val="87"/>
              </w:rPr>
              <w:t>3.4</w:t>
            </w:r>
          </w:p>
        </w:tc>
        <w:tc>
          <w:tcPr>
            <w:tcW w:w="7420" w:type="dxa"/>
            <w:vAlign w:val="bottom"/>
          </w:tcPr>
          <w:p>
            <w:pPr>
              <w:ind w:left="320"/>
              <w:spacing w:after="0"/>
              <w:rPr>
                <w:sz w:val="20"/>
                <w:szCs w:val="20"/>
                <w:color w:val="auto"/>
              </w:rPr>
            </w:pPr>
            <w:r>
              <w:rPr>
                <w:rFonts w:ascii="Arial" w:cs="Arial" w:eastAsia="Arial" w:hAnsi="Arial"/>
                <w:sz w:val="18"/>
                <w:szCs w:val="18"/>
                <w:color w:val="auto"/>
              </w:rPr>
              <w:t>Vice Chair of the Board</w:t>
            </w:r>
          </w:p>
        </w:tc>
        <w:tc>
          <w:tcPr>
            <w:tcW w:w="1280" w:type="dxa"/>
            <w:vAlign w:val="bottom"/>
          </w:tcPr>
          <w:p>
            <w:pPr>
              <w:jc w:val="center"/>
              <w:ind w:left="810"/>
              <w:spacing w:after="0"/>
              <w:rPr>
                <w:sz w:val="20"/>
                <w:szCs w:val="20"/>
                <w:color w:val="auto"/>
              </w:rPr>
            </w:pPr>
            <w:r>
              <w:rPr>
                <w:rFonts w:ascii="Arial" w:cs="Arial" w:eastAsia="Arial" w:hAnsi="Arial"/>
                <w:sz w:val="18"/>
                <w:szCs w:val="18"/>
                <w:color w:val="auto"/>
                <w:w w:val="89"/>
              </w:rPr>
              <w:t>10</w:t>
            </w:r>
          </w:p>
        </w:tc>
      </w:tr>
      <w:tr>
        <w:trPr>
          <w:trHeight w:val="270"/>
        </w:trPr>
        <w:tc>
          <w:tcPr>
            <w:tcW w:w="1320" w:type="dxa"/>
            <w:vAlign w:val="bottom"/>
          </w:tcPr>
          <w:p>
            <w:pPr>
              <w:jc w:val="center"/>
              <w:ind w:right="250"/>
              <w:spacing w:after="0"/>
              <w:rPr>
                <w:sz w:val="20"/>
                <w:szCs w:val="20"/>
                <w:color w:val="auto"/>
              </w:rPr>
            </w:pPr>
            <w:r>
              <w:rPr>
                <w:rFonts w:ascii="Arial" w:cs="Arial" w:eastAsia="Arial" w:hAnsi="Arial"/>
                <w:sz w:val="18"/>
                <w:szCs w:val="18"/>
                <w:color w:val="auto"/>
                <w:w w:val="87"/>
              </w:rPr>
              <w:t>3.5</w:t>
            </w:r>
          </w:p>
        </w:tc>
        <w:tc>
          <w:tcPr>
            <w:tcW w:w="7420" w:type="dxa"/>
            <w:vAlign w:val="bottom"/>
          </w:tcPr>
          <w:p>
            <w:pPr>
              <w:ind w:left="320"/>
              <w:spacing w:after="0"/>
              <w:rPr>
                <w:sz w:val="20"/>
                <w:szCs w:val="20"/>
                <w:color w:val="auto"/>
              </w:rPr>
            </w:pPr>
            <w:r>
              <w:rPr>
                <w:rFonts w:ascii="Arial" w:cs="Arial" w:eastAsia="Arial" w:hAnsi="Arial"/>
                <w:sz w:val="18"/>
                <w:szCs w:val="18"/>
                <w:color w:val="auto"/>
              </w:rPr>
              <w:t>Classification and Elections</w:t>
            </w:r>
          </w:p>
        </w:tc>
        <w:tc>
          <w:tcPr>
            <w:tcW w:w="1280" w:type="dxa"/>
            <w:vAlign w:val="bottom"/>
          </w:tcPr>
          <w:p>
            <w:pPr>
              <w:jc w:val="center"/>
              <w:ind w:left="810"/>
              <w:spacing w:after="0"/>
              <w:rPr>
                <w:sz w:val="20"/>
                <w:szCs w:val="20"/>
                <w:color w:val="auto"/>
              </w:rPr>
            </w:pPr>
            <w:r>
              <w:rPr>
                <w:rFonts w:ascii="Arial" w:cs="Arial" w:eastAsia="Arial" w:hAnsi="Arial"/>
                <w:sz w:val="18"/>
                <w:szCs w:val="18"/>
                <w:color w:val="auto"/>
                <w:w w:val="89"/>
              </w:rPr>
              <w:t>10</w:t>
            </w:r>
          </w:p>
        </w:tc>
      </w:tr>
      <w:tr>
        <w:trPr>
          <w:trHeight w:val="270"/>
        </w:trPr>
        <w:tc>
          <w:tcPr>
            <w:tcW w:w="1320" w:type="dxa"/>
            <w:vAlign w:val="bottom"/>
          </w:tcPr>
          <w:p>
            <w:pPr>
              <w:jc w:val="center"/>
              <w:ind w:right="250"/>
              <w:spacing w:after="0"/>
              <w:rPr>
                <w:sz w:val="20"/>
                <w:szCs w:val="20"/>
                <w:color w:val="auto"/>
              </w:rPr>
            </w:pPr>
            <w:r>
              <w:rPr>
                <w:rFonts w:ascii="Arial" w:cs="Arial" w:eastAsia="Arial" w:hAnsi="Arial"/>
                <w:sz w:val="18"/>
                <w:szCs w:val="18"/>
                <w:color w:val="auto"/>
                <w:w w:val="87"/>
              </w:rPr>
              <w:t>3.6</w:t>
            </w:r>
          </w:p>
        </w:tc>
        <w:tc>
          <w:tcPr>
            <w:tcW w:w="7420" w:type="dxa"/>
            <w:vAlign w:val="bottom"/>
          </w:tcPr>
          <w:p>
            <w:pPr>
              <w:ind w:left="320"/>
              <w:spacing w:after="0"/>
              <w:rPr>
                <w:sz w:val="20"/>
                <w:szCs w:val="20"/>
                <w:color w:val="auto"/>
              </w:rPr>
            </w:pPr>
            <w:r>
              <w:rPr>
                <w:rFonts w:ascii="Arial" w:cs="Arial" w:eastAsia="Arial" w:hAnsi="Arial"/>
                <w:sz w:val="18"/>
                <w:szCs w:val="18"/>
                <w:color w:val="auto"/>
              </w:rPr>
              <w:t>Removal and Resignation of Directors</w:t>
            </w:r>
          </w:p>
        </w:tc>
        <w:tc>
          <w:tcPr>
            <w:tcW w:w="1280" w:type="dxa"/>
            <w:vAlign w:val="bottom"/>
          </w:tcPr>
          <w:p>
            <w:pPr>
              <w:jc w:val="center"/>
              <w:ind w:left="810"/>
              <w:spacing w:after="0"/>
              <w:rPr>
                <w:sz w:val="20"/>
                <w:szCs w:val="20"/>
                <w:color w:val="auto"/>
              </w:rPr>
            </w:pPr>
            <w:r>
              <w:rPr>
                <w:rFonts w:ascii="Arial" w:cs="Arial" w:eastAsia="Arial" w:hAnsi="Arial"/>
                <w:sz w:val="18"/>
                <w:szCs w:val="18"/>
                <w:color w:val="auto"/>
                <w:w w:val="89"/>
              </w:rPr>
              <w:t>10</w:t>
            </w:r>
          </w:p>
        </w:tc>
      </w:tr>
      <w:tr>
        <w:trPr>
          <w:trHeight w:val="270"/>
        </w:trPr>
        <w:tc>
          <w:tcPr>
            <w:tcW w:w="1320" w:type="dxa"/>
            <w:vAlign w:val="bottom"/>
          </w:tcPr>
          <w:p>
            <w:pPr>
              <w:jc w:val="center"/>
              <w:ind w:right="250"/>
              <w:spacing w:after="0"/>
              <w:rPr>
                <w:sz w:val="20"/>
                <w:szCs w:val="20"/>
                <w:color w:val="auto"/>
              </w:rPr>
            </w:pPr>
            <w:r>
              <w:rPr>
                <w:rFonts w:ascii="Arial" w:cs="Arial" w:eastAsia="Arial" w:hAnsi="Arial"/>
                <w:sz w:val="18"/>
                <w:szCs w:val="18"/>
                <w:color w:val="auto"/>
                <w:w w:val="87"/>
              </w:rPr>
              <w:t>3.7</w:t>
            </w:r>
          </w:p>
        </w:tc>
        <w:tc>
          <w:tcPr>
            <w:tcW w:w="7420" w:type="dxa"/>
            <w:vAlign w:val="bottom"/>
          </w:tcPr>
          <w:p>
            <w:pPr>
              <w:ind w:left="320"/>
              <w:spacing w:after="0"/>
              <w:rPr>
                <w:sz w:val="20"/>
                <w:szCs w:val="20"/>
                <w:color w:val="auto"/>
              </w:rPr>
            </w:pPr>
            <w:r>
              <w:rPr>
                <w:rFonts w:ascii="Arial" w:cs="Arial" w:eastAsia="Arial" w:hAnsi="Arial"/>
                <w:sz w:val="18"/>
                <w:szCs w:val="18"/>
                <w:color w:val="auto"/>
              </w:rPr>
              <w:t>Vacancies; Newly Created Directorships</w:t>
            </w:r>
          </w:p>
        </w:tc>
        <w:tc>
          <w:tcPr>
            <w:tcW w:w="1280" w:type="dxa"/>
            <w:vAlign w:val="bottom"/>
          </w:tcPr>
          <w:p>
            <w:pPr>
              <w:jc w:val="center"/>
              <w:ind w:left="830"/>
              <w:spacing w:after="0"/>
              <w:rPr>
                <w:sz w:val="20"/>
                <w:szCs w:val="20"/>
                <w:color w:val="auto"/>
              </w:rPr>
            </w:pPr>
            <w:r>
              <w:rPr>
                <w:rFonts w:ascii="Arial" w:cs="Arial" w:eastAsia="Arial" w:hAnsi="Arial"/>
                <w:sz w:val="18"/>
                <w:szCs w:val="18"/>
                <w:color w:val="auto"/>
                <w:w w:val="79"/>
              </w:rPr>
              <w:t>11</w:t>
            </w:r>
          </w:p>
        </w:tc>
      </w:tr>
      <w:tr>
        <w:trPr>
          <w:trHeight w:val="270"/>
        </w:trPr>
        <w:tc>
          <w:tcPr>
            <w:tcW w:w="1320" w:type="dxa"/>
            <w:vAlign w:val="bottom"/>
          </w:tcPr>
          <w:p>
            <w:pPr>
              <w:jc w:val="center"/>
              <w:ind w:right="250"/>
              <w:spacing w:after="0"/>
              <w:rPr>
                <w:sz w:val="20"/>
                <w:szCs w:val="20"/>
                <w:color w:val="auto"/>
              </w:rPr>
            </w:pPr>
            <w:r>
              <w:rPr>
                <w:rFonts w:ascii="Arial" w:cs="Arial" w:eastAsia="Arial" w:hAnsi="Arial"/>
                <w:sz w:val="18"/>
                <w:szCs w:val="18"/>
                <w:color w:val="auto"/>
                <w:w w:val="87"/>
              </w:rPr>
              <w:t>3.8</w:t>
            </w:r>
          </w:p>
        </w:tc>
        <w:tc>
          <w:tcPr>
            <w:tcW w:w="7420" w:type="dxa"/>
            <w:vAlign w:val="bottom"/>
          </w:tcPr>
          <w:p>
            <w:pPr>
              <w:ind w:left="320"/>
              <w:spacing w:after="0"/>
              <w:rPr>
                <w:sz w:val="20"/>
                <w:szCs w:val="20"/>
                <w:color w:val="auto"/>
              </w:rPr>
            </w:pPr>
            <w:r>
              <w:rPr>
                <w:rFonts w:ascii="Arial" w:cs="Arial" w:eastAsia="Arial" w:hAnsi="Arial"/>
                <w:sz w:val="18"/>
                <w:szCs w:val="18"/>
                <w:color w:val="auto"/>
              </w:rPr>
              <w:t>Annual and Regular Meetings</w:t>
            </w:r>
          </w:p>
        </w:tc>
        <w:tc>
          <w:tcPr>
            <w:tcW w:w="1280" w:type="dxa"/>
            <w:vAlign w:val="bottom"/>
          </w:tcPr>
          <w:p>
            <w:pPr>
              <w:jc w:val="center"/>
              <w:ind w:left="830"/>
              <w:spacing w:after="0"/>
              <w:rPr>
                <w:sz w:val="20"/>
                <w:szCs w:val="20"/>
                <w:color w:val="auto"/>
              </w:rPr>
            </w:pPr>
            <w:r>
              <w:rPr>
                <w:rFonts w:ascii="Arial" w:cs="Arial" w:eastAsia="Arial" w:hAnsi="Arial"/>
                <w:sz w:val="18"/>
                <w:szCs w:val="18"/>
                <w:color w:val="auto"/>
                <w:w w:val="79"/>
              </w:rPr>
              <w:t>11</w:t>
            </w:r>
          </w:p>
        </w:tc>
      </w:tr>
      <w:tr>
        <w:trPr>
          <w:trHeight w:val="270"/>
        </w:trPr>
        <w:tc>
          <w:tcPr>
            <w:tcW w:w="1320" w:type="dxa"/>
            <w:vAlign w:val="bottom"/>
          </w:tcPr>
          <w:p>
            <w:pPr>
              <w:jc w:val="center"/>
              <w:ind w:right="250"/>
              <w:spacing w:after="0"/>
              <w:rPr>
                <w:sz w:val="20"/>
                <w:szCs w:val="20"/>
                <w:color w:val="auto"/>
              </w:rPr>
            </w:pPr>
            <w:r>
              <w:rPr>
                <w:rFonts w:ascii="Arial" w:cs="Arial" w:eastAsia="Arial" w:hAnsi="Arial"/>
                <w:sz w:val="18"/>
                <w:szCs w:val="18"/>
                <w:color w:val="auto"/>
                <w:w w:val="87"/>
              </w:rPr>
              <w:t>3.9</w:t>
            </w:r>
          </w:p>
        </w:tc>
        <w:tc>
          <w:tcPr>
            <w:tcW w:w="7420" w:type="dxa"/>
            <w:vAlign w:val="bottom"/>
          </w:tcPr>
          <w:p>
            <w:pPr>
              <w:ind w:left="320"/>
              <w:spacing w:after="0"/>
              <w:rPr>
                <w:sz w:val="20"/>
                <w:szCs w:val="20"/>
                <w:color w:val="auto"/>
              </w:rPr>
            </w:pPr>
            <w:r>
              <w:rPr>
                <w:rFonts w:ascii="Arial" w:cs="Arial" w:eastAsia="Arial" w:hAnsi="Arial"/>
                <w:sz w:val="18"/>
                <w:szCs w:val="18"/>
                <w:color w:val="auto"/>
              </w:rPr>
              <w:t>Special Meetings</w:t>
            </w:r>
          </w:p>
        </w:tc>
        <w:tc>
          <w:tcPr>
            <w:tcW w:w="1280" w:type="dxa"/>
            <w:vAlign w:val="bottom"/>
          </w:tcPr>
          <w:p>
            <w:pPr>
              <w:jc w:val="center"/>
              <w:ind w:left="830"/>
              <w:spacing w:after="0"/>
              <w:rPr>
                <w:sz w:val="20"/>
                <w:szCs w:val="20"/>
                <w:color w:val="auto"/>
              </w:rPr>
            </w:pPr>
            <w:r>
              <w:rPr>
                <w:rFonts w:ascii="Arial" w:cs="Arial" w:eastAsia="Arial" w:hAnsi="Arial"/>
                <w:sz w:val="18"/>
                <w:szCs w:val="18"/>
                <w:color w:val="auto"/>
                <w:w w:val="79"/>
              </w:rPr>
              <w:t>11</w:t>
            </w:r>
          </w:p>
        </w:tc>
      </w:tr>
      <w:tr>
        <w:trPr>
          <w:trHeight w:val="270"/>
        </w:trPr>
        <w:tc>
          <w:tcPr>
            <w:tcW w:w="1320" w:type="dxa"/>
            <w:vAlign w:val="bottom"/>
          </w:tcPr>
          <w:p>
            <w:pPr>
              <w:jc w:val="center"/>
              <w:ind w:right="270"/>
              <w:spacing w:after="0"/>
              <w:rPr>
                <w:sz w:val="20"/>
                <w:szCs w:val="20"/>
                <w:color w:val="auto"/>
              </w:rPr>
            </w:pPr>
            <w:r>
              <w:rPr>
                <w:rFonts w:ascii="Arial" w:cs="Arial" w:eastAsia="Arial" w:hAnsi="Arial"/>
                <w:sz w:val="18"/>
                <w:szCs w:val="18"/>
                <w:color w:val="auto"/>
                <w:w w:val="91"/>
              </w:rPr>
              <w:t>3.10</w:t>
            </w:r>
          </w:p>
        </w:tc>
        <w:tc>
          <w:tcPr>
            <w:tcW w:w="7420" w:type="dxa"/>
            <w:vAlign w:val="bottom"/>
          </w:tcPr>
          <w:p>
            <w:pPr>
              <w:ind w:left="320"/>
              <w:spacing w:after="0"/>
              <w:rPr>
                <w:sz w:val="20"/>
                <w:szCs w:val="20"/>
                <w:color w:val="auto"/>
              </w:rPr>
            </w:pPr>
            <w:r>
              <w:rPr>
                <w:rFonts w:ascii="Arial" w:cs="Arial" w:eastAsia="Arial" w:hAnsi="Arial"/>
                <w:sz w:val="18"/>
                <w:szCs w:val="18"/>
                <w:color w:val="auto"/>
              </w:rPr>
              <w:t>Place of Meetings</w:t>
            </w:r>
          </w:p>
        </w:tc>
        <w:tc>
          <w:tcPr>
            <w:tcW w:w="1280" w:type="dxa"/>
            <w:vAlign w:val="bottom"/>
          </w:tcPr>
          <w:p>
            <w:pPr>
              <w:jc w:val="center"/>
              <w:ind w:left="830"/>
              <w:spacing w:after="0"/>
              <w:rPr>
                <w:sz w:val="20"/>
                <w:szCs w:val="20"/>
                <w:color w:val="auto"/>
              </w:rPr>
            </w:pPr>
            <w:r>
              <w:rPr>
                <w:rFonts w:ascii="Arial" w:cs="Arial" w:eastAsia="Arial" w:hAnsi="Arial"/>
                <w:sz w:val="18"/>
                <w:szCs w:val="18"/>
                <w:color w:val="auto"/>
                <w:w w:val="79"/>
              </w:rPr>
              <w:t>11</w:t>
            </w:r>
          </w:p>
        </w:tc>
      </w:tr>
      <w:tr>
        <w:trPr>
          <w:trHeight w:val="270"/>
        </w:trPr>
        <w:tc>
          <w:tcPr>
            <w:tcW w:w="1320" w:type="dxa"/>
            <w:vAlign w:val="bottom"/>
          </w:tcPr>
          <w:p>
            <w:pPr>
              <w:jc w:val="center"/>
              <w:ind w:right="250"/>
              <w:spacing w:after="0"/>
              <w:rPr>
                <w:sz w:val="20"/>
                <w:szCs w:val="20"/>
                <w:color w:val="auto"/>
              </w:rPr>
            </w:pPr>
            <w:r>
              <w:rPr>
                <w:rFonts w:ascii="Arial" w:cs="Arial" w:eastAsia="Arial" w:hAnsi="Arial"/>
                <w:sz w:val="18"/>
                <w:szCs w:val="18"/>
                <w:color w:val="auto"/>
                <w:w w:val="85"/>
              </w:rPr>
              <w:t>3.11</w:t>
            </w:r>
          </w:p>
        </w:tc>
        <w:tc>
          <w:tcPr>
            <w:tcW w:w="7420" w:type="dxa"/>
            <w:vAlign w:val="bottom"/>
          </w:tcPr>
          <w:p>
            <w:pPr>
              <w:ind w:left="320"/>
              <w:spacing w:after="0"/>
              <w:rPr>
                <w:sz w:val="20"/>
                <w:szCs w:val="20"/>
                <w:color w:val="auto"/>
              </w:rPr>
            </w:pPr>
            <w:r>
              <w:rPr>
                <w:rFonts w:ascii="Arial" w:cs="Arial" w:eastAsia="Arial" w:hAnsi="Arial"/>
                <w:sz w:val="18"/>
                <w:szCs w:val="18"/>
                <w:color w:val="auto"/>
              </w:rPr>
              <w:t>Notice of Meetings</w:t>
            </w:r>
          </w:p>
        </w:tc>
        <w:tc>
          <w:tcPr>
            <w:tcW w:w="1280" w:type="dxa"/>
            <w:vAlign w:val="bottom"/>
          </w:tcPr>
          <w:p>
            <w:pPr>
              <w:jc w:val="center"/>
              <w:ind w:left="830"/>
              <w:spacing w:after="0"/>
              <w:rPr>
                <w:sz w:val="20"/>
                <w:szCs w:val="20"/>
                <w:color w:val="auto"/>
              </w:rPr>
            </w:pPr>
            <w:r>
              <w:rPr>
                <w:rFonts w:ascii="Arial" w:cs="Arial" w:eastAsia="Arial" w:hAnsi="Arial"/>
                <w:sz w:val="18"/>
                <w:szCs w:val="18"/>
                <w:color w:val="auto"/>
                <w:w w:val="79"/>
              </w:rPr>
              <w:t>11</w:t>
            </w:r>
          </w:p>
        </w:tc>
      </w:tr>
      <w:tr>
        <w:trPr>
          <w:trHeight w:val="270"/>
        </w:trPr>
        <w:tc>
          <w:tcPr>
            <w:tcW w:w="1320" w:type="dxa"/>
            <w:vAlign w:val="bottom"/>
          </w:tcPr>
          <w:p>
            <w:pPr>
              <w:jc w:val="center"/>
              <w:ind w:right="270"/>
              <w:spacing w:after="0"/>
              <w:rPr>
                <w:sz w:val="20"/>
                <w:szCs w:val="20"/>
                <w:color w:val="auto"/>
              </w:rPr>
            </w:pPr>
            <w:r>
              <w:rPr>
                <w:rFonts w:ascii="Arial" w:cs="Arial" w:eastAsia="Arial" w:hAnsi="Arial"/>
                <w:sz w:val="18"/>
                <w:szCs w:val="18"/>
                <w:color w:val="auto"/>
                <w:w w:val="91"/>
              </w:rPr>
              <w:t>3.12</w:t>
            </w:r>
          </w:p>
        </w:tc>
        <w:tc>
          <w:tcPr>
            <w:tcW w:w="7420" w:type="dxa"/>
            <w:vAlign w:val="bottom"/>
          </w:tcPr>
          <w:p>
            <w:pPr>
              <w:ind w:left="320"/>
              <w:spacing w:after="0"/>
              <w:rPr>
                <w:sz w:val="20"/>
                <w:szCs w:val="20"/>
                <w:color w:val="auto"/>
              </w:rPr>
            </w:pPr>
            <w:r>
              <w:rPr>
                <w:rFonts w:ascii="Arial" w:cs="Arial" w:eastAsia="Arial" w:hAnsi="Arial"/>
                <w:sz w:val="18"/>
                <w:szCs w:val="18"/>
                <w:color w:val="auto"/>
              </w:rPr>
              <w:t>Quorum; Adjourned Meetings</w:t>
            </w:r>
          </w:p>
        </w:tc>
        <w:tc>
          <w:tcPr>
            <w:tcW w:w="1280" w:type="dxa"/>
            <w:vAlign w:val="bottom"/>
          </w:tcPr>
          <w:p>
            <w:pPr>
              <w:jc w:val="center"/>
              <w:ind w:left="810"/>
              <w:spacing w:after="0"/>
              <w:rPr>
                <w:sz w:val="20"/>
                <w:szCs w:val="20"/>
                <w:color w:val="auto"/>
              </w:rPr>
            </w:pPr>
            <w:r>
              <w:rPr>
                <w:rFonts w:ascii="Arial" w:cs="Arial" w:eastAsia="Arial" w:hAnsi="Arial"/>
                <w:sz w:val="18"/>
                <w:szCs w:val="18"/>
                <w:color w:val="auto"/>
                <w:w w:val="89"/>
              </w:rPr>
              <w:t>12</w:t>
            </w:r>
          </w:p>
        </w:tc>
      </w:tr>
      <w:tr>
        <w:trPr>
          <w:trHeight w:val="270"/>
        </w:trPr>
        <w:tc>
          <w:tcPr>
            <w:tcW w:w="1320" w:type="dxa"/>
            <w:vAlign w:val="bottom"/>
          </w:tcPr>
          <w:p>
            <w:pPr>
              <w:jc w:val="center"/>
              <w:ind w:right="270"/>
              <w:spacing w:after="0"/>
              <w:rPr>
                <w:sz w:val="20"/>
                <w:szCs w:val="20"/>
                <w:color w:val="auto"/>
              </w:rPr>
            </w:pPr>
            <w:r>
              <w:rPr>
                <w:rFonts w:ascii="Arial" w:cs="Arial" w:eastAsia="Arial" w:hAnsi="Arial"/>
                <w:sz w:val="18"/>
                <w:szCs w:val="18"/>
                <w:color w:val="auto"/>
                <w:w w:val="91"/>
              </w:rPr>
              <w:t>3.13</w:t>
            </w:r>
          </w:p>
        </w:tc>
        <w:tc>
          <w:tcPr>
            <w:tcW w:w="7420" w:type="dxa"/>
            <w:vAlign w:val="bottom"/>
          </w:tcPr>
          <w:p>
            <w:pPr>
              <w:ind w:left="320"/>
              <w:spacing w:after="0"/>
              <w:rPr>
                <w:sz w:val="20"/>
                <w:szCs w:val="20"/>
                <w:color w:val="auto"/>
              </w:rPr>
            </w:pPr>
            <w:r>
              <w:rPr>
                <w:rFonts w:ascii="Arial" w:cs="Arial" w:eastAsia="Arial" w:hAnsi="Arial"/>
                <w:sz w:val="18"/>
                <w:szCs w:val="18"/>
                <w:color w:val="auto"/>
              </w:rPr>
              <w:t>Manner of Acting</w:t>
            </w:r>
          </w:p>
        </w:tc>
        <w:tc>
          <w:tcPr>
            <w:tcW w:w="1280" w:type="dxa"/>
            <w:vAlign w:val="bottom"/>
          </w:tcPr>
          <w:p>
            <w:pPr>
              <w:jc w:val="center"/>
              <w:ind w:left="810"/>
              <w:spacing w:after="0"/>
              <w:rPr>
                <w:sz w:val="20"/>
                <w:szCs w:val="20"/>
                <w:color w:val="auto"/>
              </w:rPr>
            </w:pPr>
            <w:r>
              <w:rPr>
                <w:rFonts w:ascii="Arial" w:cs="Arial" w:eastAsia="Arial" w:hAnsi="Arial"/>
                <w:sz w:val="18"/>
                <w:szCs w:val="18"/>
                <w:color w:val="auto"/>
                <w:w w:val="89"/>
              </w:rPr>
              <w:t>12</w:t>
            </w:r>
          </w:p>
        </w:tc>
      </w:tr>
      <w:tr>
        <w:trPr>
          <w:trHeight w:val="270"/>
        </w:trPr>
        <w:tc>
          <w:tcPr>
            <w:tcW w:w="1320" w:type="dxa"/>
            <w:vAlign w:val="bottom"/>
          </w:tcPr>
          <w:p>
            <w:pPr>
              <w:jc w:val="center"/>
              <w:ind w:right="270"/>
              <w:spacing w:after="0"/>
              <w:rPr>
                <w:sz w:val="20"/>
                <w:szCs w:val="20"/>
                <w:color w:val="auto"/>
              </w:rPr>
            </w:pPr>
            <w:r>
              <w:rPr>
                <w:rFonts w:ascii="Arial" w:cs="Arial" w:eastAsia="Arial" w:hAnsi="Arial"/>
                <w:sz w:val="18"/>
                <w:szCs w:val="18"/>
                <w:color w:val="auto"/>
                <w:w w:val="91"/>
              </w:rPr>
              <w:t>3.14</w:t>
            </w:r>
          </w:p>
        </w:tc>
        <w:tc>
          <w:tcPr>
            <w:tcW w:w="7420" w:type="dxa"/>
            <w:vAlign w:val="bottom"/>
          </w:tcPr>
          <w:p>
            <w:pPr>
              <w:ind w:left="320"/>
              <w:spacing w:after="0"/>
              <w:rPr>
                <w:sz w:val="20"/>
                <w:szCs w:val="20"/>
                <w:color w:val="auto"/>
              </w:rPr>
            </w:pPr>
            <w:r>
              <w:rPr>
                <w:rFonts w:ascii="Arial" w:cs="Arial" w:eastAsia="Arial" w:hAnsi="Arial"/>
                <w:sz w:val="18"/>
                <w:szCs w:val="18"/>
                <w:color w:val="auto"/>
              </w:rPr>
              <w:t>Super-majority Approval</w:t>
            </w:r>
          </w:p>
        </w:tc>
        <w:tc>
          <w:tcPr>
            <w:tcW w:w="1280" w:type="dxa"/>
            <w:vAlign w:val="bottom"/>
          </w:tcPr>
          <w:p>
            <w:pPr>
              <w:jc w:val="center"/>
              <w:ind w:left="810"/>
              <w:spacing w:after="0"/>
              <w:rPr>
                <w:sz w:val="20"/>
                <w:szCs w:val="20"/>
                <w:color w:val="auto"/>
              </w:rPr>
            </w:pPr>
            <w:r>
              <w:rPr>
                <w:rFonts w:ascii="Arial" w:cs="Arial" w:eastAsia="Arial" w:hAnsi="Arial"/>
                <w:sz w:val="18"/>
                <w:szCs w:val="18"/>
                <w:color w:val="auto"/>
                <w:w w:val="89"/>
              </w:rPr>
              <w:t>12</w:t>
            </w:r>
          </w:p>
        </w:tc>
      </w:tr>
      <w:tr>
        <w:trPr>
          <w:trHeight w:val="270"/>
        </w:trPr>
        <w:tc>
          <w:tcPr>
            <w:tcW w:w="1320" w:type="dxa"/>
            <w:vAlign w:val="bottom"/>
          </w:tcPr>
          <w:p>
            <w:pPr>
              <w:jc w:val="center"/>
              <w:ind w:right="270"/>
              <w:spacing w:after="0"/>
              <w:rPr>
                <w:sz w:val="20"/>
                <w:szCs w:val="20"/>
                <w:color w:val="auto"/>
              </w:rPr>
            </w:pPr>
            <w:r>
              <w:rPr>
                <w:rFonts w:ascii="Arial" w:cs="Arial" w:eastAsia="Arial" w:hAnsi="Arial"/>
                <w:sz w:val="18"/>
                <w:szCs w:val="18"/>
                <w:color w:val="auto"/>
                <w:w w:val="91"/>
              </w:rPr>
              <w:t>3.15</w:t>
            </w:r>
          </w:p>
        </w:tc>
        <w:tc>
          <w:tcPr>
            <w:tcW w:w="7420" w:type="dxa"/>
            <w:vAlign w:val="bottom"/>
          </w:tcPr>
          <w:p>
            <w:pPr>
              <w:ind w:left="320"/>
              <w:spacing w:after="0"/>
              <w:rPr>
                <w:sz w:val="20"/>
                <w:szCs w:val="20"/>
                <w:color w:val="auto"/>
              </w:rPr>
            </w:pPr>
            <w:r>
              <w:rPr>
                <w:rFonts w:ascii="Arial" w:cs="Arial" w:eastAsia="Arial" w:hAnsi="Arial"/>
                <w:sz w:val="18"/>
                <w:szCs w:val="18"/>
                <w:color w:val="auto"/>
              </w:rPr>
              <w:t>Meetings Through Electronic Communications</w:t>
            </w:r>
          </w:p>
        </w:tc>
        <w:tc>
          <w:tcPr>
            <w:tcW w:w="1280" w:type="dxa"/>
            <w:vAlign w:val="bottom"/>
          </w:tcPr>
          <w:p>
            <w:pPr>
              <w:jc w:val="center"/>
              <w:ind w:left="810"/>
              <w:spacing w:after="0"/>
              <w:rPr>
                <w:sz w:val="20"/>
                <w:szCs w:val="20"/>
                <w:color w:val="auto"/>
              </w:rPr>
            </w:pPr>
            <w:r>
              <w:rPr>
                <w:rFonts w:ascii="Arial" w:cs="Arial" w:eastAsia="Arial" w:hAnsi="Arial"/>
                <w:sz w:val="18"/>
                <w:szCs w:val="18"/>
                <w:color w:val="auto"/>
                <w:w w:val="89"/>
              </w:rPr>
              <w:t>12</w:t>
            </w:r>
          </w:p>
        </w:tc>
      </w:tr>
      <w:tr>
        <w:trPr>
          <w:trHeight w:val="270"/>
        </w:trPr>
        <w:tc>
          <w:tcPr>
            <w:tcW w:w="1320" w:type="dxa"/>
            <w:vAlign w:val="bottom"/>
          </w:tcPr>
          <w:p>
            <w:pPr>
              <w:jc w:val="center"/>
              <w:ind w:right="270"/>
              <w:spacing w:after="0"/>
              <w:rPr>
                <w:sz w:val="20"/>
                <w:szCs w:val="20"/>
                <w:color w:val="auto"/>
              </w:rPr>
            </w:pPr>
            <w:r>
              <w:rPr>
                <w:rFonts w:ascii="Arial" w:cs="Arial" w:eastAsia="Arial" w:hAnsi="Arial"/>
                <w:sz w:val="18"/>
                <w:szCs w:val="18"/>
                <w:color w:val="auto"/>
                <w:w w:val="91"/>
              </w:rPr>
              <w:t>3.16</w:t>
            </w:r>
          </w:p>
        </w:tc>
        <w:tc>
          <w:tcPr>
            <w:tcW w:w="7420" w:type="dxa"/>
            <w:vAlign w:val="bottom"/>
          </w:tcPr>
          <w:p>
            <w:pPr>
              <w:ind w:left="320"/>
              <w:spacing w:after="0"/>
              <w:rPr>
                <w:sz w:val="20"/>
                <w:szCs w:val="20"/>
                <w:color w:val="auto"/>
              </w:rPr>
            </w:pPr>
            <w:r>
              <w:rPr>
                <w:rFonts w:ascii="Arial" w:cs="Arial" w:eastAsia="Arial" w:hAnsi="Arial"/>
                <w:sz w:val="18"/>
                <w:szCs w:val="18"/>
                <w:color w:val="auto"/>
              </w:rPr>
              <w:t>Action Without Meeting</w:t>
            </w:r>
          </w:p>
        </w:tc>
        <w:tc>
          <w:tcPr>
            <w:tcW w:w="1280" w:type="dxa"/>
            <w:vAlign w:val="bottom"/>
          </w:tcPr>
          <w:p>
            <w:pPr>
              <w:jc w:val="center"/>
              <w:ind w:left="810"/>
              <w:spacing w:after="0"/>
              <w:rPr>
                <w:sz w:val="20"/>
                <w:szCs w:val="20"/>
                <w:color w:val="auto"/>
              </w:rPr>
            </w:pPr>
            <w:r>
              <w:rPr>
                <w:rFonts w:ascii="Arial" w:cs="Arial" w:eastAsia="Arial" w:hAnsi="Arial"/>
                <w:sz w:val="18"/>
                <w:szCs w:val="18"/>
                <w:color w:val="auto"/>
                <w:w w:val="89"/>
              </w:rPr>
              <w:t>12</w:t>
            </w:r>
          </w:p>
        </w:tc>
      </w:tr>
      <w:tr>
        <w:trPr>
          <w:trHeight w:val="270"/>
        </w:trPr>
        <w:tc>
          <w:tcPr>
            <w:tcW w:w="1320" w:type="dxa"/>
            <w:vAlign w:val="bottom"/>
          </w:tcPr>
          <w:p>
            <w:pPr>
              <w:jc w:val="center"/>
              <w:ind w:right="270"/>
              <w:spacing w:after="0"/>
              <w:rPr>
                <w:sz w:val="20"/>
                <w:szCs w:val="20"/>
                <w:color w:val="auto"/>
              </w:rPr>
            </w:pPr>
            <w:r>
              <w:rPr>
                <w:rFonts w:ascii="Arial" w:cs="Arial" w:eastAsia="Arial" w:hAnsi="Arial"/>
                <w:sz w:val="18"/>
                <w:szCs w:val="18"/>
                <w:color w:val="auto"/>
                <w:w w:val="91"/>
              </w:rPr>
              <w:t>3.17</w:t>
            </w:r>
          </w:p>
        </w:tc>
        <w:tc>
          <w:tcPr>
            <w:tcW w:w="7420" w:type="dxa"/>
            <w:vAlign w:val="bottom"/>
          </w:tcPr>
          <w:p>
            <w:pPr>
              <w:ind w:left="320"/>
              <w:spacing w:after="0"/>
              <w:rPr>
                <w:sz w:val="20"/>
                <w:szCs w:val="20"/>
                <w:color w:val="auto"/>
              </w:rPr>
            </w:pPr>
            <w:r>
              <w:rPr>
                <w:rFonts w:ascii="Arial" w:cs="Arial" w:eastAsia="Arial" w:hAnsi="Arial"/>
                <w:sz w:val="18"/>
                <w:szCs w:val="18"/>
                <w:color w:val="auto"/>
              </w:rPr>
              <w:t>Powers and Duties</w:t>
            </w:r>
          </w:p>
        </w:tc>
        <w:tc>
          <w:tcPr>
            <w:tcW w:w="1280" w:type="dxa"/>
            <w:vAlign w:val="bottom"/>
          </w:tcPr>
          <w:p>
            <w:pPr>
              <w:jc w:val="center"/>
              <w:ind w:left="810"/>
              <w:spacing w:after="0"/>
              <w:rPr>
                <w:sz w:val="20"/>
                <w:szCs w:val="20"/>
                <w:color w:val="auto"/>
              </w:rPr>
            </w:pPr>
            <w:r>
              <w:rPr>
                <w:rFonts w:ascii="Arial" w:cs="Arial" w:eastAsia="Arial" w:hAnsi="Arial"/>
                <w:sz w:val="18"/>
                <w:szCs w:val="18"/>
                <w:color w:val="auto"/>
                <w:w w:val="89"/>
              </w:rPr>
              <w:t>13</w:t>
            </w:r>
          </w:p>
        </w:tc>
      </w:tr>
      <w:tr>
        <w:trPr>
          <w:trHeight w:val="270"/>
        </w:trPr>
        <w:tc>
          <w:tcPr>
            <w:tcW w:w="1320" w:type="dxa"/>
            <w:vAlign w:val="bottom"/>
          </w:tcPr>
          <w:p>
            <w:pPr>
              <w:jc w:val="center"/>
              <w:ind w:right="270"/>
              <w:spacing w:after="0"/>
              <w:rPr>
                <w:sz w:val="20"/>
                <w:szCs w:val="20"/>
                <w:color w:val="auto"/>
              </w:rPr>
            </w:pPr>
            <w:r>
              <w:rPr>
                <w:rFonts w:ascii="Arial" w:cs="Arial" w:eastAsia="Arial" w:hAnsi="Arial"/>
                <w:sz w:val="18"/>
                <w:szCs w:val="18"/>
                <w:color w:val="auto"/>
                <w:w w:val="91"/>
              </w:rPr>
              <w:t>3.18</w:t>
            </w:r>
          </w:p>
        </w:tc>
        <w:tc>
          <w:tcPr>
            <w:tcW w:w="7420" w:type="dxa"/>
            <w:vAlign w:val="bottom"/>
          </w:tcPr>
          <w:p>
            <w:pPr>
              <w:ind w:left="320"/>
              <w:spacing w:after="0"/>
              <w:rPr>
                <w:sz w:val="20"/>
                <w:szCs w:val="20"/>
                <w:color w:val="auto"/>
              </w:rPr>
            </w:pPr>
            <w:r>
              <w:rPr>
                <w:rFonts w:ascii="Arial" w:cs="Arial" w:eastAsia="Arial" w:hAnsi="Arial"/>
                <w:sz w:val="18"/>
                <w:szCs w:val="18"/>
                <w:color w:val="auto"/>
              </w:rPr>
              <w:t>Compensation</w:t>
            </w:r>
          </w:p>
        </w:tc>
        <w:tc>
          <w:tcPr>
            <w:tcW w:w="1280" w:type="dxa"/>
            <w:vAlign w:val="bottom"/>
          </w:tcPr>
          <w:p>
            <w:pPr>
              <w:jc w:val="center"/>
              <w:ind w:left="810"/>
              <w:spacing w:after="0"/>
              <w:rPr>
                <w:sz w:val="20"/>
                <w:szCs w:val="20"/>
                <w:color w:val="auto"/>
              </w:rPr>
            </w:pPr>
            <w:r>
              <w:rPr>
                <w:rFonts w:ascii="Arial" w:cs="Arial" w:eastAsia="Arial" w:hAnsi="Arial"/>
                <w:sz w:val="18"/>
                <w:szCs w:val="18"/>
                <w:color w:val="auto"/>
                <w:w w:val="89"/>
              </w:rPr>
              <w:t>13</w:t>
            </w:r>
          </w:p>
        </w:tc>
      </w:tr>
      <w:tr>
        <w:trPr>
          <w:trHeight w:val="270"/>
        </w:trPr>
        <w:tc>
          <w:tcPr>
            <w:tcW w:w="1320" w:type="dxa"/>
            <w:vAlign w:val="bottom"/>
          </w:tcPr>
          <w:p>
            <w:pPr>
              <w:jc w:val="center"/>
              <w:ind w:right="270"/>
              <w:spacing w:after="0"/>
              <w:rPr>
                <w:sz w:val="20"/>
                <w:szCs w:val="20"/>
                <w:color w:val="auto"/>
              </w:rPr>
            </w:pPr>
            <w:r>
              <w:rPr>
                <w:rFonts w:ascii="Arial" w:cs="Arial" w:eastAsia="Arial" w:hAnsi="Arial"/>
                <w:sz w:val="18"/>
                <w:szCs w:val="18"/>
                <w:color w:val="auto"/>
                <w:w w:val="91"/>
              </w:rPr>
              <w:t>3.19</w:t>
            </w:r>
          </w:p>
        </w:tc>
        <w:tc>
          <w:tcPr>
            <w:tcW w:w="7420" w:type="dxa"/>
            <w:vAlign w:val="bottom"/>
          </w:tcPr>
          <w:p>
            <w:pPr>
              <w:ind w:left="320"/>
              <w:spacing w:after="0"/>
              <w:rPr>
                <w:sz w:val="20"/>
                <w:szCs w:val="20"/>
                <w:color w:val="auto"/>
              </w:rPr>
            </w:pPr>
            <w:r>
              <w:rPr>
                <w:rFonts w:ascii="Arial" w:cs="Arial" w:eastAsia="Arial" w:hAnsi="Arial"/>
                <w:sz w:val="18"/>
                <w:szCs w:val="18"/>
                <w:color w:val="auto"/>
              </w:rPr>
              <w:t>Organization</w:t>
            </w:r>
          </w:p>
        </w:tc>
        <w:tc>
          <w:tcPr>
            <w:tcW w:w="1280" w:type="dxa"/>
            <w:vAlign w:val="bottom"/>
          </w:tcPr>
          <w:p>
            <w:pPr>
              <w:jc w:val="center"/>
              <w:ind w:left="810"/>
              <w:spacing w:after="0"/>
              <w:rPr>
                <w:sz w:val="20"/>
                <w:szCs w:val="20"/>
                <w:color w:val="auto"/>
              </w:rPr>
            </w:pPr>
            <w:r>
              <w:rPr>
                <w:rFonts w:ascii="Arial" w:cs="Arial" w:eastAsia="Arial" w:hAnsi="Arial"/>
                <w:sz w:val="18"/>
                <w:szCs w:val="18"/>
                <w:color w:val="auto"/>
                <w:w w:val="89"/>
              </w:rPr>
              <w:t>13</w:t>
            </w:r>
          </w:p>
        </w:tc>
      </w:tr>
      <w:tr>
        <w:trPr>
          <w:trHeight w:val="270"/>
        </w:trPr>
        <w:tc>
          <w:tcPr>
            <w:tcW w:w="1320" w:type="dxa"/>
            <w:vAlign w:val="bottom"/>
          </w:tcPr>
          <w:p>
            <w:pPr>
              <w:jc w:val="center"/>
              <w:ind w:right="250"/>
              <w:spacing w:after="0"/>
              <w:rPr>
                <w:sz w:val="20"/>
                <w:szCs w:val="20"/>
                <w:color w:val="auto"/>
              </w:rPr>
            </w:pPr>
            <w:r>
              <w:rPr>
                <w:rFonts w:ascii="Arial" w:cs="Arial" w:eastAsia="Arial" w:hAnsi="Arial"/>
                <w:sz w:val="18"/>
                <w:szCs w:val="18"/>
                <w:color w:val="auto"/>
                <w:w w:val="99"/>
              </w:rPr>
              <w:t>ARTICLE IV</w:t>
            </w:r>
          </w:p>
        </w:tc>
        <w:tc>
          <w:tcPr>
            <w:tcW w:w="7420" w:type="dxa"/>
            <w:vAlign w:val="bottom"/>
          </w:tcPr>
          <w:p>
            <w:pPr>
              <w:ind w:left="320"/>
              <w:spacing w:after="0"/>
              <w:rPr>
                <w:sz w:val="20"/>
                <w:szCs w:val="20"/>
                <w:color w:val="auto"/>
              </w:rPr>
            </w:pPr>
            <w:r>
              <w:rPr>
                <w:rFonts w:ascii="Arial" w:cs="Arial" w:eastAsia="Arial" w:hAnsi="Arial"/>
                <w:sz w:val="18"/>
                <w:szCs w:val="18"/>
                <w:color w:val="auto"/>
              </w:rPr>
              <w:t>OFFICERS</w:t>
            </w:r>
          </w:p>
        </w:tc>
        <w:tc>
          <w:tcPr>
            <w:tcW w:w="1280" w:type="dxa"/>
            <w:vAlign w:val="bottom"/>
          </w:tcPr>
          <w:p>
            <w:pPr>
              <w:jc w:val="center"/>
              <w:ind w:left="810"/>
              <w:spacing w:after="0"/>
              <w:rPr>
                <w:sz w:val="20"/>
                <w:szCs w:val="20"/>
                <w:color w:val="auto"/>
              </w:rPr>
            </w:pPr>
            <w:r>
              <w:rPr>
                <w:rFonts w:ascii="Arial" w:cs="Arial" w:eastAsia="Arial" w:hAnsi="Arial"/>
                <w:sz w:val="18"/>
                <w:szCs w:val="18"/>
                <w:color w:val="auto"/>
                <w:w w:val="89"/>
              </w:rPr>
              <w:t>13</w:t>
            </w:r>
          </w:p>
        </w:tc>
      </w:tr>
    </w:tbl>
    <w:p>
      <w:pPr>
        <w:spacing w:after="0" w:line="24" w:lineRule="exact"/>
        <w:rPr>
          <w:sz w:val="20"/>
          <w:szCs w:val="20"/>
          <w:color w:val="auto"/>
        </w:rPr>
      </w:pPr>
    </w:p>
    <w:p>
      <w:pPr>
        <w:sectPr>
          <w:pgSz w:w="11900" w:h="16838" w:orient="portrait"/>
          <w:cols w:equalWidth="0" w:num="1">
            <w:col w:w="10020"/>
          </w:cols>
          <w:pgMar w:left="1120" w:top="1440" w:right="759" w:bottom="1440" w:gutter="0" w:footer="0" w:header="0"/>
        </w:sectPr>
      </w:pPr>
    </w:p>
    <w:p>
      <w:pPr>
        <w:jc w:val="center"/>
        <w:ind w:right="360"/>
        <w:spacing w:after="0"/>
        <w:rPr>
          <w:sz w:val="20"/>
          <w:szCs w:val="20"/>
          <w:color w:val="auto"/>
        </w:rPr>
      </w:pPr>
      <w:r>
        <w:rPr>
          <w:rFonts w:ascii="Arial" w:cs="Arial" w:eastAsia="Arial" w:hAnsi="Arial"/>
          <w:sz w:val="20"/>
          <w:szCs w:val="20"/>
          <w:color w:val="auto"/>
        </w:rPr>
        <w:t>i</w:t>
      </w:r>
    </w:p>
    <w:p>
      <w:pPr>
        <w:sectPr>
          <w:pgSz w:w="11900" w:h="16838" w:orient="portrait"/>
          <w:cols w:equalWidth="0" w:num="1">
            <w:col w:w="10020"/>
          </w:cols>
          <w:pgMar w:left="1120" w:top="1440" w:right="759" w:bottom="1440" w:gutter="0" w:footer="0" w:header="0"/>
          <w:type w:val="continuous"/>
        </w:sectPr>
      </w:pPr>
    </w:p>
    <w:bookmarkStart w:id="120" w:name="page121"/>
    <w:bookmarkEnd w:id="120"/>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00" w:type="dxa"/>
            <w:vAlign w:val="bottom"/>
          </w:tcPr>
          <w:p>
            <w:pPr>
              <w:jc w:val="center"/>
              <w:ind w:right="210"/>
              <w:spacing w:after="0"/>
              <w:rPr>
                <w:sz w:val="20"/>
                <w:szCs w:val="20"/>
                <w:color w:val="auto"/>
              </w:rPr>
            </w:pPr>
            <w:r>
              <w:rPr>
                <w:rFonts w:ascii="Arial" w:cs="Arial" w:eastAsia="Arial" w:hAnsi="Arial"/>
                <w:sz w:val="18"/>
                <w:szCs w:val="18"/>
                <w:color w:val="auto"/>
                <w:w w:val="87"/>
              </w:rPr>
              <w:t>4.1</w:t>
            </w:r>
          </w:p>
        </w:tc>
        <w:tc>
          <w:tcPr>
            <w:tcW w:w="7060" w:type="dxa"/>
            <w:vAlign w:val="bottom"/>
          </w:tcPr>
          <w:p>
            <w:pPr>
              <w:ind w:left="300"/>
              <w:spacing w:after="0"/>
              <w:rPr>
                <w:sz w:val="20"/>
                <w:szCs w:val="20"/>
                <w:color w:val="auto"/>
              </w:rPr>
            </w:pPr>
            <w:r>
              <w:rPr>
                <w:rFonts w:ascii="Arial" w:cs="Arial" w:eastAsia="Arial" w:hAnsi="Arial"/>
                <w:sz w:val="18"/>
                <w:szCs w:val="18"/>
                <w:color w:val="auto"/>
              </w:rPr>
              <w:t>Election</w:t>
            </w:r>
          </w:p>
        </w:tc>
        <w:tc>
          <w:tcPr>
            <w:tcW w:w="15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0"/>
        </w:trPr>
        <w:tc>
          <w:tcPr>
            <w:tcW w:w="1400" w:type="dxa"/>
            <w:vAlign w:val="bottom"/>
          </w:tcPr>
          <w:p>
            <w:pPr>
              <w:jc w:val="center"/>
              <w:ind w:right="210"/>
              <w:spacing w:after="0"/>
              <w:rPr>
                <w:sz w:val="20"/>
                <w:szCs w:val="20"/>
                <w:color w:val="auto"/>
              </w:rPr>
            </w:pPr>
            <w:r>
              <w:rPr>
                <w:rFonts w:ascii="Arial" w:cs="Arial" w:eastAsia="Arial" w:hAnsi="Arial"/>
                <w:sz w:val="18"/>
                <w:szCs w:val="18"/>
                <w:color w:val="auto"/>
                <w:w w:val="87"/>
              </w:rPr>
              <w:t>4.2</w:t>
            </w:r>
          </w:p>
        </w:tc>
        <w:tc>
          <w:tcPr>
            <w:tcW w:w="7060" w:type="dxa"/>
            <w:vAlign w:val="bottom"/>
          </w:tcPr>
          <w:p>
            <w:pPr>
              <w:ind w:left="300"/>
              <w:spacing w:after="0"/>
              <w:rPr>
                <w:sz w:val="20"/>
                <w:szCs w:val="20"/>
                <w:color w:val="auto"/>
              </w:rPr>
            </w:pPr>
            <w:r>
              <w:rPr>
                <w:rFonts w:ascii="Arial" w:cs="Arial" w:eastAsia="Arial" w:hAnsi="Arial"/>
                <w:sz w:val="18"/>
                <w:szCs w:val="18"/>
                <w:color w:val="auto"/>
              </w:rPr>
              <w:t>Removal; Resignation</w:t>
            </w:r>
          </w:p>
        </w:tc>
        <w:tc>
          <w:tcPr>
            <w:tcW w:w="15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1400" w:type="dxa"/>
            <w:vAlign w:val="bottom"/>
          </w:tcPr>
          <w:p>
            <w:pPr>
              <w:jc w:val="center"/>
              <w:ind w:right="210"/>
              <w:spacing w:after="0"/>
              <w:rPr>
                <w:sz w:val="20"/>
                <w:szCs w:val="20"/>
                <w:color w:val="auto"/>
              </w:rPr>
            </w:pPr>
            <w:r>
              <w:rPr>
                <w:rFonts w:ascii="Arial" w:cs="Arial" w:eastAsia="Arial" w:hAnsi="Arial"/>
                <w:sz w:val="18"/>
                <w:szCs w:val="18"/>
                <w:color w:val="auto"/>
                <w:w w:val="87"/>
              </w:rPr>
              <w:t>4.3</w:t>
            </w:r>
          </w:p>
        </w:tc>
        <w:tc>
          <w:tcPr>
            <w:tcW w:w="7060" w:type="dxa"/>
            <w:vAlign w:val="bottom"/>
          </w:tcPr>
          <w:p>
            <w:pPr>
              <w:ind w:left="300"/>
              <w:spacing w:after="0"/>
              <w:rPr>
                <w:sz w:val="20"/>
                <w:szCs w:val="20"/>
                <w:color w:val="auto"/>
              </w:rPr>
            </w:pPr>
            <w:r>
              <w:rPr>
                <w:rFonts w:ascii="Arial" w:cs="Arial" w:eastAsia="Arial" w:hAnsi="Arial"/>
                <w:sz w:val="18"/>
                <w:szCs w:val="18"/>
                <w:color w:val="auto"/>
              </w:rPr>
              <w:t>Vacancies</w:t>
            </w:r>
          </w:p>
        </w:tc>
        <w:tc>
          <w:tcPr>
            <w:tcW w:w="15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1400" w:type="dxa"/>
            <w:vAlign w:val="bottom"/>
          </w:tcPr>
          <w:p>
            <w:pPr>
              <w:jc w:val="center"/>
              <w:ind w:right="210"/>
              <w:spacing w:after="0"/>
              <w:rPr>
                <w:sz w:val="20"/>
                <w:szCs w:val="20"/>
                <w:color w:val="auto"/>
              </w:rPr>
            </w:pPr>
            <w:r>
              <w:rPr>
                <w:rFonts w:ascii="Arial" w:cs="Arial" w:eastAsia="Arial" w:hAnsi="Arial"/>
                <w:sz w:val="18"/>
                <w:szCs w:val="18"/>
                <w:color w:val="auto"/>
                <w:w w:val="87"/>
              </w:rPr>
              <w:t>4.4</w:t>
            </w:r>
          </w:p>
        </w:tc>
        <w:tc>
          <w:tcPr>
            <w:tcW w:w="7060" w:type="dxa"/>
            <w:vAlign w:val="bottom"/>
          </w:tcPr>
          <w:p>
            <w:pPr>
              <w:ind w:left="300"/>
              <w:spacing w:after="0"/>
              <w:rPr>
                <w:sz w:val="20"/>
                <w:szCs w:val="20"/>
                <w:color w:val="auto"/>
              </w:rPr>
            </w:pPr>
            <w:r>
              <w:rPr>
                <w:rFonts w:ascii="Arial" w:cs="Arial" w:eastAsia="Arial" w:hAnsi="Arial"/>
                <w:sz w:val="18"/>
                <w:szCs w:val="18"/>
                <w:color w:val="auto"/>
              </w:rPr>
              <w:t>Chief Executive Officer</w:t>
            </w:r>
          </w:p>
        </w:tc>
        <w:tc>
          <w:tcPr>
            <w:tcW w:w="15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1400" w:type="dxa"/>
            <w:vAlign w:val="bottom"/>
          </w:tcPr>
          <w:p>
            <w:pPr>
              <w:jc w:val="center"/>
              <w:ind w:right="210"/>
              <w:spacing w:after="0"/>
              <w:rPr>
                <w:sz w:val="20"/>
                <w:szCs w:val="20"/>
                <w:color w:val="auto"/>
              </w:rPr>
            </w:pPr>
            <w:r>
              <w:rPr>
                <w:rFonts w:ascii="Arial" w:cs="Arial" w:eastAsia="Arial" w:hAnsi="Arial"/>
                <w:sz w:val="18"/>
                <w:szCs w:val="18"/>
                <w:color w:val="auto"/>
                <w:w w:val="87"/>
              </w:rPr>
              <w:t>4.5</w:t>
            </w:r>
          </w:p>
        </w:tc>
        <w:tc>
          <w:tcPr>
            <w:tcW w:w="7060" w:type="dxa"/>
            <w:vAlign w:val="bottom"/>
          </w:tcPr>
          <w:p>
            <w:pPr>
              <w:ind w:left="300"/>
              <w:spacing w:after="0"/>
              <w:rPr>
                <w:sz w:val="20"/>
                <w:szCs w:val="20"/>
                <w:color w:val="auto"/>
              </w:rPr>
            </w:pPr>
            <w:r>
              <w:rPr>
                <w:rFonts w:ascii="Arial" w:cs="Arial" w:eastAsia="Arial" w:hAnsi="Arial"/>
                <w:sz w:val="18"/>
                <w:szCs w:val="18"/>
                <w:color w:val="auto"/>
              </w:rPr>
              <w:t>President</w:t>
            </w:r>
          </w:p>
        </w:tc>
        <w:tc>
          <w:tcPr>
            <w:tcW w:w="15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1400" w:type="dxa"/>
            <w:vAlign w:val="bottom"/>
          </w:tcPr>
          <w:p>
            <w:pPr>
              <w:jc w:val="center"/>
              <w:ind w:right="210"/>
              <w:spacing w:after="0"/>
              <w:rPr>
                <w:sz w:val="20"/>
                <w:szCs w:val="20"/>
                <w:color w:val="auto"/>
              </w:rPr>
            </w:pPr>
            <w:r>
              <w:rPr>
                <w:rFonts w:ascii="Arial" w:cs="Arial" w:eastAsia="Arial" w:hAnsi="Arial"/>
                <w:sz w:val="18"/>
                <w:szCs w:val="18"/>
                <w:color w:val="auto"/>
                <w:w w:val="87"/>
              </w:rPr>
              <w:t>4.6</w:t>
            </w:r>
          </w:p>
        </w:tc>
        <w:tc>
          <w:tcPr>
            <w:tcW w:w="7060" w:type="dxa"/>
            <w:vAlign w:val="bottom"/>
          </w:tcPr>
          <w:p>
            <w:pPr>
              <w:ind w:left="300"/>
              <w:spacing w:after="0"/>
              <w:rPr>
                <w:sz w:val="20"/>
                <w:szCs w:val="20"/>
                <w:color w:val="auto"/>
              </w:rPr>
            </w:pPr>
            <w:r>
              <w:rPr>
                <w:rFonts w:ascii="Arial" w:cs="Arial" w:eastAsia="Arial" w:hAnsi="Arial"/>
                <w:sz w:val="18"/>
                <w:szCs w:val="18"/>
                <w:color w:val="auto"/>
              </w:rPr>
              <w:t>Vice Presidents</w:t>
            </w:r>
          </w:p>
        </w:tc>
        <w:tc>
          <w:tcPr>
            <w:tcW w:w="15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1400" w:type="dxa"/>
            <w:vAlign w:val="bottom"/>
          </w:tcPr>
          <w:p>
            <w:pPr>
              <w:jc w:val="center"/>
              <w:ind w:right="210"/>
              <w:spacing w:after="0"/>
              <w:rPr>
                <w:sz w:val="20"/>
                <w:szCs w:val="20"/>
                <w:color w:val="auto"/>
              </w:rPr>
            </w:pPr>
            <w:r>
              <w:rPr>
                <w:rFonts w:ascii="Arial" w:cs="Arial" w:eastAsia="Arial" w:hAnsi="Arial"/>
                <w:sz w:val="18"/>
                <w:szCs w:val="18"/>
                <w:color w:val="auto"/>
                <w:w w:val="87"/>
              </w:rPr>
              <w:t>4.7</w:t>
            </w:r>
          </w:p>
        </w:tc>
        <w:tc>
          <w:tcPr>
            <w:tcW w:w="7060" w:type="dxa"/>
            <w:vAlign w:val="bottom"/>
          </w:tcPr>
          <w:p>
            <w:pPr>
              <w:ind w:left="300"/>
              <w:spacing w:after="0"/>
              <w:rPr>
                <w:sz w:val="20"/>
                <w:szCs w:val="20"/>
                <w:color w:val="auto"/>
              </w:rPr>
            </w:pPr>
            <w:r>
              <w:rPr>
                <w:rFonts w:ascii="Arial" w:cs="Arial" w:eastAsia="Arial" w:hAnsi="Arial"/>
                <w:sz w:val="18"/>
                <w:szCs w:val="18"/>
                <w:color w:val="auto"/>
              </w:rPr>
              <w:t>Secretary</w:t>
            </w:r>
          </w:p>
        </w:tc>
        <w:tc>
          <w:tcPr>
            <w:tcW w:w="15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1400" w:type="dxa"/>
            <w:vAlign w:val="bottom"/>
          </w:tcPr>
          <w:p>
            <w:pPr>
              <w:jc w:val="center"/>
              <w:ind w:right="210"/>
              <w:spacing w:after="0"/>
              <w:rPr>
                <w:sz w:val="20"/>
                <w:szCs w:val="20"/>
                <w:color w:val="auto"/>
              </w:rPr>
            </w:pPr>
            <w:r>
              <w:rPr>
                <w:rFonts w:ascii="Arial" w:cs="Arial" w:eastAsia="Arial" w:hAnsi="Arial"/>
                <w:sz w:val="18"/>
                <w:szCs w:val="18"/>
                <w:color w:val="auto"/>
                <w:w w:val="87"/>
              </w:rPr>
              <w:t>4.8</w:t>
            </w:r>
          </w:p>
        </w:tc>
        <w:tc>
          <w:tcPr>
            <w:tcW w:w="7060" w:type="dxa"/>
            <w:vAlign w:val="bottom"/>
          </w:tcPr>
          <w:p>
            <w:pPr>
              <w:ind w:left="300"/>
              <w:spacing w:after="0"/>
              <w:rPr>
                <w:sz w:val="20"/>
                <w:szCs w:val="20"/>
                <w:color w:val="auto"/>
              </w:rPr>
            </w:pPr>
            <w:r>
              <w:rPr>
                <w:rFonts w:ascii="Arial" w:cs="Arial" w:eastAsia="Arial" w:hAnsi="Arial"/>
                <w:sz w:val="18"/>
                <w:szCs w:val="18"/>
                <w:color w:val="auto"/>
              </w:rPr>
              <w:t>Assistant Secretaries</w:t>
            </w:r>
          </w:p>
        </w:tc>
        <w:tc>
          <w:tcPr>
            <w:tcW w:w="15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0"/>
        </w:trPr>
        <w:tc>
          <w:tcPr>
            <w:tcW w:w="1400" w:type="dxa"/>
            <w:vAlign w:val="bottom"/>
          </w:tcPr>
          <w:p>
            <w:pPr>
              <w:jc w:val="center"/>
              <w:ind w:right="210"/>
              <w:spacing w:after="0"/>
              <w:rPr>
                <w:sz w:val="20"/>
                <w:szCs w:val="20"/>
                <w:color w:val="auto"/>
              </w:rPr>
            </w:pPr>
            <w:r>
              <w:rPr>
                <w:rFonts w:ascii="Arial" w:cs="Arial" w:eastAsia="Arial" w:hAnsi="Arial"/>
                <w:sz w:val="18"/>
                <w:szCs w:val="18"/>
                <w:color w:val="auto"/>
                <w:w w:val="87"/>
              </w:rPr>
              <w:t>4.9</w:t>
            </w:r>
          </w:p>
        </w:tc>
        <w:tc>
          <w:tcPr>
            <w:tcW w:w="7060" w:type="dxa"/>
            <w:vAlign w:val="bottom"/>
          </w:tcPr>
          <w:p>
            <w:pPr>
              <w:ind w:left="300"/>
              <w:spacing w:after="0"/>
              <w:rPr>
                <w:sz w:val="20"/>
                <w:szCs w:val="20"/>
                <w:color w:val="auto"/>
              </w:rPr>
            </w:pPr>
            <w:r>
              <w:rPr>
                <w:rFonts w:ascii="Arial" w:cs="Arial" w:eastAsia="Arial" w:hAnsi="Arial"/>
                <w:sz w:val="18"/>
                <w:szCs w:val="18"/>
                <w:color w:val="auto"/>
              </w:rPr>
              <w:t>Treasurer</w:t>
            </w:r>
          </w:p>
        </w:tc>
        <w:tc>
          <w:tcPr>
            <w:tcW w:w="15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0"/>
        </w:trPr>
        <w:tc>
          <w:tcPr>
            <w:tcW w:w="1400" w:type="dxa"/>
            <w:vAlign w:val="bottom"/>
          </w:tcPr>
          <w:p>
            <w:pPr>
              <w:jc w:val="center"/>
              <w:ind w:right="230"/>
              <w:spacing w:after="0"/>
              <w:rPr>
                <w:sz w:val="20"/>
                <w:szCs w:val="20"/>
                <w:color w:val="auto"/>
              </w:rPr>
            </w:pPr>
            <w:r>
              <w:rPr>
                <w:rFonts w:ascii="Arial" w:cs="Arial" w:eastAsia="Arial" w:hAnsi="Arial"/>
                <w:sz w:val="18"/>
                <w:szCs w:val="18"/>
                <w:color w:val="auto"/>
                <w:w w:val="91"/>
              </w:rPr>
              <w:t>4.10</w:t>
            </w:r>
          </w:p>
        </w:tc>
        <w:tc>
          <w:tcPr>
            <w:tcW w:w="7060" w:type="dxa"/>
            <w:vAlign w:val="bottom"/>
          </w:tcPr>
          <w:p>
            <w:pPr>
              <w:ind w:left="300"/>
              <w:spacing w:after="0"/>
              <w:rPr>
                <w:sz w:val="20"/>
                <w:szCs w:val="20"/>
                <w:color w:val="auto"/>
              </w:rPr>
            </w:pPr>
            <w:r>
              <w:rPr>
                <w:rFonts w:ascii="Arial" w:cs="Arial" w:eastAsia="Arial" w:hAnsi="Arial"/>
                <w:sz w:val="18"/>
                <w:szCs w:val="18"/>
                <w:color w:val="auto"/>
              </w:rPr>
              <w:t>Assistant Treasurers</w:t>
            </w:r>
          </w:p>
        </w:tc>
        <w:tc>
          <w:tcPr>
            <w:tcW w:w="15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0"/>
        </w:trPr>
        <w:tc>
          <w:tcPr>
            <w:tcW w:w="1400" w:type="dxa"/>
            <w:vAlign w:val="bottom"/>
          </w:tcPr>
          <w:p>
            <w:pPr>
              <w:jc w:val="center"/>
              <w:ind w:right="210"/>
              <w:spacing w:after="0"/>
              <w:rPr>
                <w:sz w:val="20"/>
                <w:szCs w:val="20"/>
                <w:color w:val="auto"/>
              </w:rPr>
            </w:pPr>
            <w:r>
              <w:rPr>
                <w:rFonts w:ascii="Arial" w:cs="Arial" w:eastAsia="Arial" w:hAnsi="Arial"/>
                <w:sz w:val="18"/>
                <w:szCs w:val="18"/>
                <w:color w:val="auto"/>
                <w:w w:val="85"/>
              </w:rPr>
              <w:t>4.11</w:t>
            </w:r>
          </w:p>
        </w:tc>
        <w:tc>
          <w:tcPr>
            <w:tcW w:w="7060" w:type="dxa"/>
            <w:vAlign w:val="bottom"/>
          </w:tcPr>
          <w:p>
            <w:pPr>
              <w:ind w:left="300"/>
              <w:spacing w:after="0"/>
              <w:rPr>
                <w:sz w:val="20"/>
                <w:szCs w:val="20"/>
                <w:color w:val="auto"/>
              </w:rPr>
            </w:pPr>
            <w:r>
              <w:rPr>
                <w:rFonts w:ascii="Arial" w:cs="Arial" w:eastAsia="Arial" w:hAnsi="Arial"/>
                <w:sz w:val="18"/>
                <w:szCs w:val="18"/>
                <w:color w:val="auto"/>
              </w:rPr>
              <w:t>Execution of Negotiable Instruments, Deeds and Contracts</w:t>
            </w:r>
          </w:p>
        </w:tc>
        <w:tc>
          <w:tcPr>
            <w:tcW w:w="15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0"/>
        </w:trPr>
        <w:tc>
          <w:tcPr>
            <w:tcW w:w="1400" w:type="dxa"/>
            <w:vAlign w:val="bottom"/>
          </w:tcPr>
          <w:p>
            <w:pPr>
              <w:jc w:val="center"/>
              <w:ind w:right="230"/>
              <w:spacing w:after="0"/>
              <w:rPr>
                <w:sz w:val="20"/>
                <w:szCs w:val="20"/>
                <w:color w:val="auto"/>
              </w:rPr>
            </w:pPr>
            <w:r>
              <w:rPr>
                <w:rFonts w:ascii="Arial" w:cs="Arial" w:eastAsia="Arial" w:hAnsi="Arial"/>
                <w:sz w:val="18"/>
                <w:szCs w:val="18"/>
                <w:color w:val="auto"/>
                <w:w w:val="98"/>
              </w:rPr>
              <w:t>ARTICLE V</w:t>
            </w:r>
          </w:p>
        </w:tc>
        <w:tc>
          <w:tcPr>
            <w:tcW w:w="7060" w:type="dxa"/>
            <w:vAlign w:val="bottom"/>
          </w:tcPr>
          <w:p>
            <w:pPr>
              <w:ind w:left="300"/>
              <w:spacing w:after="0"/>
              <w:rPr>
                <w:sz w:val="20"/>
                <w:szCs w:val="20"/>
                <w:color w:val="auto"/>
              </w:rPr>
            </w:pPr>
            <w:r>
              <w:rPr>
                <w:rFonts w:ascii="Arial" w:cs="Arial" w:eastAsia="Arial" w:hAnsi="Arial"/>
                <w:sz w:val="18"/>
                <w:szCs w:val="18"/>
                <w:color w:val="auto"/>
              </w:rPr>
              <w:t>CAPITAL STOCK</w:t>
            </w:r>
          </w:p>
        </w:tc>
        <w:tc>
          <w:tcPr>
            <w:tcW w:w="15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0"/>
        </w:trPr>
        <w:tc>
          <w:tcPr>
            <w:tcW w:w="1400" w:type="dxa"/>
            <w:vAlign w:val="bottom"/>
          </w:tcPr>
          <w:p>
            <w:pPr>
              <w:jc w:val="center"/>
              <w:ind w:right="210"/>
              <w:spacing w:after="0"/>
              <w:rPr>
                <w:sz w:val="20"/>
                <w:szCs w:val="20"/>
                <w:color w:val="auto"/>
              </w:rPr>
            </w:pPr>
            <w:r>
              <w:rPr>
                <w:rFonts w:ascii="Arial" w:cs="Arial" w:eastAsia="Arial" w:hAnsi="Arial"/>
                <w:sz w:val="18"/>
                <w:szCs w:val="18"/>
                <w:color w:val="auto"/>
                <w:w w:val="87"/>
              </w:rPr>
              <w:t>5.1</w:t>
            </w:r>
          </w:p>
        </w:tc>
        <w:tc>
          <w:tcPr>
            <w:tcW w:w="7060" w:type="dxa"/>
            <w:vAlign w:val="bottom"/>
          </w:tcPr>
          <w:p>
            <w:pPr>
              <w:ind w:left="300"/>
              <w:spacing w:after="0"/>
              <w:rPr>
                <w:sz w:val="20"/>
                <w:szCs w:val="20"/>
                <w:color w:val="auto"/>
              </w:rPr>
            </w:pPr>
            <w:r>
              <w:rPr>
                <w:rFonts w:ascii="Arial" w:cs="Arial" w:eastAsia="Arial" w:hAnsi="Arial"/>
                <w:sz w:val="18"/>
                <w:szCs w:val="18"/>
                <w:color w:val="auto"/>
              </w:rPr>
              <w:t>Issuance</w:t>
            </w:r>
          </w:p>
        </w:tc>
        <w:tc>
          <w:tcPr>
            <w:tcW w:w="15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0"/>
        </w:trPr>
        <w:tc>
          <w:tcPr>
            <w:tcW w:w="1400" w:type="dxa"/>
            <w:vAlign w:val="bottom"/>
          </w:tcPr>
          <w:p>
            <w:pPr>
              <w:jc w:val="center"/>
              <w:ind w:right="210"/>
              <w:spacing w:after="0"/>
              <w:rPr>
                <w:sz w:val="20"/>
                <w:szCs w:val="20"/>
                <w:color w:val="auto"/>
              </w:rPr>
            </w:pPr>
            <w:r>
              <w:rPr>
                <w:rFonts w:ascii="Arial" w:cs="Arial" w:eastAsia="Arial" w:hAnsi="Arial"/>
                <w:sz w:val="18"/>
                <w:szCs w:val="18"/>
                <w:color w:val="auto"/>
                <w:w w:val="87"/>
              </w:rPr>
              <w:t>5.2</w:t>
            </w:r>
          </w:p>
        </w:tc>
        <w:tc>
          <w:tcPr>
            <w:tcW w:w="7060" w:type="dxa"/>
            <w:vAlign w:val="bottom"/>
          </w:tcPr>
          <w:p>
            <w:pPr>
              <w:ind w:left="300"/>
              <w:spacing w:after="0"/>
              <w:rPr>
                <w:sz w:val="20"/>
                <w:szCs w:val="20"/>
                <w:color w:val="auto"/>
              </w:rPr>
            </w:pPr>
            <w:r>
              <w:rPr>
                <w:rFonts w:ascii="Arial" w:cs="Arial" w:eastAsia="Arial" w:hAnsi="Arial"/>
                <w:sz w:val="18"/>
                <w:szCs w:val="18"/>
                <w:color w:val="auto"/>
              </w:rPr>
              <w:t>Stock Certificates and Uncertificated Shares</w:t>
            </w:r>
          </w:p>
        </w:tc>
        <w:tc>
          <w:tcPr>
            <w:tcW w:w="15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0"/>
        </w:trPr>
        <w:tc>
          <w:tcPr>
            <w:tcW w:w="1400" w:type="dxa"/>
            <w:vAlign w:val="bottom"/>
          </w:tcPr>
          <w:p>
            <w:pPr>
              <w:jc w:val="center"/>
              <w:ind w:right="210"/>
              <w:spacing w:after="0"/>
              <w:rPr>
                <w:sz w:val="20"/>
                <w:szCs w:val="20"/>
                <w:color w:val="auto"/>
              </w:rPr>
            </w:pPr>
            <w:r>
              <w:rPr>
                <w:rFonts w:ascii="Arial" w:cs="Arial" w:eastAsia="Arial" w:hAnsi="Arial"/>
                <w:sz w:val="18"/>
                <w:szCs w:val="18"/>
                <w:color w:val="auto"/>
                <w:w w:val="87"/>
              </w:rPr>
              <w:t>5.3</w:t>
            </w:r>
          </w:p>
        </w:tc>
        <w:tc>
          <w:tcPr>
            <w:tcW w:w="7060" w:type="dxa"/>
            <w:vAlign w:val="bottom"/>
          </w:tcPr>
          <w:p>
            <w:pPr>
              <w:ind w:left="300"/>
              <w:spacing w:after="0"/>
              <w:rPr>
                <w:sz w:val="20"/>
                <w:szCs w:val="20"/>
                <w:color w:val="auto"/>
              </w:rPr>
            </w:pPr>
            <w:r>
              <w:rPr>
                <w:rFonts w:ascii="Arial" w:cs="Arial" w:eastAsia="Arial" w:hAnsi="Arial"/>
                <w:sz w:val="18"/>
                <w:szCs w:val="18"/>
                <w:color w:val="auto"/>
              </w:rPr>
              <w:t>Surrendered; Lost or Destroyed Certificates</w:t>
            </w:r>
          </w:p>
        </w:tc>
        <w:tc>
          <w:tcPr>
            <w:tcW w:w="15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0"/>
        </w:trPr>
        <w:tc>
          <w:tcPr>
            <w:tcW w:w="1400" w:type="dxa"/>
            <w:vAlign w:val="bottom"/>
          </w:tcPr>
          <w:p>
            <w:pPr>
              <w:jc w:val="center"/>
              <w:ind w:right="210"/>
              <w:spacing w:after="0"/>
              <w:rPr>
                <w:sz w:val="20"/>
                <w:szCs w:val="20"/>
                <w:color w:val="auto"/>
              </w:rPr>
            </w:pPr>
            <w:r>
              <w:rPr>
                <w:rFonts w:ascii="Arial" w:cs="Arial" w:eastAsia="Arial" w:hAnsi="Arial"/>
                <w:sz w:val="18"/>
                <w:szCs w:val="18"/>
                <w:color w:val="auto"/>
                <w:w w:val="87"/>
              </w:rPr>
              <w:t>5.4</w:t>
            </w:r>
          </w:p>
        </w:tc>
        <w:tc>
          <w:tcPr>
            <w:tcW w:w="7060" w:type="dxa"/>
            <w:vAlign w:val="bottom"/>
          </w:tcPr>
          <w:p>
            <w:pPr>
              <w:ind w:left="300"/>
              <w:spacing w:after="0"/>
              <w:rPr>
                <w:sz w:val="20"/>
                <w:szCs w:val="20"/>
                <w:color w:val="auto"/>
              </w:rPr>
            </w:pPr>
            <w:r>
              <w:rPr>
                <w:rFonts w:ascii="Arial" w:cs="Arial" w:eastAsia="Arial" w:hAnsi="Arial"/>
                <w:sz w:val="18"/>
                <w:szCs w:val="18"/>
                <w:color w:val="auto"/>
              </w:rPr>
              <w:t>Replacement Certificate</w:t>
            </w:r>
          </w:p>
        </w:tc>
        <w:tc>
          <w:tcPr>
            <w:tcW w:w="15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0"/>
        </w:trPr>
        <w:tc>
          <w:tcPr>
            <w:tcW w:w="1400" w:type="dxa"/>
            <w:vAlign w:val="bottom"/>
          </w:tcPr>
          <w:p>
            <w:pPr>
              <w:jc w:val="center"/>
              <w:ind w:right="210"/>
              <w:spacing w:after="0"/>
              <w:rPr>
                <w:sz w:val="20"/>
                <w:szCs w:val="20"/>
                <w:color w:val="auto"/>
              </w:rPr>
            </w:pPr>
            <w:r>
              <w:rPr>
                <w:rFonts w:ascii="Arial" w:cs="Arial" w:eastAsia="Arial" w:hAnsi="Arial"/>
                <w:sz w:val="18"/>
                <w:szCs w:val="18"/>
                <w:color w:val="auto"/>
                <w:w w:val="87"/>
              </w:rPr>
              <w:t>5.5</w:t>
            </w:r>
          </w:p>
        </w:tc>
        <w:tc>
          <w:tcPr>
            <w:tcW w:w="7060" w:type="dxa"/>
            <w:vAlign w:val="bottom"/>
          </w:tcPr>
          <w:p>
            <w:pPr>
              <w:ind w:left="300"/>
              <w:spacing w:after="0"/>
              <w:rPr>
                <w:sz w:val="20"/>
                <w:szCs w:val="20"/>
                <w:color w:val="auto"/>
              </w:rPr>
            </w:pPr>
            <w:r>
              <w:rPr>
                <w:rFonts w:ascii="Arial" w:cs="Arial" w:eastAsia="Arial" w:hAnsi="Arial"/>
                <w:sz w:val="18"/>
                <w:szCs w:val="18"/>
                <w:color w:val="auto"/>
              </w:rPr>
              <w:t>Transfer of Shares</w:t>
            </w:r>
          </w:p>
        </w:tc>
        <w:tc>
          <w:tcPr>
            <w:tcW w:w="15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0"/>
        </w:trPr>
        <w:tc>
          <w:tcPr>
            <w:tcW w:w="1400" w:type="dxa"/>
            <w:vAlign w:val="bottom"/>
          </w:tcPr>
          <w:p>
            <w:pPr>
              <w:jc w:val="center"/>
              <w:ind w:right="210"/>
              <w:spacing w:after="0"/>
              <w:rPr>
                <w:sz w:val="20"/>
                <w:szCs w:val="20"/>
                <w:color w:val="auto"/>
              </w:rPr>
            </w:pPr>
            <w:r>
              <w:rPr>
                <w:rFonts w:ascii="Arial" w:cs="Arial" w:eastAsia="Arial" w:hAnsi="Arial"/>
                <w:sz w:val="18"/>
                <w:szCs w:val="18"/>
                <w:color w:val="auto"/>
                <w:w w:val="87"/>
              </w:rPr>
              <w:t>5.6</w:t>
            </w:r>
          </w:p>
        </w:tc>
        <w:tc>
          <w:tcPr>
            <w:tcW w:w="7060" w:type="dxa"/>
            <w:vAlign w:val="bottom"/>
          </w:tcPr>
          <w:p>
            <w:pPr>
              <w:ind w:left="300"/>
              <w:spacing w:after="0"/>
              <w:rPr>
                <w:sz w:val="20"/>
                <w:szCs w:val="20"/>
                <w:color w:val="auto"/>
              </w:rPr>
            </w:pPr>
            <w:r>
              <w:rPr>
                <w:rFonts w:ascii="Arial" w:cs="Arial" w:eastAsia="Arial" w:hAnsi="Arial"/>
                <w:sz w:val="18"/>
                <w:szCs w:val="18"/>
                <w:color w:val="auto"/>
              </w:rPr>
              <w:t>Transfer Agent; Registrars</w:t>
            </w:r>
          </w:p>
        </w:tc>
        <w:tc>
          <w:tcPr>
            <w:tcW w:w="15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0"/>
        </w:trPr>
        <w:tc>
          <w:tcPr>
            <w:tcW w:w="1400" w:type="dxa"/>
            <w:vAlign w:val="bottom"/>
          </w:tcPr>
          <w:p>
            <w:pPr>
              <w:jc w:val="center"/>
              <w:ind w:right="210"/>
              <w:spacing w:after="0"/>
              <w:rPr>
                <w:sz w:val="20"/>
                <w:szCs w:val="20"/>
                <w:color w:val="auto"/>
              </w:rPr>
            </w:pPr>
            <w:r>
              <w:rPr>
                <w:rFonts w:ascii="Arial" w:cs="Arial" w:eastAsia="Arial" w:hAnsi="Arial"/>
                <w:sz w:val="18"/>
                <w:szCs w:val="18"/>
                <w:color w:val="auto"/>
                <w:w w:val="87"/>
              </w:rPr>
              <w:t>5.7</w:t>
            </w:r>
          </w:p>
        </w:tc>
        <w:tc>
          <w:tcPr>
            <w:tcW w:w="7060" w:type="dxa"/>
            <w:vAlign w:val="bottom"/>
          </w:tcPr>
          <w:p>
            <w:pPr>
              <w:ind w:left="300"/>
              <w:spacing w:after="0"/>
              <w:rPr>
                <w:sz w:val="20"/>
                <w:szCs w:val="20"/>
                <w:color w:val="auto"/>
              </w:rPr>
            </w:pPr>
            <w:r>
              <w:rPr>
                <w:rFonts w:ascii="Arial" w:cs="Arial" w:eastAsia="Arial" w:hAnsi="Arial"/>
                <w:sz w:val="18"/>
                <w:szCs w:val="18"/>
                <w:color w:val="auto"/>
              </w:rPr>
              <w:t>Miscellaneous</w:t>
            </w:r>
          </w:p>
        </w:tc>
        <w:tc>
          <w:tcPr>
            <w:tcW w:w="15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0"/>
        </w:trPr>
        <w:tc>
          <w:tcPr>
            <w:tcW w:w="1400" w:type="dxa"/>
            <w:vAlign w:val="bottom"/>
          </w:tcPr>
          <w:p>
            <w:pPr>
              <w:jc w:val="center"/>
              <w:ind w:right="210"/>
              <w:spacing w:after="0"/>
              <w:rPr>
                <w:sz w:val="20"/>
                <w:szCs w:val="20"/>
                <w:color w:val="auto"/>
              </w:rPr>
            </w:pPr>
            <w:r>
              <w:rPr>
                <w:rFonts w:ascii="Arial" w:cs="Arial" w:eastAsia="Arial" w:hAnsi="Arial"/>
                <w:sz w:val="18"/>
                <w:szCs w:val="18"/>
                <w:color w:val="auto"/>
                <w:w w:val="87"/>
              </w:rPr>
              <w:t>5.8</w:t>
            </w:r>
          </w:p>
        </w:tc>
        <w:tc>
          <w:tcPr>
            <w:tcW w:w="7060" w:type="dxa"/>
            <w:vAlign w:val="bottom"/>
          </w:tcPr>
          <w:p>
            <w:pPr>
              <w:ind w:left="300"/>
              <w:spacing w:after="0"/>
              <w:rPr>
                <w:sz w:val="20"/>
                <w:szCs w:val="20"/>
                <w:color w:val="auto"/>
              </w:rPr>
            </w:pPr>
            <w:r>
              <w:rPr>
                <w:rFonts w:ascii="Arial" w:cs="Arial" w:eastAsia="Arial" w:hAnsi="Arial"/>
                <w:sz w:val="18"/>
                <w:szCs w:val="18"/>
                <w:color w:val="auto"/>
              </w:rPr>
              <w:t>Inapplicability of Controlling Interest Statutes</w:t>
            </w:r>
          </w:p>
        </w:tc>
        <w:tc>
          <w:tcPr>
            <w:tcW w:w="15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0"/>
        </w:trPr>
        <w:tc>
          <w:tcPr>
            <w:tcW w:w="1400" w:type="dxa"/>
            <w:vAlign w:val="bottom"/>
          </w:tcPr>
          <w:p>
            <w:pPr>
              <w:jc w:val="center"/>
              <w:ind w:right="210"/>
              <w:spacing w:after="0"/>
              <w:rPr>
                <w:sz w:val="20"/>
                <w:szCs w:val="20"/>
                <w:color w:val="auto"/>
              </w:rPr>
            </w:pPr>
            <w:r>
              <w:rPr>
                <w:rFonts w:ascii="Arial" w:cs="Arial" w:eastAsia="Arial" w:hAnsi="Arial"/>
                <w:sz w:val="18"/>
                <w:szCs w:val="18"/>
                <w:color w:val="auto"/>
                <w:w w:val="99"/>
              </w:rPr>
              <w:t>ARTICLE VI</w:t>
            </w:r>
          </w:p>
        </w:tc>
        <w:tc>
          <w:tcPr>
            <w:tcW w:w="7060" w:type="dxa"/>
            <w:vAlign w:val="bottom"/>
          </w:tcPr>
          <w:p>
            <w:pPr>
              <w:ind w:left="300"/>
              <w:spacing w:after="0"/>
              <w:rPr>
                <w:sz w:val="20"/>
                <w:szCs w:val="20"/>
                <w:color w:val="auto"/>
              </w:rPr>
            </w:pPr>
            <w:r>
              <w:rPr>
                <w:rFonts w:ascii="Arial" w:cs="Arial" w:eastAsia="Arial" w:hAnsi="Arial"/>
                <w:sz w:val="18"/>
                <w:szCs w:val="18"/>
                <w:color w:val="auto"/>
              </w:rPr>
              <w:t>DISTRIBUTIONS</w:t>
            </w:r>
          </w:p>
        </w:tc>
        <w:tc>
          <w:tcPr>
            <w:tcW w:w="15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0"/>
        </w:trPr>
        <w:tc>
          <w:tcPr>
            <w:tcW w:w="1400" w:type="dxa"/>
            <w:vAlign w:val="bottom"/>
          </w:tcPr>
          <w:p>
            <w:pPr>
              <w:jc w:val="center"/>
              <w:ind w:right="230"/>
              <w:spacing w:after="0"/>
              <w:rPr>
                <w:sz w:val="20"/>
                <w:szCs w:val="20"/>
                <w:color w:val="auto"/>
              </w:rPr>
            </w:pPr>
            <w:r>
              <w:rPr>
                <w:rFonts w:ascii="Arial" w:cs="Arial" w:eastAsia="Arial" w:hAnsi="Arial"/>
                <w:sz w:val="18"/>
                <w:szCs w:val="18"/>
                <w:color w:val="auto"/>
              </w:rPr>
              <w:t>ARTICLE VII</w:t>
            </w:r>
          </w:p>
        </w:tc>
        <w:tc>
          <w:tcPr>
            <w:tcW w:w="7060" w:type="dxa"/>
            <w:vAlign w:val="bottom"/>
          </w:tcPr>
          <w:p>
            <w:pPr>
              <w:ind w:left="300"/>
              <w:spacing w:after="0"/>
              <w:rPr>
                <w:sz w:val="20"/>
                <w:szCs w:val="20"/>
                <w:color w:val="auto"/>
              </w:rPr>
            </w:pPr>
            <w:r>
              <w:rPr>
                <w:rFonts w:ascii="Arial" w:cs="Arial" w:eastAsia="Arial" w:hAnsi="Arial"/>
                <w:sz w:val="18"/>
                <w:szCs w:val="18"/>
                <w:color w:val="auto"/>
              </w:rPr>
              <w:t>RECORDS AND REPORTS; CORPORATE SEAL; AND FISCAL YEAR</w:t>
            </w:r>
          </w:p>
        </w:tc>
        <w:tc>
          <w:tcPr>
            <w:tcW w:w="15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0"/>
        </w:trPr>
        <w:tc>
          <w:tcPr>
            <w:tcW w:w="1400" w:type="dxa"/>
            <w:vAlign w:val="bottom"/>
          </w:tcPr>
          <w:p>
            <w:pPr>
              <w:jc w:val="center"/>
              <w:ind w:right="210"/>
              <w:spacing w:after="0"/>
              <w:rPr>
                <w:sz w:val="20"/>
                <w:szCs w:val="20"/>
                <w:color w:val="auto"/>
              </w:rPr>
            </w:pPr>
            <w:r>
              <w:rPr>
                <w:rFonts w:ascii="Arial" w:cs="Arial" w:eastAsia="Arial" w:hAnsi="Arial"/>
                <w:sz w:val="18"/>
                <w:szCs w:val="18"/>
                <w:color w:val="auto"/>
                <w:w w:val="87"/>
              </w:rPr>
              <w:t>7.1</w:t>
            </w:r>
          </w:p>
        </w:tc>
        <w:tc>
          <w:tcPr>
            <w:tcW w:w="7060" w:type="dxa"/>
            <w:vAlign w:val="bottom"/>
          </w:tcPr>
          <w:p>
            <w:pPr>
              <w:ind w:left="300"/>
              <w:spacing w:after="0"/>
              <w:rPr>
                <w:sz w:val="20"/>
                <w:szCs w:val="20"/>
                <w:color w:val="auto"/>
              </w:rPr>
            </w:pPr>
            <w:r>
              <w:rPr>
                <w:rFonts w:ascii="Arial" w:cs="Arial" w:eastAsia="Arial" w:hAnsi="Arial"/>
                <w:sz w:val="18"/>
                <w:szCs w:val="18"/>
                <w:color w:val="auto"/>
              </w:rPr>
              <w:t>Records</w:t>
            </w:r>
          </w:p>
        </w:tc>
        <w:tc>
          <w:tcPr>
            <w:tcW w:w="15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0"/>
        </w:trPr>
        <w:tc>
          <w:tcPr>
            <w:tcW w:w="1400" w:type="dxa"/>
            <w:vAlign w:val="bottom"/>
          </w:tcPr>
          <w:p>
            <w:pPr>
              <w:jc w:val="center"/>
              <w:ind w:right="210"/>
              <w:spacing w:after="0"/>
              <w:rPr>
                <w:sz w:val="20"/>
                <w:szCs w:val="20"/>
                <w:color w:val="auto"/>
              </w:rPr>
            </w:pPr>
            <w:r>
              <w:rPr>
                <w:rFonts w:ascii="Arial" w:cs="Arial" w:eastAsia="Arial" w:hAnsi="Arial"/>
                <w:sz w:val="18"/>
                <w:szCs w:val="18"/>
                <w:color w:val="auto"/>
                <w:w w:val="87"/>
              </w:rPr>
              <w:t>7.2</w:t>
            </w:r>
          </w:p>
        </w:tc>
        <w:tc>
          <w:tcPr>
            <w:tcW w:w="7060" w:type="dxa"/>
            <w:vAlign w:val="bottom"/>
          </w:tcPr>
          <w:p>
            <w:pPr>
              <w:ind w:left="300"/>
              <w:spacing w:after="0"/>
              <w:rPr>
                <w:sz w:val="20"/>
                <w:szCs w:val="20"/>
                <w:color w:val="auto"/>
              </w:rPr>
            </w:pPr>
            <w:r>
              <w:rPr>
                <w:rFonts w:ascii="Arial" w:cs="Arial" w:eastAsia="Arial" w:hAnsi="Arial"/>
                <w:sz w:val="18"/>
                <w:szCs w:val="18"/>
                <w:color w:val="auto"/>
              </w:rPr>
              <w:t>Corporate Seal</w:t>
            </w:r>
          </w:p>
        </w:tc>
        <w:tc>
          <w:tcPr>
            <w:tcW w:w="15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0"/>
        </w:trPr>
        <w:tc>
          <w:tcPr>
            <w:tcW w:w="1400" w:type="dxa"/>
            <w:vAlign w:val="bottom"/>
          </w:tcPr>
          <w:p>
            <w:pPr>
              <w:jc w:val="center"/>
              <w:ind w:right="210"/>
              <w:spacing w:after="0"/>
              <w:rPr>
                <w:sz w:val="20"/>
                <w:szCs w:val="20"/>
                <w:color w:val="auto"/>
              </w:rPr>
            </w:pPr>
            <w:r>
              <w:rPr>
                <w:rFonts w:ascii="Arial" w:cs="Arial" w:eastAsia="Arial" w:hAnsi="Arial"/>
                <w:sz w:val="18"/>
                <w:szCs w:val="18"/>
                <w:color w:val="auto"/>
                <w:w w:val="87"/>
              </w:rPr>
              <w:t>7.3</w:t>
            </w:r>
          </w:p>
        </w:tc>
        <w:tc>
          <w:tcPr>
            <w:tcW w:w="7060" w:type="dxa"/>
            <w:vAlign w:val="bottom"/>
          </w:tcPr>
          <w:p>
            <w:pPr>
              <w:ind w:left="300"/>
              <w:spacing w:after="0"/>
              <w:rPr>
                <w:sz w:val="20"/>
                <w:szCs w:val="20"/>
                <w:color w:val="auto"/>
              </w:rPr>
            </w:pPr>
            <w:r>
              <w:rPr>
                <w:rFonts w:ascii="Arial" w:cs="Arial" w:eastAsia="Arial" w:hAnsi="Arial"/>
                <w:sz w:val="18"/>
                <w:szCs w:val="18"/>
                <w:color w:val="auto"/>
              </w:rPr>
              <w:t>Fiscal Year-End</w:t>
            </w:r>
          </w:p>
        </w:tc>
        <w:tc>
          <w:tcPr>
            <w:tcW w:w="15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0"/>
        </w:trPr>
        <w:tc>
          <w:tcPr>
            <w:tcW w:w="1400" w:type="dxa"/>
            <w:vAlign w:val="bottom"/>
          </w:tcPr>
          <w:p>
            <w:pPr>
              <w:jc w:val="center"/>
              <w:ind w:right="210"/>
              <w:spacing w:after="0"/>
              <w:rPr>
                <w:sz w:val="20"/>
                <w:szCs w:val="20"/>
                <w:color w:val="auto"/>
              </w:rPr>
            </w:pPr>
            <w:r>
              <w:rPr>
                <w:rFonts w:ascii="Arial" w:cs="Arial" w:eastAsia="Arial" w:hAnsi="Arial"/>
                <w:sz w:val="18"/>
                <w:szCs w:val="18"/>
                <w:color w:val="auto"/>
              </w:rPr>
              <w:t>ARTICLE VIII</w:t>
            </w:r>
          </w:p>
        </w:tc>
        <w:tc>
          <w:tcPr>
            <w:tcW w:w="7060" w:type="dxa"/>
            <w:vAlign w:val="bottom"/>
          </w:tcPr>
          <w:p>
            <w:pPr>
              <w:ind w:left="300"/>
              <w:spacing w:after="0"/>
              <w:rPr>
                <w:sz w:val="20"/>
                <w:szCs w:val="20"/>
                <w:color w:val="auto"/>
              </w:rPr>
            </w:pPr>
            <w:r>
              <w:rPr>
                <w:rFonts w:ascii="Arial" w:cs="Arial" w:eastAsia="Arial" w:hAnsi="Arial"/>
                <w:sz w:val="18"/>
                <w:szCs w:val="18"/>
                <w:color w:val="auto"/>
              </w:rPr>
              <w:t>INDEMNIFICATION</w:t>
            </w:r>
          </w:p>
        </w:tc>
        <w:tc>
          <w:tcPr>
            <w:tcW w:w="15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0"/>
        </w:trPr>
        <w:tc>
          <w:tcPr>
            <w:tcW w:w="1400" w:type="dxa"/>
            <w:vAlign w:val="bottom"/>
          </w:tcPr>
          <w:p>
            <w:pPr>
              <w:jc w:val="center"/>
              <w:ind w:right="210"/>
              <w:spacing w:after="0"/>
              <w:rPr>
                <w:sz w:val="20"/>
                <w:szCs w:val="20"/>
                <w:color w:val="auto"/>
              </w:rPr>
            </w:pPr>
            <w:r>
              <w:rPr>
                <w:rFonts w:ascii="Arial" w:cs="Arial" w:eastAsia="Arial" w:hAnsi="Arial"/>
                <w:sz w:val="18"/>
                <w:szCs w:val="18"/>
                <w:color w:val="auto"/>
                <w:w w:val="87"/>
              </w:rPr>
              <w:t>8.1</w:t>
            </w:r>
          </w:p>
        </w:tc>
        <w:tc>
          <w:tcPr>
            <w:tcW w:w="7060" w:type="dxa"/>
            <w:vAlign w:val="bottom"/>
          </w:tcPr>
          <w:p>
            <w:pPr>
              <w:ind w:left="300"/>
              <w:spacing w:after="0"/>
              <w:rPr>
                <w:sz w:val="20"/>
                <w:szCs w:val="20"/>
                <w:color w:val="auto"/>
              </w:rPr>
            </w:pPr>
            <w:r>
              <w:rPr>
                <w:rFonts w:ascii="Arial" w:cs="Arial" w:eastAsia="Arial" w:hAnsi="Arial"/>
                <w:sz w:val="18"/>
                <w:szCs w:val="18"/>
                <w:color w:val="auto"/>
              </w:rPr>
              <w:t>Indemnification and Insurance</w:t>
            </w:r>
          </w:p>
        </w:tc>
        <w:tc>
          <w:tcPr>
            <w:tcW w:w="15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0"/>
        </w:trPr>
        <w:tc>
          <w:tcPr>
            <w:tcW w:w="1400" w:type="dxa"/>
            <w:vAlign w:val="bottom"/>
          </w:tcPr>
          <w:p>
            <w:pPr>
              <w:jc w:val="center"/>
              <w:ind w:right="210"/>
              <w:spacing w:after="0"/>
              <w:rPr>
                <w:sz w:val="20"/>
                <w:szCs w:val="20"/>
                <w:color w:val="auto"/>
              </w:rPr>
            </w:pPr>
            <w:r>
              <w:rPr>
                <w:rFonts w:ascii="Arial" w:cs="Arial" w:eastAsia="Arial" w:hAnsi="Arial"/>
                <w:sz w:val="18"/>
                <w:szCs w:val="18"/>
                <w:color w:val="auto"/>
                <w:w w:val="87"/>
              </w:rPr>
              <w:t>8.2</w:t>
            </w:r>
          </w:p>
        </w:tc>
        <w:tc>
          <w:tcPr>
            <w:tcW w:w="7060" w:type="dxa"/>
            <w:vAlign w:val="bottom"/>
          </w:tcPr>
          <w:p>
            <w:pPr>
              <w:ind w:left="300"/>
              <w:spacing w:after="0"/>
              <w:rPr>
                <w:sz w:val="20"/>
                <w:szCs w:val="20"/>
                <w:color w:val="auto"/>
              </w:rPr>
            </w:pPr>
            <w:r>
              <w:rPr>
                <w:rFonts w:ascii="Arial" w:cs="Arial" w:eastAsia="Arial" w:hAnsi="Arial"/>
                <w:sz w:val="18"/>
                <w:szCs w:val="18"/>
                <w:color w:val="auto"/>
              </w:rPr>
              <w:t>Amendment</w:t>
            </w:r>
          </w:p>
        </w:tc>
        <w:tc>
          <w:tcPr>
            <w:tcW w:w="15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0"/>
        </w:trPr>
        <w:tc>
          <w:tcPr>
            <w:tcW w:w="1400" w:type="dxa"/>
            <w:vAlign w:val="bottom"/>
          </w:tcPr>
          <w:p>
            <w:pPr>
              <w:jc w:val="center"/>
              <w:ind w:right="210"/>
              <w:spacing w:after="0"/>
              <w:rPr>
                <w:sz w:val="20"/>
                <w:szCs w:val="20"/>
                <w:color w:val="auto"/>
              </w:rPr>
            </w:pPr>
            <w:r>
              <w:rPr>
                <w:rFonts w:ascii="Arial" w:cs="Arial" w:eastAsia="Arial" w:hAnsi="Arial"/>
                <w:sz w:val="18"/>
                <w:szCs w:val="18"/>
                <w:color w:val="auto"/>
                <w:w w:val="99"/>
              </w:rPr>
              <w:t>ARTICLE IX</w:t>
            </w:r>
          </w:p>
        </w:tc>
        <w:tc>
          <w:tcPr>
            <w:tcW w:w="7060" w:type="dxa"/>
            <w:vAlign w:val="bottom"/>
          </w:tcPr>
          <w:p>
            <w:pPr>
              <w:ind w:left="300"/>
              <w:spacing w:after="0"/>
              <w:rPr>
                <w:sz w:val="20"/>
                <w:szCs w:val="20"/>
                <w:color w:val="auto"/>
              </w:rPr>
            </w:pPr>
            <w:r>
              <w:rPr>
                <w:rFonts w:ascii="Arial" w:cs="Arial" w:eastAsia="Arial" w:hAnsi="Arial"/>
                <w:sz w:val="18"/>
                <w:szCs w:val="18"/>
                <w:color w:val="auto"/>
              </w:rPr>
              <w:t>CHANGES IN NEVADA LAW</w:t>
            </w:r>
          </w:p>
        </w:tc>
        <w:tc>
          <w:tcPr>
            <w:tcW w:w="15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0"/>
        </w:trPr>
        <w:tc>
          <w:tcPr>
            <w:tcW w:w="1400" w:type="dxa"/>
            <w:vAlign w:val="bottom"/>
          </w:tcPr>
          <w:p>
            <w:pPr>
              <w:jc w:val="center"/>
              <w:ind w:right="230"/>
              <w:spacing w:after="0"/>
              <w:rPr>
                <w:sz w:val="20"/>
                <w:szCs w:val="20"/>
                <w:color w:val="auto"/>
              </w:rPr>
            </w:pPr>
            <w:r>
              <w:rPr>
                <w:rFonts w:ascii="Arial" w:cs="Arial" w:eastAsia="Arial" w:hAnsi="Arial"/>
                <w:sz w:val="18"/>
                <w:szCs w:val="18"/>
                <w:color w:val="auto"/>
                <w:w w:val="98"/>
              </w:rPr>
              <w:t>ARTICLE X</w:t>
            </w:r>
          </w:p>
        </w:tc>
        <w:tc>
          <w:tcPr>
            <w:tcW w:w="7060" w:type="dxa"/>
            <w:vAlign w:val="bottom"/>
          </w:tcPr>
          <w:p>
            <w:pPr>
              <w:ind w:left="300"/>
              <w:spacing w:after="0"/>
              <w:rPr>
                <w:sz w:val="20"/>
                <w:szCs w:val="20"/>
                <w:color w:val="auto"/>
              </w:rPr>
            </w:pPr>
            <w:r>
              <w:rPr>
                <w:rFonts w:ascii="Arial" w:cs="Arial" w:eastAsia="Arial" w:hAnsi="Arial"/>
                <w:sz w:val="18"/>
                <w:szCs w:val="18"/>
                <w:color w:val="auto"/>
              </w:rPr>
              <w:t>AMENDMENT OR REPEAL</w:t>
            </w:r>
          </w:p>
        </w:tc>
        <w:tc>
          <w:tcPr>
            <w:tcW w:w="15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0"/>
        </w:trPr>
        <w:tc>
          <w:tcPr>
            <w:tcW w:w="1400" w:type="dxa"/>
            <w:vAlign w:val="bottom"/>
          </w:tcPr>
          <w:p>
            <w:pPr>
              <w:jc w:val="center"/>
              <w:ind w:right="230"/>
              <w:spacing w:after="0"/>
              <w:rPr>
                <w:sz w:val="20"/>
                <w:szCs w:val="20"/>
                <w:color w:val="auto"/>
              </w:rPr>
            </w:pPr>
            <w:r>
              <w:rPr>
                <w:rFonts w:ascii="Arial" w:cs="Arial" w:eastAsia="Arial" w:hAnsi="Arial"/>
                <w:sz w:val="18"/>
                <w:szCs w:val="18"/>
                <w:color w:val="auto"/>
                <w:w w:val="91"/>
              </w:rPr>
              <w:t>10.1</w:t>
            </w:r>
          </w:p>
        </w:tc>
        <w:tc>
          <w:tcPr>
            <w:tcW w:w="7060" w:type="dxa"/>
            <w:vAlign w:val="bottom"/>
          </w:tcPr>
          <w:p>
            <w:pPr>
              <w:ind w:left="300"/>
              <w:spacing w:after="0"/>
              <w:rPr>
                <w:sz w:val="20"/>
                <w:szCs w:val="20"/>
                <w:color w:val="auto"/>
              </w:rPr>
            </w:pPr>
            <w:r>
              <w:rPr>
                <w:rFonts w:ascii="Arial" w:cs="Arial" w:eastAsia="Arial" w:hAnsi="Arial"/>
                <w:sz w:val="18"/>
                <w:szCs w:val="18"/>
                <w:color w:val="auto"/>
              </w:rPr>
              <w:t>Amendment of Bylaws</w:t>
            </w:r>
          </w:p>
        </w:tc>
        <w:tc>
          <w:tcPr>
            <w:tcW w:w="15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0"/>
        </w:trPr>
        <w:tc>
          <w:tcPr>
            <w:tcW w:w="1400" w:type="dxa"/>
            <w:vAlign w:val="bottom"/>
          </w:tcPr>
          <w:p>
            <w:pPr>
              <w:jc w:val="center"/>
              <w:ind w:right="210"/>
              <w:spacing w:after="0"/>
              <w:rPr>
                <w:sz w:val="20"/>
                <w:szCs w:val="20"/>
                <w:color w:val="auto"/>
              </w:rPr>
            </w:pPr>
            <w:r>
              <w:rPr>
                <w:rFonts w:ascii="Arial" w:cs="Arial" w:eastAsia="Arial" w:hAnsi="Arial"/>
                <w:sz w:val="18"/>
                <w:szCs w:val="18"/>
                <w:color w:val="auto"/>
                <w:w w:val="99"/>
              </w:rPr>
              <w:t>ARTICLE XI</w:t>
            </w:r>
          </w:p>
        </w:tc>
        <w:tc>
          <w:tcPr>
            <w:tcW w:w="7060" w:type="dxa"/>
            <w:vAlign w:val="bottom"/>
          </w:tcPr>
          <w:p>
            <w:pPr>
              <w:ind w:left="300"/>
              <w:spacing w:after="0"/>
              <w:rPr>
                <w:sz w:val="20"/>
                <w:szCs w:val="20"/>
                <w:color w:val="auto"/>
              </w:rPr>
            </w:pPr>
            <w:r>
              <w:rPr>
                <w:rFonts w:ascii="Arial" w:cs="Arial" w:eastAsia="Arial" w:hAnsi="Arial"/>
                <w:sz w:val="18"/>
                <w:szCs w:val="18"/>
                <w:color w:val="auto"/>
              </w:rPr>
              <w:t>FORUM FOR ADJUDICATION OF DISPUTES</w:t>
            </w:r>
          </w:p>
        </w:tc>
        <w:tc>
          <w:tcPr>
            <w:tcW w:w="1520" w:type="dxa"/>
            <w:vAlign w:val="bottom"/>
          </w:tcPr>
          <w:p>
            <w:pPr>
              <w:jc w:val="right"/>
              <w:spacing w:after="0"/>
              <w:rPr>
                <w:sz w:val="20"/>
                <w:szCs w:val="20"/>
                <w:color w:val="auto"/>
              </w:rPr>
            </w:pPr>
            <w:r>
              <w:rPr>
                <w:rFonts w:ascii="Arial" w:cs="Arial" w:eastAsia="Arial" w:hAnsi="Arial"/>
                <w:sz w:val="18"/>
                <w:szCs w:val="18"/>
                <w:color w:val="auto"/>
              </w:rPr>
              <w:t>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ii</w:t>
      </w:r>
    </w:p>
    <w:p>
      <w:pPr>
        <w:sectPr>
          <w:pgSz w:w="11900" w:h="16838" w:orient="portrait"/>
          <w:cols w:equalWidth="0" w:num="1">
            <w:col w:w="9980"/>
          </w:cols>
          <w:pgMar w:left="1060" w:top="1440" w:right="859" w:bottom="1440" w:gutter="0" w:footer="0" w:header="0"/>
        </w:sectPr>
      </w:pPr>
    </w:p>
    <w:bookmarkStart w:id="121" w:name="page122"/>
    <w:bookmarkEnd w:id="121"/>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NINTH AMENDED AND RESTATED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BYLAWS WYNN RESORTS, LIMITED</w:t>
      </w:r>
    </w:p>
    <w:p>
      <w:pPr>
        <w:jc w:val="center"/>
        <w:spacing w:after="0"/>
        <w:rPr>
          <w:sz w:val="20"/>
          <w:szCs w:val="20"/>
          <w:color w:val="auto"/>
        </w:rPr>
      </w:pPr>
      <w:r>
        <w:rPr>
          <w:rFonts w:ascii="Arial" w:cs="Arial" w:eastAsia="Arial" w:hAnsi="Arial"/>
          <w:sz w:val="20"/>
          <w:szCs w:val="20"/>
          <w:color w:val="auto"/>
        </w:rPr>
        <w:t>a Nevada corporation</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I</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OFFICES</w:t>
      </w:r>
    </w:p>
    <w:p>
      <w:pPr>
        <w:spacing w:after="0" w:line="19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 xml:space="preserve">Section 1.1 </w:t>
      </w:r>
      <w:r>
        <w:rPr>
          <w:rFonts w:ascii="Arial" w:cs="Arial" w:eastAsia="Arial" w:hAnsi="Arial"/>
          <w:sz w:val="20"/>
          <w:szCs w:val="20"/>
          <w:u w:val="single" w:color="auto"/>
          <w:color w:val="auto"/>
        </w:rPr>
        <w:t>Principal Office</w:t>
      </w:r>
      <w:r>
        <w:rPr>
          <w:rFonts w:ascii="Arial" w:cs="Arial" w:eastAsia="Arial" w:hAnsi="Arial"/>
          <w:sz w:val="20"/>
          <w:szCs w:val="20"/>
          <w:color w:val="auto"/>
        </w:rPr>
        <w:t>. The principal office and place of business of Wynn Resorts, Limited (the “</w:t>
      </w:r>
      <w:r>
        <w:rPr>
          <w:rFonts w:ascii="Arial" w:cs="Arial" w:eastAsia="Arial" w:hAnsi="Arial"/>
          <w:sz w:val="20"/>
          <w:szCs w:val="20"/>
          <w:b w:val="1"/>
          <w:bCs w:val="1"/>
          <w:color w:val="auto"/>
        </w:rPr>
        <w:t>Corporation</w:t>
      </w:r>
      <w:r>
        <w:rPr>
          <w:rFonts w:ascii="Arial" w:cs="Arial" w:eastAsia="Arial" w:hAnsi="Arial"/>
          <w:sz w:val="20"/>
          <w:szCs w:val="20"/>
          <w:color w:val="auto"/>
        </w:rPr>
        <w:t>”) shall be at 3131 Las Vegas Boulevard South, Las Vegas, Nevada 89109 or at such other location as established from time to time by resolution of the board of directors of the Corporation (the “</w:t>
      </w:r>
      <w:r>
        <w:rPr>
          <w:rFonts w:ascii="Arial" w:cs="Arial" w:eastAsia="Arial" w:hAnsi="Arial"/>
          <w:sz w:val="20"/>
          <w:szCs w:val="20"/>
          <w:b w:val="1"/>
          <w:bCs w:val="1"/>
          <w:color w:val="auto"/>
        </w:rPr>
        <w:t>Board of Directors</w:t>
      </w:r>
      <w:r>
        <w:rPr>
          <w:rFonts w:ascii="Arial" w:cs="Arial" w:eastAsia="Arial" w:hAnsi="Arial"/>
          <w:sz w:val="20"/>
          <w:szCs w:val="20"/>
          <w:color w:val="auto"/>
        </w:rPr>
        <w:t>”).</w:t>
      </w:r>
    </w:p>
    <w:p>
      <w:pPr>
        <w:spacing w:after="0" w:line="18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1.2 </w:t>
      </w:r>
      <w:r>
        <w:rPr>
          <w:rFonts w:ascii="Arial" w:cs="Arial" w:eastAsia="Arial" w:hAnsi="Arial"/>
          <w:sz w:val="20"/>
          <w:szCs w:val="20"/>
          <w:u w:val="single" w:color="auto"/>
          <w:color w:val="auto"/>
        </w:rPr>
        <w:t>Other Offices</w:t>
      </w:r>
      <w:r>
        <w:rPr>
          <w:rFonts w:ascii="Arial" w:cs="Arial" w:eastAsia="Arial" w:hAnsi="Arial"/>
          <w:sz w:val="20"/>
          <w:szCs w:val="20"/>
          <w:color w:val="auto"/>
        </w:rPr>
        <w:t>. Other offices and places of business either within or without the State of Nevada may be established from time to time by resolution of the Board of Directors or as the business of the Corporation may require. The street address of the Corporation’s registered agent is the registered office of the Corporation in Nevada.</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II</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STOCKHOLDERS</w:t>
      </w:r>
    </w:p>
    <w:p>
      <w:pPr>
        <w:spacing w:after="0" w:line="200"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Annual Meeting</w:t>
      </w:r>
      <w:r>
        <w:rPr>
          <w:rFonts w:ascii="Arial" w:cs="Arial" w:eastAsia="Arial" w:hAnsi="Arial"/>
          <w:sz w:val="18"/>
          <w:szCs w:val="18"/>
          <w:color w:val="auto"/>
        </w:rPr>
        <w:t>. The annual meeting of the stockholders of the Corporation shall be held on such date and at such time as may be designated from time to time by the Board of Directors. At the annual meeting, directors shall be elected and any other business may be transacted as may be properly brought before the meeting pursuant to these Ninth Amended and Restated Bylaws (as amended from time to time, these “</w:t>
      </w:r>
      <w:r>
        <w:rPr>
          <w:rFonts w:ascii="Arial" w:cs="Arial" w:eastAsia="Arial" w:hAnsi="Arial"/>
          <w:sz w:val="18"/>
          <w:szCs w:val="18"/>
          <w:b w:val="1"/>
          <w:bCs w:val="1"/>
          <w:color w:val="auto"/>
        </w:rPr>
        <w:t>Bylaws</w:t>
      </w:r>
      <w:r>
        <w:rPr>
          <w:rFonts w:ascii="Arial" w:cs="Arial" w:eastAsia="Arial" w:hAnsi="Arial"/>
          <w:sz w:val="18"/>
          <w:szCs w:val="18"/>
          <w:color w:val="auto"/>
        </w:rPr>
        <w:t>”). Except as otherwise restricted by the articles of incorporation of the Corporation (as amended from time to time, the “</w:t>
      </w:r>
      <w:r>
        <w:rPr>
          <w:rFonts w:ascii="Arial" w:cs="Arial" w:eastAsia="Arial" w:hAnsi="Arial"/>
          <w:sz w:val="18"/>
          <w:szCs w:val="18"/>
          <w:b w:val="1"/>
          <w:bCs w:val="1"/>
          <w:color w:val="auto"/>
        </w:rPr>
        <w:t>Articles of Incorporation</w:t>
      </w:r>
      <w:r>
        <w:rPr>
          <w:rFonts w:ascii="Arial" w:cs="Arial" w:eastAsia="Arial" w:hAnsi="Arial"/>
          <w:sz w:val="18"/>
          <w:szCs w:val="18"/>
          <w:color w:val="auto"/>
        </w:rPr>
        <w:t>”) or applicable law, the Board of Directors may postpone, reschedule or cancel any annual meeting of stockholders.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2.2 </w:t>
      </w:r>
      <w:r>
        <w:rPr>
          <w:rFonts w:ascii="Arial" w:cs="Arial" w:eastAsia="Arial" w:hAnsi="Arial"/>
          <w:sz w:val="20"/>
          <w:szCs w:val="20"/>
          <w:u w:val="single" w:color="auto"/>
          <w:color w:val="auto"/>
        </w:rPr>
        <w:t>Special Meetings</w:t>
      </w:r>
      <w:r>
        <w:rPr>
          <w:rFonts w:ascii="Arial" w:cs="Arial" w:eastAsia="Arial" w:hAnsi="Arial"/>
          <w:sz w:val="20"/>
          <w:szCs w:val="20"/>
          <w:color w:val="auto"/>
        </w:rPr>
        <w:t>.</w:t>
      </w:r>
    </w:p>
    <w:p>
      <w:pPr>
        <w:spacing w:after="0" w:line="216" w:lineRule="exact"/>
        <w:rPr>
          <w:sz w:val="20"/>
          <w:szCs w:val="20"/>
          <w:color w:val="auto"/>
        </w:rPr>
      </w:pPr>
    </w:p>
    <w:p>
      <w:pPr>
        <w:jc w:val="both"/>
        <w:ind w:firstLine="1305"/>
        <w:spacing w:after="0" w:line="278" w:lineRule="auto"/>
        <w:tabs>
          <w:tab w:leader="none" w:pos="1572"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Subject to any rights of stockholders set forth in the Articles of Incorporation, special meetings of the stockholders may be called only by the chair of the board or the chief executive officer or, if there be no chair of the board and no chief executive officer, by the president, and shall be called by the secretary upon the written request of at least a majority of the Board of Directors. Such request shall state the purpose or purposes of the meeting. Stockholders shall have no right to request or call a special meeting. Except as otherwise restricted by the Articles of Incorporation or applicable law, the Board of Directors may postpone, reschedule or cancel any special meeting of stockholders.</w:t>
      </w:r>
    </w:p>
    <w:p>
      <w:pPr>
        <w:spacing w:after="0" w:line="165" w:lineRule="exact"/>
        <w:rPr>
          <w:rFonts w:ascii="Arial" w:cs="Arial" w:eastAsia="Arial" w:hAnsi="Arial"/>
          <w:sz w:val="18"/>
          <w:szCs w:val="18"/>
          <w:color w:val="auto"/>
        </w:rPr>
      </w:pPr>
    </w:p>
    <w:p>
      <w:pPr>
        <w:ind w:left="1580" w:hanging="275"/>
        <w:spacing w:after="0"/>
        <w:tabs>
          <w:tab w:leader="none" w:pos="1580" w:val="left"/>
        </w:tabs>
        <w:numPr>
          <w:ilvl w:val="0"/>
          <w:numId w:val="44"/>
        </w:numPr>
        <w:rPr>
          <w:rFonts w:ascii="Arial" w:cs="Arial" w:eastAsia="Arial" w:hAnsi="Arial"/>
          <w:sz w:val="19"/>
          <w:szCs w:val="19"/>
          <w:color w:val="auto"/>
        </w:rPr>
      </w:pPr>
      <w:r>
        <w:rPr>
          <w:rFonts w:ascii="Arial" w:cs="Arial" w:eastAsia="Arial" w:hAnsi="Arial"/>
          <w:sz w:val="19"/>
          <w:szCs w:val="19"/>
          <w:color w:val="auto"/>
        </w:rPr>
        <w:t>No business shall be acted upon at a special meeting of stockholders except as set forth in the notice of the meeting.</w:t>
      </w:r>
    </w:p>
    <w:p>
      <w:pPr>
        <w:spacing w:after="0" w:line="22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Section 2.3 </w:t>
      </w:r>
      <w:r>
        <w:rPr>
          <w:rFonts w:ascii="Arial" w:cs="Arial" w:eastAsia="Arial" w:hAnsi="Arial"/>
          <w:sz w:val="20"/>
          <w:szCs w:val="20"/>
          <w:u w:val="single" w:color="auto"/>
          <w:color w:val="auto"/>
        </w:rPr>
        <w:t>Place of Meetings</w:t>
      </w:r>
      <w:r>
        <w:rPr>
          <w:rFonts w:ascii="Arial" w:cs="Arial" w:eastAsia="Arial" w:hAnsi="Arial"/>
          <w:sz w:val="20"/>
          <w:szCs w:val="20"/>
          <w:color w:val="auto"/>
        </w:rPr>
        <w:t>. Any meeting of the stockholders of the Corporation may be held at the Corporation’s registered office in the State of Nevada or at such other place in or out of the State of Nevada and the United States as may be designated in the notice of meeting. A waiver of notice signed by all stockholders entitled to vote thereat may designate any place for the holding of such meeting. The Board of Directors may, in its sole discretion, determine that any meeting of the stockholders shall be held by means of electronic communications or other available technology in accordance with Section 2.14.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1440" w:right="239" w:bottom="1440" w:gutter="0" w:footer="0" w:header="0"/>
        </w:sectPr>
      </w:pPr>
    </w:p>
    <w:bookmarkStart w:id="122" w:name="page123"/>
    <w:bookmarkEnd w:id="122"/>
    <w:p>
      <w:pPr>
        <w:spacing w:after="0" w:line="19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2.4 </w:t>
      </w:r>
      <w:r>
        <w:rPr>
          <w:rFonts w:ascii="Arial" w:cs="Arial" w:eastAsia="Arial" w:hAnsi="Arial"/>
          <w:sz w:val="20"/>
          <w:szCs w:val="20"/>
          <w:u w:val="single" w:color="auto"/>
          <w:color w:val="auto"/>
        </w:rPr>
        <w:t>Notice of Meetings; Waiver of Notice</w:t>
      </w:r>
      <w:r>
        <w:rPr>
          <w:rFonts w:ascii="Arial" w:cs="Arial" w:eastAsia="Arial" w:hAnsi="Arial"/>
          <w:sz w:val="20"/>
          <w:szCs w:val="20"/>
          <w:color w:val="auto"/>
        </w:rPr>
        <w:t>.</w:t>
      </w:r>
    </w:p>
    <w:p>
      <w:pPr>
        <w:spacing w:after="0" w:line="216" w:lineRule="exact"/>
        <w:rPr>
          <w:sz w:val="20"/>
          <w:szCs w:val="20"/>
          <w:color w:val="auto"/>
        </w:rPr>
      </w:pPr>
    </w:p>
    <w:p>
      <w:pPr>
        <w:jc w:val="both"/>
        <w:ind w:firstLine="1305"/>
        <w:spacing w:after="0" w:line="274" w:lineRule="auto"/>
        <w:tabs>
          <w:tab w:leader="none" w:pos="1596"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chief executive officer, if any, the president, any vice president, the secretary, an assistant secretary or any other individual designated by the Board of Directors shall sign and deliver or cause to be delivered to the stockholders written notice of any stockholders’ meeting not less than ten (10) days, but not more than sixty (60) days, before the date of such meeting. The notice shall state the place, date and time of the meeting, the means of electronic communication, if any, by which the stockholders or the proxies thereof shall be deemed to be present and vote and, in the case of a special meeting, the purpose or purposes for which the meeting is called. The notice shall be delivered in accordance with, and shall contain or be accompanied by such additional information as may be required by, the Nevada Revised Statutes (as amended from time to time, the “</w:t>
      </w:r>
      <w:r>
        <w:rPr>
          <w:rFonts w:ascii="Arial" w:cs="Arial" w:eastAsia="Arial" w:hAnsi="Arial"/>
          <w:sz w:val="18"/>
          <w:szCs w:val="18"/>
          <w:b w:val="1"/>
          <w:bCs w:val="1"/>
          <w:color w:val="auto"/>
        </w:rPr>
        <w:t>NRS</w:t>
      </w:r>
      <w:r>
        <w:rPr>
          <w:rFonts w:ascii="Arial" w:cs="Arial" w:eastAsia="Arial" w:hAnsi="Arial"/>
          <w:sz w:val="18"/>
          <w:szCs w:val="18"/>
          <w:color w:val="auto"/>
        </w:rPr>
        <w:t>”), including, without limitation, NRS 78.379, 92A.120 or 92A.410.</w:t>
      </w:r>
    </w:p>
    <w:p>
      <w:pPr>
        <w:spacing w:after="0" w:line="169" w:lineRule="exact"/>
        <w:rPr>
          <w:rFonts w:ascii="Arial" w:cs="Arial" w:eastAsia="Arial" w:hAnsi="Arial"/>
          <w:sz w:val="18"/>
          <w:szCs w:val="18"/>
          <w:color w:val="auto"/>
        </w:rPr>
      </w:pPr>
    </w:p>
    <w:p>
      <w:pPr>
        <w:jc w:val="both"/>
        <w:ind w:firstLine="1305"/>
        <w:spacing w:after="0" w:line="243" w:lineRule="auto"/>
        <w:tabs>
          <w:tab w:leader="none" w:pos="1580" w:val="left"/>
        </w:tabs>
        <w:numPr>
          <w:ilvl w:val="1"/>
          <w:numId w:val="45"/>
        </w:numPr>
        <w:rPr>
          <w:rFonts w:ascii="Arial" w:cs="Arial" w:eastAsia="Arial" w:hAnsi="Arial"/>
          <w:sz w:val="20"/>
          <w:szCs w:val="20"/>
          <w:color w:val="auto"/>
        </w:rPr>
      </w:pPr>
      <w:r>
        <w:rPr>
          <w:rFonts w:ascii="Arial" w:cs="Arial" w:eastAsia="Arial" w:hAnsi="Arial"/>
          <w:sz w:val="20"/>
          <w:szCs w:val="20"/>
          <w:color w:val="auto"/>
        </w:rPr>
        <w:t>In the case of an annual meeting, subject to Section 2.13, any proper business may be presented for action, except that (i) if a proposed plan of merger, conversion or exchange is submitted to a vote, the notice of the meeting must state that the purpose, or one of the purposes, of the meeting is to consider the plan of merger, conversion or exchange and must contain or be accompanied by a copy or summary of the plan; and (ii) if a proposed action creating dissenter’s rights is to be submitted to a vote, the notice of the meeting must state that the stockholders are or may be entitled to assert dissenter’s rights under NRS 92A.300 to 92A.500, inclusive, and be accompanied by a copy of those sections.</w:t>
      </w:r>
    </w:p>
    <w:p>
      <w:pPr>
        <w:spacing w:after="0" w:line="196" w:lineRule="exact"/>
        <w:rPr>
          <w:rFonts w:ascii="Arial" w:cs="Arial" w:eastAsia="Arial" w:hAnsi="Arial"/>
          <w:sz w:val="20"/>
          <w:szCs w:val="20"/>
          <w:color w:val="auto"/>
        </w:rPr>
      </w:pPr>
    </w:p>
    <w:p>
      <w:pPr>
        <w:jc w:val="both"/>
        <w:ind w:firstLine="1305"/>
        <w:spacing w:after="0" w:line="268" w:lineRule="auto"/>
        <w:tabs>
          <w:tab w:leader="none" w:pos="1571" w:val="left"/>
        </w:tabs>
        <w:numPr>
          <w:ilvl w:val="1"/>
          <w:numId w:val="45"/>
        </w:numPr>
        <w:rPr>
          <w:rFonts w:ascii="Arial" w:cs="Arial" w:eastAsia="Arial" w:hAnsi="Arial"/>
          <w:sz w:val="18"/>
          <w:szCs w:val="18"/>
          <w:color w:val="auto"/>
        </w:rPr>
      </w:pPr>
      <w:r>
        <w:rPr>
          <w:rFonts w:ascii="Arial" w:cs="Arial" w:eastAsia="Arial" w:hAnsi="Arial"/>
          <w:sz w:val="18"/>
          <w:szCs w:val="18"/>
          <w:color w:val="auto"/>
        </w:rPr>
        <w:t>A copy of the notice shall be personally delivered or mailed postage prepaid to each stockholder of record at the address appearing on the records of the Corporation. Upon mailing, service of the notice is complete, and the time of the notice begins to run from the date upon which the notice is deposited in the mail. If the address of any stockholder does not appear upon the records of the Corporation or is incomplete, it will be sufficient to address any notice to such stockholder at the registered office of the Corporation. Notwithstanding the foregoing and in addition thereto, any notice to stockholders given by the Corporation pursuant to Chapters 78 or 92A of the NRS, the Articles of Incorporation or these Bylaws may be given pursuant to the forms of electronic transmission listed herein, if such forms of transmission are consented to in writing by the stockholder receiving such electronically transmitted notice and such consent is filed by the secretary in the corporate records. Notice shall be deemed given (i) by facsimile when directed to a number consented to by the stockholder to receive notice,</w:t>
      </w:r>
    </w:p>
    <w:p>
      <w:pPr>
        <w:spacing w:after="0" w:line="3" w:lineRule="exact"/>
        <w:rPr>
          <w:rFonts w:ascii="Arial" w:cs="Arial" w:eastAsia="Arial" w:hAnsi="Arial"/>
          <w:sz w:val="18"/>
          <w:szCs w:val="18"/>
          <w:color w:val="auto"/>
        </w:rPr>
      </w:pPr>
    </w:p>
    <w:p>
      <w:pPr>
        <w:jc w:val="both"/>
        <w:ind w:firstLine="8"/>
        <w:spacing w:after="0"/>
        <w:tabs>
          <w:tab w:leader="none" w:pos="307" w:val="left"/>
        </w:tabs>
        <w:numPr>
          <w:ilvl w:val="0"/>
          <w:numId w:val="46"/>
        </w:numPr>
        <w:rPr>
          <w:rFonts w:ascii="Arial" w:cs="Arial" w:eastAsia="Arial" w:hAnsi="Arial"/>
          <w:sz w:val="20"/>
          <w:szCs w:val="20"/>
          <w:color w:val="auto"/>
        </w:rPr>
      </w:pPr>
      <w:r>
        <w:rPr>
          <w:rFonts w:ascii="Arial" w:cs="Arial" w:eastAsia="Arial" w:hAnsi="Arial"/>
          <w:sz w:val="20"/>
          <w:szCs w:val="20"/>
          <w:color w:val="auto"/>
        </w:rPr>
        <w:t>by e-mail when directed to an e-mail address consented to by the stockholder to receive notice, (iii) by posting on an electronic network together with a separate notice to the stockholder of the specific posting on the later of the specific posting or the giving of the separate notice or (iv) by any other electronic transmission as consented to by and when directed to the stockholder. The stockholder consent necessary to permit electronic transmission to such stockholder shall be deemed revoked and of no force and effect if (A) the Corporation is unable to deliver by electronic transmission two consecutive notices given by the Corporation in accordance with the stockholder’s consent and (B) the inability to deliver by electronic transmission becomes known to the secretary, assistant secretary, transfer agent or other agent of the Corporation responsible for the giving of notice.</w:t>
      </w:r>
    </w:p>
    <w:p>
      <w:pPr>
        <w:spacing w:after="0" w:line="197" w:lineRule="exact"/>
        <w:rPr>
          <w:rFonts w:ascii="Arial" w:cs="Arial" w:eastAsia="Arial" w:hAnsi="Arial"/>
          <w:sz w:val="20"/>
          <w:szCs w:val="20"/>
          <w:color w:val="auto"/>
        </w:rPr>
      </w:pPr>
    </w:p>
    <w:p>
      <w:pPr>
        <w:jc w:val="both"/>
        <w:ind w:firstLine="1305"/>
        <w:spacing w:after="0" w:line="244" w:lineRule="auto"/>
        <w:tabs>
          <w:tab w:leader="none" w:pos="1593" w:val="left"/>
        </w:tabs>
        <w:numPr>
          <w:ilvl w:val="1"/>
          <w:numId w:val="46"/>
        </w:numPr>
        <w:rPr>
          <w:rFonts w:ascii="Arial" w:cs="Arial" w:eastAsia="Arial" w:hAnsi="Arial"/>
          <w:sz w:val="20"/>
          <w:szCs w:val="20"/>
          <w:color w:val="auto"/>
        </w:rPr>
      </w:pPr>
      <w:r>
        <w:rPr>
          <w:rFonts w:ascii="Arial" w:cs="Arial" w:eastAsia="Arial" w:hAnsi="Arial"/>
          <w:sz w:val="20"/>
          <w:szCs w:val="20"/>
          <w:color w:val="auto"/>
        </w:rPr>
        <w:t>The written certificate of an individual signing a notice of meeting, setting forth the substance of the notice or having a copy thereof attached thereto, the date the notice was mailed or personally delivered to the stockholders and the addresses to which the notice was mailed, shall be prima facie evidence of the manner and fact of giving such notice and, in the absence of fraud, an affidavit of the individual signing a notice of a meeting that the notice thereof has been given by a form of electronic transmission shall be prima facie evidence of the facts stated in the affidavit.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1440" w:right="239" w:bottom="1440" w:gutter="0" w:footer="0" w:header="0"/>
        </w:sectPr>
      </w:pPr>
    </w:p>
    <w:bookmarkStart w:id="123" w:name="page124"/>
    <w:bookmarkEnd w:id="123"/>
    <w:p>
      <w:pPr>
        <w:spacing w:after="0" w:line="196" w:lineRule="exact"/>
        <w:rPr>
          <w:sz w:val="20"/>
          <w:szCs w:val="20"/>
          <w:color w:val="auto"/>
        </w:rPr>
      </w:pPr>
    </w:p>
    <w:p>
      <w:pPr>
        <w:ind w:firstLine="1305"/>
        <w:spacing w:after="0" w:line="260" w:lineRule="auto"/>
        <w:tabs>
          <w:tab w:leader="none" w:pos="1574" w:val="left"/>
        </w:tabs>
        <w:numPr>
          <w:ilvl w:val="0"/>
          <w:numId w:val="47"/>
        </w:numPr>
        <w:rPr>
          <w:rFonts w:ascii="Arial" w:cs="Arial" w:eastAsia="Arial" w:hAnsi="Arial"/>
          <w:sz w:val="20"/>
          <w:szCs w:val="20"/>
          <w:color w:val="auto"/>
        </w:rPr>
      </w:pPr>
      <w:r>
        <w:rPr>
          <w:rFonts w:ascii="Arial" w:cs="Arial" w:eastAsia="Arial" w:hAnsi="Arial"/>
          <w:sz w:val="20"/>
          <w:szCs w:val="20"/>
          <w:color w:val="auto"/>
        </w:rPr>
        <w:t>Any stockholder may waive notice of any meeting by a signed writing or by transmission of an electronic record, either before or after the meeting. Such waiver of notice shall be deemed the equivalent of the giving of such notice.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2.5 </w:t>
      </w:r>
      <w:r>
        <w:rPr>
          <w:rFonts w:ascii="Arial" w:cs="Arial" w:eastAsia="Arial" w:hAnsi="Arial"/>
          <w:sz w:val="20"/>
          <w:szCs w:val="20"/>
          <w:u w:val="single" w:color="auto"/>
          <w:color w:val="auto"/>
        </w:rPr>
        <w:t>Determination of Stockholders of Record</w:t>
      </w:r>
      <w:r>
        <w:rPr>
          <w:rFonts w:ascii="Arial" w:cs="Arial" w:eastAsia="Arial" w:hAnsi="Arial"/>
          <w:sz w:val="20"/>
          <w:szCs w:val="20"/>
          <w:color w:val="auto"/>
        </w:rPr>
        <w:t>.</w:t>
      </w:r>
    </w:p>
    <w:p>
      <w:pPr>
        <w:spacing w:after="0" w:line="216" w:lineRule="exact"/>
        <w:rPr>
          <w:sz w:val="20"/>
          <w:szCs w:val="20"/>
          <w:color w:val="auto"/>
        </w:rPr>
      </w:pPr>
    </w:p>
    <w:p>
      <w:pPr>
        <w:jc w:val="both"/>
        <w:ind w:firstLine="1305"/>
        <w:spacing w:after="0" w:line="263" w:lineRule="auto"/>
        <w:tabs>
          <w:tab w:leader="none" w:pos="1577" w:val="left"/>
        </w:tabs>
        <w:numPr>
          <w:ilvl w:val="0"/>
          <w:numId w:val="48"/>
        </w:numPr>
        <w:rPr>
          <w:rFonts w:ascii="Arial" w:cs="Arial" w:eastAsia="Arial" w:hAnsi="Arial"/>
          <w:sz w:val="19"/>
          <w:szCs w:val="19"/>
          <w:color w:val="auto"/>
        </w:rPr>
      </w:pPr>
      <w:r>
        <w:rPr>
          <w:rFonts w:ascii="Arial" w:cs="Arial" w:eastAsia="Arial" w:hAnsi="Arial"/>
          <w:sz w:val="19"/>
          <w:szCs w:val="19"/>
          <w:color w:val="auto"/>
        </w:rPr>
        <w:t>For the purpose of determining the stockholders entitled to (i) notice of and to vote at any meeting of stockholders or any adjournment thereof, (ii) receive payment of any distribution or the allotment of any rights, or (iii) exercise any rights in respect of any change, conversion or exchange of stock, or for the purpose of any other lawful action, the Board of Directors may fix, in advance, a record date, which shall not be more than sixty (60) days nor less than ten (10) days before the date of such meeting, if applicable.</w:t>
      </w:r>
    </w:p>
    <w:p>
      <w:pPr>
        <w:spacing w:after="0" w:line="176" w:lineRule="exact"/>
        <w:rPr>
          <w:rFonts w:ascii="Arial" w:cs="Arial" w:eastAsia="Arial" w:hAnsi="Arial"/>
          <w:sz w:val="19"/>
          <w:szCs w:val="19"/>
          <w:color w:val="auto"/>
        </w:rPr>
      </w:pPr>
    </w:p>
    <w:p>
      <w:pPr>
        <w:jc w:val="both"/>
        <w:ind w:firstLine="1305"/>
        <w:spacing w:after="0" w:line="274" w:lineRule="auto"/>
        <w:tabs>
          <w:tab w:leader="none" w:pos="1586"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no record date is fixed, the record date for determining stockholders: (i) entitled to notice of and to vote at a meeting of stockholders shall be at the close of business on the day next preceding the day on which notice is given, or, if notice is waived, at the close of business on the day next preceding the day on which the meeting is held; and (ii) for any other purpose shall be at the close of business on the day on which the Board of Directors adopts the resolution relating thereto. A determination of stockholders of record entitled to notice of or to vote at any meeting of stockholders shall apply to any postponement of any meeting of stockholders to a date not more than sixty (60) days after the record date or to any adjournment of the meeting; provided that the Board of Directors may fix a new record date for the adjourned meeting and must fix a new record date if the meeting is adjourned to a date more than 60 days later than the date set for the original meeting.</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2.6 </w:t>
      </w:r>
      <w:r>
        <w:rPr>
          <w:rFonts w:ascii="Arial" w:cs="Arial" w:eastAsia="Arial" w:hAnsi="Arial"/>
          <w:sz w:val="20"/>
          <w:szCs w:val="20"/>
          <w:u w:val="single" w:color="auto"/>
          <w:color w:val="auto"/>
        </w:rPr>
        <w:t>Quorum; Adjourned Meetings</w:t>
      </w:r>
      <w:r>
        <w:rPr>
          <w:rFonts w:ascii="Arial" w:cs="Arial" w:eastAsia="Arial" w:hAnsi="Arial"/>
          <w:sz w:val="20"/>
          <w:szCs w:val="20"/>
          <w:color w:val="auto"/>
        </w:rPr>
        <w:t>.</w:t>
      </w:r>
    </w:p>
    <w:p>
      <w:pPr>
        <w:spacing w:after="0" w:line="216" w:lineRule="exact"/>
        <w:rPr>
          <w:sz w:val="20"/>
          <w:szCs w:val="20"/>
          <w:color w:val="auto"/>
        </w:rPr>
      </w:pPr>
    </w:p>
    <w:p>
      <w:pPr>
        <w:jc w:val="both"/>
        <w:ind w:firstLine="1305"/>
        <w:spacing w:after="0" w:line="243" w:lineRule="auto"/>
        <w:tabs>
          <w:tab w:leader="none" w:pos="1567" w:val="left"/>
        </w:tabs>
        <w:numPr>
          <w:ilvl w:val="0"/>
          <w:numId w:val="49"/>
        </w:numPr>
        <w:rPr>
          <w:rFonts w:ascii="Arial" w:cs="Arial" w:eastAsia="Arial" w:hAnsi="Arial"/>
          <w:sz w:val="20"/>
          <w:szCs w:val="20"/>
          <w:color w:val="auto"/>
        </w:rPr>
      </w:pPr>
      <w:r>
        <w:rPr>
          <w:rFonts w:ascii="Arial" w:cs="Arial" w:eastAsia="Arial" w:hAnsi="Arial"/>
          <w:sz w:val="20"/>
          <w:szCs w:val="20"/>
          <w:color w:val="auto"/>
        </w:rPr>
        <w:t>Unless the Articles of Incorporation provide for a different proportion, stockholders holding at least a majority of the voting power of the Corporation’s capital stock, represented in person or by proxy (regardless of whether the proxy has authority to vote on all matters), are necessary to constitute a quorum for the transaction of business at any meeting. If, on any issue, voting by classes or series is required by the laws of the State of Nevada, the Articles of Incorporation or these Bylaws, at least a majority of the voting power, represented in person or by proxy (regardless of whether the proxy has authority to vote on all matters), within each such class or series is necessary to constitute a quorum of each such class or series.</w:t>
      </w:r>
    </w:p>
    <w:p>
      <w:pPr>
        <w:spacing w:after="0" w:line="196" w:lineRule="exact"/>
        <w:rPr>
          <w:rFonts w:ascii="Arial" w:cs="Arial" w:eastAsia="Arial" w:hAnsi="Arial"/>
          <w:sz w:val="20"/>
          <w:szCs w:val="20"/>
          <w:color w:val="auto"/>
        </w:rPr>
      </w:pPr>
    </w:p>
    <w:p>
      <w:pPr>
        <w:jc w:val="both"/>
        <w:ind w:firstLine="1305"/>
        <w:spacing w:after="0" w:line="256" w:lineRule="auto"/>
        <w:tabs>
          <w:tab w:leader="none" w:pos="1587" w:val="left"/>
        </w:tabs>
        <w:numPr>
          <w:ilvl w:val="0"/>
          <w:numId w:val="49"/>
        </w:numPr>
        <w:rPr>
          <w:rFonts w:ascii="Arial" w:cs="Arial" w:eastAsia="Arial" w:hAnsi="Arial"/>
          <w:sz w:val="19"/>
          <w:szCs w:val="19"/>
          <w:color w:val="auto"/>
        </w:rPr>
      </w:pPr>
      <w:r>
        <w:rPr>
          <w:rFonts w:ascii="Arial" w:cs="Arial" w:eastAsia="Arial" w:hAnsi="Arial"/>
          <w:sz w:val="19"/>
          <w:szCs w:val="19"/>
          <w:color w:val="auto"/>
        </w:rPr>
        <w:t>If a quorum is not represented, a majority of the voting power represented or the individual acting as chair of the meeting may adjourn the meeting from time to time until a quorum shall be represented. The individual acting as chair of the meeting may, for any or no reason, from time to time, adjourn or recess any meeting of stockholders. At any such adjourned meeting at which a quorum shall be represented, any business may be transacted which might otherwise have been transacted at the adjourned meeting as originally called. When a stockholders’ meeting is adjourned to another time or place hereunder, notice need not be given of the adjourned meeting if the time and place thereof are announced at the meeting at which the adjournment is taken. However, if a new record date is fixed for the adjourned meeting, notice of the adjourned meeting must be given to each stockholder of record as of the new record date. The stockholders present at a duly convened meeting at which a quorum is present may continue to transact business until adjournment, notwithstanding the departure of enough stockholders to leave less than a quorum of the voting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1440" w:right="239" w:bottom="1440" w:gutter="0" w:footer="0" w:header="0"/>
        </w:sectPr>
      </w:pPr>
    </w:p>
    <w:bookmarkStart w:id="124" w:name="page125"/>
    <w:bookmarkEnd w:id="124"/>
    <w:p>
      <w:pPr>
        <w:spacing w:after="0" w:line="19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2.7 </w:t>
      </w:r>
      <w:r>
        <w:rPr>
          <w:rFonts w:ascii="Arial" w:cs="Arial" w:eastAsia="Arial" w:hAnsi="Arial"/>
          <w:sz w:val="20"/>
          <w:szCs w:val="20"/>
          <w:u w:val="single" w:color="auto"/>
          <w:color w:val="auto"/>
        </w:rPr>
        <w:t>Voting</w:t>
      </w:r>
      <w:r>
        <w:rPr>
          <w:rFonts w:ascii="Arial" w:cs="Arial" w:eastAsia="Arial" w:hAnsi="Arial"/>
          <w:sz w:val="20"/>
          <w:szCs w:val="20"/>
          <w:color w:val="auto"/>
        </w:rPr>
        <w:t>.</w:t>
      </w:r>
    </w:p>
    <w:p>
      <w:pPr>
        <w:spacing w:after="0" w:line="216" w:lineRule="exact"/>
        <w:rPr>
          <w:sz w:val="20"/>
          <w:szCs w:val="20"/>
          <w:color w:val="auto"/>
        </w:rPr>
      </w:pPr>
    </w:p>
    <w:p>
      <w:pPr>
        <w:jc w:val="both"/>
        <w:ind w:firstLine="1305"/>
        <w:spacing w:after="0" w:line="246" w:lineRule="auto"/>
        <w:tabs>
          <w:tab w:leader="none" w:pos="1603" w:val="left"/>
        </w:tabs>
        <w:numPr>
          <w:ilvl w:val="0"/>
          <w:numId w:val="50"/>
        </w:numPr>
        <w:rPr>
          <w:rFonts w:ascii="Arial" w:cs="Arial" w:eastAsia="Arial" w:hAnsi="Arial"/>
          <w:sz w:val="20"/>
          <w:szCs w:val="20"/>
          <w:color w:val="auto"/>
        </w:rPr>
      </w:pPr>
      <w:r>
        <w:rPr>
          <w:rFonts w:ascii="Arial" w:cs="Arial" w:eastAsia="Arial" w:hAnsi="Arial"/>
          <w:sz w:val="20"/>
          <w:szCs w:val="20"/>
          <w:color w:val="auto"/>
        </w:rPr>
        <w:t>Unless otherwise provided in the NRS, the Articles of Incorporation, or any resolution providing for the issuance of preferred stock adopted by the Board of Directors pursuant to authority expressly vested in it by the provisions of the Articles of Incorporation, each stockholder of record, or such stockholder’s duly authorized proxy, shall be entitled to one (1) vote for each share of voting stock standing registered in such stockholder’s name at the close of business on the record date.</w:t>
      </w:r>
    </w:p>
    <w:p>
      <w:pPr>
        <w:spacing w:after="0" w:line="191" w:lineRule="exact"/>
        <w:rPr>
          <w:rFonts w:ascii="Arial" w:cs="Arial" w:eastAsia="Arial" w:hAnsi="Arial"/>
          <w:sz w:val="20"/>
          <w:szCs w:val="20"/>
          <w:color w:val="auto"/>
        </w:rPr>
      </w:pPr>
    </w:p>
    <w:p>
      <w:pPr>
        <w:jc w:val="both"/>
        <w:ind w:firstLine="1305"/>
        <w:spacing w:after="0" w:line="273" w:lineRule="auto"/>
        <w:tabs>
          <w:tab w:leader="none" w:pos="1592"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Except as otherwise provided in these Bylaws, all votes with respect to shares (including pledged shares) standing in the name of an individual at the close of business on the record date shall be cast only by that individual or such individual’s duly authorized proxy. With respect to shares held by a representative of the estate of a deceased stockholder, or a guardian, conservator, custodian or trustee, even though the shares do not stand in the name of such holder, votes may be cast by such holder upon proof of such representative capacity. In the case of shares under the control of a receiver, the receiver may vote such shares even though the shares do not stand of record in the name of the receiver but only if and to the extent that the order of a court of competent jurisdiction which appoints the receiver contains the authority to vote such shares. If shares stand of record in the name of a minor, votes may be cast by the duly appointed guardian of the estate of such minor only if such guardian has provided the Corporation with written proof of such appointment.</w:t>
      </w:r>
    </w:p>
    <w:p>
      <w:pPr>
        <w:spacing w:after="0" w:line="169" w:lineRule="exact"/>
        <w:rPr>
          <w:rFonts w:ascii="Arial" w:cs="Arial" w:eastAsia="Arial" w:hAnsi="Arial"/>
          <w:sz w:val="18"/>
          <w:szCs w:val="18"/>
          <w:color w:val="auto"/>
        </w:rPr>
      </w:pPr>
    </w:p>
    <w:p>
      <w:pPr>
        <w:jc w:val="both"/>
        <w:ind w:firstLine="1305"/>
        <w:spacing w:after="0" w:line="243" w:lineRule="auto"/>
        <w:tabs>
          <w:tab w:leader="none" w:pos="1565" w:val="left"/>
        </w:tabs>
        <w:numPr>
          <w:ilvl w:val="0"/>
          <w:numId w:val="50"/>
        </w:numPr>
        <w:rPr>
          <w:rFonts w:ascii="Arial" w:cs="Arial" w:eastAsia="Arial" w:hAnsi="Arial"/>
          <w:sz w:val="20"/>
          <w:szCs w:val="20"/>
          <w:color w:val="auto"/>
        </w:rPr>
      </w:pPr>
      <w:r>
        <w:rPr>
          <w:rFonts w:ascii="Arial" w:cs="Arial" w:eastAsia="Arial" w:hAnsi="Arial"/>
          <w:sz w:val="20"/>
          <w:szCs w:val="20"/>
          <w:color w:val="auto"/>
        </w:rPr>
        <w:t>With respect to shares standing of record in the name of another corporation, partnership, limited liability company or other legal entity on the record date, votes may be cast: (i) in the case of a corporation, by such individual as the bylaws of such other corporation prescribe, by such individual as may be appointed by resolution of the Board of Directors of such other corporation or by such individual (including, without limitation, the officer making the authorization) authorized in writing to do so by the chair of the board, if any, the chief executive officer, if any, the president or any vice president of such corporation; and (ii) in the case of a partnership, limited liability company or other legal entity, by an individual representing such stockholder upon presentation to the Corporation of satisfactory evidence of his or her authority to do so.</w:t>
      </w:r>
    </w:p>
    <w:p>
      <w:pPr>
        <w:spacing w:after="0" w:line="193" w:lineRule="exact"/>
        <w:rPr>
          <w:rFonts w:ascii="Arial" w:cs="Arial" w:eastAsia="Arial" w:hAnsi="Arial"/>
          <w:sz w:val="20"/>
          <w:szCs w:val="20"/>
          <w:color w:val="auto"/>
        </w:rPr>
      </w:pPr>
    </w:p>
    <w:p>
      <w:pPr>
        <w:jc w:val="both"/>
        <w:ind w:firstLine="1305"/>
        <w:spacing w:after="0" w:line="250" w:lineRule="auto"/>
        <w:tabs>
          <w:tab w:leader="none" w:pos="1609" w:val="left"/>
        </w:tabs>
        <w:numPr>
          <w:ilvl w:val="0"/>
          <w:numId w:val="50"/>
        </w:numPr>
        <w:rPr>
          <w:rFonts w:ascii="Arial" w:cs="Arial" w:eastAsia="Arial" w:hAnsi="Arial"/>
          <w:sz w:val="20"/>
          <w:szCs w:val="20"/>
          <w:color w:val="auto"/>
        </w:rPr>
      </w:pPr>
      <w:r>
        <w:rPr>
          <w:rFonts w:ascii="Arial" w:cs="Arial" w:eastAsia="Arial" w:hAnsi="Arial"/>
          <w:sz w:val="20"/>
          <w:szCs w:val="20"/>
          <w:color w:val="auto"/>
        </w:rPr>
        <w:t>Notwithstanding anything to the contrary contained herein and except for the Corporation’s shares held in a fiduciary capacity, the Corporation shall not vote, directly or indirectly, shares of its own stock owned or held by it, and such shares shall not be counted in determining the total number of outstanding shares entitled to vote.</w:t>
      </w:r>
    </w:p>
    <w:p>
      <w:pPr>
        <w:spacing w:after="0" w:line="186" w:lineRule="exact"/>
        <w:rPr>
          <w:rFonts w:ascii="Arial" w:cs="Arial" w:eastAsia="Arial" w:hAnsi="Arial"/>
          <w:sz w:val="20"/>
          <w:szCs w:val="20"/>
          <w:color w:val="auto"/>
        </w:rPr>
      </w:pPr>
    </w:p>
    <w:p>
      <w:pPr>
        <w:jc w:val="both"/>
        <w:ind w:firstLine="1305"/>
        <w:spacing w:after="0" w:line="246" w:lineRule="auto"/>
        <w:tabs>
          <w:tab w:leader="none" w:pos="1561" w:val="left"/>
        </w:tabs>
        <w:numPr>
          <w:ilvl w:val="0"/>
          <w:numId w:val="50"/>
        </w:numPr>
        <w:rPr>
          <w:rFonts w:ascii="Arial" w:cs="Arial" w:eastAsia="Arial" w:hAnsi="Arial"/>
          <w:sz w:val="20"/>
          <w:szCs w:val="20"/>
          <w:color w:val="auto"/>
        </w:rPr>
      </w:pPr>
      <w:r>
        <w:rPr>
          <w:rFonts w:ascii="Arial" w:cs="Arial" w:eastAsia="Arial" w:hAnsi="Arial"/>
          <w:sz w:val="20"/>
          <w:szCs w:val="20"/>
          <w:color w:val="auto"/>
        </w:rPr>
        <w:t>Any holder of shares entitled to vote on any matter may cast a portion of the votes in favor of such matter and refrain from casting the remaining votes or cast the same against the proposal, except in the case of elections of directors. If such holder entitled to vote does vote any of such stockholder’s shares affirmatively and fails to specify the number of affirmative votes, it will be conclusively presumed that the holder is casting affirmative votes with respect to all shares held.</w:t>
      </w:r>
    </w:p>
    <w:p>
      <w:pPr>
        <w:spacing w:after="0" w:line="191" w:lineRule="exact"/>
        <w:rPr>
          <w:rFonts w:ascii="Arial" w:cs="Arial" w:eastAsia="Arial" w:hAnsi="Arial"/>
          <w:sz w:val="20"/>
          <w:szCs w:val="20"/>
          <w:color w:val="auto"/>
        </w:rPr>
      </w:pPr>
    </w:p>
    <w:p>
      <w:pPr>
        <w:jc w:val="both"/>
        <w:ind w:firstLine="1305"/>
        <w:spacing w:after="0" w:line="246" w:lineRule="auto"/>
        <w:tabs>
          <w:tab w:leader="none" w:pos="1589" w:val="left"/>
        </w:tabs>
        <w:numPr>
          <w:ilvl w:val="0"/>
          <w:numId w:val="50"/>
        </w:numPr>
        <w:rPr>
          <w:rFonts w:ascii="Arial" w:cs="Arial" w:eastAsia="Arial" w:hAnsi="Arial"/>
          <w:sz w:val="20"/>
          <w:szCs w:val="20"/>
          <w:color w:val="auto"/>
        </w:rPr>
      </w:pPr>
      <w:r>
        <w:rPr>
          <w:rFonts w:ascii="Arial" w:cs="Arial" w:eastAsia="Arial" w:hAnsi="Arial"/>
          <w:sz w:val="20"/>
          <w:szCs w:val="20"/>
          <w:color w:val="auto"/>
        </w:rPr>
        <w:t>With respect to shares standing of record in the name of two or more persons, whether fiduciaries, members of a partnership, joint tenants, tenants in common, spouses as community property, tenants by the entirety, voting trustees or otherwise and shares held by two or more persons (including proxy holders) having the same fiduciary relationship in respect to the same shares, votes may be cast in the following manner:</w:t>
      </w:r>
    </w:p>
    <w:p>
      <w:pPr>
        <w:spacing w:after="0" w:line="191" w:lineRule="exact"/>
        <w:rPr>
          <w:rFonts w:ascii="Arial" w:cs="Arial" w:eastAsia="Arial" w:hAnsi="Arial"/>
          <w:sz w:val="20"/>
          <w:szCs w:val="20"/>
          <w:color w:val="auto"/>
        </w:rPr>
      </w:pPr>
    </w:p>
    <w:p>
      <w:pPr>
        <w:ind w:left="2180" w:hanging="227"/>
        <w:spacing w:after="0"/>
        <w:tabs>
          <w:tab w:leader="none" w:pos="2180" w:val="left"/>
        </w:tabs>
        <w:numPr>
          <w:ilvl w:val="1"/>
          <w:numId w:val="50"/>
        </w:numPr>
        <w:rPr>
          <w:rFonts w:ascii="Arial" w:cs="Arial" w:eastAsia="Arial" w:hAnsi="Arial"/>
          <w:sz w:val="20"/>
          <w:szCs w:val="20"/>
          <w:color w:val="auto"/>
        </w:rPr>
      </w:pPr>
      <w:r>
        <w:rPr>
          <w:rFonts w:ascii="Arial" w:cs="Arial" w:eastAsia="Arial" w:hAnsi="Arial"/>
          <w:sz w:val="20"/>
          <w:szCs w:val="20"/>
          <w:color w:val="auto"/>
        </w:rPr>
        <w:t>If only one person votes, the vote of such person binds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1440" w:right="239" w:bottom="1440" w:gutter="0" w:footer="0" w:header="0"/>
        </w:sectPr>
      </w:pPr>
    </w:p>
    <w:bookmarkStart w:id="125" w:name="page126"/>
    <w:bookmarkEnd w:id="125"/>
    <w:p>
      <w:pPr>
        <w:spacing w:after="0" w:line="196" w:lineRule="exact"/>
        <w:rPr>
          <w:sz w:val="20"/>
          <w:szCs w:val="20"/>
          <w:color w:val="auto"/>
        </w:rPr>
      </w:pPr>
    </w:p>
    <w:p>
      <w:pPr>
        <w:ind w:left="2240" w:hanging="287"/>
        <w:spacing w:after="0"/>
        <w:tabs>
          <w:tab w:leader="none" w:pos="2240" w:val="left"/>
        </w:tabs>
        <w:numPr>
          <w:ilvl w:val="1"/>
          <w:numId w:val="51"/>
        </w:numPr>
        <w:rPr>
          <w:rFonts w:ascii="Arial" w:cs="Arial" w:eastAsia="Arial" w:hAnsi="Arial"/>
          <w:sz w:val="20"/>
          <w:szCs w:val="20"/>
          <w:color w:val="auto"/>
        </w:rPr>
      </w:pPr>
      <w:r>
        <w:rPr>
          <w:rFonts w:ascii="Arial" w:cs="Arial" w:eastAsia="Arial" w:hAnsi="Arial"/>
          <w:sz w:val="20"/>
          <w:szCs w:val="20"/>
          <w:color w:val="auto"/>
        </w:rPr>
        <w:t>If more than one person casts votes, the act of the majority so voting binds all.</w:t>
      </w:r>
    </w:p>
    <w:p>
      <w:pPr>
        <w:spacing w:after="0" w:line="215" w:lineRule="exact"/>
        <w:rPr>
          <w:rFonts w:ascii="Arial" w:cs="Arial" w:eastAsia="Arial" w:hAnsi="Arial"/>
          <w:sz w:val="20"/>
          <w:szCs w:val="20"/>
          <w:color w:val="auto"/>
        </w:rPr>
      </w:pPr>
    </w:p>
    <w:p>
      <w:pPr>
        <w:ind w:left="2320" w:hanging="367"/>
        <w:spacing w:after="0"/>
        <w:tabs>
          <w:tab w:leader="none" w:pos="23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If more than one person casts votes, but the vote is evenly split on a particular matter, the votes shall be deemed</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cast proportionately, as split.</w:t>
      </w:r>
    </w:p>
    <w:p>
      <w:pPr>
        <w:spacing w:after="0" w:line="226" w:lineRule="exact"/>
        <w:rPr>
          <w:rFonts w:ascii="Arial" w:cs="Arial" w:eastAsia="Arial" w:hAnsi="Arial"/>
          <w:sz w:val="18"/>
          <w:szCs w:val="18"/>
          <w:color w:val="auto"/>
        </w:rPr>
      </w:pPr>
    </w:p>
    <w:p>
      <w:pPr>
        <w:jc w:val="both"/>
        <w:ind w:firstLine="1305"/>
        <w:spacing w:after="0" w:line="257" w:lineRule="auto"/>
        <w:tabs>
          <w:tab w:leader="none" w:pos="159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a quorum is present, unless the Articles of Incorporation, these Bylaws, the NRS, or other applicable law provide for a different proportion, action by the stockholders entitled to vote on a matter is approved by and is the act of the stockholders if the number of votes cast in favor of the action exceeds the number of votes cast in opposition to the action, unless voting by classes or series is required for any action of the stockholders by the laws of the State of Nevada, the Articles of Incorporation or these Bylaws, in which case the number of votes cast in favor of the action by the voting power of each such class or series must exceed the number of votes cast in opposition to the action by the voting power of each such class or series; provided, however, that, if the number of nominees for director exceeds the number of directors to be elected, directors shall be elected by a plurality of the votes of the shares represented in person or by proxy at any meeting of stockholders held to elect directors and entitled to vote on such election of directors.</w:t>
      </w:r>
    </w:p>
    <w:p>
      <w:pPr>
        <w:spacing w:after="0" w:line="17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Section 2.8 </w:t>
      </w:r>
      <w:r>
        <w:rPr>
          <w:rFonts w:ascii="Arial" w:cs="Arial" w:eastAsia="Arial" w:hAnsi="Arial"/>
          <w:sz w:val="20"/>
          <w:szCs w:val="20"/>
          <w:u w:val="single" w:color="auto"/>
          <w:color w:val="auto"/>
        </w:rPr>
        <w:t>Proxies</w:t>
      </w:r>
      <w:r>
        <w:rPr>
          <w:rFonts w:ascii="Arial" w:cs="Arial" w:eastAsia="Arial" w:hAnsi="Arial"/>
          <w:sz w:val="20"/>
          <w:szCs w:val="20"/>
          <w:color w:val="auto"/>
        </w:rPr>
        <w:t>. At any meeting of stockholders, any holder of shares entitled to vote may designate, in a manner permitted by the laws of the State of Nevada, another person or persons to act as a proxy or proxies. If a stockholder designates two or more persons to act as proxies, then a majority of those persons present at a meeting has and may exercise all of the powers conferred by the stockholder or, if only one is present, then that one has and may exercise all of the powers conferred by the stockholder, unless the stockholder’s designation of proxy provides otherwise. Every proxy shall continue in full force and effect until its expiration or revocation in a manner permitted by the laws of the State of Nevada.</w:t>
      </w:r>
    </w:p>
    <w:p>
      <w:pPr>
        <w:spacing w:after="0" w:line="19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2.9 </w:t>
      </w:r>
      <w:r>
        <w:rPr>
          <w:rFonts w:ascii="Arial" w:cs="Arial" w:eastAsia="Arial" w:hAnsi="Arial"/>
          <w:sz w:val="20"/>
          <w:szCs w:val="20"/>
          <w:u w:val="single" w:color="auto"/>
          <w:color w:val="auto"/>
        </w:rPr>
        <w:t>No Action Without A Meeting</w:t>
      </w:r>
      <w:r>
        <w:rPr>
          <w:rFonts w:ascii="Arial" w:cs="Arial" w:eastAsia="Arial" w:hAnsi="Arial"/>
          <w:sz w:val="20"/>
          <w:szCs w:val="20"/>
          <w:color w:val="auto"/>
        </w:rPr>
        <w:t>. No action shall be taken by the stockholders except at an annual or special meeting of stockholders called and noticed in the manner required by these Bylaws. The stockholders may not in any circumstance take action by written consent.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2.10 </w:t>
      </w:r>
      <w:r>
        <w:rPr>
          <w:rFonts w:ascii="Arial" w:cs="Arial" w:eastAsia="Arial" w:hAnsi="Arial"/>
          <w:sz w:val="20"/>
          <w:szCs w:val="20"/>
          <w:u w:val="single" w:color="auto"/>
          <w:color w:val="auto"/>
        </w:rPr>
        <w:t>Organization</w:t>
      </w:r>
      <w:r>
        <w:rPr>
          <w:rFonts w:ascii="Arial" w:cs="Arial" w:eastAsia="Arial" w:hAnsi="Arial"/>
          <w:sz w:val="20"/>
          <w:szCs w:val="20"/>
          <w:color w:val="auto"/>
        </w:rPr>
        <w:t>.</w:t>
      </w:r>
    </w:p>
    <w:p>
      <w:pPr>
        <w:spacing w:after="0" w:line="216" w:lineRule="exact"/>
        <w:rPr>
          <w:sz w:val="20"/>
          <w:szCs w:val="20"/>
          <w:color w:val="auto"/>
        </w:rPr>
      </w:pPr>
    </w:p>
    <w:p>
      <w:pPr>
        <w:jc w:val="both"/>
        <w:ind w:firstLine="1305"/>
        <w:spacing w:after="0" w:line="307" w:lineRule="auto"/>
        <w:tabs>
          <w:tab w:leader="none" w:pos="1567" w:val="left"/>
        </w:tabs>
        <w:numPr>
          <w:ilvl w:val="0"/>
          <w:numId w:val="53"/>
        </w:numPr>
        <w:rPr>
          <w:rFonts w:ascii="Arial" w:cs="Arial" w:eastAsia="Arial" w:hAnsi="Arial"/>
          <w:sz w:val="16"/>
          <w:szCs w:val="16"/>
          <w:color w:val="auto"/>
        </w:rPr>
      </w:pPr>
      <w:r>
        <w:rPr>
          <w:rFonts w:ascii="Arial" w:cs="Arial" w:eastAsia="Arial" w:hAnsi="Arial"/>
          <w:sz w:val="16"/>
          <w:szCs w:val="16"/>
          <w:color w:val="auto"/>
        </w:rPr>
        <w:t>Meetings of stockholders shall be presided over by the chair of the board, or, in the absence of the chair, by the vice chair of the board, if any, or if there be no vice chair or in the absence of the vice chair, by the chief executive officer, if any, or if there be no chief executive officer or in the absence of the chief executive officer, by the president, or, in the absence of the president, or, in the absence of any of the foregoing persons, by a chair designated by the Board of Directors, or by a chair chosen at the meeting by the stockholders entitled to cast a majority of the votes which all stockholders present in person or by proxy are entitled to cast. The individual acting as chair of the meeting may delegate any or all of his or her authority and responsibilities as such to any director or officer of the Corporation present in person at the meeting. The secretary, or in the absence of the secretary an assistant secretary, shall act as secretary of the meeting, but in the absence of the secretary and any assistant secretary the chair of the meeting may appoint any person to act as secretary of the meeting. The order of business at each such meeting shall be as determined by the chair of the meeting. The chair of the meeting shall have the right and authority to prescribe such rules, regulations and procedures and to do all such acts and things as are necessary or desirable for the proper conduct of the meeting, including, without limitation, (i) the establishment of procedures for the maintenance of order and safety, (ii) limitation on participation in the meeting to stockholders of record of the Corporation, their duly authorized and constituted proxies and such other persons as the chair of the meeting shall permit, (iii) limitation on the time allotted for consideration of each agenda item and for questions or comments by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1440" w:right="239" w:bottom="1440" w:gutter="0" w:footer="0" w:header="0"/>
        </w:sectPr>
      </w:pPr>
    </w:p>
    <w:bookmarkStart w:id="126" w:name="page127"/>
    <w:bookmarkEnd w:id="126"/>
    <w:p>
      <w:pPr>
        <w:spacing w:after="0" w:line="19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participants, (iv) restrictions on entry to such meeting after the time prescribed for the commencement thereof and (v) the opening and closing of the voting polls. The Board of Directors, in its discretion, or the chair of the meeting, in his or her discretion, may require that any votes cast at such meeting shall be cast by written ballot.</w:t>
      </w:r>
    </w:p>
    <w:p>
      <w:pPr>
        <w:spacing w:after="0" w:line="186" w:lineRule="exact"/>
        <w:rPr>
          <w:sz w:val="20"/>
          <w:szCs w:val="20"/>
          <w:color w:val="auto"/>
        </w:rPr>
      </w:pPr>
    </w:p>
    <w:p>
      <w:pPr>
        <w:jc w:val="both"/>
        <w:ind w:firstLine="1305"/>
        <w:spacing w:after="0" w:line="282" w:lineRule="auto"/>
        <w:tabs>
          <w:tab w:leader="none" w:pos="1578"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chair of the meeting may appoint one or more inspectors of elections. The inspector or inspectors may (i) ascertain the number of shares outstanding and the voting power of each; (ii) determine the number of shares represented at a meeting and the validity of proxies or ballots; (iii) count all votes and ballots; (iv) determine any challenges made to any determination made by the inspector(s); and (v) certify the determination of the number of shares represented at the meeting and the count of all votes and ballots.</w:t>
      </w:r>
    </w:p>
    <w:p>
      <w:pPr>
        <w:spacing w:after="0" w:line="161" w:lineRule="exact"/>
        <w:rPr>
          <w:rFonts w:ascii="Arial" w:cs="Arial" w:eastAsia="Arial" w:hAnsi="Arial"/>
          <w:sz w:val="18"/>
          <w:szCs w:val="18"/>
          <w:color w:val="auto"/>
        </w:rPr>
      </w:pPr>
    </w:p>
    <w:p>
      <w:pPr>
        <w:jc w:val="both"/>
        <w:ind w:firstLine="1305"/>
        <w:spacing w:after="0" w:line="270" w:lineRule="auto"/>
        <w:tabs>
          <w:tab w:leader="none" w:pos="1583" w:val="left"/>
        </w:tabs>
        <w:numPr>
          <w:ilvl w:val="0"/>
          <w:numId w:val="54"/>
        </w:numPr>
        <w:rPr>
          <w:rFonts w:ascii="Arial" w:cs="Arial" w:eastAsia="Arial" w:hAnsi="Arial"/>
          <w:sz w:val="18"/>
          <w:szCs w:val="18"/>
          <w:color w:val="auto"/>
        </w:rPr>
      </w:pPr>
      <w:r>
        <w:rPr>
          <w:rFonts w:ascii="Arial" w:cs="Arial" w:eastAsia="Arial" w:hAnsi="Arial"/>
          <w:sz w:val="18"/>
          <w:szCs w:val="18"/>
          <w:color w:val="auto"/>
        </w:rPr>
        <w:t>Only such persons who are nominated in accordance with the procedures set forth in Section 2.12 shall be eligible to be elected at any meeting of stockholders of the Corporation to serve as directors and only such business shall be conducted at a meeting of stockholders as shall have been brought before the meeting in accordance with the procedures set forth in Section 2.12. If any proposed nomination or business was not made or proposed in compliance with Section 2.12 (including proper notice under Section 2.13 and including whether the stockholder or beneficial owner, if any, on whose behalf the nomination or proposal is made solicited (or is part of a group which solicited) or did not so solicit, as the case may be, proxies in compliance with such stockholder’s representation pursuant to clause (a)(iv)(D) of Section 2.13), then the Board of Directors or the chair of the meeting shall have the power to declare that such nomination shall be disregarded or that such proposed business shall not be transacted. If the stockholder (or a qualified representative of the stockholder) does not appear at the annual or special meeting of stockholders of the Corporation to present a nomination or proposed business, such nomination shall be disregarded and such proposed business shall not be transacted, notwithstanding that proxies in respect of such vote may have been received by the Corporation. For purposes of this Section 2.10, to be considered a qualified representative of the stockholder, a person must be a duly authorized officer, manager or partner of such stockholder or authorized by a writing executed by such stockholder (or a reliable reproduction or electronic transmission of the writing) delivered to the Corporation prior to the making of such nomination or proposal at such meeting by such stockholder stating that such person is authorized to act for such stockholder as proxy at the meeting of stockholders.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 xml:space="preserve">Section 2.11 </w:t>
      </w:r>
      <w:r>
        <w:rPr>
          <w:rFonts w:ascii="Arial" w:cs="Arial" w:eastAsia="Arial" w:hAnsi="Arial"/>
          <w:sz w:val="19"/>
          <w:szCs w:val="19"/>
          <w:u w:val="single" w:color="auto"/>
          <w:color w:val="auto"/>
        </w:rPr>
        <w:t>Consent to Meetings</w:t>
      </w:r>
      <w:r>
        <w:rPr>
          <w:rFonts w:ascii="Arial" w:cs="Arial" w:eastAsia="Arial" w:hAnsi="Arial"/>
          <w:sz w:val="19"/>
          <w:szCs w:val="19"/>
          <w:color w:val="auto"/>
        </w:rPr>
        <w:t>. Attendance of a person at a meeting shall constitute a waiver of notice of such meeting, except when the person objects at the beginning of the meeting to the transaction of any business because the meeting is not lawfully called, noticed or convened and except that attendance at a meeting is not a waiver of any right to object to the consideration of matters not included in the notice, to the extent such notice is required, if such objection is expressly made at the time any such matters are presented at the meeting. Neither the business to be transacted at nor the purpose of any regular or special meeting of stockholders need be specified in any written waiver of notice or consent, except as otherwise provided in these Bylaws.</w:t>
      </w:r>
    </w:p>
    <w:p>
      <w:pPr>
        <w:spacing w:after="0" w:line="17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Director Nominations and Business Conducted at Meetings of Stockholders</w:t>
      </w:r>
      <w:r>
        <w:rPr>
          <w:rFonts w:ascii="Arial" w:cs="Arial" w:eastAsia="Arial" w:hAnsi="Arial"/>
          <w:sz w:val="18"/>
          <w:szCs w:val="18"/>
          <w:color w:val="auto"/>
        </w:rPr>
        <w:t>. Nominations of persons for election to the Board of Directors of the Corporation and the proposal of business to be considered by the stockholders may be made at an annual meeting of stockholders (i) by or at the direction of the Board of Directors or the chair of the board or (ii) by any stockholder of the Corporation who is entitled to vote on such matter at the meeting, who complied with the notice procedures set forth in Section 2.13 of these Bylaws and who was a stockholder of record at the time such notice is delivered to the secretary of the Corporation. Nominations of persons for election to the Board of Directors may be made at a special meeting of stockholders at which directors are to be elected pursuant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420"/>
          </w:cols>
          <w:pgMar w:left="240" w:top="1440" w:right="239" w:bottom="1440" w:gutter="0" w:footer="0" w:header="0"/>
        </w:sectPr>
      </w:pPr>
    </w:p>
    <w:bookmarkStart w:id="127" w:name="page128"/>
    <w:bookmarkEnd w:id="127"/>
    <w:p>
      <w:pPr>
        <w:spacing w:after="0" w:line="196"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to the Corporation's notice of meeting (i) by or at the direction of the Board of Directors or the chair of the board or (ii) by any stockholder of the Corporation who is entitled to vote on such matter at the meeting, who complied with the notice procedures set forth in Section 2.13 of these Bylaws and who was a stockholder of record at the time such notice is delivered to the secretary of the Corporation.</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2.13 </w:t>
      </w:r>
      <w:r>
        <w:rPr>
          <w:rFonts w:ascii="Arial" w:cs="Arial" w:eastAsia="Arial" w:hAnsi="Arial"/>
          <w:sz w:val="20"/>
          <w:szCs w:val="20"/>
          <w:u w:val="single" w:color="auto"/>
          <w:color w:val="auto"/>
        </w:rPr>
        <w:t>Advance Notice of Director Nominations and Stockholder Proposals by Stockholders</w:t>
      </w:r>
      <w:r>
        <w:rPr>
          <w:rFonts w:ascii="Arial" w:cs="Arial" w:eastAsia="Arial" w:hAnsi="Arial"/>
          <w:sz w:val="20"/>
          <w:szCs w:val="20"/>
          <w:color w:val="auto"/>
        </w:rPr>
        <w:t>.</w:t>
      </w:r>
    </w:p>
    <w:p>
      <w:pPr>
        <w:spacing w:after="0" w:line="216" w:lineRule="exact"/>
        <w:rPr>
          <w:sz w:val="20"/>
          <w:szCs w:val="20"/>
          <w:color w:val="auto"/>
        </w:rPr>
      </w:pPr>
    </w:p>
    <w:p>
      <w:pPr>
        <w:jc w:val="both"/>
        <w:ind w:firstLine="1305"/>
        <w:spacing w:after="0" w:line="255" w:lineRule="auto"/>
        <w:tabs>
          <w:tab w:leader="none" w:pos="1568" w:val="left"/>
        </w:tabs>
        <w:numPr>
          <w:ilvl w:val="0"/>
          <w:numId w:val="55"/>
        </w:numPr>
        <w:rPr>
          <w:rFonts w:ascii="Arial" w:cs="Arial" w:eastAsia="Arial" w:hAnsi="Arial"/>
          <w:sz w:val="19"/>
          <w:szCs w:val="19"/>
          <w:color w:val="auto"/>
        </w:rPr>
      </w:pPr>
      <w:r>
        <w:rPr>
          <w:rFonts w:ascii="Arial" w:cs="Arial" w:eastAsia="Arial" w:hAnsi="Arial"/>
          <w:sz w:val="19"/>
          <w:szCs w:val="19"/>
          <w:color w:val="auto"/>
        </w:rPr>
        <w:t>For nominations or other business to be properly brought before an annual meeting by a stockholder and for nominations to be properly brought before a special meeting by a stockholder in each case pursuant to Section 2.12, the stockholder of record must have given timely notice thereof in writing to the secretary of the Corporation, and, in the case of business other than nominations, such other business must be a proper matter for stockholder action. To be timely, a stockholder’s notice shall be delivered to the secretary at the principal executive offices of the Corporation not later than the close of business on the 90</w:t>
      </w:r>
      <w:r>
        <w:rPr>
          <w:rFonts w:ascii="Arial" w:cs="Arial" w:eastAsia="Arial" w:hAnsi="Arial"/>
          <w:sz w:val="11"/>
          <w:szCs w:val="11"/>
          <w:color w:val="auto"/>
        </w:rPr>
        <w:t>th</w:t>
      </w:r>
      <w:r>
        <w:rPr>
          <w:rFonts w:ascii="Arial" w:cs="Arial" w:eastAsia="Arial" w:hAnsi="Arial"/>
          <w:sz w:val="19"/>
          <w:szCs w:val="19"/>
          <w:color w:val="auto"/>
        </w:rPr>
        <w:t xml:space="preserve"> day nor earlier than the close of business on the 120</w:t>
      </w:r>
      <w:r>
        <w:rPr>
          <w:rFonts w:ascii="Arial" w:cs="Arial" w:eastAsia="Arial" w:hAnsi="Arial"/>
          <w:sz w:val="11"/>
          <w:szCs w:val="11"/>
          <w:color w:val="auto"/>
        </w:rPr>
        <w:t>th</w:t>
      </w:r>
      <w:r>
        <w:rPr>
          <w:rFonts w:ascii="Arial" w:cs="Arial" w:eastAsia="Arial" w:hAnsi="Arial"/>
          <w:sz w:val="19"/>
          <w:szCs w:val="19"/>
          <w:color w:val="auto"/>
        </w:rPr>
        <w:t xml:space="preserve"> day prior to the first anniversary of the preceding year’s annual meeting; provided that in the event that the date of the annual meeting is more than 30 days before or more than 70 days after such anniversary date, notice by the stockholder to be timely must be so delivered not earlier than the close of business on the 120</w:t>
      </w:r>
      <w:r>
        <w:rPr>
          <w:rFonts w:ascii="Arial" w:cs="Arial" w:eastAsia="Arial" w:hAnsi="Arial"/>
          <w:sz w:val="11"/>
          <w:szCs w:val="11"/>
          <w:color w:val="auto"/>
        </w:rPr>
        <w:t>th</w:t>
      </w:r>
      <w:r>
        <w:rPr>
          <w:rFonts w:ascii="Arial" w:cs="Arial" w:eastAsia="Arial" w:hAnsi="Arial"/>
          <w:sz w:val="19"/>
          <w:szCs w:val="19"/>
          <w:color w:val="auto"/>
        </w:rPr>
        <w:t xml:space="preserve"> day prior to such annual meeting and not later than the close of business on the later of the 90</w:t>
      </w:r>
      <w:r>
        <w:rPr>
          <w:rFonts w:ascii="Arial" w:cs="Arial" w:eastAsia="Arial" w:hAnsi="Arial"/>
          <w:sz w:val="11"/>
          <w:szCs w:val="11"/>
          <w:color w:val="auto"/>
        </w:rPr>
        <w:t>th</w:t>
      </w:r>
      <w:r>
        <w:rPr>
          <w:rFonts w:ascii="Arial" w:cs="Arial" w:eastAsia="Arial" w:hAnsi="Arial"/>
          <w:sz w:val="19"/>
          <w:szCs w:val="19"/>
          <w:color w:val="auto"/>
        </w:rPr>
        <w:t xml:space="preserve"> day prior to such annual meeting or the 10th day following the day on which public announcement (as defined below) of the date of such meeting is first made by the Corporation. In no event shall the public announcement of an adjournment or postponement of an annual meeting commence a new time period (or extend any time period) for the giving of a stockholder’s notice as described above. The notice must be provided by a stockholder of record and must set forth:</w:t>
      </w:r>
    </w:p>
    <w:p>
      <w:pPr>
        <w:spacing w:after="0" w:line="185" w:lineRule="exact"/>
        <w:rPr>
          <w:rFonts w:ascii="Arial" w:cs="Arial" w:eastAsia="Arial" w:hAnsi="Arial"/>
          <w:sz w:val="19"/>
          <w:szCs w:val="19"/>
          <w:color w:val="auto"/>
        </w:rPr>
      </w:pPr>
    </w:p>
    <w:p>
      <w:pPr>
        <w:jc w:val="both"/>
        <w:ind w:firstLine="1953"/>
        <w:spacing w:after="0" w:line="263" w:lineRule="auto"/>
        <w:tabs>
          <w:tab w:leader="none" w:pos="2181" w:val="left"/>
        </w:tabs>
        <w:numPr>
          <w:ilvl w:val="1"/>
          <w:numId w:val="55"/>
        </w:numPr>
        <w:rPr>
          <w:rFonts w:ascii="Arial" w:cs="Arial" w:eastAsia="Arial" w:hAnsi="Arial"/>
          <w:sz w:val="19"/>
          <w:szCs w:val="19"/>
          <w:color w:val="auto"/>
        </w:rPr>
      </w:pPr>
      <w:r>
        <w:rPr>
          <w:rFonts w:ascii="Arial" w:cs="Arial" w:eastAsia="Arial" w:hAnsi="Arial"/>
          <w:sz w:val="19"/>
          <w:szCs w:val="19"/>
          <w:color w:val="auto"/>
        </w:rPr>
        <w:t>as to each person whom the stockholder proposes to nominate for election or re-election as a director all information relating to such person that is required to be disclosed in solicitations of proxies for election of directors, or is otherwise required, in each case pursuant to Regulation 14A under the Securities Exchange Act of 1934, as amended (the "Exchange Act"), including such person's written consent to being named in the proxy statement as a nominee and to serving as a director if elected;</w:t>
      </w:r>
    </w:p>
    <w:p>
      <w:pPr>
        <w:spacing w:after="0" w:line="176" w:lineRule="exact"/>
        <w:rPr>
          <w:rFonts w:ascii="Arial" w:cs="Arial" w:eastAsia="Arial" w:hAnsi="Arial"/>
          <w:sz w:val="19"/>
          <w:szCs w:val="19"/>
          <w:color w:val="auto"/>
        </w:rPr>
      </w:pPr>
    </w:p>
    <w:p>
      <w:pPr>
        <w:jc w:val="both"/>
        <w:ind w:firstLine="1953"/>
        <w:spacing w:after="0" w:line="278" w:lineRule="auto"/>
        <w:tabs>
          <w:tab w:leader="none" w:pos="2272" w:val="left"/>
        </w:tabs>
        <w:numPr>
          <w:ilvl w:val="1"/>
          <w:numId w:val="55"/>
        </w:numPr>
        <w:rPr>
          <w:rFonts w:ascii="Arial" w:cs="Arial" w:eastAsia="Arial" w:hAnsi="Arial"/>
          <w:sz w:val="18"/>
          <w:szCs w:val="18"/>
          <w:color w:val="auto"/>
        </w:rPr>
      </w:pPr>
      <w:r>
        <w:rPr>
          <w:rFonts w:ascii="Arial" w:cs="Arial" w:eastAsia="Arial" w:hAnsi="Arial"/>
          <w:sz w:val="18"/>
          <w:szCs w:val="18"/>
          <w:color w:val="auto"/>
        </w:rPr>
        <w:t>as to any other business that the stockholder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 Bylaws, the language of the proposed amendment), the reasons for conducting such business at the meeting and any substantial interest (within the meaning of Item 5 of Schedule 14A under the Exchange Act) in such business of such stockholder and the beneficial owner, if any, on whose behalf the proposal is made;</w:t>
      </w:r>
    </w:p>
    <w:p>
      <w:pPr>
        <w:spacing w:after="0" w:line="165" w:lineRule="exact"/>
        <w:rPr>
          <w:rFonts w:ascii="Arial" w:cs="Arial" w:eastAsia="Arial" w:hAnsi="Arial"/>
          <w:sz w:val="18"/>
          <w:szCs w:val="18"/>
          <w:color w:val="auto"/>
        </w:rPr>
      </w:pPr>
    </w:p>
    <w:p>
      <w:pPr>
        <w:jc w:val="both"/>
        <w:ind w:firstLine="1953"/>
        <w:spacing w:after="0" w:line="276" w:lineRule="auto"/>
        <w:tabs>
          <w:tab w:leader="none" w:pos="2294" w:val="left"/>
        </w:tabs>
        <w:numPr>
          <w:ilvl w:val="1"/>
          <w:numId w:val="55"/>
        </w:numPr>
        <w:rPr>
          <w:rFonts w:ascii="Arial" w:cs="Arial" w:eastAsia="Arial" w:hAnsi="Arial"/>
          <w:sz w:val="18"/>
          <w:szCs w:val="18"/>
          <w:color w:val="auto"/>
        </w:rPr>
      </w:pPr>
      <w:r>
        <w:rPr>
          <w:rFonts w:ascii="Arial" w:cs="Arial" w:eastAsia="Arial" w:hAnsi="Arial"/>
          <w:sz w:val="18"/>
          <w:szCs w:val="18"/>
          <w:color w:val="auto"/>
        </w:rPr>
        <w:t>as to the stockholder giving the notice and the beneficial owner, if any, on whose behalf the nomination is made or the business is proposed: (A) the name and address of such stockholder, as they appear on the Corporation's books, and the name and address of such beneficial owner, (B) the class and number of shares of stock of the Corporation which are owned of record by such stockholder and such beneficial owner as of the date of the notice, and a representation that the stockholder will notify the Corporation in writing within five business days after the record date for such meeting of the class and number of shares of stock of the Corporation owned of record by the stockholder and such beneficial owner as of the record date for the meeting, and (C) a representation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20"/>
          </w:cols>
          <w:pgMar w:left="240" w:top="1440" w:right="239" w:bottom="1440" w:gutter="0" w:footer="0" w:header="0"/>
        </w:sectPr>
      </w:pPr>
    </w:p>
    <w:bookmarkStart w:id="128" w:name="page129"/>
    <w:bookmarkEnd w:id="128"/>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stockholder intends to appear in person or by proxy at the meeting to propose such nomination or business;</w:t>
      </w:r>
    </w:p>
    <w:p>
      <w:pPr>
        <w:spacing w:after="0" w:line="216" w:lineRule="exact"/>
        <w:rPr>
          <w:sz w:val="20"/>
          <w:szCs w:val="20"/>
          <w:color w:val="auto"/>
        </w:rPr>
      </w:pPr>
    </w:p>
    <w:p>
      <w:pPr>
        <w:jc w:val="both"/>
        <w:ind w:firstLine="1953"/>
        <w:spacing w:after="0" w:line="268" w:lineRule="auto"/>
        <w:tabs>
          <w:tab w:leader="none" w:pos="2282" w:val="left"/>
        </w:tabs>
        <w:numPr>
          <w:ilvl w:val="1"/>
          <w:numId w:val="56"/>
        </w:numPr>
        <w:rPr>
          <w:rFonts w:ascii="Arial" w:cs="Arial" w:eastAsia="Arial" w:hAnsi="Arial"/>
          <w:sz w:val="18"/>
          <w:szCs w:val="18"/>
          <w:color w:val="auto"/>
        </w:rPr>
      </w:pPr>
      <w:r>
        <w:rPr>
          <w:rFonts w:ascii="Arial" w:cs="Arial" w:eastAsia="Arial" w:hAnsi="Arial"/>
          <w:sz w:val="18"/>
          <w:szCs w:val="18"/>
          <w:color w:val="auto"/>
        </w:rPr>
        <w:t>as to the stockholder giving the notice or, if the notice is given on behalf of a beneficial owner on whose behalf the nomination is made or the business is proposed, as to such beneficial owner, and if such stockholder or beneficial owner is an entity, as to each director, executive, managing member or control person of such entity (any such person, a “control person”): (A) the class and number of shares of stock of the Corporation which are beneficially owned (as defined below) by such stockholder or beneficial owner and by any control person as of the date of the notice, and a representation that the stockholder will notify the Corporation in writing within five business days after the record date for such meeting of the class and number of shares of stock of the Corporation beneficially owned by such stockholder or beneficial owner and by any control person as of the record date for the meeting, (B) a description of any agreement, arrangement or understanding with respect to the nomination or other business between or among such stockholder or beneficial owner or control person and any other person, including without limitation any agreements that would be required to be disclosed pursuant to Item 5 or Item 6 of Exchange Act Schedule 13D (regardless of whether the requirement to file a Schedule 13D is applicable to the stockholder, beneficial owner or control person) and a representation that the stockholder will notify the Corporation in writing within five business days after the record date for such meeting of any such agreement, arrangement or understanding in effect as of the record date for the meeting, (C) a description of any agreement, arrangement or understanding (including any derivative or short positions, profit interests, options, hedging transactions, and borrowed or loaned shares) that has been entered into as of the date of the stockholder's notice by, or on behalf of, such stockholder or beneficial owner and by any control person or any other person acting in concert with any of the foregoing, the effect or intent of which is to mitigate loss, manage risk or benefit from changes in the share price of any class of the Corporation's stock, or maintain, increase or decrease the voting power of the stockholder or beneficial owner with respect to shares of stock of the Corporation, and a representation that the stockholder will notify the Corporation in writing within five business days after the record date for such meeting of any such agreement, arrangement or understanding in effect as of the record date for the meeting, (D) a representation whether the stockholder or the beneficial owner, if any, and any control person will engage in a solicitation with respect to the nomination or business and, if so, the name of each participant (as defined in Item 4 of Schedule 14A under the Exchange Act) in such solicitation and whether such person intends or is part of a group which intends to deliver a proxy statement and/or form of proxy to holders of at least the percentage of the Corporation's outstanding stock required to approve or adopt the business to be proposed (in person or by proxy) by the stockholder; and</w:t>
      </w:r>
    </w:p>
    <w:p>
      <w:pPr>
        <w:spacing w:after="0" w:line="180" w:lineRule="exact"/>
        <w:rPr>
          <w:rFonts w:ascii="Arial" w:cs="Arial" w:eastAsia="Arial" w:hAnsi="Arial"/>
          <w:sz w:val="18"/>
          <w:szCs w:val="18"/>
          <w:color w:val="auto"/>
        </w:rPr>
      </w:pPr>
    </w:p>
    <w:p>
      <w:pPr>
        <w:jc w:val="both"/>
        <w:ind w:firstLine="1953"/>
        <w:spacing w:after="0" w:line="244" w:lineRule="auto"/>
        <w:tabs>
          <w:tab w:leader="none" w:pos="2262" w:val="left"/>
        </w:tabs>
        <w:numPr>
          <w:ilvl w:val="1"/>
          <w:numId w:val="56"/>
        </w:numPr>
        <w:rPr>
          <w:rFonts w:ascii="Arial" w:cs="Arial" w:eastAsia="Arial" w:hAnsi="Arial"/>
          <w:sz w:val="20"/>
          <w:szCs w:val="20"/>
          <w:color w:val="auto"/>
        </w:rPr>
      </w:pPr>
      <w:r>
        <w:rPr>
          <w:rFonts w:ascii="Arial" w:cs="Arial" w:eastAsia="Arial" w:hAnsi="Arial"/>
          <w:sz w:val="20"/>
          <w:szCs w:val="20"/>
          <w:color w:val="auto"/>
        </w:rPr>
        <w:t>a certification that the stockholder giving the notice and the beneficial owner(s), if any, on whose behalf the nomination is made or the business is proposed, has or have complied with all applicable federal, state and other legal requirements in connection with such stockholder’s and/or each such beneficial owner’s acquisition of shares of capital stock or other securities of the Corporation and/or such stockholder’s and/or each such beneficial owner’s acts or omissions as a stockholder of the Corporation, including, without limitation, in connection with such nomination or proposal.</w:t>
      </w:r>
    </w:p>
    <w:p>
      <w:pPr>
        <w:spacing w:after="0" w:line="194" w:lineRule="exact"/>
        <w:rPr>
          <w:rFonts w:ascii="Arial" w:cs="Arial" w:eastAsia="Arial" w:hAnsi="Arial"/>
          <w:sz w:val="20"/>
          <w:szCs w:val="20"/>
          <w:color w:val="auto"/>
        </w:rPr>
      </w:pPr>
    </w:p>
    <w:p>
      <w:pPr>
        <w:jc w:val="both"/>
        <w:ind w:firstLine="1305"/>
        <w:spacing w:after="0" w:line="250" w:lineRule="auto"/>
        <w:tabs>
          <w:tab w:leader="none" w:pos="1574" w:val="left"/>
        </w:tabs>
        <w:numPr>
          <w:ilvl w:val="0"/>
          <w:numId w:val="57"/>
        </w:numPr>
        <w:rPr>
          <w:rFonts w:ascii="Arial" w:cs="Arial" w:eastAsia="Arial" w:hAnsi="Arial"/>
          <w:sz w:val="20"/>
          <w:szCs w:val="20"/>
          <w:color w:val="auto"/>
        </w:rPr>
      </w:pPr>
      <w:r>
        <w:rPr>
          <w:rFonts w:ascii="Arial" w:cs="Arial" w:eastAsia="Arial" w:hAnsi="Arial"/>
          <w:sz w:val="20"/>
          <w:szCs w:val="20"/>
          <w:color w:val="auto"/>
        </w:rPr>
        <w:t>The Corporation may require any proposed nominee to furnish such other information as may reasonably be required by the Corporation to determine the eligibility of such proposed nominee to serve as a director of the Corporation, including information relevant to a determination whether such proposed nominee can be considered an independent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420"/>
          </w:cols>
          <w:pgMar w:left="240" w:top="1440" w:right="239" w:bottom="1440" w:gutter="0" w:footer="0" w:header="0"/>
        </w:sectPr>
      </w:pPr>
    </w:p>
    <w:bookmarkStart w:id="129" w:name="page130"/>
    <w:bookmarkEnd w:id="129"/>
    <w:p>
      <w:pPr>
        <w:spacing w:after="0" w:line="196" w:lineRule="exact"/>
        <w:rPr>
          <w:sz w:val="20"/>
          <w:szCs w:val="20"/>
          <w:color w:val="auto"/>
        </w:rPr>
      </w:pPr>
    </w:p>
    <w:p>
      <w:pPr>
        <w:jc w:val="both"/>
        <w:ind w:firstLine="1305"/>
        <w:spacing w:after="0" w:line="268" w:lineRule="auto"/>
        <w:tabs>
          <w:tab w:leader="none" w:pos="1586" w:val="left"/>
        </w:tabs>
        <w:numPr>
          <w:ilvl w:val="1"/>
          <w:numId w:val="58"/>
        </w:numPr>
        <w:rPr>
          <w:rFonts w:ascii="Arial" w:cs="Arial" w:eastAsia="Arial" w:hAnsi="Arial"/>
          <w:sz w:val="18"/>
          <w:szCs w:val="18"/>
          <w:color w:val="auto"/>
        </w:rPr>
      </w:pPr>
      <w:r>
        <w:rPr>
          <w:rFonts w:ascii="Arial" w:cs="Arial" w:eastAsia="Arial" w:hAnsi="Arial"/>
          <w:sz w:val="18"/>
          <w:szCs w:val="18"/>
          <w:color w:val="auto"/>
        </w:rPr>
        <w:t>For purposes of Section 2.13(a), a “public announcement” shall mean disclosure in a press release reported by the Dow Jones News Service, Associated Press or a comparable national news service or in a document publicly filed by the Corporation with the Securities and Exchange Commission pursuant to Sections 13, 14 or 15(d) of the Exchange Act. For purposes of clause (a)(iv)(A) of this Section 2.13, shares shall be treated as “beneficially owned” by a person if the person beneficially owns such shares, directly or indirectly, for purposes of Section 13(d) of the Exchange Act and Regulations 13D and 13G thereunder or has or shares pursuant to any agreement, arrangement or understanding (whether or not in writing): (i) the right to acquire such shares (whether such right is exercisable immediately or only after the passage of time or the fulfillment of a condition or both), (ii) the right to vote such shares, alone or in concert with others and/or</w:t>
      </w:r>
    </w:p>
    <w:p>
      <w:pPr>
        <w:spacing w:after="0" w:line="5" w:lineRule="exact"/>
        <w:rPr>
          <w:rFonts w:ascii="Arial" w:cs="Arial" w:eastAsia="Arial" w:hAnsi="Arial"/>
          <w:sz w:val="18"/>
          <w:szCs w:val="18"/>
          <w:color w:val="auto"/>
        </w:rPr>
      </w:pPr>
    </w:p>
    <w:p>
      <w:pPr>
        <w:jc w:val="both"/>
        <w:ind w:firstLine="8"/>
        <w:spacing w:after="0" w:line="276" w:lineRule="auto"/>
        <w:tabs>
          <w:tab w:leader="none" w:pos="357"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investment power with respect to such shares, including the power to dispose of, or to direct the disposition of, such shares. This Section 2.13 shall not apply to notice of a proposal to be made by a stockholder if the stockholder has notified the Corporation of his or her intention to present the proposal at an annual or special meeting only pursuant to and in compliance with Rule 14a-8 under the Exchange Act and such proposal has been included in a proxy statement that has been prepared by the Corporation to solicit proxies for such meeting.</w:t>
      </w:r>
    </w:p>
    <w:p>
      <w:pPr>
        <w:spacing w:after="0" w:line="166" w:lineRule="exact"/>
        <w:rPr>
          <w:rFonts w:ascii="Arial" w:cs="Arial" w:eastAsia="Arial" w:hAnsi="Arial"/>
          <w:sz w:val="18"/>
          <w:szCs w:val="18"/>
          <w:color w:val="auto"/>
        </w:rPr>
      </w:pPr>
    </w:p>
    <w:p>
      <w:pPr>
        <w:jc w:val="both"/>
        <w:ind w:firstLine="1305"/>
        <w:spacing w:after="0" w:line="257" w:lineRule="auto"/>
        <w:tabs>
          <w:tab w:leader="none" w:pos="1609" w:val="left"/>
        </w:tabs>
        <w:numPr>
          <w:ilvl w:val="1"/>
          <w:numId w:val="59"/>
        </w:numPr>
        <w:rPr>
          <w:rFonts w:ascii="Arial" w:cs="Arial" w:eastAsia="Arial" w:hAnsi="Arial"/>
          <w:sz w:val="19"/>
          <w:szCs w:val="19"/>
          <w:color w:val="auto"/>
        </w:rPr>
      </w:pPr>
      <w:r>
        <w:rPr>
          <w:rFonts w:ascii="Arial" w:cs="Arial" w:eastAsia="Arial" w:hAnsi="Arial"/>
          <w:sz w:val="19"/>
          <w:szCs w:val="19"/>
          <w:color w:val="auto"/>
        </w:rPr>
        <w:t>If the stockholder does not provide the information required under clause (a)(iii)(B) and clauses (a)(iv)(A)-(C) of this Section 2.13 to the Corporation within the time frames specified herein, or if the stockholder (or a qualified representative of the stockholder) does not appear at the annual or special meeting of stockholders of the Corporation to present a nomination or proposed business, such nomination shall be disregarded and such proposed business shall not be transacted, notwithstanding that proxies in respect of such vote may have been received by the Corporation. The Board of Directors or the chair of the meeting shall have the power to determine whether notice of a nomination or of any business proposed to be brought before the meeting was properly made in accordance with the procedures set forth in this Section 2.13. Notwithstanding the foregoing provisions hereof, a stockholder shall also comply with all applicable requirements of the Act, and the rules and regulations thereunder with respect to the matters set forth herein.</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u w:val="single" w:color="auto"/>
          <w:color w:val="auto"/>
        </w:rPr>
        <w:t>Meetings Through Electronic Communications</w:t>
      </w:r>
      <w:r>
        <w:rPr>
          <w:rFonts w:ascii="Arial" w:cs="Arial" w:eastAsia="Arial" w:hAnsi="Arial"/>
          <w:sz w:val="18"/>
          <w:szCs w:val="18"/>
          <w:color w:val="auto"/>
        </w:rPr>
        <w:t>. Stockholders may participate in a meeting of the stockholders by any means of electronic communications, videoconferencing, teleconferencing or other available technology permitted under the NRS (including, without limitation, a telephone conference or similar method of communication by which all individuals participating in the meeting can hear each other) and utilized by the Corporation. If any such means are utilized, the Corporation shall, to the extent required under the NRS, implement reasonable measures to (a) verify the identity of each person participating through such means as a stockholder and (b) provide the stockholders a reasonable opportunity to participate in the meeting and to vote on matters submitted to the stockholders, including an opportunity to communicate, and to read or hear the proceedings of the meeting in a substantially concurrent manner with such proceedings. Participation in a meeting pursuant to this Section 2.14 constitutes presence in person at the meeting.</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III</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DIRECTORS</w:t>
      </w:r>
    </w:p>
    <w:p>
      <w:pPr>
        <w:spacing w:after="0" w:line="20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Section 3.1 </w:t>
      </w:r>
      <w:r>
        <w:rPr>
          <w:rFonts w:ascii="Arial" w:cs="Arial" w:eastAsia="Arial" w:hAnsi="Arial"/>
          <w:sz w:val="19"/>
          <w:szCs w:val="19"/>
          <w:u w:val="single" w:color="auto"/>
          <w:color w:val="auto"/>
        </w:rPr>
        <w:t>General Powers; Performance of Duties</w:t>
      </w:r>
      <w:r>
        <w:rPr>
          <w:rFonts w:ascii="Arial" w:cs="Arial" w:eastAsia="Arial" w:hAnsi="Arial"/>
          <w:sz w:val="19"/>
          <w:szCs w:val="19"/>
          <w:color w:val="auto"/>
        </w:rPr>
        <w:t>. The business and affairs of the Corporation shall be managed by or under the direction of the Board of Directors, except as otherwise provided in Chapter 78 of the NRS or the Articles of Incorporation.</w:t>
      </w:r>
    </w:p>
    <w:p>
      <w:pPr>
        <w:spacing w:after="0" w:line="15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Section 3.2 </w:t>
      </w:r>
      <w:r>
        <w:rPr>
          <w:rFonts w:ascii="Arial" w:cs="Arial" w:eastAsia="Arial" w:hAnsi="Arial"/>
          <w:sz w:val="20"/>
          <w:szCs w:val="20"/>
          <w:u w:val="single" w:color="auto"/>
          <w:color w:val="auto"/>
        </w:rPr>
        <w:t>Number, Tenure, and Qualifications</w:t>
      </w:r>
      <w:r>
        <w:rPr>
          <w:rFonts w:ascii="Arial" w:cs="Arial" w:eastAsia="Arial" w:hAnsi="Arial"/>
          <w:sz w:val="20"/>
          <w:szCs w:val="20"/>
          <w:color w:val="auto"/>
        </w:rPr>
        <w:t>. The Board of Directors shall consist of at least one (1) individual and not more than thirteen (13) individuals, with the number of directors within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420"/>
          </w:cols>
          <w:pgMar w:left="240" w:top="1440" w:right="239" w:bottom="1440" w:gutter="0" w:footer="0" w:header="0"/>
        </w:sectPr>
      </w:pPr>
    </w:p>
    <w:bookmarkStart w:id="130" w:name="page131"/>
    <w:bookmarkEnd w:id="130"/>
    <w:p>
      <w:pPr>
        <w:spacing w:after="0" w:line="19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foregoing fixed minimum and maximum established and changed from time to time solely by resolution adopted by the Board of Directors without amendment to these Bylaws or the Articles of Incorporation. Each director shall hold office until his or her successor shall be elected or appointed and qualified or until his or her earlier death, retirement, disqualification, resignation or removal. No reduction of the number of directors shall have the effect of removing any director prior to the expiration of his or her term of office. No provision of this Section 3.2 shall restrict the right of the Board of Directors to fill vacancies or the right of the stockholders to remove directors, each as provided in these Bylaws.</w:t>
      </w:r>
    </w:p>
    <w:p>
      <w:pPr>
        <w:spacing w:after="0" w:line="19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Section 3.3 </w:t>
      </w:r>
      <w:r>
        <w:rPr>
          <w:rFonts w:ascii="Arial" w:cs="Arial" w:eastAsia="Arial" w:hAnsi="Arial"/>
          <w:sz w:val="20"/>
          <w:szCs w:val="20"/>
          <w:u w:val="single" w:color="auto"/>
          <w:color w:val="auto"/>
        </w:rPr>
        <w:t>Chair of the Board</w:t>
      </w:r>
      <w:r>
        <w:rPr>
          <w:rFonts w:ascii="Arial" w:cs="Arial" w:eastAsia="Arial" w:hAnsi="Arial"/>
          <w:sz w:val="20"/>
          <w:szCs w:val="20"/>
          <w:color w:val="auto"/>
        </w:rPr>
        <w:t>. The Board of Directors shall elect a chair of the board from the members of the Board of Directors who meets the criteria as an independent director, who shall preside at all meetings of the Board of Directors and stockholders at which he or she shall be present and shall have and may exercise such powers as may, from time to time, be assigned to him or her by the Board of Directors, these Bylaws or as provided by law.</w:t>
      </w:r>
    </w:p>
    <w:p>
      <w:pPr>
        <w:spacing w:after="0" w:line="19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Section 3.4 </w:t>
      </w:r>
      <w:r>
        <w:rPr>
          <w:rFonts w:ascii="Arial" w:cs="Arial" w:eastAsia="Arial" w:hAnsi="Arial"/>
          <w:sz w:val="20"/>
          <w:szCs w:val="20"/>
          <w:u w:val="single" w:color="auto"/>
          <w:color w:val="auto"/>
        </w:rPr>
        <w:t>Vice Chair of the Board</w:t>
      </w:r>
      <w:r>
        <w:rPr>
          <w:rFonts w:ascii="Arial" w:cs="Arial" w:eastAsia="Arial" w:hAnsi="Arial"/>
          <w:sz w:val="20"/>
          <w:szCs w:val="20"/>
          <w:color w:val="auto"/>
        </w:rPr>
        <w:t>. The Board of Directors may elect a vice chair of the board from the members of the Board of Directors who shall preside at all meetings of the Board of Directors and stockholders at which he or she shall be present and the chair is not present and shall have and may exercise such powers as may, from time to time, be assigned to him or her by the Board of Directors, these Bylaws or as provided by law.</w:t>
      </w:r>
    </w:p>
    <w:p>
      <w:pPr>
        <w:spacing w:after="0" w:line="19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Section 3.5 </w:t>
      </w:r>
      <w:r>
        <w:rPr>
          <w:rFonts w:ascii="Arial" w:cs="Arial" w:eastAsia="Arial" w:hAnsi="Arial"/>
          <w:sz w:val="19"/>
          <w:szCs w:val="19"/>
          <w:u w:val="single" w:color="auto"/>
          <w:color w:val="auto"/>
        </w:rPr>
        <w:t>Classification and Elections</w:t>
      </w:r>
      <w:r>
        <w:rPr>
          <w:rFonts w:ascii="Arial" w:cs="Arial" w:eastAsia="Arial" w:hAnsi="Arial"/>
          <w:sz w:val="19"/>
          <w:szCs w:val="19"/>
          <w:color w:val="auto"/>
        </w:rPr>
        <w:t>. The directors shall be classified, with respect to the time for which they shall hold their respective offices, by dividing them into three classes, to be known as “Class I,” “Class II” and “Class III.” Each director shall hold office for a three-year term or until the next annual meeting of stockholders at which his or her successor is elected and qualified. At each annual meeting of stockholders, successors to the directors of the class whose term of office expires at such annual meeting shall be elected to hold office until the third succeeding annual meeting of stockholders, so that the term of office of only one class of directors shall expire at each annual meeting. The number of directors in each class, which shall be such that as near as possible to one-third and at least one-fourth (or such other fraction as required by the NRS) in number are elected at each annual meeting, shall be established from time to time by resolution of the Board of Directors and shall be increased or decreased by resolution of the Board of Directors, as may be appropriate whenever the total number of directors is increased or decreased.</w:t>
      </w:r>
    </w:p>
    <w:p>
      <w:pPr>
        <w:spacing w:after="0" w:line="18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Removal and Resignation of Directors</w:t>
      </w:r>
      <w:r>
        <w:rPr>
          <w:rFonts w:ascii="Arial" w:cs="Arial" w:eastAsia="Arial" w:hAnsi="Arial"/>
          <w:sz w:val="18"/>
          <w:szCs w:val="18"/>
          <w:color w:val="auto"/>
        </w:rPr>
        <w:t>. Subject to any rights of the holders of preferred stock, if any, and except as otherwise provided in the NRS, any director may be removed from office with or without cause by the affirmative vote of the holders of not less than two-thirds (2/3) of the voting power of the issued and outstanding stock of the Corporation entitled to vote generally in the election of directors (voting as a single class) excluding stock entitled to vote only upon the happening of a fact or event unless such fact or event shall have occurred. In addition, the Board of Directors of the Corporation, by majority vote, may declare vacant the office of a director who has been (a) declared incompetent by an order of a court of competent jurisdiction, or (b) convicted of a felony or (c) found to be unsuitable to serve as a director of the Corporation by a Gaming Authority in any jurisdiction in which the Corporation or any of its Affiliates holds a gaming license. Any director may resign effective upon giving written notice, unless the notice specifies a later time for effectiveness of such resignation, to the chair of the board, if any, the president or the secretary, or in the absence of all of them, any other officer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420"/>
          </w:cols>
          <w:pgMar w:left="240" w:top="1440" w:right="239" w:bottom="1440" w:gutter="0" w:footer="0" w:header="0"/>
        </w:sectPr>
      </w:pPr>
    </w:p>
    <w:bookmarkStart w:id="131" w:name="page132"/>
    <w:bookmarkEnd w:id="131"/>
    <w:p>
      <w:pPr>
        <w:spacing w:after="0" w:line="19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 xml:space="preserve">Section 3.7 </w:t>
      </w:r>
      <w:r>
        <w:rPr>
          <w:rFonts w:ascii="Arial" w:cs="Arial" w:eastAsia="Arial" w:hAnsi="Arial"/>
          <w:sz w:val="19"/>
          <w:szCs w:val="19"/>
          <w:u w:val="single" w:color="auto"/>
          <w:color w:val="auto"/>
        </w:rPr>
        <w:t>Vacancies; Newly Created Directorships</w:t>
      </w:r>
      <w:r>
        <w:rPr>
          <w:rFonts w:ascii="Arial" w:cs="Arial" w:eastAsia="Arial" w:hAnsi="Arial"/>
          <w:sz w:val="19"/>
          <w:szCs w:val="19"/>
          <w:color w:val="auto"/>
        </w:rPr>
        <w:t>. Subject to any rights of the holders of preferred stock, if any, any vacancies on the Board of Directors resulting from death, resignation, retirement, disqualification, removal from office, or other cause, and newly created directorships resulting from any increase in the authorized number of directors, may be filled by a majority vote of the directors then in office or by a sole remaining director, in either case though less than a quorum, and the director(s) so chosen shall hold office for a term expiring at the next annual meeting of stockholders and when their successors are elected or appointed, at which the term of the class to which he or she has been elected expires, or until his or her earlier resignation or removal. No decrease in the number of directors constituting the Board of Directors shall shorten the term of any incumbent directors.</w:t>
      </w:r>
    </w:p>
    <w:p>
      <w:pPr>
        <w:spacing w:after="0" w:line="17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 xml:space="preserve">Section 3.8 </w:t>
      </w:r>
      <w:r>
        <w:rPr>
          <w:rFonts w:ascii="Arial" w:cs="Arial" w:eastAsia="Arial" w:hAnsi="Arial"/>
          <w:sz w:val="18"/>
          <w:szCs w:val="18"/>
          <w:u w:val="single" w:color="auto"/>
          <w:color w:val="auto"/>
        </w:rPr>
        <w:t>Annual and Regular Meetings</w:t>
      </w:r>
      <w:r>
        <w:rPr>
          <w:rFonts w:ascii="Arial" w:cs="Arial" w:eastAsia="Arial" w:hAnsi="Arial"/>
          <w:sz w:val="18"/>
          <w:szCs w:val="18"/>
          <w:color w:val="auto"/>
        </w:rPr>
        <w:t>. Within two (2) business days before or after the annual meeting of the stockholders or any special meeting of the stockholders at which directors are elected (and within two (2) business days after such meeting if any individual first becomes a director by way of such election), the Board of Directors, including directors newly elected, if any, shall hold its annual meeting without call or notice other than this Section 3.8, to transact such business as the Board of Directors deems necessary or appropriate. The Board of Directors may provide by resolution the place, date, and hour for holding regular meetings between annual meetings, and if the Board of Directors so provides with respect to a regular meeting, notice of such regular meeting shall not be required.</w:t>
      </w:r>
    </w:p>
    <w:p>
      <w:pPr>
        <w:spacing w:after="0" w:line="16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 xml:space="preserve">Section 3.9 </w:t>
      </w:r>
      <w:r>
        <w:rPr>
          <w:rFonts w:ascii="Arial" w:cs="Arial" w:eastAsia="Arial" w:hAnsi="Arial"/>
          <w:sz w:val="18"/>
          <w:szCs w:val="18"/>
          <w:u w:val="single" w:color="auto"/>
          <w:color w:val="auto"/>
        </w:rPr>
        <w:t>Special Meetings</w:t>
      </w:r>
      <w:r>
        <w:rPr>
          <w:rFonts w:ascii="Arial" w:cs="Arial" w:eastAsia="Arial" w:hAnsi="Arial"/>
          <w:sz w:val="18"/>
          <w:szCs w:val="18"/>
          <w:color w:val="auto"/>
        </w:rPr>
        <w:t>. Subject to any rights of the holders of preferred stock, if any, and except as otherwise required by law, special meetings of the Board of Directors may be called only by the chair of the board, if any, or if there be no chair of the board, by the chief executive officer, if any, or by the president or the secretary, and shall be called by the chair of the board, if any, the chief executive officer, if any, the president, or the secretary upon the request of the Chair, or at least a majority of the Board of Directors. If the chair of the board, or if there be no chair of the board, each of the chief executive officer, the president, and the secretary, fails for any reason to call such special meeting, a special meeting may be called by a notice signed by the Chair or at least a majority of the Board of Directors.</w:t>
      </w:r>
    </w:p>
    <w:p>
      <w:pPr>
        <w:spacing w:after="0" w:line="165"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 xml:space="preserve">Section 3.10 </w:t>
      </w:r>
      <w:r>
        <w:rPr>
          <w:rFonts w:ascii="Arial" w:cs="Arial" w:eastAsia="Arial" w:hAnsi="Arial"/>
          <w:sz w:val="20"/>
          <w:szCs w:val="20"/>
          <w:u w:val="single" w:color="auto"/>
          <w:color w:val="auto"/>
        </w:rPr>
        <w:t>Place of Meetings</w:t>
      </w:r>
      <w:r>
        <w:rPr>
          <w:rFonts w:ascii="Arial" w:cs="Arial" w:eastAsia="Arial" w:hAnsi="Arial"/>
          <w:sz w:val="20"/>
          <w:szCs w:val="20"/>
          <w:color w:val="auto"/>
        </w:rPr>
        <w:t>. Any regular or special meeting of the Board of Directors may be held at such place as the Board of Directors, or in the absence of such designation, as the notice calling such meeting, may designate. A waiver of notice signed by the directors may designate any place for the holding of such meeting.</w:t>
      </w:r>
    </w:p>
    <w:p>
      <w:pPr>
        <w:spacing w:after="0" w:line="18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Notice of Meetings</w:t>
      </w:r>
      <w:r>
        <w:rPr>
          <w:rFonts w:ascii="Arial" w:cs="Arial" w:eastAsia="Arial" w:hAnsi="Arial"/>
          <w:sz w:val="18"/>
          <w:szCs w:val="18"/>
          <w:color w:val="auto"/>
        </w:rPr>
        <w:t>. Except as otherwise provided in Section 3.8, there shall be delivered to each director at the address appearing for him or her on the records of the Corporation, at least twenty-four (24) hours before the time of such meeting, a copy of a written notice of any meeting (i) by delivery of such notice personally, (ii) by mailing such notice postage prepaid, (iii) by facsimile, (iv) by overnight courier, or (v) by electronic transmission or electronic writing, including, without limitation, e-mail. If mailed to an address inside the United States, the notice shall be deemed delivered two (2) business days following the date the same is deposited in the United States mail, postage prepaid. If mailed to an address outside the United States, the notice shall be deemed delivered four (4) business days following the date the same is deposited in the United States mail, postage prepaid. If sent via overnight courier, the notice shall be deemed delivered the business day following the delivery of such notice to the courier. If sent via facsimile, the notice shall be deemed delivered upon sender’s receipt of confirmation of the successful transmission. If sent by electronic transmission (including, without limitation, e-mail), the notice shall be deemed delivered when directed to the e-mail address of the director appearing on the records of the Corporation and otherwise pursuant to the applicable provisions of NRS Chapter 75. If the address of any director is incomplete or does not appear upon the records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420"/>
          </w:cols>
          <w:pgMar w:left="240" w:top="1440" w:right="239" w:bottom="1440" w:gutter="0" w:footer="0" w:header="0"/>
        </w:sectPr>
      </w:pPr>
    </w:p>
    <w:bookmarkStart w:id="132" w:name="page133"/>
    <w:bookmarkEnd w:id="132"/>
    <w:p>
      <w:pPr>
        <w:spacing w:after="0" w:line="196"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Corporation, it will be sufficient to address any notice to such director at the registered office of the Corporation. Any director may waive notice of any meeting, and the attendance of a director at a meeting and oral consent entered on the minutes of such meeting shall constitute waiver of notice of the meeting unless such director objects, prior to the transaction of any business, that the meeting was not lawfully called, noticed or convened. Attendance for the express purpose of objecting to the transaction of business thereat because the meeting was not properly called or convened shall not constitute presence or a waiver of notice for purposes hereof.</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3.12 </w:t>
      </w:r>
      <w:r>
        <w:rPr>
          <w:rFonts w:ascii="Arial" w:cs="Arial" w:eastAsia="Arial" w:hAnsi="Arial"/>
          <w:sz w:val="20"/>
          <w:szCs w:val="20"/>
          <w:u w:val="single" w:color="auto"/>
          <w:color w:val="auto"/>
        </w:rPr>
        <w:t>Quorum; Adjourned Meetings</w:t>
      </w:r>
      <w:r>
        <w:rPr>
          <w:rFonts w:ascii="Arial" w:cs="Arial" w:eastAsia="Arial" w:hAnsi="Arial"/>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A majority of the directors in office, at a meeting duly assembled, is necessary to constitute a quorum for the transaction of</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business.</w:t>
      </w:r>
    </w:p>
    <w:p>
      <w:pPr>
        <w:spacing w:after="0" w:line="200" w:lineRule="exact"/>
        <w:rPr>
          <w:sz w:val="20"/>
          <w:szCs w:val="20"/>
          <w:color w:val="auto"/>
        </w:rPr>
      </w:pPr>
    </w:p>
    <w:p>
      <w:pPr>
        <w:jc w:val="both"/>
        <w:ind w:firstLine="1305"/>
        <w:spacing w:after="0" w:line="269" w:lineRule="auto"/>
        <w:tabs>
          <w:tab w:leader="none" w:pos="1566" w:val="left"/>
        </w:tabs>
        <w:numPr>
          <w:ilvl w:val="0"/>
          <w:numId w:val="60"/>
        </w:numPr>
        <w:rPr>
          <w:rFonts w:ascii="Arial" w:cs="Arial" w:eastAsia="Arial" w:hAnsi="Arial"/>
          <w:sz w:val="19"/>
          <w:szCs w:val="19"/>
          <w:color w:val="auto"/>
        </w:rPr>
      </w:pPr>
      <w:r>
        <w:rPr>
          <w:rFonts w:ascii="Arial" w:cs="Arial" w:eastAsia="Arial" w:hAnsi="Arial"/>
          <w:sz w:val="19"/>
          <w:szCs w:val="19"/>
          <w:color w:val="auto"/>
        </w:rPr>
        <w:t>At any meeting of the Board of Directors where a quorum is not present, a majority of those present may adjourn, from time to time, until a quorum is present, and no notice of such adjournment shall be required. At any adjourned meeting where a quorum is present, any business may be transacted which could have been transacted at the meeting originally called.</w:t>
      </w:r>
    </w:p>
    <w:p>
      <w:pPr>
        <w:spacing w:after="0" w:line="17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Section 3.13 </w:t>
      </w:r>
      <w:r>
        <w:rPr>
          <w:rFonts w:ascii="Arial" w:cs="Arial" w:eastAsia="Arial" w:hAnsi="Arial"/>
          <w:sz w:val="20"/>
          <w:szCs w:val="20"/>
          <w:u w:val="single" w:color="auto"/>
          <w:color w:val="auto"/>
        </w:rPr>
        <w:t>Manner of Acting</w:t>
      </w:r>
      <w:r>
        <w:rPr>
          <w:rFonts w:ascii="Arial" w:cs="Arial" w:eastAsia="Arial" w:hAnsi="Arial"/>
          <w:sz w:val="20"/>
          <w:szCs w:val="20"/>
          <w:color w:val="auto"/>
        </w:rPr>
        <w:t>. Except as provided in Section 3.14, the affirmative vote of a majority of the directors present at a meeting at which a quorum is present is the act of the Board of Directors.</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3.14 </w:t>
      </w:r>
      <w:r>
        <w:rPr>
          <w:rFonts w:ascii="Arial" w:cs="Arial" w:eastAsia="Arial" w:hAnsi="Arial"/>
          <w:sz w:val="20"/>
          <w:szCs w:val="20"/>
          <w:u w:val="single" w:color="auto"/>
          <w:color w:val="auto"/>
        </w:rPr>
        <w:t>Super-majority Approval</w:t>
      </w:r>
      <w:r>
        <w:rPr>
          <w:rFonts w:ascii="Arial" w:cs="Arial" w:eastAsia="Arial" w:hAnsi="Arial"/>
          <w:sz w:val="20"/>
          <w:szCs w:val="20"/>
          <w:color w:val="auto"/>
        </w:rPr>
        <w:t>. Notwithstanding anything to the contrary contained in these Bylaws or the Articles of Incorporation, the following actions may be taken by the Corporation only upon the approval of two-thirds of the directors present at a meeting at which a quorum is present:</w:t>
      </w:r>
    </w:p>
    <w:p>
      <w:pPr>
        <w:spacing w:after="0" w:line="186" w:lineRule="exact"/>
        <w:rPr>
          <w:sz w:val="20"/>
          <w:szCs w:val="20"/>
          <w:color w:val="auto"/>
        </w:rPr>
      </w:pPr>
    </w:p>
    <w:p>
      <w:pPr>
        <w:ind w:left="1580" w:hanging="275"/>
        <w:spacing w:after="0"/>
        <w:tabs>
          <w:tab w:leader="none" w:pos="1580" w:val="left"/>
        </w:tabs>
        <w:numPr>
          <w:ilvl w:val="0"/>
          <w:numId w:val="61"/>
        </w:numPr>
        <w:rPr>
          <w:rFonts w:ascii="Arial" w:cs="Arial" w:eastAsia="Arial" w:hAnsi="Arial"/>
          <w:sz w:val="20"/>
          <w:szCs w:val="20"/>
          <w:color w:val="auto"/>
        </w:rPr>
      </w:pPr>
      <w:r>
        <w:rPr>
          <w:rFonts w:ascii="Arial" w:cs="Arial" w:eastAsia="Arial" w:hAnsi="Arial"/>
          <w:sz w:val="20"/>
          <w:szCs w:val="20"/>
          <w:color w:val="auto"/>
        </w:rPr>
        <w:t>any voluntary dissolution or liquidation of the Corporation.</w:t>
      </w:r>
    </w:p>
    <w:p>
      <w:pPr>
        <w:spacing w:after="0" w:line="215" w:lineRule="exact"/>
        <w:rPr>
          <w:rFonts w:ascii="Arial" w:cs="Arial" w:eastAsia="Arial" w:hAnsi="Arial"/>
          <w:sz w:val="20"/>
          <w:szCs w:val="20"/>
          <w:color w:val="auto"/>
        </w:rPr>
      </w:pPr>
    </w:p>
    <w:p>
      <w:pPr>
        <w:ind w:left="1580" w:hanging="275"/>
        <w:spacing w:after="0"/>
        <w:tabs>
          <w:tab w:leader="none" w:pos="1580" w:val="left"/>
        </w:tabs>
        <w:numPr>
          <w:ilvl w:val="0"/>
          <w:numId w:val="61"/>
        </w:numPr>
        <w:rPr>
          <w:rFonts w:ascii="Arial" w:cs="Arial" w:eastAsia="Arial" w:hAnsi="Arial"/>
          <w:sz w:val="20"/>
          <w:szCs w:val="20"/>
          <w:color w:val="auto"/>
        </w:rPr>
      </w:pPr>
      <w:r>
        <w:rPr>
          <w:rFonts w:ascii="Arial" w:cs="Arial" w:eastAsia="Arial" w:hAnsi="Arial"/>
          <w:sz w:val="20"/>
          <w:szCs w:val="20"/>
          <w:color w:val="auto"/>
        </w:rPr>
        <w:t>the sale of all or substantially all of the assets of the Corporation.</w:t>
      </w:r>
    </w:p>
    <w:p>
      <w:pPr>
        <w:spacing w:after="0" w:line="215" w:lineRule="exact"/>
        <w:rPr>
          <w:rFonts w:ascii="Arial" w:cs="Arial" w:eastAsia="Arial" w:hAnsi="Arial"/>
          <w:sz w:val="20"/>
          <w:szCs w:val="20"/>
          <w:color w:val="auto"/>
        </w:rPr>
      </w:pPr>
    </w:p>
    <w:p>
      <w:pPr>
        <w:ind w:left="1580" w:hanging="275"/>
        <w:spacing w:after="0"/>
        <w:tabs>
          <w:tab w:leader="none" w:pos="1580" w:val="left"/>
        </w:tabs>
        <w:numPr>
          <w:ilvl w:val="0"/>
          <w:numId w:val="61"/>
        </w:numPr>
        <w:rPr>
          <w:rFonts w:ascii="Arial" w:cs="Arial" w:eastAsia="Arial" w:hAnsi="Arial"/>
          <w:sz w:val="20"/>
          <w:szCs w:val="20"/>
          <w:color w:val="auto"/>
        </w:rPr>
      </w:pPr>
      <w:r>
        <w:rPr>
          <w:rFonts w:ascii="Arial" w:cs="Arial" w:eastAsia="Arial" w:hAnsi="Arial"/>
          <w:sz w:val="20"/>
          <w:szCs w:val="20"/>
          <w:color w:val="auto"/>
        </w:rPr>
        <w:t>the filing of a voluntary petition of bankruptcy by the Corporation.</w:t>
      </w:r>
    </w:p>
    <w:p>
      <w:pPr>
        <w:spacing w:after="0" w:line="21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Section 3.15 </w:t>
      </w:r>
      <w:r>
        <w:rPr>
          <w:rFonts w:ascii="Arial" w:cs="Arial" w:eastAsia="Arial" w:hAnsi="Arial"/>
          <w:sz w:val="19"/>
          <w:szCs w:val="19"/>
          <w:u w:val="single" w:color="auto"/>
          <w:color w:val="auto"/>
        </w:rPr>
        <w:t>Meetings Through Electronic Communications</w:t>
      </w:r>
      <w:r>
        <w:rPr>
          <w:rFonts w:ascii="Arial" w:cs="Arial" w:eastAsia="Arial" w:hAnsi="Arial"/>
          <w:sz w:val="19"/>
          <w:szCs w:val="19"/>
          <w:color w:val="auto"/>
        </w:rPr>
        <w:t>. Members of the Board of Directors or of any committee designated by the Board of Directors may participate in a meeting of the Board of Directors or such committee by any means of electronic communications, videoconferencing, teleconferencing or other available technology permitted under the NRS (including, without limitation, a telephone conference or similar method of communication by which all individuals participating in the meeting can hear each other) and utilized by the Corporation. If any such means are utilized, the Corporation shall, to the extent required under the NRS, implement reasonable measures to (a) verify the identity of each person participating through such means as a director or member of the committee, as the case may be, and (b) provide the directors or members of the committee a reasonable opportunity to participate in the meeting and to vote on matters submitted to the directors or members of the committee, including an opportunity to communicate, and to read or hear the proceedings of the meeting in a substantially concurrent manner with such proceedings. Participation in a meeting pursuant to this Section 3.15 constitutes presence in person at the meeting.</w:t>
      </w:r>
    </w:p>
    <w:p>
      <w:pPr>
        <w:spacing w:after="0" w:line="18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 xml:space="preserve">Section 3.16 </w:t>
      </w:r>
      <w:r>
        <w:rPr>
          <w:rFonts w:ascii="Arial" w:cs="Arial" w:eastAsia="Arial" w:hAnsi="Arial"/>
          <w:sz w:val="18"/>
          <w:szCs w:val="18"/>
          <w:u w:val="single" w:color="auto"/>
          <w:color w:val="auto"/>
        </w:rPr>
        <w:t>Action Without Meeting</w:t>
      </w:r>
      <w:r>
        <w:rPr>
          <w:rFonts w:ascii="Arial" w:cs="Arial" w:eastAsia="Arial" w:hAnsi="Arial"/>
          <w:sz w:val="18"/>
          <w:szCs w:val="18"/>
          <w:color w:val="auto"/>
        </w:rPr>
        <w:t>. Any action required or permitted to be taken at a meeting of the Board of Directors or of a committee thereof may be taken without a meeting if, before or after the action, a written consent thereto is signed by all of the members of the Board of Directors or the committee. The written consent may be signed manually or electronically (or by any other means then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420"/>
          </w:cols>
          <w:pgMar w:left="240" w:top="1440" w:right="239" w:bottom="1440" w:gutter="0" w:footer="0" w:header="0"/>
        </w:sectPr>
      </w:pPr>
    </w:p>
    <w:bookmarkStart w:id="133" w:name="page134"/>
    <w:bookmarkEnd w:id="133"/>
    <w:p>
      <w:pPr>
        <w:spacing w:after="0" w:line="19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permitted under the NRS), and may be so signed in counterparts, including, without limitation, facsimile or email counterparts, and shall be filed with the minutes of the proceedings of the Board of Directors or committee.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3.17 </w:t>
      </w:r>
      <w:r>
        <w:rPr>
          <w:rFonts w:ascii="Arial" w:cs="Arial" w:eastAsia="Arial" w:hAnsi="Arial"/>
          <w:sz w:val="20"/>
          <w:szCs w:val="20"/>
          <w:u w:val="single" w:color="auto"/>
          <w:color w:val="auto"/>
        </w:rPr>
        <w:t>Powers and Duties</w:t>
      </w:r>
      <w:r>
        <w:rPr>
          <w:rFonts w:ascii="Arial" w:cs="Arial" w:eastAsia="Arial" w:hAnsi="Arial"/>
          <w:sz w:val="20"/>
          <w:szCs w:val="20"/>
          <w:color w:val="auto"/>
        </w:rPr>
        <w:t>.</w:t>
      </w:r>
    </w:p>
    <w:p>
      <w:pPr>
        <w:spacing w:after="0" w:line="216" w:lineRule="exact"/>
        <w:rPr>
          <w:sz w:val="20"/>
          <w:szCs w:val="20"/>
          <w:color w:val="auto"/>
        </w:rPr>
      </w:pPr>
    </w:p>
    <w:p>
      <w:pPr>
        <w:jc w:val="both"/>
        <w:ind w:firstLine="1305"/>
        <w:spacing w:after="0" w:line="263" w:lineRule="auto"/>
        <w:tabs>
          <w:tab w:leader="none" w:pos="1581" w:val="left"/>
        </w:tabs>
        <w:numPr>
          <w:ilvl w:val="0"/>
          <w:numId w:val="62"/>
        </w:numPr>
        <w:rPr>
          <w:rFonts w:ascii="Arial" w:cs="Arial" w:eastAsia="Arial" w:hAnsi="Arial"/>
          <w:sz w:val="19"/>
          <w:szCs w:val="19"/>
          <w:color w:val="auto"/>
        </w:rPr>
      </w:pPr>
      <w:r>
        <w:rPr>
          <w:rFonts w:ascii="Arial" w:cs="Arial" w:eastAsia="Arial" w:hAnsi="Arial"/>
          <w:sz w:val="19"/>
          <w:szCs w:val="19"/>
          <w:color w:val="auto"/>
        </w:rPr>
        <w:t>Except as otherwise restricted by Chapter 78 of the NRS or the Articles of Incorporation, the Board of Directors has full control over the business and affairs of the Corporation. The Board of Directors may delegate any of its authority to manage, control or conduct the business of the Corporation to any standing or special committee, or to any officer or agent, and to appoint any persons to be agents of the Corporation with such powers, including the power to subdelegate, and upon such terms as it deems fit.</w:t>
      </w:r>
    </w:p>
    <w:p>
      <w:pPr>
        <w:spacing w:after="0" w:line="176" w:lineRule="exact"/>
        <w:rPr>
          <w:rFonts w:ascii="Arial" w:cs="Arial" w:eastAsia="Arial" w:hAnsi="Arial"/>
          <w:sz w:val="19"/>
          <w:szCs w:val="19"/>
          <w:color w:val="auto"/>
        </w:rPr>
      </w:pPr>
    </w:p>
    <w:p>
      <w:pPr>
        <w:jc w:val="both"/>
        <w:ind w:firstLine="1305"/>
        <w:spacing w:after="0" w:line="250" w:lineRule="auto"/>
        <w:tabs>
          <w:tab w:leader="none" w:pos="1586" w:val="left"/>
        </w:tabs>
        <w:numPr>
          <w:ilvl w:val="0"/>
          <w:numId w:val="62"/>
        </w:numPr>
        <w:rPr>
          <w:rFonts w:ascii="Arial" w:cs="Arial" w:eastAsia="Arial" w:hAnsi="Arial"/>
          <w:sz w:val="20"/>
          <w:szCs w:val="20"/>
          <w:color w:val="auto"/>
        </w:rPr>
      </w:pPr>
      <w:r>
        <w:rPr>
          <w:rFonts w:ascii="Arial" w:cs="Arial" w:eastAsia="Arial" w:hAnsi="Arial"/>
          <w:sz w:val="20"/>
          <w:szCs w:val="20"/>
          <w:color w:val="auto"/>
        </w:rPr>
        <w:t>The Board of Directors, in its discretion, or the chair presiding at a meeting of stockholders, in his or her discretion, may submit any contract or act for approval or ratification at any annual meeting of the stockholders or any special meeting properly called and noticed for the purpose of considering any such contract or act, provided a quorum is present.</w:t>
      </w:r>
    </w:p>
    <w:p>
      <w:pPr>
        <w:spacing w:after="0" w:line="186" w:lineRule="exact"/>
        <w:rPr>
          <w:rFonts w:ascii="Arial" w:cs="Arial" w:eastAsia="Arial" w:hAnsi="Arial"/>
          <w:sz w:val="20"/>
          <w:szCs w:val="20"/>
          <w:color w:val="auto"/>
        </w:rPr>
      </w:pPr>
    </w:p>
    <w:p>
      <w:pPr>
        <w:jc w:val="both"/>
        <w:ind w:firstLine="1305"/>
        <w:spacing w:after="0" w:line="256" w:lineRule="auto"/>
        <w:tabs>
          <w:tab w:leader="none" w:pos="1608" w:val="left"/>
        </w:tabs>
        <w:numPr>
          <w:ilvl w:val="0"/>
          <w:numId w:val="62"/>
        </w:numPr>
        <w:rPr>
          <w:rFonts w:ascii="Arial" w:cs="Arial" w:eastAsia="Arial" w:hAnsi="Arial"/>
          <w:sz w:val="19"/>
          <w:szCs w:val="19"/>
          <w:color w:val="auto"/>
        </w:rPr>
      </w:pPr>
      <w:r>
        <w:rPr>
          <w:rFonts w:ascii="Arial" w:cs="Arial" w:eastAsia="Arial" w:hAnsi="Arial"/>
          <w:sz w:val="19"/>
          <w:szCs w:val="19"/>
          <w:color w:val="auto"/>
        </w:rPr>
        <w:t>The Board of Directors may, by resolution passed by a majority of the Board of Directors, designate one or more committees, each committee to consist of one or more of the directors of the Corporation. The Board of Directors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he, she or they constitute a quorum, may unanimously appoint another member of the Board of Directors to act at the meeting in the place of any such absent or disqualified member. Subject to applicable law and to the extent provided in the resolution of the Board of Directors, any such committee shall have and may exercise all the powers of the Board of Directors in the management of the business and affairs of the Corporation. Such committee or committees shall have such name or names as may be determined from time to time by resolution adopted by the Board of Directors. The committees shall keep regular minutes of their proceedings and report the same to the Board of Directors when required.</w:t>
      </w:r>
    </w:p>
    <w:p>
      <w:pPr>
        <w:spacing w:after="0" w:line="18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Section 3.18 </w:t>
      </w:r>
      <w:r>
        <w:rPr>
          <w:rFonts w:ascii="Arial" w:cs="Arial" w:eastAsia="Arial" w:hAnsi="Arial"/>
          <w:sz w:val="19"/>
          <w:szCs w:val="19"/>
          <w:u w:val="single" w:color="auto"/>
          <w:color w:val="auto"/>
        </w:rPr>
        <w:t>Compensation</w:t>
      </w:r>
      <w:r>
        <w:rPr>
          <w:rFonts w:ascii="Arial" w:cs="Arial" w:eastAsia="Arial" w:hAnsi="Arial"/>
          <w:sz w:val="19"/>
          <w:szCs w:val="19"/>
          <w:color w:val="auto"/>
        </w:rPr>
        <w:t>. The Board of Directors, without regard to personal interest, may establish the compensation of directors for services in any capacity. If the Board of Directors establishes the compensation of directors pursuant to this Section 3.18, such compensation is presumed to be fair to the Corporation unless proven unfair by a preponderance of the evidence.</w:t>
      </w:r>
    </w:p>
    <w:p>
      <w:pPr>
        <w:spacing w:after="0" w:line="17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Section 3.19 </w:t>
      </w:r>
      <w:r>
        <w:rPr>
          <w:rFonts w:ascii="Arial" w:cs="Arial" w:eastAsia="Arial" w:hAnsi="Arial"/>
          <w:sz w:val="20"/>
          <w:szCs w:val="20"/>
          <w:u w:val="single" w:color="auto"/>
          <w:color w:val="auto"/>
        </w:rPr>
        <w:t>Organization</w:t>
      </w:r>
      <w:r>
        <w:rPr>
          <w:rFonts w:ascii="Arial" w:cs="Arial" w:eastAsia="Arial" w:hAnsi="Arial"/>
          <w:sz w:val="20"/>
          <w:szCs w:val="20"/>
          <w:color w:val="auto"/>
        </w:rPr>
        <w:t>. Meetings of the Board of Directors shall be presided over by the chair of the board, or in the absence of the chair of the board by the vice chair, if any, or in his or her absence by a chair chosen at the meeting. The secretary, or in the absence, of the secretary an assistant secretary, shall act as secretary of the meeting, but in the absence of the secretary and any assistant secretary, the chair of the meeting may appoint any person to act as secretary of the meeting. The order of business at each such meeting shall be as determined by the chair of the meeting.</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IV</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OFFICERS</w:t>
      </w:r>
    </w:p>
    <w:p>
      <w:pPr>
        <w:spacing w:after="0" w:line="20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4.1 </w:t>
      </w:r>
      <w:r>
        <w:rPr>
          <w:rFonts w:ascii="Arial" w:cs="Arial" w:eastAsia="Arial" w:hAnsi="Arial"/>
          <w:sz w:val="20"/>
          <w:szCs w:val="20"/>
          <w:u w:val="single" w:color="auto"/>
          <w:color w:val="auto"/>
        </w:rPr>
        <w:t>Election</w:t>
      </w:r>
      <w:r>
        <w:rPr>
          <w:rFonts w:ascii="Arial" w:cs="Arial" w:eastAsia="Arial" w:hAnsi="Arial"/>
          <w:sz w:val="20"/>
          <w:szCs w:val="20"/>
          <w:color w:val="auto"/>
        </w:rPr>
        <w:t>. The Board of Directors shall elect or appoint a president, a secretary and a treasurer or the equivalents of such officers. Such officers shall serve until their respective successors are elected and appointed and shall qualify or until their earlier resignation or removal.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420"/>
          </w:cols>
          <w:pgMar w:left="240" w:top="1440" w:right="239" w:bottom="1440" w:gutter="0" w:footer="0" w:header="0"/>
        </w:sectPr>
      </w:pPr>
    </w:p>
    <w:bookmarkStart w:id="134" w:name="page135"/>
    <w:bookmarkEnd w:id="134"/>
    <w:p>
      <w:pPr>
        <w:spacing w:after="0" w:line="19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Board of Directors may from time to time, by resolution, elect or appoint such other officers and agents as it may deem advisable, who shall hold office at the pleasure of the Board of Directors, and shall have such powers and duties and be paid such compensation as may be directed by the Board of Directors. Any individual may hold two or more offices.</w:t>
      </w:r>
    </w:p>
    <w:p>
      <w:pPr>
        <w:spacing w:after="0" w:line="186"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Removal; Resignation</w:t>
      </w:r>
      <w:r>
        <w:rPr>
          <w:rFonts w:ascii="Arial" w:cs="Arial" w:eastAsia="Arial" w:hAnsi="Arial"/>
          <w:sz w:val="18"/>
          <w:szCs w:val="18"/>
          <w:color w:val="auto"/>
        </w:rPr>
        <w:t>. Any officer or agent elected or appointed by the Board of Directors may be removed by the Board of Directors with or without cause. Any officer may resign at any time upon written notice to the Corporation. Any such removal or resignation shall be subject to the rights, if any, of the respective parties under any contract between the Corporation and such officer or agent.</w:t>
      </w:r>
    </w:p>
    <w:p>
      <w:pPr>
        <w:spacing w:after="0" w:line="15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Section 4.3 </w:t>
      </w:r>
      <w:r>
        <w:rPr>
          <w:rFonts w:ascii="Arial" w:cs="Arial" w:eastAsia="Arial" w:hAnsi="Arial"/>
          <w:sz w:val="20"/>
          <w:szCs w:val="20"/>
          <w:u w:val="single" w:color="auto"/>
          <w:color w:val="auto"/>
        </w:rPr>
        <w:t>Vacancies</w:t>
      </w:r>
      <w:r>
        <w:rPr>
          <w:rFonts w:ascii="Arial" w:cs="Arial" w:eastAsia="Arial" w:hAnsi="Arial"/>
          <w:sz w:val="20"/>
          <w:szCs w:val="20"/>
          <w:color w:val="auto"/>
        </w:rPr>
        <w:t>. Any vacancy in any office because of death, resignation, removal or otherwise may be filled by the Board of Directors for the unexpired portion of the term of such office.</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Section 4.4 </w:t>
      </w:r>
      <w:r>
        <w:rPr>
          <w:rFonts w:ascii="Arial" w:cs="Arial" w:eastAsia="Arial" w:hAnsi="Arial"/>
          <w:sz w:val="20"/>
          <w:szCs w:val="20"/>
          <w:u w:val="single" w:color="auto"/>
          <w:color w:val="auto"/>
        </w:rPr>
        <w:t>Chief Executive Officer</w:t>
      </w:r>
      <w:r>
        <w:rPr>
          <w:rFonts w:ascii="Arial" w:cs="Arial" w:eastAsia="Arial" w:hAnsi="Arial"/>
          <w:sz w:val="20"/>
          <w:szCs w:val="20"/>
          <w:color w:val="auto"/>
        </w:rPr>
        <w:t>. The Board of Directors may elect a chief executive officer who, subject to the supervision and control of the Board of Directors, shall have the ultimate responsibility for the management and control of the business and affairs of the Corporation, and perform such other duties and have such other powers which are delegated to him or her by the Board of Directors, these Bylaws or as provided by law.</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 xml:space="preserve">Section 4.5 </w:t>
      </w:r>
      <w:r>
        <w:rPr>
          <w:rFonts w:ascii="Arial" w:cs="Arial" w:eastAsia="Arial" w:hAnsi="Arial"/>
          <w:sz w:val="19"/>
          <w:szCs w:val="19"/>
          <w:u w:val="single" w:color="auto"/>
          <w:color w:val="auto"/>
        </w:rPr>
        <w:t>President</w:t>
      </w:r>
      <w:r>
        <w:rPr>
          <w:rFonts w:ascii="Arial" w:cs="Arial" w:eastAsia="Arial" w:hAnsi="Arial"/>
          <w:sz w:val="19"/>
          <w:szCs w:val="19"/>
          <w:color w:val="auto"/>
        </w:rPr>
        <w:t>. The president, subject to the supervision and control of the Board of Directors, shall in general actively supervise and control the business and affairs of the Corporation. The president shall keep the Board of Directors fully informed as the Board of Directors may request and shall consult the Board of Directors concerning the business of the Corporation. The president shall perform such other duties and have such other powers which are delegated and assigned to him or her by the Board of Directors, the chief executive officer, if any, these Bylaws or as provided by law. The president shall be the chief executive officer of the Corporation unless the Board of Directors shall elect or appoint different individuals to hold such positions.</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 xml:space="preserve">Section 4.6 </w:t>
      </w:r>
      <w:r>
        <w:rPr>
          <w:rFonts w:ascii="Arial" w:cs="Arial" w:eastAsia="Arial" w:hAnsi="Arial"/>
          <w:sz w:val="19"/>
          <w:szCs w:val="19"/>
          <w:u w:val="single" w:color="auto"/>
          <w:color w:val="auto"/>
        </w:rPr>
        <w:t>Vice Presidents</w:t>
      </w:r>
      <w:r>
        <w:rPr>
          <w:rFonts w:ascii="Arial" w:cs="Arial" w:eastAsia="Arial" w:hAnsi="Arial"/>
          <w:sz w:val="19"/>
          <w:szCs w:val="19"/>
          <w:color w:val="auto"/>
        </w:rPr>
        <w:t>. The Board of Directors may elect one or more vice presidents. In the absence or disability of the president, or at the president’s request, the vice president or vice presidents, in order of their rank as fixed by the Board of Directors, and if not ranked, the vice presidents in the order designated by the Board of Directors, or in the absence of such designation, in the order designated by the president, shall perform all of the duties of the president, and when so acting, shall have all the powers of, and be subject to all the restrictions on the president. Each vice president shall perform such other duties and have such other powers which are delegated and assigned to him or her by the Board of Directors, the president, these Bylaws or as provided by law.</w:t>
      </w:r>
    </w:p>
    <w:p>
      <w:pPr>
        <w:spacing w:after="0" w:line="17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 xml:space="preserve">Section 4.7 </w:t>
      </w:r>
      <w:r>
        <w:rPr>
          <w:rFonts w:ascii="Arial" w:cs="Arial" w:eastAsia="Arial" w:hAnsi="Arial"/>
          <w:sz w:val="18"/>
          <w:szCs w:val="18"/>
          <w:u w:val="single" w:color="auto"/>
          <w:color w:val="auto"/>
        </w:rPr>
        <w:t>Secretary</w:t>
      </w:r>
      <w:r>
        <w:rPr>
          <w:rFonts w:ascii="Arial" w:cs="Arial" w:eastAsia="Arial" w:hAnsi="Arial"/>
          <w:sz w:val="18"/>
          <w:szCs w:val="18"/>
          <w:color w:val="auto"/>
        </w:rPr>
        <w:t>. The secretary shall attend all meetings of the stockholders, the Board of Directors and any committees thereof, and shall keep, or cause to be kept, the minutes of proceedings thereof in books provided for that purpose. He or she shall keep, or cause to be kept, a register of the stockholders of the Corporation and shall be responsible for the giving of notice of meetings of the stockholders, the Board of Directors and any committees, and shall see that all notices are duly given in accordance with the provisions of these Bylaws or as required by law. The secretary shall be custodian of the corporate seal, if any, the records of the Corporation, the stock certificate books, transfer books and stock ledgers, and such other books and papers as the Board of Directors or any appropriate committee may direct. The secretary shall perform all other duties commonly incident to his or her office and shall perform such other duties which are assigned to him or her by the Board of Directors, the chief executive officer, if any, the president, these Bylaws or as provided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420"/>
          </w:cols>
          <w:pgMar w:left="240" w:top="1440" w:right="239" w:bottom="1440" w:gutter="0" w:footer="0" w:header="0"/>
        </w:sectPr>
      </w:pPr>
    </w:p>
    <w:bookmarkStart w:id="135" w:name="page136"/>
    <w:bookmarkEnd w:id="135"/>
    <w:p>
      <w:pPr>
        <w:spacing w:after="0" w:line="19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4.8 </w:t>
      </w:r>
      <w:r>
        <w:rPr>
          <w:rFonts w:ascii="Arial" w:cs="Arial" w:eastAsia="Arial" w:hAnsi="Arial"/>
          <w:sz w:val="20"/>
          <w:szCs w:val="20"/>
          <w:u w:val="single" w:color="auto"/>
          <w:color w:val="auto"/>
        </w:rPr>
        <w:t>Assistant Secretaries</w:t>
      </w:r>
      <w:r>
        <w:rPr>
          <w:rFonts w:ascii="Arial" w:cs="Arial" w:eastAsia="Arial" w:hAnsi="Arial"/>
          <w:sz w:val="20"/>
          <w:szCs w:val="20"/>
          <w:color w:val="auto"/>
        </w:rPr>
        <w:t>. An assistant secretary shall, at the request of the secretary, or in the absence or disability of the secretary, perform all the duties of the secretary. He or she shall perform such other duties as are assigned to him or her by the Board of Directors, the chief executive officer, if any, the president, these Bylaws or as provided by law.</w:t>
      </w:r>
    </w:p>
    <w:p>
      <w:pPr>
        <w:spacing w:after="0" w:line="18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Section 4.9 </w:t>
      </w:r>
      <w:r>
        <w:rPr>
          <w:rFonts w:ascii="Arial" w:cs="Arial" w:eastAsia="Arial" w:hAnsi="Arial"/>
          <w:sz w:val="18"/>
          <w:szCs w:val="18"/>
          <w:u w:val="single" w:color="auto"/>
          <w:color w:val="auto"/>
        </w:rPr>
        <w:t>Treasurer</w:t>
      </w:r>
      <w:r>
        <w:rPr>
          <w:rFonts w:ascii="Arial" w:cs="Arial" w:eastAsia="Arial" w:hAnsi="Arial"/>
          <w:sz w:val="18"/>
          <w:szCs w:val="18"/>
          <w:color w:val="auto"/>
        </w:rPr>
        <w:t>. The treasurer, subject to the order of the Board of Directors, shall have the care and custody of, and be responsible for, all of the money, funds, securities, receipts and valuable papers, documents and instruments of the Corporation, and all books and records relating thereto. The treasurer shall keep, or cause to be kept, full and accurate books of accounts of the Corporation’s transactions, which shall be the property of the Corporation, and shall render financial reports and statements of condition of the Corporation when so requested by the Board of Directors, the chair of the board, if any, the chief executive officer, if any, or the president. The treasurer shall perform all other duties commonly incident to his or her office and such other duties as may, from time to time, be assigned to him or her by the Board of Directors, the chief executive officer, if any, the president, these Bylaws or as provided by law. The treasurer shall, if required by the Board of Directors, give bond to the Corporation in such sum and with such security as shall be approved by the Board of Directors for the faithful performance of all the duties of the treasurer and for restoration to the Corporation, in the event of the treasurer’s death, resignation, retirement or removal from office, of all books, records, papers, vouchers, money and other property in the treasurer’s custody or control and belonging to the Corporation. The expense of such bond shall be borne by the Corporation. If a chief financial officer of the Corporation has not been appointed, the treasurer may be deemed the chief financial officer of the Corporation.</w:t>
      </w:r>
    </w:p>
    <w:p>
      <w:pPr>
        <w:spacing w:after="0" w:line="17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u w:val="single" w:color="auto"/>
          <w:color w:val="auto"/>
        </w:rPr>
        <w:t>Assistant Treasurers</w:t>
      </w:r>
      <w:r>
        <w:rPr>
          <w:rFonts w:ascii="Arial" w:cs="Arial" w:eastAsia="Arial" w:hAnsi="Arial"/>
          <w:sz w:val="18"/>
          <w:szCs w:val="18"/>
          <w:color w:val="auto"/>
        </w:rPr>
        <w:t>. An assistant treasurer shall, at the request of the treasurer, or in the absence or disability of the treasurer, perform all the duties of the treasurer. He or she shall perform such other duties which are assigned to him or her by the Board of Directors, the chief executive officer, if any, the president, the treasurer, these Bylaws or as provided by law. The Board of Directors may require an assistant treasurer to give a bond to the Corporation in such sum and with such security as it may approve, for the faithful performance of the duties of the assistant treasurer, and for restoration to the Corporation, in the event of the assistant treasurer’s death, resignation, retirement or removal from office, of all books, records, papers, vouchers, money and other property in the assistant treasurer’s custody or control and belonging to the Corporation. The expense of such bond shall be borne by the Corporation.</w:t>
      </w:r>
    </w:p>
    <w:p>
      <w:pPr>
        <w:spacing w:after="0" w:line="16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 xml:space="preserve">Section 4.11 </w:t>
      </w:r>
      <w:r>
        <w:rPr>
          <w:rFonts w:ascii="Arial" w:cs="Arial" w:eastAsia="Arial" w:hAnsi="Arial"/>
          <w:sz w:val="18"/>
          <w:szCs w:val="18"/>
          <w:u w:val="single" w:color="auto"/>
          <w:color w:val="auto"/>
        </w:rPr>
        <w:t>Execution of Negotiable Instruments, Deeds and Contracts</w:t>
      </w:r>
      <w:r>
        <w:rPr>
          <w:rFonts w:ascii="Arial" w:cs="Arial" w:eastAsia="Arial" w:hAnsi="Arial"/>
          <w:sz w:val="18"/>
          <w:szCs w:val="18"/>
          <w:color w:val="auto"/>
        </w:rPr>
        <w:t>. All (i) checks, drafts, notes, bonds, bills of exchange, and orders for the payment of money of the Corporation, (ii) deeds, mortgages, proxies, powers of attorney and other written contracts, documents, instruments and agreements to which the Corporation shall be a party and (iii) assignments or endorsements of stock certificates, registered bonds or other securities owned by the Corporation shall be signed in the name of the Corporation by such officers or other persons as the Board of Directors may from time to time designate. The Board of Directors may authorize the use of the facsimile signatures of any such persons. Any officer of the Corporation shall be authorized to attend, act and vote, or designate another officer or an agent of the Corporation to attend, act and vote, at any meeting of the owners of any entity in which the Corporation may own an interest or to take action by written consent in lieu thereof. Such officer or agent, at any such meeting or by such written action, shall possess and may exercise on behalf of the Corporation any and all rights and powers incident to the ownership of such interest.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V</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CAPITAL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420"/>
          </w:cols>
          <w:pgMar w:left="240" w:top="1440" w:right="239" w:bottom="1440" w:gutter="0" w:footer="0" w:header="0"/>
        </w:sectPr>
      </w:pPr>
    </w:p>
    <w:bookmarkStart w:id="136" w:name="page137"/>
    <w:bookmarkEnd w:id="136"/>
    <w:p>
      <w:pPr>
        <w:spacing w:after="0" w:line="19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Section 5.1 </w:t>
      </w:r>
      <w:r>
        <w:rPr>
          <w:rFonts w:ascii="Arial" w:cs="Arial" w:eastAsia="Arial" w:hAnsi="Arial"/>
          <w:sz w:val="19"/>
          <w:szCs w:val="19"/>
          <w:u w:val="single" w:color="auto"/>
          <w:color w:val="auto"/>
        </w:rPr>
        <w:t>Issuance</w:t>
      </w:r>
      <w:r>
        <w:rPr>
          <w:rFonts w:ascii="Arial" w:cs="Arial" w:eastAsia="Arial" w:hAnsi="Arial"/>
          <w:sz w:val="19"/>
          <w:szCs w:val="19"/>
          <w:color w:val="auto"/>
        </w:rPr>
        <w:t>. Shares of the Corporation’s authorized capital stock shall, subject to any provisions or limitations of the laws of the State of Nevada, the Articles of Incorporation or any contracts or agreements to which the Corporation may be a party, be issued in such manner, at such times, upon such conditions and for such consideration as shall be prescribed by the Board of Directors.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5.2 </w:t>
      </w:r>
      <w:r>
        <w:rPr>
          <w:rFonts w:ascii="Arial" w:cs="Arial" w:eastAsia="Arial" w:hAnsi="Arial"/>
          <w:sz w:val="20"/>
          <w:szCs w:val="20"/>
          <w:u w:val="single" w:color="auto"/>
          <w:color w:val="auto"/>
        </w:rPr>
        <w:t>Stock Certificates and Uncertificated Shares</w:t>
      </w:r>
      <w:r>
        <w:rPr>
          <w:rFonts w:ascii="Arial" w:cs="Arial" w:eastAsia="Arial" w:hAnsi="Arial"/>
          <w:sz w:val="20"/>
          <w:szCs w:val="20"/>
          <w:color w:val="auto"/>
        </w:rPr>
        <w:t>.</w:t>
      </w:r>
    </w:p>
    <w:p>
      <w:pPr>
        <w:spacing w:after="0" w:line="216" w:lineRule="exact"/>
        <w:rPr>
          <w:sz w:val="20"/>
          <w:szCs w:val="20"/>
          <w:color w:val="auto"/>
        </w:rPr>
      </w:pPr>
    </w:p>
    <w:p>
      <w:pPr>
        <w:jc w:val="both"/>
        <w:ind w:firstLine="1305"/>
        <w:spacing w:after="0" w:line="270" w:lineRule="auto"/>
        <w:tabs>
          <w:tab w:leader="none" w:pos="1575" w:val="left"/>
        </w:tabs>
        <w:numPr>
          <w:ilvl w:val="0"/>
          <w:numId w:val="63"/>
        </w:numPr>
        <w:rPr>
          <w:rFonts w:ascii="Arial" w:cs="Arial" w:eastAsia="Arial" w:hAnsi="Arial"/>
          <w:sz w:val="18"/>
          <w:szCs w:val="18"/>
          <w:color w:val="auto"/>
        </w:rPr>
      </w:pPr>
      <w:r>
        <w:rPr>
          <w:rFonts w:ascii="Arial" w:cs="Arial" w:eastAsia="Arial" w:hAnsi="Arial"/>
          <w:sz w:val="18"/>
          <w:szCs w:val="18"/>
          <w:color w:val="auto"/>
        </w:rPr>
        <w:t>Every holder of stock in the Corporation shall be entitled to have a certificate signed by or in the name of the Corporation by (i) the chief executive officer, if any, the president, or a vice president, and (ii) the secretary, an assistant secretary, the treasurer or the chief financial officer, if any, of the Corporation (or any other two officers or agents so authorized by the Board of Directors), certifying the number of shares of stock owned by him, her or it in the Corporation; provided that the Board of Directors may authorize the issuance of uncertificated shares of some or all of any or all classes or series of the Corporation’s stock. Any such issuance of uncertificated shares shall have no effect on existing certificates for shares until such certificates are surrendered to the Corporation, or on the respective rights and obligations of the stockholders. Whenever any such certificate is countersigned or otherwise authenticated by a transfer agent or a transfer clerk and by a registrar (other than the Corporation), then a facsimile of the signatures of any corporate officers or agents, the transfer agent, transfer clerk or the registrar of the Corporation may be printed or lithographed upon the certificate in lieu of the actual signatures. In the event that any officer or officers who have signed, or whose facsimile signatures have been used on any certificate or certificates for stock cease to be an officer or officers because of death, resignation or other reason, before the certificate or certificates for stock have been delivered by the Corporation, the certificate or certificates may nevertheless be adopted by the Corporation and be issued and delivered as though the person or persons who signed the certificate or certificates, or whose facsimile signature or signatures have been used thereon, had not ceased to be an officer or officers of the Corporation.</w:t>
      </w:r>
    </w:p>
    <w:p>
      <w:pPr>
        <w:spacing w:after="0" w:line="170" w:lineRule="exact"/>
        <w:rPr>
          <w:rFonts w:ascii="Arial" w:cs="Arial" w:eastAsia="Arial" w:hAnsi="Arial"/>
          <w:sz w:val="18"/>
          <w:szCs w:val="18"/>
          <w:color w:val="auto"/>
        </w:rPr>
      </w:pPr>
    </w:p>
    <w:p>
      <w:pPr>
        <w:jc w:val="both"/>
        <w:ind w:firstLine="1305"/>
        <w:spacing w:after="0" w:line="274" w:lineRule="auto"/>
        <w:tabs>
          <w:tab w:leader="none" w:pos="1582" w:val="left"/>
        </w:tabs>
        <w:numPr>
          <w:ilvl w:val="0"/>
          <w:numId w:val="63"/>
        </w:numPr>
        <w:rPr>
          <w:rFonts w:ascii="Arial" w:cs="Arial" w:eastAsia="Arial" w:hAnsi="Arial"/>
          <w:sz w:val="18"/>
          <w:szCs w:val="18"/>
          <w:color w:val="auto"/>
        </w:rPr>
      </w:pPr>
      <w:r>
        <w:rPr>
          <w:rFonts w:ascii="Arial" w:cs="Arial" w:eastAsia="Arial" w:hAnsi="Arial"/>
          <w:sz w:val="18"/>
          <w:szCs w:val="18"/>
          <w:color w:val="auto"/>
        </w:rPr>
        <w:t>Within a reasonable time after the issuance or transfer of uncertificated shares, the Corporation shall send to the registered owner thereof a written statement certifying the number and class (and the designation of the series, if any) of the shares owned by such stockholder in the Corporation and any restrictions on the transfer or registration of such shares imposed by the Articles of Incorporation, these Bylaws, any agreement among stockholders or any agreement between the stockholders and the Corporation, and, at least annually thereafter, the Corporation shall provide to such stockholders of record holding uncertificated shares, a written statement confirming the information contained in such written statement previously sent. Except as otherwise expressly provided by the NRS, the rights and obligations of the stockholders of the Corporation shall be identical whether or not their shares of stock are represented by certificates.</w:t>
      </w:r>
    </w:p>
    <w:p>
      <w:pPr>
        <w:spacing w:after="0" w:line="169" w:lineRule="exact"/>
        <w:rPr>
          <w:rFonts w:ascii="Arial" w:cs="Arial" w:eastAsia="Arial" w:hAnsi="Arial"/>
          <w:sz w:val="18"/>
          <w:szCs w:val="18"/>
          <w:color w:val="auto"/>
        </w:rPr>
      </w:pPr>
    </w:p>
    <w:p>
      <w:pPr>
        <w:jc w:val="both"/>
        <w:ind w:firstLine="1305"/>
        <w:spacing w:after="0" w:line="274" w:lineRule="auto"/>
        <w:tabs>
          <w:tab w:leader="none" w:pos="1624" w:val="left"/>
        </w:tabs>
        <w:numPr>
          <w:ilvl w:val="0"/>
          <w:numId w:val="63"/>
        </w:numPr>
        <w:rPr>
          <w:rFonts w:ascii="Arial" w:cs="Arial" w:eastAsia="Arial" w:hAnsi="Arial"/>
          <w:sz w:val="18"/>
          <w:szCs w:val="18"/>
          <w:color w:val="auto"/>
        </w:rPr>
      </w:pPr>
      <w:r>
        <w:rPr>
          <w:rFonts w:ascii="Arial" w:cs="Arial" w:eastAsia="Arial" w:hAnsi="Arial"/>
          <w:sz w:val="18"/>
          <w:szCs w:val="18"/>
          <w:color w:val="auto"/>
        </w:rPr>
        <w:t>Each certificate representing shares shall state the following upon the face thereof: the name of the state of the Corporation’s organization; the name of the person to whom issued; the number and class of shares and the designation of the series, if any, which such certificate represents; the par value of each share, if any, represented by such certificate or a statement that the shares are without par value. Certificates of stock shall be in such form consistent with law as shall be prescribed by the Board of Directors. No certificate shall be issued until the shares represented thereby are fully paid. In addition to the foregoing, all certificates evidencing shares of the Corporation’s stock or other securities issued by the Corporation shall contain such legend or legends as may from time to time be required by the NRS and/or the regulations of the Nevada Gaming Commission then in effect, or such other federal, state or local laws or regulations then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420"/>
          </w:cols>
          <w:pgMar w:left="240" w:top="1440" w:right="239" w:bottom="1440" w:gutter="0" w:footer="0" w:header="0"/>
        </w:sectPr>
      </w:pPr>
    </w:p>
    <w:bookmarkStart w:id="137" w:name="page138"/>
    <w:bookmarkEnd w:id="137"/>
    <w:p>
      <w:pPr>
        <w:spacing w:after="0" w:line="19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Surrendered; Lost or Destroyed Certificates</w:t>
      </w:r>
      <w:r>
        <w:rPr>
          <w:rFonts w:ascii="Arial" w:cs="Arial" w:eastAsia="Arial" w:hAnsi="Arial"/>
          <w:sz w:val="18"/>
          <w:szCs w:val="18"/>
          <w:color w:val="auto"/>
        </w:rPr>
        <w:t>. All certificates surrendered to the Corporation, except those representing shares of treasury stock, shall be canceled and no new certificate shall be issued until the former certificate for a like number of shares shall have been canceled, except that in case of a lost, stolen, destroyed or mutilated certificate, a new one may be issued therefor. However, any stockholder applying for the issuance of a stock certificate in lieu of one alleged to have been lost, stolen, destroyed or mutilated shall, prior to the issuance of a replacement, provide the Corporation with his, her or its affidavit of the facts surrounding the loss, theft, destruction or mutilation and, if required by the Board of Directors, an indemnity bond in an amount not less than twice the current market value of the stock, and upon such terms as the treasurer or the Board of Directors shall require which shall indemnify the Corporation against any loss, damage, cost or inconvenience arising as a consequence of the issuance of a replacement certificate.</w:t>
      </w:r>
    </w:p>
    <w:p>
      <w:pPr>
        <w:spacing w:after="0" w:line="16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Replacement Certificate</w:t>
      </w:r>
      <w:r>
        <w:rPr>
          <w:rFonts w:ascii="Arial" w:cs="Arial" w:eastAsia="Arial" w:hAnsi="Arial"/>
          <w:sz w:val="18"/>
          <w:szCs w:val="18"/>
          <w:color w:val="auto"/>
        </w:rPr>
        <w:t>. When the Articles of Incorporation are amended in any way affecting the statements contained in the certificates for outstanding shares of capital stock of the Corporation or it becomes desirable for any reason, in the discretion of the Board of Directors, including, without limitation, the merger of the Corporation with another Corporation or the conversion or reorganization of the Corporation, to cancel any outstanding certificate for shares and issue a new certificate therefor conforming to the rights of the holder, the Board of Directors may order any holders of outstanding certificates for shares to surrender and exchange the same for new certificates within a reasonable time to be fixed by the Board of Directors. The order may provide that a holder of any certificate(s) ordered to be surrendered shall not be entitled to vote, receive distributions or exercise any other rights of stockholders of record until the holder has complied with the order, but the order operates to suspend such rights only after notice and until compliance.</w:t>
      </w:r>
    </w:p>
    <w:p>
      <w:pPr>
        <w:spacing w:after="0" w:line="16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Section 5.5 </w:t>
      </w:r>
      <w:r>
        <w:rPr>
          <w:rFonts w:ascii="Arial" w:cs="Arial" w:eastAsia="Arial" w:hAnsi="Arial"/>
          <w:sz w:val="20"/>
          <w:szCs w:val="20"/>
          <w:u w:val="single" w:color="auto"/>
          <w:color w:val="auto"/>
        </w:rPr>
        <w:t>Transfer of Shares</w:t>
      </w:r>
      <w:r>
        <w:rPr>
          <w:rFonts w:ascii="Arial" w:cs="Arial" w:eastAsia="Arial" w:hAnsi="Arial"/>
          <w:sz w:val="20"/>
          <w:szCs w:val="20"/>
          <w:color w:val="auto"/>
        </w:rPr>
        <w:t>. No transfer of stock shall be valid as against the Corporation except on surrender and cancellation of any certificate(s) therefor accompanied by an assignment or transfer by the registered owner made either in person or under assignment. Whenever any transfer shall be expressly made for collateral security and not absolutely, the collateral nature of the transfer shall be reflected in the entry of transfer in the records of the Corporation.</w:t>
      </w:r>
    </w:p>
    <w:p>
      <w:pPr>
        <w:spacing w:after="0" w:line="19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5.6 </w:t>
      </w:r>
      <w:r>
        <w:rPr>
          <w:rFonts w:ascii="Arial" w:cs="Arial" w:eastAsia="Arial" w:hAnsi="Arial"/>
          <w:sz w:val="20"/>
          <w:szCs w:val="20"/>
          <w:u w:val="single" w:color="auto"/>
          <w:color w:val="auto"/>
        </w:rPr>
        <w:t>Transfer Agent; Registrars</w:t>
      </w:r>
      <w:r>
        <w:rPr>
          <w:rFonts w:ascii="Arial" w:cs="Arial" w:eastAsia="Arial" w:hAnsi="Arial"/>
          <w:sz w:val="20"/>
          <w:szCs w:val="20"/>
          <w:color w:val="auto"/>
        </w:rPr>
        <w:t>. The Board of Directors may appoint one or more transfer agents, transfer clerks and registrars of transfer and may require all certificates for shares of stock to bear the signature of such transfer agents, transfer clerks and/or registrars of transfer.</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5.7 </w:t>
      </w:r>
      <w:r>
        <w:rPr>
          <w:rFonts w:ascii="Arial" w:cs="Arial" w:eastAsia="Arial" w:hAnsi="Arial"/>
          <w:sz w:val="20"/>
          <w:szCs w:val="20"/>
          <w:u w:val="single" w:color="auto"/>
          <w:color w:val="auto"/>
        </w:rPr>
        <w:t>Miscellaneous</w:t>
      </w:r>
      <w:r>
        <w:rPr>
          <w:rFonts w:ascii="Arial" w:cs="Arial" w:eastAsia="Arial" w:hAnsi="Arial"/>
          <w:sz w:val="20"/>
          <w:szCs w:val="20"/>
          <w:color w:val="auto"/>
        </w:rPr>
        <w:t>. The Board of Directors shall have the power and authority to make such rules and regulations not inconsistent herewith as it may deem expedient concerning the issue, transfer, and registration of certificates for shares of the Corporation’s stock.</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Section 5.8 </w:t>
      </w:r>
      <w:r>
        <w:rPr>
          <w:rFonts w:ascii="Arial" w:cs="Arial" w:eastAsia="Arial" w:hAnsi="Arial"/>
          <w:sz w:val="20"/>
          <w:szCs w:val="20"/>
          <w:u w:val="single" w:color="auto"/>
          <w:color w:val="auto"/>
        </w:rPr>
        <w:t>Inapplicability of Controlling Interest Statutes</w:t>
      </w:r>
      <w:r>
        <w:rPr>
          <w:rFonts w:ascii="Arial" w:cs="Arial" w:eastAsia="Arial" w:hAnsi="Arial"/>
          <w:sz w:val="20"/>
          <w:szCs w:val="20"/>
          <w:color w:val="auto"/>
        </w:rPr>
        <w:t>. Notwithstanding any other provision in these Bylaws to the contrary, and in accordance with the provisions of NRS 78.378, the provisions of NRS 78.378 to 78.3793, inclusive (or any successor statutes thereto), relating to acquisitions of controlling interests in the Corporation do not apply to any and all acquisitions of shares of the Corporation’s common stock, par value $.01 per share, effected by the Corporation.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VI</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DISTRIBUTIONS</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Distributions may be declared, subject to the provisions of the laws of the State of Nevada and the Articles of Incorporation, by the Board of Directors and may be paid in money, shares of corporate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420"/>
          </w:cols>
          <w:pgMar w:left="240" w:top="1440" w:right="239" w:bottom="1440" w:gutter="0" w:footer="0" w:header="0"/>
        </w:sectPr>
      </w:pPr>
    </w:p>
    <w:bookmarkStart w:id="138" w:name="page139"/>
    <w:bookmarkEnd w:id="138"/>
    <w:p>
      <w:pPr>
        <w:spacing w:after="0" w:line="196"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property or any other medium not prohibited under applicable law. The Board of Directors may fix in advance a record date, in accordance with and as provided in Section 2.5, prior to the distribution for the purpose of determining stockholders entitled to receive any distribution.</w:t>
      </w:r>
    </w:p>
    <w:p>
      <w:pPr>
        <w:spacing w:after="0" w:line="130" w:lineRule="exact"/>
        <w:rPr>
          <w:sz w:val="20"/>
          <w:szCs w:val="20"/>
          <w:color w:val="auto"/>
        </w:rPr>
      </w:pPr>
    </w:p>
    <w:p>
      <w:pPr>
        <w:ind w:left="5140"/>
        <w:spacing w:after="0"/>
        <w:rPr>
          <w:sz w:val="20"/>
          <w:szCs w:val="20"/>
          <w:color w:val="auto"/>
        </w:rPr>
      </w:pPr>
      <w:r>
        <w:rPr>
          <w:rFonts w:ascii="Arial" w:cs="Arial" w:eastAsia="Arial" w:hAnsi="Arial"/>
          <w:sz w:val="20"/>
          <w:szCs w:val="20"/>
          <w:color w:val="auto"/>
        </w:rPr>
        <w:t>ARTICLE VII</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RECORDS AND REPORTS; CORPORATE SEAL; FISCAL YEAR</w:t>
      </w:r>
    </w:p>
    <w:p>
      <w:pPr>
        <w:spacing w:after="0" w:line="200"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Records</w:t>
      </w:r>
      <w:r>
        <w:rPr>
          <w:rFonts w:ascii="Arial" w:cs="Arial" w:eastAsia="Arial" w:hAnsi="Arial"/>
          <w:sz w:val="18"/>
          <w:szCs w:val="18"/>
          <w:color w:val="auto"/>
        </w:rPr>
        <w:t>. All original records of the Corporation, shall be kept at the principal office of the Corporation by or under the direction of the secretary or at such other place or by such other person as may be prescribed by these Bylaws or the Board of Directors.</w:t>
      </w:r>
    </w:p>
    <w:p>
      <w:pPr>
        <w:spacing w:after="0" w:line="13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7.2 </w:t>
      </w:r>
      <w:r>
        <w:rPr>
          <w:rFonts w:ascii="Arial" w:cs="Arial" w:eastAsia="Arial" w:hAnsi="Arial"/>
          <w:sz w:val="20"/>
          <w:szCs w:val="20"/>
          <w:u w:val="single" w:color="auto"/>
          <w:color w:val="auto"/>
        </w:rPr>
        <w:t>Corporate Seal</w:t>
      </w:r>
      <w:r>
        <w:rPr>
          <w:rFonts w:ascii="Arial" w:cs="Arial" w:eastAsia="Arial" w:hAnsi="Arial"/>
          <w:sz w:val="20"/>
          <w:szCs w:val="20"/>
          <w:color w:val="auto"/>
        </w:rPr>
        <w:t>. The Board of Directors may, by resolution, authorize a seal, and the seal may be used by causing it, or a facsimile, to be impressed or affixed or reproduced or otherwise. Except when otherwise specifically provided herein, any officer of the Corporation shall have the authority to affix the seal to any document requiring it.</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Section 7.3 </w:t>
      </w:r>
      <w:r>
        <w:rPr>
          <w:rFonts w:ascii="Arial" w:cs="Arial" w:eastAsia="Arial" w:hAnsi="Arial"/>
          <w:sz w:val="20"/>
          <w:szCs w:val="20"/>
          <w:u w:val="single" w:color="auto"/>
          <w:color w:val="auto"/>
        </w:rPr>
        <w:t>Fiscal Year-End</w:t>
      </w:r>
      <w:r>
        <w:rPr>
          <w:rFonts w:ascii="Arial" w:cs="Arial" w:eastAsia="Arial" w:hAnsi="Arial"/>
          <w:sz w:val="20"/>
          <w:szCs w:val="20"/>
          <w:color w:val="auto"/>
        </w:rPr>
        <w:t>. The fiscal year-end of the Corporation shall be such date as may be fixed from time to time by resolution of the Board of Directors.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VIII</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INDEMNIFICATION</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8.1 </w:t>
      </w:r>
      <w:r>
        <w:rPr>
          <w:rFonts w:ascii="Arial" w:cs="Arial" w:eastAsia="Arial" w:hAnsi="Arial"/>
          <w:sz w:val="20"/>
          <w:szCs w:val="20"/>
          <w:u w:val="single" w:color="auto"/>
          <w:color w:val="auto"/>
        </w:rPr>
        <w:t>Indemnification and Insurance</w:t>
      </w:r>
      <w:r>
        <w:rPr>
          <w:rFonts w:ascii="Arial" w:cs="Arial" w:eastAsia="Arial" w:hAnsi="Arial"/>
          <w:sz w:val="20"/>
          <w:szCs w:val="20"/>
          <w:color w:val="auto"/>
        </w:rPr>
        <w:t>.</w:t>
      </w:r>
    </w:p>
    <w:p>
      <w:pPr>
        <w:spacing w:after="0" w:line="216" w:lineRule="exact"/>
        <w:rPr>
          <w:sz w:val="20"/>
          <w:szCs w:val="20"/>
          <w:color w:val="auto"/>
        </w:rPr>
      </w:pPr>
    </w:p>
    <w:p>
      <w:pPr>
        <w:ind w:left="1580" w:hanging="275"/>
        <w:spacing w:after="0"/>
        <w:tabs>
          <w:tab w:leader="none" w:pos="1580" w:val="left"/>
        </w:tabs>
        <w:numPr>
          <w:ilvl w:val="0"/>
          <w:numId w:val="64"/>
        </w:numPr>
        <w:rPr>
          <w:rFonts w:ascii="Arial" w:cs="Arial" w:eastAsia="Arial" w:hAnsi="Arial"/>
          <w:sz w:val="20"/>
          <w:szCs w:val="20"/>
          <w:color w:val="auto"/>
        </w:rPr>
      </w:pPr>
      <w:r>
        <w:rPr>
          <w:rFonts w:ascii="Arial" w:cs="Arial" w:eastAsia="Arial" w:hAnsi="Arial"/>
          <w:sz w:val="20"/>
          <w:szCs w:val="20"/>
          <w:u w:val="single" w:color="auto"/>
          <w:color w:val="auto"/>
        </w:rPr>
        <w:t>Indemnification of Directors and Officers</w:t>
      </w:r>
      <w:r>
        <w:rPr>
          <w:rFonts w:ascii="Arial" w:cs="Arial" w:eastAsia="Arial" w:hAnsi="Arial"/>
          <w:sz w:val="20"/>
          <w:szCs w:val="20"/>
          <w:color w:val="auto"/>
        </w:rPr>
        <w:t>.</w:t>
      </w:r>
    </w:p>
    <w:p>
      <w:pPr>
        <w:spacing w:after="0" w:line="209" w:lineRule="exact"/>
        <w:rPr>
          <w:rFonts w:ascii="Arial" w:cs="Arial" w:eastAsia="Arial" w:hAnsi="Arial"/>
          <w:sz w:val="20"/>
          <w:szCs w:val="20"/>
          <w:color w:val="auto"/>
        </w:rPr>
      </w:pPr>
    </w:p>
    <w:p>
      <w:pPr>
        <w:jc w:val="both"/>
        <w:ind w:firstLine="1953"/>
        <w:spacing w:after="0" w:line="257" w:lineRule="auto"/>
        <w:tabs>
          <w:tab w:leader="none" w:pos="2197" w:val="left"/>
        </w:tabs>
        <w:numPr>
          <w:ilvl w:val="1"/>
          <w:numId w:val="64"/>
        </w:numPr>
        <w:rPr>
          <w:rFonts w:ascii="Arial" w:cs="Arial" w:eastAsia="Arial" w:hAnsi="Arial"/>
          <w:sz w:val="19"/>
          <w:szCs w:val="19"/>
          <w:color w:val="auto"/>
        </w:rPr>
      </w:pPr>
      <w:r>
        <w:rPr>
          <w:rFonts w:ascii="Arial" w:cs="Arial" w:eastAsia="Arial" w:hAnsi="Arial"/>
          <w:sz w:val="19"/>
          <w:szCs w:val="19"/>
          <w:color w:val="auto"/>
        </w:rPr>
        <w:t>For purposes of this Article, (A) “</w:t>
      </w:r>
      <w:r>
        <w:rPr>
          <w:rFonts w:ascii="Arial" w:cs="Arial" w:eastAsia="Arial" w:hAnsi="Arial"/>
          <w:sz w:val="19"/>
          <w:szCs w:val="19"/>
          <w:b w:val="1"/>
          <w:bCs w:val="1"/>
          <w:color w:val="auto"/>
        </w:rPr>
        <w:t>Indemnitee</w:t>
      </w:r>
      <w:r>
        <w:rPr>
          <w:rFonts w:ascii="Arial" w:cs="Arial" w:eastAsia="Arial" w:hAnsi="Arial"/>
          <w:sz w:val="19"/>
          <w:szCs w:val="19"/>
          <w:color w:val="auto"/>
        </w:rPr>
        <w:t>” shall mean each director or officer who was or is a party to, or is threatened to be made a party to, or is otherwise involved in, any Proceeding (as hereinafter defined), by reason of the fact that he or she is or was a director, officer, employee or agent (including, without limitation, as a trustee, fiduciary, administrator or manager) of the Corporation or member, manager or managing member of a predecessor limited liability company or affiliate of such limited liability company or is or was serving in any capacity at the request of the Corporation as a director, officer, employee or agent (including, without limitation, as a trustee, fiduciary administrator, partner, member or manager) of, or in any other capacity for, another corporation or any partnership, joint venture, limited liability company, trust, or other enterprise; and (B) “</w:t>
      </w:r>
      <w:r>
        <w:rPr>
          <w:rFonts w:ascii="Arial" w:cs="Arial" w:eastAsia="Arial" w:hAnsi="Arial"/>
          <w:sz w:val="19"/>
          <w:szCs w:val="19"/>
          <w:b w:val="1"/>
          <w:bCs w:val="1"/>
          <w:color w:val="auto"/>
        </w:rPr>
        <w:t>Proceeding</w:t>
      </w:r>
      <w:r>
        <w:rPr>
          <w:rFonts w:ascii="Arial" w:cs="Arial" w:eastAsia="Arial" w:hAnsi="Arial"/>
          <w:sz w:val="19"/>
          <w:szCs w:val="19"/>
          <w:color w:val="auto"/>
        </w:rPr>
        <w:t>” shall mean any threatened, pending, or completed action, suit or proceeding (including, without limitation, an action, suit or proceeding by or in the right of the Corporation), whether civil, criminal, administrative, or investigative.</w:t>
      </w:r>
    </w:p>
    <w:p>
      <w:pPr>
        <w:spacing w:after="0" w:line="182" w:lineRule="exact"/>
        <w:rPr>
          <w:rFonts w:ascii="Arial" w:cs="Arial" w:eastAsia="Arial" w:hAnsi="Arial"/>
          <w:sz w:val="19"/>
          <w:szCs w:val="19"/>
          <w:color w:val="auto"/>
        </w:rPr>
      </w:pPr>
    </w:p>
    <w:p>
      <w:pPr>
        <w:jc w:val="both"/>
        <w:ind w:firstLine="1953"/>
        <w:spacing w:after="0" w:line="273" w:lineRule="auto"/>
        <w:tabs>
          <w:tab w:leader="none" w:pos="2249" w:val="left"/>
        </w:tabs>
        <w:numPr>
          <w:ilvl w:val="1"/>
          <w:numId w:val="64"/>
        </w:numPr>
        <w:rPr>
          <w:rFonts w:ascii="Arial" w:cs="Arial" w:eastAsia="Arial" w:hAnsi="Arial"/>
          <w:sz w:val="18"/>
          <w:szCs w:val="18"/>
          <w:color w:val="auto"/>
        </w:rPr>
      </w:pPr>
      <w:r>
        <w:rPr>
          <w:rFonts w:ascii="Arial" w:cs="Arial" w:eastAsia="Arial" w:hAnsi="Arial"/>
          <w:sz w:val="18"/>
          <w:szCs w:val="18"/>
          <w:color w:val="auto"/>
        </w:rPr>
        <w:t xml:space="preserve">Each Indemnitee shall be indemnified and held harmless by the Corporation to the fullest extent permitted by the laws of the State of Nevada, against all expense, liability and loss (including, without limitation, attorneys’ fees, judgments, fines, taxes, penalties, and amounts paid or to be paid in settlement) reasonably incurred or suffered by the Indemnitee in connection with any Proceeding; provided that such Indemnitee either is not liable pursuant to NRS 78.138 or acted in good faith and in a manner such Indemnitee reasonably believed to be in or not opposed to the best interests of the Corporation and, with respect to any Proceeding that is criminal in nature, had no reasonable cause to believe that his or her conduct was unlawful. The termination of any Proceeding by judgment, order, settlement, conviction or upon a plea of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or its equivalent, does not, of itself, create a presumption that the Indemnitee is liable pursuant to NRS 78.138 or did not act in good faith and in a manner in which he or she reasonably believed to be in or not opposed to the best interests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420"/>
          </w:cols>
          <w:pgMar w:left="240" w:top="1440" w:right="239" w:bottom="1440" w:gutter="0" w:footer="0" w:header="0"/>
        </w:sectPr>
      </w:pPr>
    </w:p>
    <w:bookmarkStart w:id="139" w:name="page140"/>
    <w:bookmarkEnd w:id="139"/>
    <w:p>
      <w:pPr>
        <w:spacing w:after="0" w:line="196"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Corporation, or that, with respect to any criminal proceeding he or she had reasonable cause to believe that his or her conduct was unlawful. The Corporation shall not indemnify an Indemnitee for any claim, issue or matter as to which the Indemnitee has been adjudged by a court of competent jurisdiction, after exhaustion of all appeals therefrom, to be liable to the Corporation or for any amounts paid in settlement to the Corporation, unless and only to the extent that the court in which the Proceeding was brought or other court of competent jurisdiction determines upon application that in view of all the circumstances of the case, the Indemnitee is fairly and reasonably entitled to indemnity for such amounts as the court deems proper. Except as so ordered by a court and for advancement of expenses pursuant to this Section, indemnification may not be made to or on behalf of an Indemnitee if a final adjudication establishes that his or her acts or omissions involved intentional misconduct, fraud or a knowing violation of law and was material to the cause of action. Notwithstanding anything to the contrary contained in these Bylaws, no director or officer may be indemnified for expenses incurred in defending any threatened, pending, or completed action, suit or proceeding (including without limitation, an action, suit or proceeding by or in the right of the Corporation), whether civil, criminal, administrative or investigative, that such director or officer incurred in his or her capacity as a stockholder, including, but not limited to, in connection with such person being deemed an Unsuitable Person (as defined in Article VII of the Articles of Incorporation).</w:t>
      </w:r>
    </w:p>
    <w:p>
      <w:pPr>
        <w:spacing w:after="0" w:line="177" w:lineRule="exact"/>
        <w:rPr>
          <w:sz w:val="20"/>
          <w:szCs w:val="20"/>
          <w:color w:val="auto"/>
        </w:rPr>
      </w:pPr>
    </w:p>
    <w:p>
      <w:pPr>
        <w:jc w:val="both"/>
        <w:ind w:firstLine="1953"/>
        <w:spacing w:after="0" w:line="244" w:lineRule="auto"/>
        <w:tabs>
          <w:tab w:leader="none" w:pos="2315" w:val="left"/>
        </w:tabs>
        <w:numPr>
          <w:ilvl w:val="1"/>
          <w:numId w:val="65"/>
        </w:numPr>
        <w:rPr>
          <w:rFonts w:ascii="Arial" w:cs="Arial" w:eastAsia="Arial" w:hAnsi="Arial"/>
          <w:sz w:val="20"/>
          <w:szCs w:val="20"/>
          <w:color w:val="auto"/>
        </w:rPr>
      </w:pPr>
      <w:r>
        <w:rPr>
          <w:rFonts w:ascii="Arial" w:cs="Arial" w:eastAsia="Arial" w:hAnsi="Arial"/>
          <w:sz w:val="20"/>
          <w:szCs w:val="20"/>
          <w:color w:val="auto"/>
        </w:rPr>
        <w:t>Indemnification pursuant to this Section shall continue as to an Indemnitee who has ceased to be a director or officer of the Corporation or member, manager or managing member of a predecessor limited liability company or affiliate of such limited liability company or a director, officer, employee, agent, partner, member, manager or fiduciary of, or to serve in any other capacity for, another corporation or any partnership, joint venture, limited liability company, trust, or other enterprise and shall inure to the benefit of his or her heirs, executors and administrators.</w:t>
      </w:r>
    </w:p>
    <w:p>
      <w:pPr>
        <w:spacing w:after="0" w:line="194" w:lineRule="exact"/>
        <w:rPr>
          <w:rFonts w:ascii="Arial" w:cs="Arial" w:eastAsia="Arial" w:hAnsi="Arial"/>
          <w:sz w:val="20"/>
          <w:szCs w:val="20"/>
          <w:color w:val="auto"/>
        </w:rPr>
      </w:pPr>
    </w:p>
    <w:p>
      <w:pPr>
        <w:jc w:val="both"/>
        <w:ind w:firstLine="1953"/>
        <w:spacing w:after="0" w:line="243" w:lineRule="auto"/>
        <w:tabs>
          <w:tab w:leader="none" w:pos="2287" w:val="left"/>
        </w:tabs>
        <w:numPr>
          <w:ilvl w:val="1"/>
          <w:numId w:val="65"/>
        </w:numPr>
        <w:rPr>
          <w:rFonts w:ascii="Arial" w:cs="Arial" w:eastAsia="Arial" w:hAnsi="Arial"/>
          <w:sz w:val="20"/>
          <w:szCs w:val="20"/>
          <w:color w:val="auto"/>
        </w:rPr>
      </w:pPr>
      <w:r>
        <w:rPr>
          <w:rFonts w:ascii="Arial" w:cs="Arial" w:eastAsia="Arial" w:hAnsi="Arial"/>
          <w:sz w:val="20"/>
          <w:szCs w:val="20"/>
          <w:color w:val="auto"/>
        </w:rPr>
        <w:t>The expenses of Indemnitees must be paid by the Corporation or through insurance purchased and maintained by the Corporation or through other financial arrangements made by the Corporation, as such expenses are incurred and in advance of the final disposition of the Proceeding, upon receipt of an undertaking by or on behalf of such Indemnitee to repay the amount if it is ultimately determined by a court of competent jurisdiction that he or she is not entitled to be indemnified by the Corporation. To the extent that an Indemnitee is successful on the merits or otherwise in defense of any Proceeding, or in the defense of any claim, issue or matter therein, the Corporation shall indemnify him or her against expenses, including attorneys’ fees, actually and reasonably incurred in by him or her in connection with the defense.</w:t>
      </w:r>
    </w:p>
    <w:p>
      <w:pPr>
        <w:spacing w:after="0" w:line="193" w:lineRule="exact"/>
        <w:rPr>
          <w:rFonts w:ascii="Arial" w:cs="Arial" w:eastAsia="Arial" w:hAnsi="Arial"/>
          <w:sz w:val="20"/>
          <w:szCs w:val="20"/>
          <w:color w:val="auto"/>
        </w:rPr>
      </w:pPr>
    </w:p>
    <w:p>
      <w:pPr>
        <w:ind w:firstLine="1305"/>
        <w:spacing w:after="0" w:line="260" w:lineRule="auto"/>
        <w:tabs>
          <w:tab w:leader="none" w:pos="1590" w:val="left"/>
        </w:tabs>
        <w:numPr>
          <w:ilvl w:val="0"/>
          <w:numId w:val="66"/>
        </w:numPr>
        <w:rPr>
          <w:rFonts w:ascii="Arial" w:cs="Arial" w:eastAsia="Arial" w:hAnsi="Arial"/>
          <w:sz w:val="20"/>
          <w:szCs w:val="20"/>
          <w:color w:val="auto"/>
        </w:rPr>
      </w:pPr>
      <w:r>
        <w:rPr>
          <w:rFonts w:ascii="Arial" w:cs="Arial" w:eastAsia="Arial" w:hAnsi="Arial"/>
          <w:sz w:val="20"/>
          <w:szCs w:val="20"/>
          <w:u w:val="single" w:color="auto"/>
          <w:color w:val="auto"/>
        </w:rPr>
        <w:t>Indemnification of Employees and Other Persons</w:t>
      </w:r>
      <w:r>
        <w:rPr>
          <w:rFonts w:ascii="Arial" w:cs="Arial" w:eastAsia="Arial" w:hAnsi="Arial"/>
          <w:sz w:val="20"/>
          <w:szCs w:val="20"/>
          <w:color w:val="auto"/>
        </w:rPr>
        <w:t>. The Corporation may, by action of its Board of Directors and to the extent provided in such action, indemnify employees and other persons as though they were Indemnitees.</w:t>
      </w:r>
    </w:p>
    <w:p>
      <w:pPr>
        <w:spacing w:after="0" w:line="176" w:lineRule="exact"/>
        <w:rPr>
          <w:rFonts w:ascii="Arial" w:cs="Arial" w:eastAsia="Arial" w:hAnsi="Arial"/>
          <w:sz w:val="20"/>
          <w:szCs w:val="20"/>
          <w:color w:val="auto"/>
        </w:rPr>
      </w:pPr>
    </w:p>
    <w:p>
      <w:pPr>
        <w:jc w:val="both"/>
        <w:ind w:firstLine="1305"/>
        <w:spacing w:after="0" w:line="250" w:lineRule="auto"/>
        <w:tabs>
          <w:tab w:leader="none" w:pos="1566" w:val="left"/>
        </w:tabs>
        <w:numPr>
          <w:ilvl w:val="0"/>
          <w:numId w:val="66"/>
        </w:numPr>
        <w:rPr>
          <w:rFonts w:ascii="Arial" w:cs="Arial" w:eastAsia="Arial" w:hAnsi="Arial"/>
          <w:sz w:val="20"/>
          <w:szCs w:val="20"/>
          <w:color w:val="auto"/>
        </w:rPr>
      </w:pPr>
      <w:r>
        <w:rPr>
          <w:rFonts w:ascii="Arial" w:cs="Arial" w:eastAsia="Arial" w:hAnsi="Arial"/>
          <w:sz w:val="20"/>
          <w:szCs w:val="20"/>
          <w:u w:val="single" w:color="auto"/>
          <w:color w:val="auto"/>
        </w:rPr>
        <w:t>Non-Exclusivity of Rights</w:t>
      </w:r>
      <w:r>
        <w:rPr>
          <w:rFonts w:ascii="Arial" w:cs="Arial" w:eastAsia="Arial" w:hAnsi="Arial"/>
          <w:sz w:val="20"/>
          <w:szCs w:val="20"/>
          <w:color w:val="auto"/>
        </w:rPr>
        <w:t>. The rights to indemnification provided in this Article shall not be exclusive of any other rights that any person may have or hereafter acquire under any statute, provision of the Articles of Incorporation or these Bylaws, agreement, vote of stockholders or directors, or otherwise.</w:t>
      </w:r>
    </w:p>
    <w:p>
      <w:pPr>
        <w:spacing w:after="0" w:line="186" w:lineRule="exact"/>
        <w:rPr>
          <w:rFonts w:ascii="Arial" w:cs="Arial" w:eastAsia="Arial" w:hAnsi="Arial"/>
          <w:sz w:val="20"/>
          <w:szCs w:val="20"/>
          <w:color w:val="auto"/>
        </w:rPr>
      </w:pPr>
    </w:p>
    <w:p>
      <w:pPr>
        <w:jc w:val="both"/>
        <w:ind w:firstLine="1305"/>
        <w:spacing w:after="0" w:line="246" w:lineRule="auto"/>
        <w:tabs>
          <w:tab w:leader="none" w:pos="1590" w:val="left"/>
        </w:tabs>
        <w:numPr>
          <w:ilvl w:val="0"/>
          <w:numId w:val="66"/>
        </w:numPr>
        <w:rPr>
          <w:rFonts w:ascii="Arial" w:cs="Arial" w:eastAsia="Arial" w:hAnsi="Arial"/>
          <w:sz w:val="20"/>
          <w:szCs w:val="20"/>
          <w:color w:val="auto"/>
        </w:rPr>
      </w:pPr>
      <w:r>
        <w:rPr>
          <w:rFonts w:ascii="Arial" w:cs="Arial" w:eastAsia="Arial" w:hAnsi="Arial"/>
          <w:sz w:val="20"/>
          <w:szCs w:val="20"/>
          <w:u w:val="single" w:color="auto"/>
          <w:color w:val="auto"/>
        </w:rPr>
        <w:t>Insurance</w:t>
      </w:r>
      <w:r>
        <w:rPr>
          <w:rFonts w:ascii="Arial" w:cs="Arial" w:eastAsia="Arial" w:hAnsi="Arial"/>
          <w:sz w:val="20"/>
          <w:szCs w:val="20"/>
          <w:color w:val="auto"/>
        </w:rPr>
        <w:t>. The Corporation may purchase and maintain insurance or make other financial arrangements on behalf of any Indemnitee for any liability asserted against him or her and liability and expenses incurred by him or her in his or her capacity as a director, officer, employee, member, managing member or agent, or arising out of his or her status as such, whether or not the Corporation has the authority to indemnify him or her against such liability and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420"/>
          </w:cols>
          <w:pgMar w:left="240" w:top="1440" w:right="239" w:bottom="1440" w:gutter="0" w:footer="0" w:header="0"/>
        </w:sectPr>
      </w:pPr>
    </w:p>
    <w:bookmarkStart w:id="140" w:name="page141"/>
    <w:bookmarkEnd w:id="140"/>
    <w:p>
      <w:pPr>
        <w:spacing w:after="0" w:line="196" w:lineRule="exact"/>
        <w:rPr>
          <w:sz w:val="20"/>
          <w:szCs w:val="20"/>
          <w:color w:val="auto"/>
        </w:rPr>
      </w:pPr>
    </w:p>
    <w:p>
      <w:pPr>
        <w:jc w:val="both"/>
        <w:ind w:firstLine="1305"/>
        <w:spacing w:after="0" w:line="259" w:lineRule="auto"/>
        <w:tabs>
          <w:tab w:leader="none" w:pos="1566" w:val="left"/>
        </w:tabs>
        <w:numPr>
          <w:ilvl w:val="0"/>
          <w:numId w:val="67"/>
        </w:numPr>
        <w:rPr>
          <w:rFonts w:ascii="Arial" w:cs="Arial" w:eastAsia="Arial" w:hAnsi="Arial"/>
          <w:sz w:val="19"/>
          <w:szCs w:val="19"/>
          <w:color w:val="auto"/>
        </w:rPr>
      </w:pPr>
      <w:r>
        <w:rPr>
          <w:rFonts w:ascii="Arial" w:cs="Arial" w:eastAsia="Arial" w:hAnsi="Arial"/>
          <w:sz w:val="19"/>
          <w:szCs w:val="19"/>
          <w:u w:val="single" w:color="auto"/>
          <w:color w:val="auto"/>
        </w:rPr>
        <w:t>Other Financial Arrangements</w:t>
      </w:r>
      <w:r>
        <w:rPr>
          <w:rFonts w:ascii="Arial" w:cs="Arial" w:eastAsia="Arial" w:hAnsi="Arial"/>
          <w:sz w:val="19"/>
          <w:szCs w:val="19"/>
          <w:color w:val="auto"/>
        </w:rPr>
        <w:t>. The other financial arrangements which may be made by the Corporation may include the following (i) the creation of a trust fund; (ii) the establishment of a program of self-insurance; (iii) the securing of its obligation of indemnification by granting a security interest or other lien on any assets of the Corporation; and (iv) the establishment of a letter of credit, guarantee or surety. No financial arrangement made pursuant to this subsection may provide protection for a person adjudged by a court of competent jurisdiction, after exhaustion of all appeals therefrom, to be liable for intentional misconduct, fraud, or a knowing violation of law, except with respect to advancement of expenses or indemnification ordered by a court.</w:t>
      </w:r>
    </w:p>
    <w:p>
      <w:pPr>
        <w:spacing w:after="0" w:line="178" w:lineRule="exact"/>
        <w:rPr>
          <w:rFonts w:ascii="Arial" w:cs="Arial" w:eastAsia="Arial" w:hAnsi="Arial"/>
          <w:sz w:val="19"/>
          <w:szCs w:val="19"/>
          <w:color w:val="auto"/>
        </w:rPr>
      </w:pPr>
    </w:p>
    <w:p>
      <w:pPr>
        <w:jc w:val="both"/>
        <w:ind w:firstLine="1305"/>
        <w:spacing w:after="0" w:line="274" w:lineRule="auto"/>
        <w:tabs>
          <w:tab w:leader="none" w:pos="1557"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Other Matters Relating to Insurance or Financial Arrangements</w:t>
      </w:r>
      <w:r>
        <w:rPr>
          <w:rFonts w:ascii="Arial" w:cs="Arial" w:eastAsia="Arial" w:hAnsi="Arial"/>
          <w:sz w:val="18"/>
          <w:szCs w:val="18"/>
          <w:color w:val="auto"/>
        </w:rPr>
        <w:t>. Any insurance or other financial arrangement made on behalf of a person pursuant to this Section 8.1 may be provided by the Corporation or any other person approved by the Board of Directors, even if all or part of the other person’s stock or other securities is owned by the Corporation. In the absence of fraud, (i) the decision of the Board of Directors as to the propriety of the terms and conditions of any insurance or other financial arrangement made pursuant to this Section 8.1 and the choice of the person to provide the insurance or other financial arrangement is conclusive; and (ii) the insurance or other financial arrangement is not void or voidable and does not subject any director approving it to personal liability for his action; even if a director approving the insurance or other financial arrangement is a beneficiary of the insurance or other financial arrangement.</w:t>
      </w:r>
    </w:p>
    <w:p>
      <w:pPr>
        <w:spacing w:after="0" w:line="16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Section 8.2 </w:t>
      </w:r>
      <w:r>
        <w:rPr>
          <w:rFonts w:ascii="Arial" w:cs="Arial" w:eastAsia="Arial" w:hAnsi="Arial"/>
          <w:sz w:val="19"/>
          <w:szCs w:val="19"/>
          <w:u w:val="single" w:color="auto"/>
          <w:color w:val="auto"/>
        </w:rPr>
        <w:t>Amendment</w:t>
      </w:r>
      <w:r>
        <w:rPr>
          <w:rFonts w:ascii="Arial" w:cs="Arial" w:eastAsia="Arial" w:hAnsi="Arial"/>
          <w:sz w:val="19"/>
          <w:szCs w:val="19"/>
          <w:color w:val="auto"/>
        </w:rPr>
        <w:t>. The provisions of this Article VIII relating to indemnification shall constitute a contract between the Corporation and each of its directors and officers which may be modified as to any director or officer only with that person’s consent or as specifically provided in this Section 8.2. Notwithstanding any other provision of these Bylaws relating to their amendment generally, any repeal or amendment of this Article VIII which is adverse to any director or officer shall apply to such director or officer only on a prospective basis, and shall not limit the rights of an Indemnitee to indemnification with respect to any action or failure to act occurring prior to the time of such repeal or amendment. Notwithstanding any other provision of these Bylaws (including, without limitation, Article X), no repeal or amendment of these Bylaws shall affect any or all of this Article VIII so as to limit or reduce the indemnification in any manner unless adopted by (i) the unanimous vote of the directors of the Corporation then serving, or (ii) by the stockholders as set forth in Article X; provided that no such amendment shall have a retroactive effect inconsistent with the preceding sentence.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IX</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CHANGES IN NEVADA LAW</w:t>
      </w:r>
    </w:p>
    <w:p>
      <w:pPr>
        <w:spacing w:after="0" w:line="20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References in these Bylaws to the laws of the State of Nevada or the NRS or to any provision thereof shall be to such law as it existed on the date these Bylaws were adopted or as such law thereafter may be changed; provided that (i) in the case of any change which expands the liability of directors or officers or limits the indemnification rights or the rights to advancement of expenses which the Corporation may provide in Article VIII, the rights to limited liability, to indemnification and to the advancement of expenses provided in the Articles of Incorporation and/or these Bylaws shall continue as theretofore to the extent permitted by law; and (ii) if such change permits the Corporation, without the requirement of any further action by stockholders or directors, to limit further the liability of directors or limit the liability of officers or to provide broader indemnification rights or rights to the advancement of expenses than the Corporation was permitted to provide prior to such change, then liability thereupon shall be so limited and the rights to indemnification and the advancement of expenses shall be so broadened to the extent permitted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420"/>
          </w:cols>
          <w:pgMar w:left="240" w:top="1440" w:right="239" w:bottom="1440" w:gutter="0" w:footer="0" w:header="0"/>
        </w:sectPr>
      </w:pPr>
    </w:p>
    <w:bookmarkStart w:id="141" w:name="page142"/>
    <w:bookmarkEnd w:id="141"/>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X</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AMENDMENT OR REPEAL</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10.1 </w:t>
      </w:r>
      <w:r>
        <w:rPr>
          <w:rFonts w:ascii="Arial" w:cs="Arial" w:eastAsia="Arial" w:hAnsi="Arial"/>
          <w:sz w:val="20"/>
          <w:szCs w:val="20"/>
          <w:u w:val="single" w:color="auto"/>
          <w:color w:val="auto"/>
        </w:rPr>
        <w:t>Amendment of Bylaws</w:t>
      </w:r>
      <w:r>
        <w:rPr>
          <w:rFonts w:ascii="Arial" w:cs="Arial" w:eastAsia="Arial" w:hAnsi="Arial"/>
          <w:sz w:val="20"/>
          <w:szCs w:val="20"/>
          <w:color w:val="auto"/>
        </w:rPr>
        <w:t>.</w:t>
      </w:r>
    </w:p>
    <w:p>
      <w:pPr>
        <w:spacing w:after="0" w:line="216" w:lineRule="exact"/>
        <w:rPr>
          <w:sz w:val="20"/>
          <w:szCs w:val="20"/>
          <w:color w:val="auto"/>
        </w:rPr>
      </w:pPr>
    </w:p>
    <w:p>
      <w:pPr>
        <w:ind w:firstLine="1305"/>
        <w:spacing w:after="0" w:line="260" w:lineRule="auto"/>
        <w:tabs>
          <w:tab w:leader="none" w:pos="1593" w:val="left"/>
        </w:tabs>
        <w:numPr>
          <w:ilvl w:val="0"/>
          <w:numId w:val="68"/>
        </w:numPr>
        <w:rPr>
          <w:rFonts w:ascii="Arial" w:cs="Arial" w:eastAsia="Arial" w:hAnsi="Arial"/>
          <w:sz w:val="20"/>
          <w:szCs w:val="20"/>
          <w:color w:val="auto"/>
        </w:rPr>
      </w:pPr>
      <w:r>
        <w:rPr>
          <w:rFonts w:ascii="Arial" w:cs="Arial" w:eastAsia="Arial" w:hAnsi="Arial"/>
          <w:sz w:val="20"/>
          <w:szCs w:val="20"/>
          <w:u w:val="single" w:color="auto"/>
          <w:color w:val="auto"/>
        </w:rPr>
        <w:t>Board of Directors</w:t>
      </w:r>
      <w:r>
        <w:rPr>
          <w:rFonts w:ascii="Arial" w:cs="Arial" w:eastAsia="Arial" w:hAnsi="Arial"/>
          <w:sz w:val="20"/>
          <w:szCs w:val="20"/>
          <w:color w:val="auto"/>
        </w:rPr>
        <w:t>. In furtherance and not in limitation of the powers conferred by statute, the Board of Directors is expressly authorized to amend or repeal these Bylaws or to adopt new bylaws.</w:t>
      </w:r>
    </w:p>
    <w:p>
      <w:pPr>
        <w:spacing w:after="0" w:line="176" w:lineRule="exact"/>
        <w:rPr>
          <w:rFonts w:ascii="Arial" w:cs="Arial" w:eastAsia="Arial" w:hAnsi="Arial"/>
          <w:sz w:val="20"/>
          <w:szCs w:val="20"/>
          <w:color w:val="auto"/>
        </w:rPr>
      </w:pPr>
    </w:p>
    <w:p>
      <w:pPr>
        <w:jc w:val="both"/>
        <w:ind w:firstLine="1305"/>
        <w:spacing w:after="0" w:line="250" w:lineRule="auto"/>
        <w:tabs>
          <w:tab w:leader="none" w:pos="1577" w:val="left"/>
        </w:tabs>
        <w:numPr>
          <w:ilvl w:val="0"/>
          <w:numId w:val="68"/>
        </w:numPr>
        <w:rPr>
          <w:rFonts w:ascii="Arial" w:cs="Arial" w:eastAsia="Arial" w:hAnsi="Arial"/>
          <w:sz w:val="20"/>
          <w:szCs w:val="20"/>
          <w:color w:val="auto"/>
        </w:rPr>
      </w:pPr>
      <w:r>
        <w:rPr>
          <w:rFonts w:ascii="Arial" w:cs="Arial" w:eastAsia="Arial" w:hAnsi="Arial"/>
          <w:sz w:val="20"/>
          <w:szCs w:val="20"/>
          <w:u w:val="single" w:color="auto"/>
          <w:color w:val="auto"/>
        </w:rPr>
        <w:t>Stockholders</w:t>
      </w:r>
      <w:r>
        <w:rPr>
          <w:rFonts w:ascii="Arial" w:cs="Arial" w:eastAsia="Arial" w:hAnsi="Arial"/>
          <w:sz w:val="20"/>
          <w:szCs w:val="20"/>
          <w:color w:val="auto"/>
        </w:rPr>
        <w:t>. Notwithstanding Section 10.1(a), these Bylaws may be amended or repealed in any respect, and new bylaws may be adopted, in each case by the affirmative vote of the holders of at least sixty-six and two-thirds percent (66-2/3%) of the outstanding voting power of the Corporation, voting together as a single class.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ARTICLE XI</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FORUM FOR ADJUDICATION OF DISPUTES</w:t>
      </w:r>
    </w:p>
    <w:p>
      <w:pPr>
        <w:spacing w:after="0" w:line="20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To the fullest extent permitted by law, and unless the Corporation consents in writing to the selection of an alternative forum, the Eighth Judicial District Court of Clark County, Nevada, shall be the sole and exclusive forum for (a) any derivative action or proceeding brought in the name or right of the Corporation or on its behalf, (b) any action asserting a claim for breach of any fiduciary duty owed by any director, officer, employee or agent of the Corporation to the Corporation or the Corporation’s stockholders, (c) any action arising or asserting a claim arising pursuant to any provision of NRS Chapters 78 or 92A or any provision of the Articles of Incorporation or these Bylaws or (d) any action asserting a claim governed by the internal affairs doctrine, including, without limitation, any action to interpret, apply, enforce or determine the validity of the Articles of Incorporation or these Bylaws. Any person or entity purchasing or otherwise acquiring any interest in shares of capital stock of the corporation shall be deemed to have notice of and consented to the provisions of this Article XI.</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1420"/>
          </w:cols>
          <w:pgMar w:left="240" w:top="1440" w:right="239" w:bottom="1440" w:gutter="0" w:footer="0" w:header="0"/>
        </w:sectPr>
      </w:pPr>
    </w:p>
    <w:bookmarkStart w:id="142" w:name="page143"/>
    <w:bookmarkEnd w:id="142"/>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CERTIFICATION</w:t>
      </w:r>
    </w:p>
    <w:p>
      <w:pPr>
        <w:spacing w:after="0" w:line="210" w:lineRule="exact"/>
        <w:rPr>
          <w:sz w:val="20"/>
          <w:szCs w:val="20"/>
          <w:color w:val="auto"/>
        </w:rPr>
      </w:pPr>
    </w:p>
    <w:p>
      <w:pPr>
        <w:ind w:firstLine="648"/>
        <w:spacing w:after="0" w:line="323" w:lineRule="auto"/>
        <w:rPr>
          <w:sz w:val="20"/>
          <w:szCs w:val="20"/>
          <w:color w:val="auto"/>
        </w:rPr>
      </w:pPr>
      <w:r>
        <w:rPr>
          <w:rFonts w:ascii="Arial" w:cs="Arial" w:eastAsia="Arial" w:hAnsi="Arial"/>
          <w:sz w:val="18"/>
          <w:szCs w:val="18"/>
          <w:color w:val="auto"/>
        </w:rPr>
        <w:t>The undersigned, as the duly elected Secretary of Wynn Resorts, Limited, a Nevada corporation (the “</w:t>
      </w:r>
      <w:r>
        <w:rPr>
          <w:rFonts w:ascii="Arial" w:cs="Arial" w:eastAsia="Arial" w:hAnsi="Arial"/>
          <w:sz w:val="18"/>
          <w:szCs w:val="18"/>
          <w:b w:val="1"/>
          <w:bCs w:val="1"/>
          <w:color w:val="auto"/>
        </w:rPr>
        <w:t>Corporation</w:t>
      </w:r>
      <w:r>
        <w:rPr>
          <w:rFonts w:ascii="Arial" w:cs="Arial" w:eastAsia="Arial" w:hAnsi="Arial"/>
          <w:sz w:val="18"/>
          <w:szCs w:val="18"/>
          <w:color w:val="auto"/>
        </w:rPr>
        <w:t>”), does hereby certify that the Board of Directors of the Corporation adopted the foregoing Ninth Amended and Restated Bylaws as of February 27, 2020.</w:t>
      </w:r>
    </w:p>
    <w:p>
      <w:pPr>
        <w:spacing w:after="0" w:line="263" w:lineRule="exact"/>
        <w:rPr>
          <w:sz w:val="20"/>
          <w:szCs w:val="20"/>
          <w:color w:val="auto"/>
        </w:rPr>
      </w:pPr>
    </w:p>
    <w:p>
      <w:pPr>
        <w:ind w:left="3900"/>
        <w:spacing w:after="0"/>
        <w:rPr>
          <w:sz w:val="20"/>
          <w:szCs w:val="20"/>
          <w:color w:val="auto"/>
        </w:rPr>
      </w:pPr>
      <w:r>
        <w:rPr>
          <w:rFonts w:ascii="Arial" w:cs="Arial" w:eastAsia="Arial" w:hAnsi="Arial"/>
          <w:sz w:val="21"/>
          <w:szCs w:val="21"/>
          <w:u w:val="single" w:color="auto"/>
          <w:color w:val="auto"/>
        </w:rPr>
        <w:t>/s/ Ellen Whittemore</w:t>
      </w:r>
    </w:p>
    <w:p>
      <w:pPr>
        <w:spacing w:after="0" w:line="200" w:lineRule="exact"/>
        <w:rPr>
          <w:sz w:val="20"/>
          <w:szCs w:val="20"/>
          <w:color w:val="auto"/>
        </w:rPr>
      </w:pPr>
    </w:p>
    <w:p>
      <w:pPr>
        <w:spacing w:after="0" w:line="271" w:lineRule="exact"/>
        <w:rPr>
          <w:sz w:val="20"/>
          <w:szCs w:val="20"/>
          <w:color w:val="auto"/>
        </w:rPr>
      </w:pPr>
    </w:p>
    <w:p>
      <w:pPr>
        <w:ind w:left="4020"/>
        <w:spacing w:after="0"/>
        <w:rPr>
          <w:sz w:val="20"/>
          <w:szCs w:val="20"/>
          <w:color w:val="auto"/>
        </w:rPr>
      </w:pPr>
      <w:r>
        <w:rPr>
          <w:rFonts w:ascii="Arial" w:cs="Arial" w:eastAsia="Arial" w:hAnsi="Arial"/>
          <w:sz w:val="20"/>
          <w:szCs w:val="20"/>
          <w:color w:val="auto"/>
        </w:rPr>
        <w:t>Ellen Whittemore, Secretary</w:t>
      </w:r>
    </w:p>
    <w:p>
      <w:pPr>
        <w:sectPr>
          <w:pgSz w:w="11900" w:h="16838" w:orient="portrait"/>
          <w:cols w:equalWidth="0" w:num="1">
            <w:col w:w="11420"/>
          </w:cols>
          <w:pgMar w:left="240" w:top="1440"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20"/>
          <w:szCs w:val="20"/>
          <w:b w:val="1"/>
          <w:bCs w:val="1"/>
          <w:color w:val="auto"/>
        </w:rPr>
        <w:t>Exhibit 4.2</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REGISTRANT'S SECURITIES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 SECURITIES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238"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As of December 31, 2019, Wynn Resorts, Limited, a Nevada corporation ("Wynn Resorts," "we," or "the Company"), has one class of securities registered under Section 12 of the Securities Exchange Act of 1934, as amended: our Common Stock (as defined below).</w:t>
      </w:r>
    </w:p>
    <w:p>
      <w:pPr>
        <w:spacing w:after="0" w:line="196"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auto"/>
        </w:rPr>
        <w:t>The general terms and provisions of our Common Stock are summarized below. This summary does not purport to be complete and is subject to, and is qualified in its entirety by express reference to, the provisions of our Third Amended and Restated Articles of Incorporation (the "Articles of Incorporation") and our Ninth Amended and Restated Bylaws (the "Bylaws"), each of which is filed as an exhibit to the Annual Report on Form 10-K of which this Exhibit 4.2 is a part. We encourage you to read our Articles of Incorporation, our Bylaws, and the applicable provisions of Nevada law for additional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Shares</w:t>
      </w:r>
    </w:p>
    <w:p>
      <w:pPr>
        <w:spacing w:after="0" w:line="243"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Our authorized capital shares consist of 400,000,000 shares of common stock, $0.01 par value per share ("Common Stock"), and 40,000,000 shares of preferred stock, $0.01 par value per share ("Preferred Stock"). No shares of our authorized Preferred Stock have been issued or are currently outstanding. Pursuant to our Articles of Incorporation, our board of directors generally has the authority to designate, from time to time and without stockholder approval, Preferred Stock in one or more series, and to prescribe with respect to each such series the voting powers, if any, designations, preferences, and relative, participating, optional, or other special rights, and the qualifications, limitations, or restrictions relating to such series.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43" w:lineRule="exact"/>
        <w:rPr>
          <w:sz w:val="20"/>
          <w:szCs w:val="20"/>
          <w:color w:val="auto"/>
        </w:rPr>
      </w:pPr>
    </w:p>
    <w:p>
      <w:pPr>
        <w:ind w:right="200"/>
        <w:spacing w:after="0" w:line="259" w:lineRule="auto"/>
        <w:rPr>
          <w:sz w:val="20"/>
          <w:szCs w:val="20"/>
          <w:color w:val="auto"/>
        </w:rPr>
      </w:pPr>
      <w:r>
        <w:rPr>
          <w:rFonts w:ascii="Arial" w:cs="Arial" w:eastAsia="Arial" w:hAnsi="Arial"/>
          <w:sz w:val="17"/>
          <w:szCs w:val="17"/>
          <w:color w:val="auto"/>
        </w:rPr>
        <w:t>Subject to any preferential rights of any series of Preferred Stock, holders of shares of Common Stock are entitled to receive dividends on the stock out of assets legally available for distribution if, when and as declared by our board of directors. The declaration and payment of dividends on Common Stock is a business decision to be made by our board of directors from time to time based upon results of our operations and our financial condition and any other factors as our board of directors considers relevant. Payment of dividends on Common Stock may be restricted by applicable Nevada law, and by loan agreements, indentures and other transactions entered into by us from time to time.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43" w:lineRule="exact"/>
        <w:rPr>
          <w:sz w:val="20"/>
          <w:szCs w:val="20"/>
          <w:color w:val="auto"/>
        </w:rPr>
      </w:pPr>
    </w:p>
    <w:p>
      <w:pPr>
        <w:ind w:right="220"/>
        <w:spacing w:after="0" w:line="248" w:lineRule="auto"/>
        <w:rPr>
          <w:sz w:val="20"/>
          <w:szCs w:val="20"/>
          <w:color w:val="auto"/>
        </w:rPr>
      </w:pPr>
      <w:r>
        <w:rPr>
          <w:rFonts w:ascii="Arial" w:cs="Arial" w:eastAsia="Arial" w:hAnsi="Arial"/>
          <w:sz w:val="18"/>
          <w:szCs w:val="18"/>
          <w:color w:val="auto"/>
        </w:rPr>
        <w:t>Holders of Common Stock are entitled to one vote per share on all matters voted on generally by the stockholders, including the election of directors, and, except as otherwise required by law or as otherwise provided with respect to any series of Preferred Stock, the holders of Common Stock possess all voting power of our stockholders. Holders of Common Stock do not have cumulative voting rights.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Rights</w:t>
      </w:r>
    </w:p>
    <w:p>
      <w:pPr>
        <w:spacing w:after="0" w:line="243" w:lineRule="exact"/>
        <w:rPr>
          <w:sz w:val="20"/>
          <w:szCs w:val="20"/>
          <w:color w:val="auto"/>
        </w:rPr>
      </w:pPr>
    </w:p>
    <w:p>
      <w:pPr>
        <w:ind w:right="140"/>
        <w:spacing w:after="0" w:line="282" w:lineRule="auto"/>
        <w:rPr>
          <w:sz w:val="20"/>
          <w:szCs w:val="20"/>
          <w:color w:val="auto"/>
        </w:rPr>
      </w:pPr>
      <w:r>
        <w:rPr>
          <w:rFonts w:ascii="Arial" w:cs="Arial" w:eastAsia="Arial" w:hAnsi="Arial"/>
          <w:sz w:val="16"/>
          <w:szCs w:val="16"/>
          <w:color w:val="auto"/>
        </w:rPr>
        <w:t>Subject to any preferential rights of any series of Preferred Stock, if any, upon any liquidation, dissolution or winding up of the affairs of the Company, whether voluntary or involuntary, holders of shares of Common Stock are entitled to share equally and ratably in the assets of the Company to be distributed</w:t>
      </w:r>
    </w:p>
    <w:p>
      <w:pPr>
        <w:spacing w:after="0" w:line="1"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among the holders of outstanding shares of Common Stock. Our Articles of Incorporation provide that a merger, conversion, exchange or consolidation of the Company with or into any other person or sale or transfer of all or any part of the assets of the Company (which does not in fact result in the liquidation of the Corporation and the distribution of assets to stockholders) shall not be deemed to be a voluntary or involuntary liquidation, dissolution or winding up of the affairs of the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Conversion, Redemption, or Preemptive Rights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Holders of Common Stock have no conversion, redemption or preemptive rights.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Consideration for Shares</w:t>
      </w:r>
    </w:p>
    <w:p>
      <w:pPr>
        <w:spacing w:after="0" w:line="243"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The Common Stock authorized by the Articles of Incorporation may be issued from time to time for such consideration as is determined by our board of directors.</w:t>
      </w:r>
    </w:p>
    <w:p>
      <w:pPr>
        <w:sectPr>
          <w:pgSz w:w="11900" w:h="16838" w:orient="portrait"/>
          <w:cols w:equalWidth="0" w:num="1">
            <w:col w:w="11420"/>
          </w:cols>
          <w:pgMar w:left="240" w:top="1049" w:right="23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b w:val="1"/>
          <w:bCs w:val="1"/>
          <w:color w:val="auto"/>
        </w:rPr>
        <w:t>Miscellaneous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All outstanding shares of our Common Stock are fully paid and nonassessable.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Effects of our Articles of Incorporation and Bylaws and Nevada Law</w:t>
      </w:r>
    </w:p>
    <w:p>
      <w:pPr>
        <w:spacing w:after="0" w:line="243"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Certain provisions of our Articles of Incorporation and our Bylaws, and certain provisions of the Nevada Revised Statutes ("NRS") could make our</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by a third party, a change in our incumbent management, or a similar change of control more difficult. These provisions, which are summarized below, are likely to reduce our vulnerability to an unsolicited proposal for the restructuring or sale of all or substantially all of our assets or an unsolicited takeover attempt. The summary of the provisions set forth below does not purport to be complete and is qualified in its entirety by reference to our Articles of Incorporation and our Bylaws and the applicable provisions of the NRS.</w:t>
      </w:r>
    </w:p>
    <w:p>
      <w:pPr>
        <w:spacing w:after="0" w:line="217"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i w:val="1"/>
          <w:iCs w:val="1"/>
          <w:color w:val="auto"/>
        </w:rPr>
        <w:t>Classified Board</w:t>
      </w:r>
      <w:r>
        <w:rPr>
          <w:rFonts w:ascii="Arial" w:cs="Arial" w:eastAsia="Arial" w:hAnsi="Arial"/>
          <w:sz w:val="18"/>
          <w:szCs w:val="18"/>
          <w:color w:val="auto"/>
        </w:rPr>
        <w:t>. Our Articles of Incorporation and Bylaws provide that our board of directors is to be divided into three classes, as nearly equal in number as</w:t>
      </w:r>
      <w:r>
        <w:rPr>
          <w:rFonts w:ascii="Arial" w:cs="Arial" w:eastAsia="Arial" w:hAnsi="Arial"/>
          <w:sz w:val="18"/>
          <w:szCs w:val="18"/>
          <w:i w:val="1"/>
          <w:iCs w:val="1"/>
          <w:color w:val="auto"/>
        </w:rPr>
        <w:t xml:space="preserve"> </w:t>
      </w:r>
      <w:r>
        <w:rPr>
          <w:rFonts w:ascii="Arial" w:cs="Arial" w:eastAsia="Arial" w:hAnsi="Arial"/>
          <w:sz w:val="18"/>
          <w:szCs w:val="18"/>
          <w:color w:val="auto"/>
        </w:rPr>
        <w:t>possible, resulting in our directors serving terms of approximately three years. This provision may have the effect of delaying or discouraging an acquisition of us or a change in our management.</w:t>
      </w:r>
    </w:p>
    <w:p>
      <w:pPr>
        <w:spacing w:after="0" w:line="209"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i w:val="1"/>
          <w:iCs w:val="1"/>
          <w:color w:val="auto"/>
        </w:rPr>
        <w:t xml:space="preserve">Advance Notice Requirements. </w:t>
      </w:r>
      <w:r>
        <w:rPr>
          <w:rFonts w:ascii="Arial" w:cs="Arial" w:eastAsia="Arial" w:hAnsi="Arial"/>
          <w:sz w:val="18"/>
          <w:szCs w:val="18"/>
          <w:color w:val="auto"/>
        </w:rPr>
        <w:t>Stockholders wishing to nominate or re-nominate persons for election to our board of directors at an annual meeting or to</w:t>
      </w:r>
      <w:r>
        <w:rPr>
          <w:rFonts w:ascii="Arial" w:cs="Arial" w:eastAsia="Arial" w:hAnsi="Arial"/>
          <w:sz w:val="18"/>
          <w:szCs w:val="18"/>
          <w:i w:val="1"/>
          <w:iCs w:val="1"/>
          <w:color w:val="auto"/>
        </w:rPr>
        <w:t xml:space="preserve"> </w:t>
      </w:r>
      <w:r>
        <w:rPr>
          <w:rFonts w:ascii="Arial" w:cs="Arial" w:eastAsia="Arial" w:hAnsi="Arial"/>
          <w:sz w:val="18"/>
          <w:szCs w:val="18"/>
          <w:color w:val="auto"/>
        </w:rPr>
        <w:t>propose any business to be considered by our stockholders at an annual meeting must comply with certain advance notice and other requirements set forth in our Bylaws. Likewise, if our board of directors has determined that directors shall be elected at a special meeting of stockholders, stockholders wishing to nominate or re-nominate persons for election to our board of directors at such special meeting must comply with certain advance notice and other requirements set forth in our Bylaws.</w:t>
      </w:r>
    </w:p>
    <w:p>
      <w:pPr>
        <w:spacing w:after="0" w:line="217"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i w:val="1"/>
          <w:iCs w:val="1"/>
          <w:color w:val="auto"/>
        </w:rPr>
        <w:t xml:space="preserve">Special Meetings. </w:t>
      </w:r>
      <w:r>
        <w:rPr>
          <w:rFonts w:ascii="Arial" w:cs="Arial" w:eastAsia="Arial" w:hAnsi="Arial"/>
          <w:sz w:val="18"/>
          <w:szCs w:val="18"/>
          <w:color w:val="auto"/>
        </w:rPr>
        <w:t>Our Bylaws provides that special meetings of stockholders may only be called by the Chair of our board of directors or the Chief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or, if there is no Chair and no Chief Executive Officer, by the President, and shall be called by the secretary upon the written request of at least a majority of our board of directors.</w:t>
      </w:r>
    </w:p>
    <w:p>
      <w:pPr>
        <w:spacing w:after="0" w:line="209"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i w:val="1"/>
          <w:iCs w:val="1"/>
          <w:color w:val="auto"/>
        </w:rPr>
        <w:t xml:space="preserve">Board Vacancies. </w:t>
      </w:r>
      <w:r>
        <w:rPr>
          <w:rFonts w:ascii="Arial" w:cs="Arial" w:eastAsia="Arial" w:hAnsi="Arial"/>
          <w:sz w:val="18"/>
          <w:szCs w:val="18"/>
          <w:color w:val="auto"/>
        </w:rPr>
        <w:t>Any vacancy on our board of directors, howsoever resulting, may be filled by a majority vote of the directors then in office or by a sole</w:t>
      </w:r>
      <w:r>
        <w:rPr>
          <w:rFonts w:ascii="Arial" w:cs="Arial" w:eastAsia="Arial" w:hAnsi="Arial"/>
          <w:sz w:val="18"/>
          <w:szCs w:val="18"/>
          <w:i w:val="1"/>
          <w:iCs w:val="1"/>
          <w:color w:val="auto"/>
        </w:rPr>
        <w:t xml:space="preserve"> </w:t>
      </w:r>
      <w:r>
        <w:rPr>
          <w:rFonts w:ascii="Arial" w:cs="Arial" w:eastAsia="Arial" w:hAnsi="Arial"/>
          <w:sz w:val="18"/>
          <w:szCs w:val="18"/>
          <w:color w:val="auto"/>
        </w:rPr>
        <w:t>remaining director, in either case even if less than a quorum. Any director elected to fill a vacancy shall hold office for a term expiring at the next annual meeting of stockholders and when their successors are elected or appointed, at which the term of the class to which he or she has been elected expires, or until his or her earlier resignation or removal.</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 Stockholder Action by Written Consent</w:t>
      </w:r>
      <w:r>
        <w:rPr>
          <w:rFonts w:ascii="Arial" w:cs="Arial" w:eastAsia="Arial" w:hAnsi="Arial"/>
          <w:sz w:val="16"/>
          <w:szCs w:val="16"/>
          <w:color w:val="auto"/>
        </w:rPr>
        <w:t>. Our Articles of Incorporation and Bylaws prohibit stockholders from acting by written consent without a meeting.</w:t>
      </w:r>
    </w:p>
    <w:p>
      <w:pPr>
        <w:spacing w:after="0" w:line="302"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i w:val="1"/>
          <w:iCs w:val="1"/>
          <w:color w:val="auto"/>
        </w:rPr>
        <w:t>Removal of Directors</w:t>
      </w:r>
      <w:r>
        <w:rPr>
          <w:rFonts w:ascii="Arial" w:cs="Arial" w:eastAsia="Arial" w:hAnsi="Arial"/>
          <w:sz w:val="18"/>
          <w:szCs w:val="18"/>
          <w:color w:val="auto"/>
        </w:rPr>
        <w:t>. Our Bylaws provide that, subject to any rights of the holders of preferred stock, if any, and except as otherwise provided in the NRS,</w:t>
      </w:r>
      <w:r>
        <w:rPr>
          <w:rFonts w:ascii="Arial" w:cs="Arial" w:eastAsia="Arial" w:hAnsi="Arial"/>
          <w:sz w:val="18"/>
          <w:szCs w:val="18"/>
          <w:i w:val="1"/>
          <w:iCs w:val="1"/>
          <w:color w:val="auto"/>
        </w:rPr>
        <w:t xml:space="preserve"> </w:t>
      </w:r>
      <w:r>
        <w:rPr>
          <w:rFonts w:ascii="Arial" w:cs="Arial" w:eastAsia="Arial" w:hAnsi="Arial"/>
          <w:sz w:val="18"/>
          <w:szCs w:val="18"/>
          <w:color w:val="auto"/>
        </w:rPr>
        <w:t>any director may be removed from office with or without cause by the affirmative vote of the holders of not less than two-thirds of the voting power of our issued and outstanding stock entitled to vote generally in the election of directors, voting as a single class. NRS 78.335 generally requires the vote of stockholders representing not less than two-thirds of the voting power of the issued and outstanding stock entitled to vote in order to remove an incumbent director.</w:t>
      </w:r>
    </w:p>
    <w:p>
      <w:pPr>
        <w:spacing w:after="0" w:line="202" w:lineRule="exact"/>
        <w:rPr>
          <w:sz w:val="20"/>
          <w:szCs w:val="20"/>
          <w:color w:val="auto"/>
        </w:rPr>
      </w:pPr>
    </w:p>
    <w:p>
      <w:pPr>
        <w:jc w:val="both"/>
        <w:ind w:right="100"/>
        <w:spacing w:after="0" w:line="294" w:lineRule="auto"/>
        <w:rPr>
          <w:sz w:val="20"/>
          <w:szCs w:val="20"/>
          <w:color w:val="auto"/>
        </w:rPr>
      </w:pPr>
      <w:r>
        <w:rPr>
          <w:rFonts w:ascii="Arial" w:cs="Arial" w:eastAsia="Arial" w:hAnsi="Arial"/>
          <w:sz w:val="16"/>
          <w:szCs w:val="16"/>
          <w:i w:val="1"/>
          <w:iCs w:val="1"/>
          <w:color w:val="auto"/>
        </w:rPr>
        <w:t>Undesignated Preferred Stock</w:t>
      </w:r>
      <w:r>
        <w:rPr>
          <w:rFonts w:ascii="Arial" w:cs="Arial" w:eastAsia="Arial" w:hAnsi="Arial"/>
          <w:sz w:val="16"/>
          <w:szCs w:val="16"/>
          <w:color w:val="auto"/>
        </w:rPr>
        <w:t>. The authorization of undesignated preferred stock in our Articles of Incorporation makes it possible for our board of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to issue our Preferred Stock with voting or other rights or preferences that could impede the success of any attempt to change control of the Company. These and other provisions may have the effect of deferring hostile takeovers or delaying changes in control or management of the Company.</w:t>
      </w:r>
    </w:p>
    <w:p>
      <w:pPr>
        <w:spacing w:after="0" w:line="202" w:lineRule="exact"/>
        <w:rPr>
          <w:sz w:val="20"/>
          <w:szCs w:val="20"/>
          <w:color w:val="auto"/>
        </w:rPr>
      </w:pPr>
    </w:p>
    <w:p>
      <w:pPr>
        <w:spacing w:after="0" w:line="257" w:lineRule="auto"/>
        <w:rPr>
          <w:sz w:val="20"/>
          <w:szCs w:val="20"/>
          <w:color w:val="auto"/>
        </w:rPr>
      </w:pPr>
      <w:r>
        <w:rPr>
          <w:rFonts w:ascii="Arial" w:cs="Arial" w:eastAsia="Arial" w:hAnsi="Arial"/>
          <w:sz w:val="17"/>
          <w:szCs w:val="17"/>
          <w:i w:val="1"/>
          <w:iCs w:val="1"/>
          <w:color w:val="auto"/>
        </w:rPr>
        <w:t>Nevada Anti-Takeover Statutes</w:t>
      </w:r>
      <w:r>
        <w:rPr>
          <w:rFonts w:ascii="Arial" w:cs="Arial" w:eastAsia="Arial" w:hAnsi="Arial"/>
          <w:sz w:val="17"/>
          <w:szCs w:val="17"/>
          <w:color w:val="auto"/>
        </w:rPr>
        <w:t>. The Nevada Revised Statutes contain provisions governing the acquisition of a controlling interest in certain Nevada</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corporations. Nevada's "acquisition of controlling interest" statutes (NRS 78.378 through 78.3793, inclusive) contain provisions governing the acquisition of a controlling interest in certain Nevada corporations. These "control share" laws provide generally that any person that acquires a "controlling interest" in certain Nevada corporations may be denied voting rights, unless a majority of the disinterested stockholders of the corporation elects to restore such voting rights. These laws will apply to us as of a particular date if we were to have 200 or more stockholders of record (at least 100 of whom have addresses in Nevada appearing on our stock ledger at all times during the 90 days immediately preceding that date) and do business in the State of Nevada directly or through an affiliated corporation, unless our articles of incorporation or bylaws in effect on the tenth day after the acquisition of a controlling interest provide otherwise. These laws provide that a person</w:t>
      </w:r>
    </w:p>
    <w:p>
      <w:pPr>
        <w:sectPr>
          <w:pgSz w:w="11900" w:h="16838" w:orient="portrait"/>
          <w:cols w:equalWidth="0" w:num="1">
            <w:col w:w="11420"/>
          </w:cols>
          <w:pgMar w:left="240" w:top="891" w:right="239" w:bottom="1440" w:gutter="0" w:footer="0" w:header="0"/>
        </w:sectPr>
      </w:pPr>
    </w:p>
    <w:bookmarkStart w:id="145" w:name="page146"/>
    <w:bookmarkEnd w:id="145"/>
    <w:p>
      <w:pPr>
        <w:ind w:right="20"/>
        <w:spacing w:after="0" w:line="273" w:lineRule="auto"/>
        <w:rPr>
          <w:sz w:val="20"/>
          <w:szCs w:val="20"/>
          <w:color w:val="auto"/>
        </w:rPr>
      </w:pPr>
      <w:r>
        <w:rPr>
          <w:rFonts w:ascii="Arial" w:cs="Arial" w:eastAsia="Arial" w:hAnsi="Arial"/>
          <w:sz w:val="16"/>
          <w:szCs w:val="16"/>
          <w:color w:val="auto"/>
        </w:rPr>
        <w:t>acquires a "controlling interest" whenever a person acquires shares of a subject corporation that, but for the application of these provisions of the NRS, would enable that person to exercise (1) one-fifth or more, but less than one-third, (2) one-third or more, but less than a majority or (3) a majority or more, of all of the voting power of the corporation in the election of directors. Once an acquirer crosses one of these thresholds, shares which it acquired in the transaction taking it over the threshold and within the 90 days immediately preceding the date when the acquiring person acquired or offered to acquire a controlling</w:t>
      </w:r>
    </w:p>
    <w:p>
      <w:pPr>
        <w:spacing w:after="0" w:line="1"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color w:val="auto"/>
        </w:rPr>
        <w:t>interest become "control shares" to which the voting restrictions described above apply. Our Bylaws provide that these statutes do not apply to any and all acquisitions of shares of our Common Stock, effected by Stephen A. Wynn or any of his affiliates. These laws may have a chilling effect on certain transactions if our Articles of Incorporation or Bylaws are not amended to provide that these provisions generally do not apply to us or to an acquisition of a controlling interest, or if our disinterested stockholders do not confer voting rights in the control shares.</w:t>
      </w:r>
    </w:p>
    <w:p>
      <w:pPr>
        <w:spacing w:after="0" w:line="193"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Nevada's "combinations with interested stockholders" statutes (NRS 78.411 through 78.444, inclusive) provide that specified types of business "combinations" between certain Nevada corporations and any person deemed to be an "interested stockholder" of the corporation are prohibited for two years after such person first becomes an "interested stockholder" unless the corporation's board of directors approves the combination (or the transaction by which such person becomes an "interested stockholder") in advance, or unless the combination is approved by the board of directors and sixty percent of the corporation's voting power not beneficially owned by the interested stockholder, its affiliates and associates. Furthermore, in the absence of prior approval certain restrictions may apply even after such two-year period. For purposes of these statutes, an "interested stockholder" is any person who is (1) the beneficial owner, directly or indirectly, of 10% or more of the voting power of the outstanding voting shares of the corporation, or (2) an affiliate or associate of the corporation and at any time within the two previous years was the beneficial owner, directly or indirectly, of 10% or more of the voting power of the then-outstanding shares of the corporation. The definition of the term "combination" is sufficiently broad to cover most significant transactions between a corporation and an "interested stockholder". These laws generally apply to Nevada corporations with 200 or more stockholders of record. Our original articles of incorporation include a provision electing that the Company not be governed by these laws.</w:t>
      </w:r>
    </w:p>
    <w:p>
      <w:pPr>
        <w:spacing w:after="0" w:line="205"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In addition, NRS 78.139 also provides that directors may resist a change or potential change in control of the corporation if the board of directors determines that the change or potential change is opposed to or not in the best interest of the corporation upon consideration of any relevant facts, circumstances, contingencies or constituencies pursuant to NRS 78.138(4).</w:t>
      </w:r>
    </w:p>
    <w:p>
      <w:pPr>
        <w:spacing w:after="0" w:line="209" w:lineRule="exact"/>
        <w:rPr>
          <w:sz w:val="20"/>
          <w:szCs w:val="20"/>
          <w:color w:val="auto"/>
        </w:rPr>
      </w:pPr>
    </w:p>
    <w:p>
      <w:pPr>
        <w:ind w:right="460"/>
        <w:spacing w:after="0" w:line="248" w:lineRule="auto"/>
        <w:rPr>
          <w:sz w:val="20"/>
          <w:szCs w:val="20"/>
          <w:color w:val="auto"/>
        </w:rPr>
      </w:pPr>
      <w:r>
        <w:rPr>
          <w:rFonts w:ascii="Arial" w:cs="Arial" w:eastAsia="Arial" w:hAnsi="Arial"/>
          <w:sz w:val="18"/>
          <w:szCs w:val="18"/>
          <w:i w:val="1"/>
          <w:iCs w:val="1"/>
          <w:color w:val="auto"/>
        </w:rPr>
        <w:t>Exclusive Forum Bylaws Provision</w:t>
      </w:r>
      <w:r>
        <w:rPr>
          <w:rFonts w:ascii="Arial" w:cs="Arial" w:eastAsia="Arial" w:hAnsi="Arial"/>
          <w:sz w:val="18"/>
          <w:szCs w:val="18"/>
          <w:color w:val="auto"/>
        </w:rPr>
        <w:t>. Our Bylaws require that, to the fullest extent permitted by law, and unless the Company consents in writing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selection of an alternative forum, the Eighth Judicial District Court of Clark County, Nevada, will, to the fullest extent permitted by law, be the sole and exclusive forum for each of the following:</w:t>
      </w:r>
    </w:p>
    <w:p>
      <w:pPr>
        <w:spacing w:after="0" w:line="214" w:lineRule="exact"/>
        <w:rPr>
          <w:sz w:val="20"/>
          <w:szCs w:val="20"/>
          <w:color w:val="auto"/>
        </w:rPr>
      </w:pPr>
    </w:p>
    <w:p>
      <w:pPr>
        <w:ind w:left="660" w:hanging="328"/>
        <w:spacing w:after="0"/>
        <w:tabs>
          <w:tab w:leader="none" w:pos="660" w:val="left"/>
        </w:tabs>
        <w:numPr>
          <w:ilvl w:val="0"/>
          <w:numId w:val="69"/>
        </w:numPr>
        <w:rPr>
          <w:rFonts w:ascii="Arial" w:cs="Arial" w:eastAsia="Arial" w:hAnsi="Arial"/>
          <w:sz w:val="22"/>
          <w:szCs w:val="22"/>
          <w:color w:val="auto"/>
        </w:rPr>
      </w:pPr>
      <w:r>
        <w:rPr>
          <w:rFonts w:ascii="Arial" w:cs="Arial" w:eastAsia="Arial" w:hAnsi="Arial"/>
          <w:sz w:val="18"/>
          <w:szCs w:val="18"/>
          <w:color w:val="auto"/>
        </w:rPr>
        <w:t>any derivative action or proceeding brought in the name or right of the Company or on its behalf,</w:t>
      </w:r>
    </w:p>
    <w:p>
      <w:pPr>
        <w:spacing w:after="0" w:line="12" w:lineRule="exact"/>
        <w:rPr>
          <w:rFonts w:ascii="Arial" w:cs="Arial" w:eastAsia="Arial" w:hAnsi="Arial"/>
          <w:sz w:val="22"/>
          <w:szCs w:val="22"/>
          <w:color w:val="auto"/>
        </w:rPr>
      </w:pPr>
    </w:p>
    <w:p>
      <w:pPr>
        <w:ind w:left="660" w:right="20" w:hanging="328"/>
        <w:spacing w:after="0" w:line="232" w:lineRule="auto"/>
        <w:tabs>
          <w:tab w:leader="none" w:pos="655" w:val="left"/>
        </w:tabs>
        <w:numPr>
          <w:ilvl w:val="0"/>
          <w:numId w:val="69"/>
        </w:numPr>
        <w:rPr>
          <w:rFonts w:ascii="Arial" w:cs="Arial" w:eastAsia="Arial" w:hAnsi="Arial"/>
          <w:sz w:val="22"/>
          <w:szCs w:val="22"/>
          <w:color w:val="auto"/>
        </w:rPr>
      </w:pPr>
      <w:r>
        <w:rPr>
          <w:rFonts w:ascii="Arial" w:cs="Arial" w:eastAsia="Arial" w:hAnsi="Arial"/>
          <w:sz w:val="18"/>
          <w:szCs w:val="18"/>
          <w:color w:val="auto"/>
        </w:rPr>
        <w:t>any action asserting a claim for breach of any fiduciary duty owed by any director, officer, employee or agent of the Company to the Company or the Company's stockholders,</w:t>
      </w:r>
    </w:p>
    <w:p>
      <w:pPr>
        <w:spacing w:after="0" w:line="1" w:lineRule="exact"/>
        <w:rPr>
          <w:rFonts w:ascii="Arial" w:cs="Arial" w:eastAsia="Arial" w:hAnsi="Arial"/>
          <w:sz w:val="22"/>
          <w:szCs w:val="22"/>
          <w:color w:val="auto"/>
        </w:rPr>
      </w:pPr>
    </w:p>
    <w:p>
      <w:pPr>
        <w:ind w:left="660" w:right="20" w:hanging="328"/>
        <w:spacing w:after="0" w:line="232" w:lineRule="auto"/>
        <w:tabs>
          <w:tab w:leader="none" w:pos="655" w:val="left"/>
        </w:tabs>
        <w:numPr>
          <w:ilvl w:val="0"/>
          <w:numId w:val="69"/>
        </w:numPr>
        <w:rPr>
          <w:rFonts w:ascii="Arial" w:cs="Arial" w:eastAsia="Arial" w:hAnsi="Arial"/>
          <w:sz w:val="22"/>
          <w:szCs w:val="22"/>
          <w:color w:val="auto"/>
        </w:rPr>
      </w:pPr>
      <w:r>
        <w:rPr>
          <w:rFonts w:ascii="Arial" w:cs="Arial" w:eastAsia="Arial" w:hAnsi="Arial"/>
          <w:sz w:val="18"/>
          <w:szCs w:val="18"/>
          <w:color w:val="auto"/>
        </w:rPr>
        <w:t>any action arising or asserting a claim arising pursuant to any provision of NRS Chapters 78 or 92A or any provision of our Articles of Incorporation or Bylaws, or</w:t>
      </w:r>
    </w:p>
    <w:p>
      <w:pPr>
        <w:spacing w:after="0" w:line="1" w:lineRule="exact"/>
        <w:rPr>
          <w:rFonts w:ascii="Arial" w:cs="Arial" w:eastAsia="Arial" w:hAnsi="Arial"/>
          <w:sz w:val="22"/>
          <w:szCs w:val="22"/>
          <w:color w:val="auto"/>
        </w:rPr>
      </w:pPr>
    </w:p>
    <w:p>
      <w:pPr>
        <w:ind w:left="660" w:right="680" w:hanging="328"/>
        <w:spacing w:after="0" w:line="232" w:lineRule="auto"/>
        <w:tabs>
          <w:tab w:leader="none" w:pos="655" w:val="left"/>
        </w:tabs>
        <w:numPr>
          <w:ilvl w:val="0"/>
          <w:numId w:val="69"/>
        </w:numPr>
        <w:rPr>
          <w:rFonts w:ascii="Arial" w:cs="Arial" w:eastAsia="Arial" w:hAnsi="Arial"/>
          <w:sz w:val="22"/>
          <w:szCs w:val="22"/>
          <w:color w:val="auto"/>
        </w:rPr>
      </w:pPr>
      <w:r>
        <w:rPr>
          <w:rFonts w:ascii="Arial" w:cs="Arial" w:eastAsia="Arial" w:hAnsi="Arial"/>
          <w:sz w:val="18"/>
          <w:szCs w:val="18"/>
          <w:color w:val="auto"/>
        </w:rPr>
        <w:t>any action asserting a claim governed by the internal affairs doctrine, including, without limitation, any action to interpret, apply, enforce or determine the validity of our Articles of Incorporation or Bylaws.</w:t>
      </w:r>
    </w:p>
    <w:p>
      <w:pPr>
        <w:spacing w:after="0" w:line="216"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Because the applicability of the exclusive forum provision is limited to the extent permitted by law, we believe that the exclusive forum provision would not apply to suits brought to enforce any duty or liability created by the Exchange Act or any other claim for which the federal courts have exclusive jurisdiction, and that federal courts have concurrent jurisdiction over all suits brought to enforce any duty or liability created by the Securities Act. We note that there is uncertainty as to whether a court would enforce the provision and that investors cannot waive compliance with the federal securities laws and the rules and regulations thereunder. Although we believe this provision benefits us by providing increased consistency in the application of Nevada law in the types of lawsuits to which it applies, the provision may have the effect of discouraging lawsuits against our directors and officers.</w:t>
      </w:r>
    </w:p>
    <w:p>
      <w:pPr>
        <w:spacing w:after="0" w:line="203"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i w:val="1"/>
          <w:iCs w:val="1"/>
          <w:color w:val="auto"/>
        </w:rPr>
        <w:t>Gaming Redemption Provisions</w:t>
      </w:r>
      <w:r>
        <w:rPr>
          <w:rFonts w:ascii="Arial" w:cs="Arial" w:eastAsia="Arial" w:hAnsi="Arial"/>
          <w:sz w:val="17"/>
          <w:szCs w:val="17"/>
          <w:color w:val="auto"/>
        </w:rPr>
        <w:t>. Our Articles of Incorporation provide that, to the extent required by the gaming authority making the determination of</w:t>
      </w:r>
      <w:r>
        <w:rPr>
          <w:rFonts w:ascii="Arial" w:cs="Arial" w:eastAsia="Arial" w:hAnsi="Arial"/>
          <w:sz w:val="17"/>
          <w:szCs w:val="17"/>
          <w:i w:val="1"/>
          <w:iCs w:val="1"/>
          <w:color w:val="auto"/>
        </w:rPr>
        <w:t xml:space="preserve"> </w:t>
      </w:r>
      <w:r>
        <w:rPr>
          <w:rFonts w:ascii="Arial" w:cs="Arial" w:eastAsia="Arial" w:hAnsi="Arial"/>
          <w:sz w:val="17"/>
          <w:szCs w:val="17"/>
          <w:color w:val="auto"/>
        </w:rPr>
        <w:t>unsuitability or to the extent our board of directors determines, in its sole discretion, that a person is likely to jeopardize the Company's or any affiliate's application for, receipt of, approval for, right to the use of, or entitlement to, any gaming license, shares of our capital stock that are owned or controlled by such unsuitable person or its affiliates are subject to redemption by the Company. The redemption price may be paid in cash, by promissory note, or both, as required, and pursuant to the terms established by the applicable gaming authority and, if not, as the Company elects.</w:t>
      </w:r>
    </w:p>
    <w:p>
      <w:pPr>
        <w:sectPr>
          <w:pgSz w:w="11900" w:h="16838" w:orient="portrait"/>
          <w:cols w:equalWidth="0" w:num="1">
            <w:col w:w="11400"/>
          </w:cols>
          <w:pgMar w:left="240" w:top="895" w:right="259" w:bottom="1440" w:gutter="0" w:footer="0" w:header="0"/>
        </w:sectPr>
      </w:pPr>
    </w:p>
    <w:bookmarkStart w:id="146" w:name="page147"/>
    <w:bookmarkEnd w:id="146"/>
    <w:p>
      <w:pPr>
        <w:jc w:val="right"/>
        <w:spacing w:after="0"/>
        <w:rPr>
          <w:sz w:val="20"/>
          <w:szCs w:val="20"/>
          <w:color w:val="auto"/>
        </w:rPr>
      </w:pPr>
      <w:r>
        <w:rPr>
          <w:rFonts w:ascii="Arial" w:cs="Arial" w:eastAsia="Arial" w:hAnsi="Arial"/>
          <w:sz w:val="20"/>
          <w:szCs w:val="20"/>
          <w:b w:val="1"/>
          <w:bCs w:val="1"/>
          <w:color w:val="auto"/>
        </w:rPr>
        <w:t>Exhibit 4.10</w:t>
      </w:r>
    </w:p>
    <w:p>
      <w:pPr>
        <w:spacing w:after="0" w:line="2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769620</wp:posOffset>
            </wp:positionV>
            <wp:extent cx="723773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1">
                      <a:extLst>
                        <a:ext uri="{28A0092B-C50C-407E-A947-70E740481C1C}"/>
                      </a:extLst>
                    </a:blip>
                    <a:srcRect/>
                    <a:stretch>
                      <a:fillRect/>
                    </a:stretch>
                  </pic:blipFill>
                  <pic:spPr bwMode="auto">
                    <a:xfrm>
                      <a:off x="0" y="0"/>
                      <a:ext cx="72377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WYNN MACAU, LIMITED</w:t>
      </w: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5.125% SENIOR NOTES DUE 2029</w:t>
      </w:r>
    </w:p>
    <w:p>
      <w:pPr>
        <w:spacing w:after="0" w:line="44" w:lineRule="exact"/>
        <w:rPr>
          <w:sz w:val="20"/>
          <w:szCs w:val="20"/>
          <w:color w:val="auto"/>
        </w:rPr>
      </w:pPr>
    </w:p>
    <w:p>
      <w:pPr>
        <w:ind w:left="4500"/>
        <w:spacing w:after="0"/>
        <w:rPr>
          <w:sz w:val="20"/>
          <w:szCs w:val="20"/>
          <w:color w:val="auto"/>
        </w:rPr>
      </w:pPr>
      <w:r>
        <w:rPr>
          <w:rFonts w:ascii="Arial" w:cs="Arial" w:eastAsia="Arial" w:hAnsi="Arial"/>
          <w:sz w:val="22"/>
          <w:szCs w:val="22"/>
          <w:u w:val="single" w:color="auto"/>
          <w:color w:val="auto"/>
        </w:rPr>
        <w:t>______________________</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INDENTURE</w:t>
      </w: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Dated as of December 17, 2019</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500"/>
        <w:spacing w:after="0"/>
        <w:rPr>
          <w:sz w:val="20"/>
          <w:szCs w:val="20"/>
          <w:color w:val="auto"/>
        </w:rPr>
      </w:pPr>
      <w:r>
        <w:rPr>
          <w:rFonts w:ascii="Arial" w:cs="Arial" w:eastAsia="Arial" w:hAnsi="Arial"/>
          <w:sz w:val="22"/>
          <w:szCs w:val="22"/>
          <w:u w:val="single" w:color="auto"/>
          <w:color w:val="auto"/>
        </w:rPr>
        <w:t>______________________</w:t>
      </w: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DEUTSCHE BANK TRUST COMPANY AMERICAS</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Trustee</w:t>
      </w:r>
    </w:p>
    <w:p>
      <w:pPr>
        <w:spacing w:after="0" w:line="22" w:lineRule="exact"/>
        <w:rPr>
          <w:sz w:val="20"/>
          <w:szCs w:val="20"/>
          <w:color w:val="auto"/>
        </w:rPr>
      </w:pPr>
    </w:p>
    <w:p>
      <w:pPr>
        <w:ind w:left="4500"/>
        <w:spacing w:after="0"/>
        <w:rPr>
          <w:sz w:val="20"/>
          <w:szCs w:val="20"/>
          <w:color w:val="auto"/>
        </w:rPr>
      </w:pPr>
      <w:r>
        <w:rPr>
          <w:rFonts w:ascii="Arial" w:cs="Arial" w:eastAsia="Arial" w:hAnsi="Arial"/>
          <w:sz w:val="22"/>
          <w:szCs w:val="22"/>
          <w:u w:val="single" w:color="auto"/>
          <w:color w:val="auto"/>
        </w:rPr>
        <w:t>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364490</wp:posOffset>
            </wp:positionV>
            <wp:extent cx="723773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2">
                      <a:extLst>
                        <a:ext uri="{28A0092B-C50C-407E-A947-70E740481C1C}"/>
                      </a:extLst>
                    </a:blip>
                    <a:srcRect/>
                    <a:stretch>
                      <a:fillRect/>
                    </a:stretch>
                  </pic:blipFill>
                  <pic:spPr bwMode="auto">
                    <a:xfrm>
                      <a:off x="0" y="0"/>
                      <a:ext cx="72377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1"/>
          <w:szCs w:val="11"/>
          <w:color w:val="auto"/>
        </w:rPr>
        <w:t>ASIA 33616188</w:t>
      </w:r>
    </w:p>
    <w:p>
      <w:pPr>
        <w:sectPr>
          <w:pgSz w:w="11900" w:h="16838" w:orient="portrait"/>
          <w:cols w:equalWidth="0" w:num="1">
            <w:col w:w="11400"/>
          </w:cols>
          <w:pgMar w:left="260" w:top="1413" w:right="239" w:bottom="1440" w:gutter="0" w:footer="0" w:header="0"/>
        </w:sectPr>
      </w:pPr>
    </w:p>
    <w:bookmarkStart w:id="147" w:name="page148"/>
    <w:bookmarkEnd w:id="147"/>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640" w:type="dxa"/>
            <w:vAlign w:val="bottom"/>
          </w:tcPr>
          <w:p>
            <w:pPr>
              <w:spacing w:after="0"/>
              <w:rPr>
                <w:sz w:val="23"/>
                <w:szCs w:val="23"/>
                <w:color w:val="auto"/>
              </w:rPr>
            </w:pPr>
          </w:p>
        </w:tc>
        <w:tc>
          <w:tcPr>
            <w:tcW w:w="7900" w:type="dxa"/>
            <w:vAlign w:val="bottom"/>
          </w:tcPr>
          <w:p>
            <w:pPr>
              <w:jc w:val="center"/>
              <w:ind w:left="98"/>
              <w:spacing w:after="0"/>
              <w:rPr>
                <w:sz w:val="20"/>
                <w:szCs w:val="20"/>
                <w:color w:val="auto"/>
              </w:rPr>
            </w:pPr>
            <w:r>
              <w:rPr>
                <w:rFonts w:ascii="Arial" w:cs="Arial" w:eastAsia="Arial" w:hAnsi="Arial"/>
                <w:sz w:val="22"/>
                <w:szCs w:val="22"/>
                <w:color w:val="auto"/>
                <w:w w:val="93"/>
              </w:rPr>
              <w:t>TABLE OF CONTENTS</w:t>
            </w:r>
          </w:p>
        </w:tc>
        <w:tc>
          <w:tcPr>
            <w:tcW w:w="1860" w:type="dxa"/>
            <w:vAlign w:val="bottom"/>
          </w:tcPr>
          <w:p>
            <w:pPr>
              <w:spacing w:after="0"/>
              <w:rPr>
                <w:sz w:val="23"/>
                <w:szCs w:val="23"/>
                <w:color w:val="auto"/>
              </w:rPr>
            </w:pPr>
          </w:p>
        </w:tc>
      </w:tr>
      <w:tr>
        <w:trPr>
          <w:trHeight w:val="513"/>
        </w:trPr>
        <w:tc>
          <w:tcPr>
            <w:tcW w:w="164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22"/>
                <w:szCs w:val="22"/>
                <w:i w:val="1"/>
                <w:iCs w:val="1"/>
                <w:color w:val="auto"/>
              </w:rPr>
              <w:t>Page</w:t>
            </w:r>
          </w:p>
        </w:tc>
      </w:tr>
      <w:tr>
        <w:trPr>
          <w:trHeight w:val="513"/>
        </w:trPr>
        <w:tc>
          <w:tcPr>
            <w:tcW w:w="1640" w:type="dxa"/>
            <w:vAlign w:val="bottom"/>
          </w:tcPr>
          <w:p>
            <w:pPr>
              <w:spacing w:after="0"/>
              <w:rPr>
                <w:sz w:val="24"/>
                <w:szCs w:val="24"/>
                <w:color w:val="auto"/>
              </w:rPr>
            </w:pPr>
          </w:p>
        </w:tc>
        <w:tc>
          <w:tcPr>
            <w:tcW w:w="7900" w:type="dxa"/>
            <w:vAlign w:val="bottom"/>
          </w:tcPr>
          <w:p>
            <w:pPr>
              <w:ind w:left="3360"/>
              <w:spacing w:after="0"/>
              <w:rPr>
                <w:sz w:val="20"/>
                <w:szCs w:val="20"/>
                <w:color w:val="auto"/>
              </w:rPr>
            </w:pPr>
            <w:r>
              <w:rPr>
                <w:rFonts w:ascii="Arial" w:cs="Arial" w:eastAsia="Arial" w:hAnsi="Arial"/>
                <w:sz w:val="22"/>
                <w:szCs w:val="22"/>
                <w:color w:val="auto"/>
              </w:rPr>
              <w:t>ARTICLE 1</w:t>
            </w:r>
          </w:p>
        </w:tc>
        <w:tc>
          <w:tcPr>
            <w:tcW w:w="1860" w:type="dxa"/>
            <w:vAlign w:val="bottom"/>
          </w:tcPr>
          <w:p>
            <w:pPr>
              <w:spacing w:after="0"/>
              <w:rPr>
                <w:sz w:val="24"/>
                <w:szCs w:val="24"/>
                <w:color w:val="auto"/>
              </w:rPr>
            </w:pPr>
          </w:p>
        </w:tc>
      </w:tr>
      <w:tr>
        <w:trPr>
          <w:trHeight w:val="656"/>
        </w:trPr>
        <w:tc>
          <w:tcPr>
            <w:tcW w:w="1640" w:type="dxa"/>
            <w:vAlign w:val="bottom"/>
          </w:tcPr>
          <w:p>
            <w:pPr>
              <w:spacing w:after="0"/>
              <w:rPr>
                <w:sz w:val="24"/>
                <w:szCs w:val="24"/>
                <w:color w:val="auto"/>
              </w:rPr>
            </w:pPr>
          </w:p>
        </w:tc>
        <w:tc>
          <w:tcPr>
            <w:tcW w:w="7900" w:type="dxa"/>
            <w:vAlign w:val="bottom"/>
          </w:tcPr>
          <w:p>
            <w:pPr>
              <w:jc w:val="center"/>
              <w:ind w:left="98"/>
              <w:spacing w:after="0"/>
              <w:rPr>
                <w:sz w:val="20"/>
                <w:szCs w:val="20"/>
                <w:color w:val="auto"/>
              </w:rPr>
            </w:pPr>
            <w:r>
              <w:rPr>
                <w:rFonts w:ascii="Arial" w:cs="Arial" w:eastAsia="Arial" w:hAnsi="Arial"/>
                <w:sz w:val="20"/>
                <w:szCs w:val="20"/>
                <w:color w:val="auto"/>
                <w:w w:val="95"/>
              </w:rPr>
              <w:t>DEFINITIONS AND INCORPORATION BY REFERENCE</w:t>
            </w:r>
          </w:p>
        </w:tc>
        <w:tc>
          <w:tcPr>
            <w:tcW w:w="1860" w:type="dxa"/>
            <w:vAlign w:val="bottom"/>
          </w:tcPr>
          <w:p>
            <w:pPr>
              <w:spacing w:after="0"/>
              <w:rPr>
                <w:sz w:val="24"/>
                <w:szCs w:val="24"/>
                <w:color w:val="auto"/>
              </w:rPr>
            </w:pP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1.01</w:t>
            </w:r>
          </w:p>
        </w:tc>
        <w:tc>
          <w:tcPr>
            <w:tcW w:w="7900" w:type="dxa"/>
            <w:vAlign w:val="bottom"/>
          </w:tcPr>
          <w:p>
            <w:pPr>
              <w:ind w:left="660"/>
              <w:spacing w:after="0"/>
              <w:rPr>
                <w:sz w:val="20"/>
                <w:szCs w:val="20"/>
                <w:color w:val="auto"/>
              </w:rPr>
            </w:pPr>
            <w:r>
              <w:rPr>
                <w:rFonts w:ascii="Arial" w:cs="Arial" w:eastAsia="Arial" w:hAnsi="Arial"/>
                <w:sz w:val="20"/>
                <w:szCs w:val="20"/>
                <w:color w:val="auto"/>
              </w:rPr>
              <w:t>Definitions</w:t>
            </w:r>
          </w:p>
        </w:tc>
        <w:tc>
          <w:tcPr>
            <w:tcW w:w="186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1.02</w:t>
            </w:r>
          </w:p>
        </w:tc>
        <w:tc>
          <w:tcPr>
            <w:tcW w:w="7900" w:type="dxa"/>
            <w:vAlign w:val="bottom"/>
          </w:tcPr>
          <w:p>
            <w:pPr>
              <w:ind w:left="660"/>
              <w:spacing w:after="0"/>
              <w:rPr>
                <w:sz w:val="20"/>
                <w:szCs w:val="20"/>
                <w:color w:val="auto"/>
              </w:rPr>
            </w:pPr>
            <w:r>
              <w:rPr>
                <w:rFonts w:ascii="Arial" w:cs="Arial" w:eastAsia="Arial" w:hAnsi="Arial"/>
                <w:sz w:val="20"/>
                <w:szCs w:val="20"/>
                <w:color w:val="auto"/>
              </w:rPr>
              <w:t>Other Definitions</w:t>
            </w:r>
          </w:p>
        </w:tc>
        <w:tc>
          <w:tcPr>
            <w:tcW w:w="186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1.03</w:t>
            </w:r>
          </w:p>
        </w:tc>
        <w:tc>
          <w:tcPr>
            <w:tcW w:w="7900" w:type="dxa"/>
            <w:vAlign w:val="bottom"/>
          </w:tcPr>
          <w:p>
            <w:pPr>
              <w:ind w:left="660"/>
              <w:spacing w:after="0"/>
              <w:rPr>
                <w:sz w:val="20"/>
                <w:szCs w:val="20"/>
                <w:color w:val="auto"/>
              </w:rPr>
            </w:pPr>
            <w:r>
              <w:rPr>
                <w:rFonts w:ascii="Arial" w:cs="Arial" w:eastAsia="Arial" w:hAnsi="Arial"/>
                <w:sz w:val="20"/>
                <w:szCs w:val="20"/>
                <w:color w:val="auto"/>
              </w:rPr>
              <w:t>Rules of Construction</w:t>
            </w:r>
          </w:p>
        </w:tc>
        <w:tc>
          <w:tcPr>
            <w:tcW w:w="1860" w:type="dxa"/>
            <w:vAlign w:val="bottom"/>
          </w:tcPr>
          <w:p>
            <w:pPr>
              <w:jc w:val="right"/>
              <w:spacing w:after="0"/>
              <w:rPr>
                <w:sz w:val="20"/>
                <w:szCs w:val="20"/>
                <w:color w:val="auto"/>
              </w:rPr>
            </w:pPr>
            <w:r>
              <w:rPr>
                <w:rFonts w:ascii="Arial" w:cs="Arial" w:eastAsia="Arial" w:hAnsi="Arial"/>
                <w:sz w:val="20"/>
                <w:szCs w:val="20"/>
                <w:color w:val="auto"/>
              </w:rPr>
              <w:t>15</w:t>
            </w:r>
          </w:p>
        </w:tc>
      </w:tr>
    </w:tbl>
    <w:p>
      <w:pPr>
        <w:spacing w:after="0" w:line="200" w:lineRule="exact"/>
        <w:rPr>
          <w:sz w:val="20"/>
          <w:szCs w:val="20"/>
          <w:color w:val="auto"/>
        </w:rPr>
      </w:pPr>
    </w:p>
    <w:p>
      <w:pPr>
        <w:spacing w:after="0" w:line="288" w:lineRule="exact"/>
        <w:rPr>
          <w:sz w:val="20"/>
          <w:szCs w:val="20"/>
          <w:color w:val="auto"/>
        </w:rPr>
      </w:pPr>
    </w:p>
    <w:p>
      <w:pPr>
        <w:jc w:val="center"/>
        <w:ind w:right="340"/>
        <w:spacing w:after="0"/>
        <w:rPr>
          <w:sz w:val="20"/>
          <w:szCs w:val="20"/>
          <w:color w:val="auto"/>
        </w:rPr>
      </w:pPr>
      <w:r>
        <w:rPr>
          <w:rFonts w:ascii="Arial" w:cs="Arial" w:eastAsia="Arial" w:hAnsi="Arial"/>
          <w:sz w:val="22"/>
          <w:szCs w:val="22"/>
          <w:color w:val="auto"/>
        </w:rPr>
        <w:t>ARTICLE 2</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640" w:type="dxa"/>
            <w:vAlign w:val="bottom"/>
          </w:tcPr>
          <w:p>
            <w:pPr>
              <w:spacing w:after="0"/>
              <w:rPr>
                <w:sz w:val="21"/>
                <w:szCs w:val="21"/>
                <w:color w:val="auto"/>
              </w:rPr>
            </w:pPr>
          </w:p>
        </w:tc>
        <w:tc>
          <w:tcPr>
            <w:tcW w:w="7060" w:type="dxa"/>
            <w:vAlign w:val="bottom"/>
          </w:tcPr>
          <w:p>
            <w:pPr>
              <w:ind w:left="3520"/>
              <w:spacing w:after="0"/>
              <w:rPr>
                <w:sz w:val="20"/>
                <w:szCs w:val="20"/>
                <w:color w:val="auto"/>
              </w:rPr>
            </w:pPr>
            <w:r>
              <w:rPr>
                <w:rFonts w:ascii="Arial" w:cs="Arial" w:eastAsia="Arial" w:hAnsi="Arial"/>
                <w:sz w:val="20"/>
                <w:szCs w:val="20"/>
                <w:color w:val="auto"/>
              </w:rPr>
              <w:t>THE NOTES</w:t>
            </w:r>
          </w:p>
        </w:tc>
        <w:tc>
          <w:tcPr>
            <w:tcW w:w="2660" w:type="dxa"/>
            <w:vAlign w:val="bottom"/>
          </w:tcPr>
          <w:p>
            <w:pPr>
              <w:spacing w:after="0"/>
              <w:rPr>
                <w:sz w:val="21"/>
                <w:szCs w:val="21"/>
                <w:color w:val="auto"/>
              </w:rPr>
            </w:pP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2.01</w:t>
            </w:r>
          </w:p>
        </w:tc>
        <w:tc>
          <w:tcPr>
            <w:tcW w:w="7060" w:type="dxa"/>
            <w:vAlign w:val="bottom"/>
          </w:tcPr>
          <w:p>
            <w:pPr>
              <w:ind w:left="660"/>
              <w:spacing w:after="0"/>
              <w:rPr>
                <w:sz w:val="20"/>
                <w:szCs w:val="20"/>
                <w:color w:val="auto"/>
              </w:rPr>
            </w:pPr>
            <w:r>
              <w:rPr>
                <w:rFonts w:ascii="Arial" w:cs="Arial" w:eastAsia="Arial" w:hAnsi="Arial"/>
                <w:sz w:val="20"/>
                <w:szCs w:val="20"/>
                <w:color w:val="auto"/>
              </w:rPr>
              <w:t>Form and Dating</w:t>
            </w:r>
          </w:p>
        </w:tc>
        <w:tc>
          <w:tcPr>
            <w:tcW w:w="266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2.02</w:t>
            </w:r>
          </w:p>
        </w:tc>
        <w:tc>
          <w:tcPr>
            <w:tcW w:w="7060" w:type="dxa"/>
            <w:vAlign w:val="bottom"/>
          </w:tcPr>
          <w:p>
            <w:pPr>
              <w:ind w:left="660"/>
              <w:spacing w:after="0"/>
              <w:rPr>
                <w:sz w:val="20"/>
                <w:szCs w:val="20"/>
                <w:color w:val="auto"/>
              </w:rPr>
            </w:pPr>
            <w:r>
              <w:rPr>
                <w:rFonts w:ascii="Arial" w:cs="Arial" w:eastAsia="Arial" w:hAnsi="Arial"/>
                <w:sz w:val="20"/>
                <w:szCs w:val="20"/>
                <w:color w:val="auto"/>
              </w:rPr>
              <w:t>Execution and Authentication</w:t>
            </w:r>
          </w:p>
        </w:tc>
        <w:tc>
          <w:tcPr>
            <w:tcW w:w="266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2.03</w:t>
            </w:r>
          </w:p>
        </w:tc>
        <w:tc>
          <w:tcPr>
            <w:tcW w:w="7060" w:type="dxa"/>
            <w:vAlign w:val="bottom"/>
          </w:tcPr>
          <w:p>
            <w:pPr>
              <w:ind w:left="660"/>
              <w:spacing w:after="0"/>
              <w:rPr>
                <w:sz w:val="20"/>
                <w:szCs w:val="20"/>
                <w:color w:val="auto"/>
              </w:rPr>
            </w:pPr>
            <w:r>
              <w:rPr>
                <w:rFonts w:ascii="Arial" w:cs="Arial" w:eastAsia="Arial" w:hAnsi="Arial"/>
                <w:sz w:val="20"/>
                <w:szCs w:val="20"/>
                <w:color w:val="auto"/>
              </w:rPr>
              <w:t>Registrar and Paying Agent</w:t>
            </w:r>
          </w:p>
        </w:tc>
        <w:tc>
          <w:tcPr>
            <w:tcW w:w="266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2.04</w:t>
            </w:r>
          </w:p>
        </w:tc>
        <w:tc>
          <w:tcPr>
            <w:tcW w:w="7060" w:type="dxa"/>
            <w:vAlign w:val="bottom"/>
          </w:tcPr>
          <w:p>
            <w:pPr>
              <w:ind w:left="660"/>
              <w:spacing w:after="0"/>
              <w:rPr>
                <w:sz w:val="20"/>
                <w:szCs w:val="20"/>
                <w:color w:val="auto"/>
              </w:rPr>
            </w:pPr>
            <w:r>
              <w:rPr>
                <w:rFonts w:ascii="Arial" w:cs="Arial" w:eastAsia="Arial" w:hAnsi="Arial"/>
                <w:sz w:val="20"/>
                <w:szCs w:val="20"/>
                <w:color w:val="auto"/>
              </w:rPr>
              <w:t>Paying Agent to Hold Money in Trust</w:t>
            </w:r>
          </w:p>
        </w:tc>
        <w:tc>
          <w:tcPr>
            <w:tcW w:w="266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2.05</w:t>
            </w:r>
          </w:p>
        </w:tc>
        <w:tc>
          <w:tcPr>
            <w:tcW w:w="7060" w:type="dxa"/>
            <w:vAlign w:val="bottom"/>
          </w:tcPr>
          <w:p>
            <w:pPr>
              <w:ind w:left="660"/>
              <w:spacing w:after="0"/>
              <w:rPr>
                <w:sz w:val="20"/>
                <w:szCs w:val="20"/>
                <w:color w:val="auto"/>
              </w:rPr>
            </w:pPr>
            <w:r>
              <w:rPr>
                <w:rFonts w:ascii="Arial" w:cs="Arial" w:eastAsia="Arial" w:hAnsi="Arial"/>
                <w:sz w:val="20"/>
                <w:szCs w:val="20"/>
                <w:color w:val="auto"/>
              </w:rPr>
              <w:t>Holder Lists</w:t>
            </w:r>
          </w:p>
        </w:tc>
        <w:tc>
          <w:tcPr>
            <w:tcW w:w="266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2.06</w:t>
            </w:r>
          </w:p>
        </w:tc>
        <w:tc>
          <w:tcPr>
            <w:tcW w:w="7060" w:type="dxa"/>
            <w:vAlign w:val="bottom"/>
          </w:tcPr>
          <w:p>
            <w:pPr>
              <w:ind w:left="660"/>
              <w:spacing w:after="0"/>
              <w:rPr>
                <w:sz w:val="20"/>
                <w:szCs w:val="20"/>
                <w:color w:val="auto"/>
              </w:rPr>
            </w:pPr>
            <w:r>
              <w:rPr>
                <w:rFonts w:ascii="Arial" w:cs="Arial" w:eastAsia="Arial" w:hAnsi="Arial"/>
                <w:sz w:val="20"/>
                <w:szCs w:val="20"/>
                <w:color w:val="auto"/>
              </w:rPr>
              <w:t>Transfer and Exchange</w:t>
            </w:r>
          </w:p>
        </w:tc>
        <w:tc>
          <w:tcPr>
            <w:tcW w:w="266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2.07</w:t>
            </w:r>
          </w:p>
        </w:tc>
        <w:tc>
          <w:tcPr>
            <w:tcW w:w="7060" w:type="dxa"/>
            <w:vAlign w:val="bottom"/>
          </w:tcPr>
          <w:p>
            <w:pPr>
              <w:ind w:left="660"/>
              <w:spacing w:after="0"/>
              <w:rPr>
                <w:sz w:val="20"/>
                <w:szCs w:val="20"/>
                <w:color w:val="auto"/>
              </w:rPr>
            </w:pPr>
            <w:r>
              <w:rPr>
                <w:rFonts w:ascii="Arial" w:cs="Arial" w:eastAsia="Arial" w:hAnsi="Arial"/>
                <w:sz w:val="20"/>
                <w:szCs w:val="20"/>
                <w:color w:val="auto"/>
              </w:rPr>
              <w:t>Replacement Notes</w:t>
            </w:r>
          </w:p>
        </w:tc>
        <w:tc>
          <w:tcPr>
            <w:tcW w:w="2660" w:type="dxa"/>
            <w:vAlign w:val="bottom"/>
          </w:tcPr>
          <w:p>
            <w:pPr>
              <w:jc w:val="right"/>
              <w:spacing w:after="0"/>
              <w:rPr>
                <w:sz w:val="20"/>
                <w:szCs w:val="20"/>
                <w:color w:val="auto"/>
              </w:rPr>
            </w:pPr>
            <w:r>
              <w:rPr>
                <w:rFonts w:ascii="Arial" w:cs="Arial" w:eastAsia="Arial" w:hAnsi="Arial"/>
                <w:sz w:val="20"/>
                <w:szCs w:val="20"/>
                <w:color w:val="auto"/>
              </w:rPr>
              <w:t>31</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2.08</w:t>
            </w:r>
          </w:p>
        </w:tc>
        <w:tc>
          <w:tcPr>
            <w:tcW w:w="7060" w:type="dxa"/>
            <w:vAlign w:val="bottom"/>
          </w:tcPr>
          <w:p>
            <w:pPr>
              <w:ind w:left="660"/>
              <w:spacing w:after="0"/>
              <w:rPr>
                <w:sz w:val="20"/>
                <w:szCs w:val="20"/>
                <w:color w:val="auto"/>
              </w:rPr>
            </w:pPr>
            <w:r>
              <w:rPr>
                <w:rFonts w:ascii="Arial" w:cs="Arial" w:eastAsia="Arial" w:hAnsi="Arial"/>
                <w:sz w:val="20"/>
                <w:szCs w:val="20"/>
                <w:color w:val="auto"/>
              </w:rPr>
              <w:t>Outstanding Notes</w:t>
            </w:r>
          </w:p>
        </w:tc>
        <w:tc>
          <w:tcPr>
            <w:tcW w:w="2660" w:type="dxa"/>
            <w:vAlign w:val="bottom"/>
          </w:tcPr>
          <w:p>
            <w:pPr>
              <w:jc w:val="right"/>
              <w:spacing w:after="0"/>
              <w:rPr>
                <w:sz w:val="20"/>
                <w:szCs w:val="20"/>
                <w:color w:val="auto"/>
              </w:rPr>
            </w:pPr>
            <w:r>
              <w:rPr>
                <w:rFonts w:ascii="Arial" w:cs="Arial" w:eastAsia="Arial" w:hAnsi="Arial"/>
                <w:sz w:val="20"/>
                <w:szCs w:val="20"/>
                <w:color w:val="auto"/>
              </w:rPr>
              <w:t>32</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2.09</w:t>
            </w:r>
          </w:p>
        </w:tc>
        <w:tc>
          <w:tcPr>
            <w:tcW w:w="7060" w:type="dxa"/>
            <w:vAlign w:val="bottom"/>
          </w:tcPr>
          <w:p>
            <w:pPr>
              <w:ind w:left="660"/>
              <w:spacing w:after="0"/>
              <w:rPr>
                <w:sz w:val="20"/>
                <w:szCs w:val="20"/>
                <w:color w:val="auto"/>
              </w:rPr>
            </w:pPr>
            <w:r>
              <w:rPr>
                <w:rFonts w:ascii="Arial" w:cs="Arial" w:eastAsia="Arial" w:hAnsi="Arial"/>
                <w:sz w:val="20"/>
                <w:szCs w:val="20"/>
                <w:color w:val="auto"/>
              </w:rPr>
              <w:t>Treasury Notes</w:t>
            </w:r>
          </w:p>
        </w:tc>
        <w:tc>
          <w:tcPr>
            <w:tcW w:w="2660" w:type="dxa"/>
            <w:vAlign w:val="bottom"/>
          </w:tcPr>
          <w:p>
            <w:pPr>
              <w:jc w:val="right"/>
              <w:spacing w:after="0"/>
              <w:rPr>
                <w:sz w:val="20"/>
                <w:szCs w:val="20"/>
                <w:color w:val="auto"/>
              </w:rPr>
            </w:pPr>
            <w:r>
              <w:rPr>
                <w:rFonts w:ascii="Arial" w:cs="Arial" w:eastAsia="Arial" w:hAnsi="Arial"/>
                <w:sz w:val="20"/>
                <w:szCs w:val="20"/>
                <w:color w:val="auto"/>
              </w:rPr>
              <w:t>32</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2.10</w:t>
            </w:r>
          </w:p>
        </w:tc>
        <w:tc>
          <w:tcPr>
            <w:tcW w:w="7060" w:type="dxa"/>
            <w:vAlign w:val="bottom"/>
          </w:tcPr>
          <w:p>
            <w:pPr>
              <w:ind w:left="660"/>
              <w:spacing w:after="0"/>
              <w:rPr>
                <w:sz w:val="20"/>
                <w:szCs w:val="20"/>
                <w:color w:val="auto"/>
              </w:rPr>
            </w:pPr>
            <w:r>
              <w:rPr>
                <w:rFonts w:ascii="Arial" w:cs="Arial" w:eastAsia="Arial" w:hAnsi="Arial"/>
                <w:sz w:val="20"/>
                <w:szCs w:val="20"/>
                <w:color w:val="auto"/>
              </w:rPr>
              <w:t>Temporary Notes</w:t>
            </w:r>
          </w:p>
        </w:tc>
        <w:tc>
          <w:tcPr>
            <w:tcW w:w="2660" w:type="dxa"/>
            <w:vAlign w:val="bottom"/>
          </w:tcPr>
          <w:p>
            <w:pPr>
              <w:jc w:val="right"/>
              <w:spacing w:after="0"/>
              <w:rPr>
                <w:sz w:val="20"/>
                <w:szCs w:val="20"/>
                <w:color w:val="auto"/>
              </w:rPr>
            </w:pPr>
            <w:r>
              <w:rPr>
                <w:rFonts w:ascii="Arial" w:cs="Arial" w:eastAsia="Arial" w:hAnsi="Arial"/>
                <w:sz w:val="20"/>
                <w:szCs w:val="20"/>
                <w:color w:val="auto"/>
              </w:rPr>
              <w:t>32</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2.11</w:t>
            </w:r>
          </w:p>
        </w:tc>
        <w:tc>
          <w:tcPr>
            <w:tcW w:w="7060" w:type="dxa"/>
            <w:vAlign w:val="bottom"/>
          </w:tcPr>
          <w:p>
            <w:pPr>
              <w:ind w:left="660"/>
              <w:spacing w:after="0"/>
              <w:rPr>
                <w:sz w:val="20"/>
                <w:szCs w:val="20"/>
                <w:color w:val="auto"/>
              </w:rPr>
            </w:pPr>
            <w:r>
              <w:rPr>
                <w:rFonts w:ascii="Arial" w:cs="Arial" w:eastAsia="Arial" w:hAnsi="Arial"/>
                <w:sz w:val="20"/>
                <w:szCs w:val="20"/>
                <w:color w:val="auto"/>
              </w:rPr>
              <w:t>Cancelation</w:t>
            </w:r>
          </w:p>
        </w:tc>
        <w:tc>
          <w:tcPr>
            <w:tcW w:w="2660" w:type="dxa"/>
            <w:vAlign w:val="bottom"/>
          </w:tcPr>
          <w:p>
            <w:pPr>
              <w:jc w:val="right"/>
              <w:spacing w:after="0"/>
              <w:rPr>
                <w:sz w:val="20"/>
                <w:szCs w:val="20"/>
                <w:color w:val="auto"/>
              </w:rPr>
            </w:pPr>
            <w:r>
              <w:rPr>
                <w:rFonts w:ascii="Arial" w:cs="Arial" w:eastAsia="Arial" w:hAnsi="Arial"/>
                <w:sz w:val="20"/>
                <w:szCs w:val="20"/>
                <w:color w:val="auto"/>
              </w:rPr>
              <w:t>33</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2.12</w:t>
            </w:r>
          </w:p>
        </w:tc>
        <w:tc>
          <w:tcPr>
            <w:tcW w:w="7060" w:type="dxa"/>
            <w:vAlign w:val="bottom"/>
          </w:tcPr>
          <w:p>
            <w:pPr>
              <w:ind w:left="660"/>
              <w:spacing w:after="0"/>
              <w:rPr>
                <w:sz w:val="20"/>
                <w:szCs w:val="20"/>
                <w:color w:val="auto"/>
              </w:rPr>
            </w:pPr>
            <w:r>
              <w:rPr>
                <w:rFonts w:ascii="Arial" w:cs="Arial" w:eastAsia="Arial" w:hAnsi="Arial"/>
                <w:sz w:val="20"/>
                <w:szCs w:val="20"/>
                <w:color w:val="auto"/>
              </w:rPr>
              <w:t>Defaulted Interest</w:t>
            </w:r>
          </w:p>
        </w:tc>
        <w:tc>
          <w:tcPr>
            <w:tcW w:w="2660" w:type="dxa"/>
            <w:vAlign w:val="bottom"/>
          </w:tcPr>
          <w:p>
            <w:pPr>
              <w:jc w:val="right"/>
              <w:spacing w:after="0"/>
              <w:rPr>
                <w:sz w:val="20"/>
                <w:szCs w:val="20"/>
                <w:color w:val="auto"/>
              </w:rPr>
            </w:pPr>
            <w:r>
              <w:rPr>
                <w:rFonts w:ascii="Arial" w:cs="Arial" w:eastAsia="Arial" w:hAnsi="Arial"/>
                <w:sz w:val="20"/>
                <w:szCs w:val="20"/>
                <w:color w:val="auto"/>
              </w:rPr>
              <w:t>33</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2.13</w:t>
            </w:r>
          </w:p>
        </w:tc>
        <w:tc>
          <w:tcPr>
            <w:tcW w:w="7060" w:type="dxa"/>
            <w:vAlign w:val="bottom"/>
          </w:tcPr>
          <w:p>
            <w:pPr>
              <w:ind w:left="660"/>
              <w:spacing w:after="0"/>
              <w:rPr>
                <w:sz w:val="20"/>
                <w:szCs w:val="20"/>
                <w:color w:val="auto"/>
              </w:rPr>
            </w:pPr>
            <w:r>
              <w:rPr>
                <w:rFonts w:ascii="Arial" w:cs="Arial" w:eastAsia="Arial" w:hAnsi="Arial"/>
                <w:sz w:val="20"/>
                <w:szCs w:val="20"/>
                <w:color w:val="auto"/>
              </w:rPr>
              <w:t>Issuance of Additional Notes</w:t>
            </w:r>
          </w:p>
        </w:tc>
        <w:tc>
          <w:tcPr>
            <w:tcW w:w="2660" w:type="dxa"/>
            <w:vAlign w:val="bottom"/>
          </w:tcPr>
          <w:p>
            <w:pPr>
              <w:jc w:val="right"/>
              <w:spacing w:after="0"/>
              <w:rPr>
                <w:sz w:val="20"/>
                <w:szCs w:val="20"/>
                <w:color w:val="auto"/>
              </w:rPr>
            </w:pPr>
            <w:r>
              <w:rPr>
                <w:rFonts w:ascii="Arial" w:cs="Arial" w:eastAsia="Arial" w:hAnsi="Arial"/>
                <w:sz w:val="20"/>
                <w:szCs w:val="20"/>
                <w:color w:val="auto"/>
              </w:rPr>
              <w:t>33</w:t>
            </w:r>
          </w:p>
        </w:tc>
      </w:tr>
    </w:tbl>
    <w:p>
      <w:pPr>
        <w:spacing w:after="0" w:line="200" w:lineRule="exact"/>
        <w:rPr>
          <w:sz w:val="20"/>
          <w:szCs w:val="20"/>
          <w:color w:val="auto"/>
        </w:rPr>
      </w:pPr>
    </w:p>
    <w:p>
      <w:pPr>
        <w:spacing w:after="0" w:line="288" w:lineRule="exact"/>
        <w:rPr>
          <w:sz w:val="20"/>
          <w:szCs w:val="20"/>
          <w:color w:val="auto"/>
        </w:rPr>
      </w:pPr>
    </w:p>
    <w:p>
      <w:pPr>
        <w:jc w:val="center"/>
        <w:ind w:right="340"/>
        <w:spacing w:after="0"/>
        <w:rPr>
          <w:sz w:val="20"/>
          <w:szCs w:val="20"/>
          <w:color w:val="auto"/>
        </w:rPr>
      </w:pPr>
      <w:r>
        <w:rPr>
          <w:rFonts w:ascii="Arial" w:cs="Arial" w:eastAsia="Arial" w:hAnsi="Arial"/>
          <w:sz w:val="22"/>
          <w:szCs w:val="22"/>
          <w:color w:val="auto"/>
        </w:rPr>
        <w:t>ARTICLE 3</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640" w:type="dxa"/>
            <w:vAlign w:val="bottom"/>
          </w:tcPr>
          <w:p>
            <w:pPr>
              <w:spacing w:after="0"/>
              <w:rPr>
                <w:sz w:val="21"/>
                <w:szCs w:val="21"/>
                <w:color w:val="auto"/>
              </w:rPr>
            </w:pPr>
          </w:p>
        </w:tc>
        <w:tc>
          <w:tcPr>
            <w:tcW w:w="7560" w:type="dxa"/>
            <w:vAlign w:val="bottom"/>
          </w:tcPr>
          <w:p>
            <w:pPr>
              <w:ind w:left="2500"/>
              <w:spacing w:after="0"/>
              <w:rPr>
                <w:sz w:val="20"/>
                <w:szCs w:val="20"/>
                <w:color w:val="auto"/>
              </w:rPr>
            </w:pPr>
            <w:r>
              <w:rPr>
                <w:rFonts w:ascii="Arial" w:cs="Arial" w:eastAsia="Arial" w:hAnsi="Arial"/>
                <w:sz w:val="20"/>
                <w:szCs w:val="20"/>
                <w:color w:val="auto"/>
              </w:rPr>
              <w:t>REDEMPTION AND PREPAYMENT</w:t>
            </w:r>
          </w:p>
        </w:tc>
        <w:tc>
          <w:tcPr>
            <w:tcW w:w="2160" w:type="dxa"/>
            <w:vAlign w:val="bottom"/>
          </w:tcPr>
          <w:p>
            <w:pPr>
              <w:spacing w:after="0"/>
              <w:rPr>
                <w:sz w:val="21"/>
                <w:szCs w:val="21"/>
                <w:color w:val="auto"/>
              </w:rPr>
            </w:pP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3.01</w:t>
            </w:r>
          </w:p>
        </w:tc>
        <w:tc>
          <w:tcPr>
            <w:tcW w:w="7560" w:type="dxa"/>
            <w:vAlign w:val="bottom"/>
          </w:tcPr>
          <w:p>
            <w:pPr>
              <w:ind w:left="660"/>
              <w:spacing w:after="0"/>
              <w:rPr>
                <w:sz w:val="20"/>
                <w:szCs w:val="20"/>
                <w:color w:val="auto"/>
              </w:rPr>
            </w:pPr>
            <w:r>
              <w:rPr>
                <w:rFonts w:ascii="Arial" w:cs="Arial" w:eastAsia="Arial" w:hAnsi="Arial"/>
                <w:sz w:val="20"/>
                <w:szCs w:val="20"/>
                <w:color w:val="auto"/>
              </w:rPr>
              <w:t>Notices to Trustee</w:t>
            </w:r>
          </w:p>
        </w:tc>
        <w:tc>
          <w:tcPr>
            <w:tcW w:w="2160" w:type="dxa"/>
            <w:vAlign w:val="bottom"/>
          </w:tcPr>
          <w:p>
            <w:pPr>
              <w:jc w:val="right"/>
              <w:spacing w:after="0"/>
              <w:rPr>
                <w:sz w:val="20"/>
                <w:szCs w:val="20"/>
                <w:color w:val="auto"/>
              </w:rPr>
            </w:pPr>
            <w:r>
              <w:rPr>
                <w:rFonts w:ascii="Arial" w:cs="Arial" w:eastAsia="Arial" w:hAnsi="Arial"/>
                <w:sz w:val="20"/>
                <w:szCs w:val="20"/>
                <w:color w:val="auto"/>
              </w:rPr>
              <w:t>34</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3.02</w:t>
            </w:r>
          </w:p>
        </w:tc>
        <w:tc>
          <w:tcPr>
            <w:tcW w:w="7560" w:type="dxa"/>
            <w:vAlign w:val="bottom"/>
          </w:tcPr>
          <w:p>
            <w:pPr>
              <w:ind w:left="660"/>
              <w:spacing w:after="0"/>
              <w:rPr>
                <w:sz w:val="20"/>
                <w:szCs w:val="20"/>
                <w:color w:val="auto"/>
              </w:rPr>
            </w:pPr>
            <w:r>
              <w:rPr>
                <w:rFonts w:ascii="Arial" w:cs="Arial" w:eastAsia="Arial" w:hAnsi="Arial"/>
                <w:sz w:val="20"/>
                <w:szCs w:val="20"/>
                <w:color w:val="auto"/>
              </w:rPr>
              <w:t>Selection of Notes to Be Redeemed or Purchased</w:t>
            </w:r>
          </w:p>
        </w:tc>
        <w:tc>
          <w:tcPr>
            <w:tcW w:w="2160" w:type="dxa"/>
            <w:vAlign w:val="bottom"/>
          </w:tcPr>
          <w:p>
            <w:pPr>
              <w:jc w:val="right"/>
              <w:spacing w:after="0"/>
              <w:rPr>
                <w:sz w:val="20"/>
                <w:szCs w:val="20"/>
                <w:color w:val="auto"/>
              </w:rPr>
            </w:pPr>
            <w:r>
              <w:rPr>
                <w:rFonts w:ascii="Arial" w:cs="Arial" w:eastAsia="Arial" w:hAnsi="Arial"/>
                <w:sz w:val="20"/>
                <w:szCs w:val="20"/>
                <w:color w:val="auto"/>
              </w:rPr>
              <w:t>34</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3.03</w:t>
            </w:r>
          </w:p>
        </w:tc>
        <w:tc>
          <w:tcPr>
            <w:tcW w:w="7560" w:type="dxa"/>
            <w:vAlign w:val="bottom"/>
          </w:tcPr>
          <w:p>
            <w:pPr>
              <w:ind w:left="660"/>
              <w:spacing w:after="0"/>
              <w:rPr>
                <w:sz w:val="20"/>
                <w:szCs w:val="20"/>
                <w:color w:val="auto"/>
              </w:rPr>
            </w:pPr>
            <w:r>
              <w:rPr>
                <w:rFonts w:ascii="Arial" w:cs="Arial" w:eastAsia="Arial" w:hAnsi="Arial"/>
                <w:sz w:val="20"/>
                <w:szCs w:val="20"/>
                <w:color w:val="auto"/>
              </w:rPr>
              <w:t>Notice of Redemption</w:t>
            </w:r>
          </w:p>
        </w:tc>
        <w:tc>
          <w:tcPr>
            <w:tcW w:w="2160" w:type="dxa"/>
            <w:vAlign w:val="bottom"/>
          </w:tcPr>
          <w:p>
            <w:pPr>
              <w:jc w:val="right"/>
              <w:spacing w:after="0"/>
              <w:rPr>
                <w:sz w:val="20"/>
                <w:szCs w:val="20"/>
                <w:color w:val="auto"/>
              </w:rPr>
            </w:pPr>
            <w:r>
              <w:rPr>
                <w:rFonts w:ascii="Arial" w:cs="Arial" w:eastAsia="Arial" w:hAnsi="Arial"/>
                <w:sz w:val="20"/>
                <w:szCs w:val="20"/>
                <w:color w:val="auto"/>
              </w:rPr>
              <w:t>35</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3.04</w:t>
            </w:r>
          </w:p>
        </w:tc>
        <w:tc>
          <w:tcPr>
            <w:tcW w:w="7560" w:type="dxa"/>
            <w:vAlign w:val="bottom"/>
          </w:tcPr>
          <w:p>
            <w:pPr>
              <w:ind w:left="660"/>
              <w:spacing w:after="0"/>
              <w:rPr>
                <w:sz w:val="20"/>
                <w:szCs w:val="20"/>
                <w:color w:val="auto"/>
              </w:rPr>
            </w:pPr>
            <w:r>
              <w:rPr>
                <w:rFonts w:ascii="Arial" w:cs="Arial" w:eastAsia="Arial" w:hAnsi="Arial"/>
                <w:sz w:val="20"/>
                <w:szCs w:val="20"/>
                <w:color w:val="auto"/>
              </w:rPr>
              <w:t>Effect of Notice of Redemption</w:t>
            </w:r>
          </w:p>
        </w:tc>
        <w:tc>
          <w:tcPr>
            <w:tcW w:w="216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3.05</w:t>
            </w:r>
          </w:p>
        </w:tc>
        <w:tc>
          <w:tcPr>
            <w:tcW w:w="7560" w:type="dxa"/>
            <w:vAlign w:val="bottom"/>
          </w:tcPr>
          <w:p>
            <w:pPr>
              <w:ind w:left="660"/>
              <w:spacing w:after="0"/>
              <w:rPr>
                <w:sz w:val="20"/>
                <w:szCs w:val="20"/>
                <w:color w:val="auto"/>
              </w:rPr>
            </w:pPr>
            <w:r>
              <w:rPr>
                <w:rFonts w:ascii="Arial" w:cs="Arial" w:eastAsia="Arial" w:hAnsi="Arial"/>
                <w:sz w:val="20"/>
                <w:szCs w:val="20"/>
                <w:color w:val="auto"/>
              </w:rPr>
              <w:t>Deposit of Redemption or Purchase Price</w:t>
            </w:r>
          </w:p>
        </w:tc>
        <w:tc>
          <w:tcPr>
            <w:tcW w:w="216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3.06</w:t>
            </w:r>
          </w:p>
        </w:tc>
        <w:tc>
          <w:tcPr>
            <w:tcW w:w="7560" w:type="dxa"/>
            <w:vAlign w:val="bottom"/>
          </w:tcPr>
          <w:p>
            <w:pPr>
              <w:ind w:left="660"/>
              <w:spacing w:after="0"/>
              <w:rPr>
                <w:sz w:val="20"/>
                <w:szCs w:val="20"/>
                <w:color w:val="auto"/>
              </w:rPr>
            </w:pPr>
            <w:r>
              <w:rPr>
                <w:rFonts w:ascii="Arial" w:cs="Arial" w:eastAsia="Arial" w:hAnsi="Arial"/>
                <w:sz w:val="20"/>
                <w:szCs w:val="20"/>
                <w:color w:val="auto"/>
              </w:rPr>
              <w:t>Notes Redeemed or Purchased in Part</w:t>
            </w:r>
          </w:p>
        </w:tc>
        <w:tc>
          <w:tcPr>
            <w:tcW w:w="2160" w:type="dxa"/>
            <w:vAlign w:val="bottom"/>
          </w:tcPr>
          <w:p>
            <w:pPr>
              <w:jc w:val="right"/>
              <w:spacing w:after="0"/>
              <w:rPr>
                <w:sz w:val="20"/>
                <w:szCs w:val="20"/>
                <w:color w:val="auto"/>
              </w:rPr>
            </w:pPr>
            <w:r>
              <w:rPr>
                <w:rFonts w:ascii="Arial" w:cs="Arial" w:eastAsia="Arial" w:hAnsi="Arial"/>
                <w:sz w:val="20"/>
                <w:szCs w:val="20"/>
                <w:color w:val="auto"/>
              </w:rPr>
              <w:t>37</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3.07</w:t>
            </w:r>
          </w:p>
        </w:tc>
        <w:tc>
          <w:tcPr>
            <w:tcW w:w="7560" w:type="dxa"/>
            <w:vAlign w:val="bottom"/>
          </w:tcPr>
          <w:p>
            <w:pPr>
              <w:ind w:left="660"/>
              <w:spacing w:after="0"/>
              <w:rPr>
                <w:sz w:val="20"/>
                <w:szCs w:val="20"/>
                <w:color w:val="auto"/>
              </w:rPr>
            </w:pPr>
            <w:r>
              <w:rPr>
                <w:rFonts w:ascii="Arial" w:cs="Arial" w:eastAsia="Arial" w:hAnsi="Arial"/>
                <w:sz w:val="20"/>
                <w:szCs w:val="20"/>
                <w:color w:val="auto"/>
              </w:rPr>
              <w:t>Optional Redemption</w:t>
            </w:r>
          </w:p>
        </w:tc>
        <w:tc>
          <w:tcPr>
            <w:tcW w:w="2160" w:type="dxa"/>
            <w:vAlign w:val="bottom"/>
          </w:tcPr>
          <w:p>
            <w:pPr>
              <w:jc w:val="right"/>
              <w:spacing w:after="0"/>
              <w:rPr>
                <w:sz w:val="20"/>
                <w:szCs w:val="20"/>
                <w:color w:val="auto"/>
              </w:rPr>
            </w:pPr>
            <w:r>
              <w:rPr>
                <w:rFonts w:ascii="Arial" w:cs="Arial" w:eastAsia="Arial" w:hAnsi="Arial"/>
                <w:sz w:val="20"/>
                <w:szCs w:val="20"/>
                <w:color w:val="auto"/>
              </w:rPr>
              <w:t>37</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3.08</w:t>
            </w:r>
          </w:p>
        </w:tc>
        <w:tc>
          <w:tcPr>
            <w:tcW w:w="7560" w:type="dxa"/>
            <w:vAlign w:val="bottom"/>
          </w:tcPr>
          <w:p>
            <w:pPr>
              <w:ind w:left="660"/>
              <w:spacing w:after="0"/>
              <w:rPr>
                <w:sz w:val="20"/>
                <w:szCs w:val="20"/>
                <w:color w:val="auto"/>
              </w:rPr>
            </w:pPr>
            <w:r>
              <w:rPr>
                <w:rFonts w:ascii="Arial" w:cs="Arial" w:eastAsia="Arial" w:hAnsi="Arial"/>
                <w:sz w:val="20"/>
                <w:szCs w:val="20"/>
                <w:color w:val="auto"/>
              </w:rPr>
              <w:t>Mandatory Redemption</w:t>
            </w:r>
          </w:p>
        </w:tc>
        <w:tc>
          <w:tcPr>
            <w:tcW w:w="216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263"/>
        </w:trPr>
        <w:tc>
          <w:tcPr>
            <w:tcW w:w="1640" w:type="dxa"/>
            <w:vAlign w:val="bottom"/>
          </w:tcPr>
          <w:p>
            <w:pPr>
              <w:spacing w:after="0"/>
              <w:rPr>
                <w:sz w:val="22"/>
                <w:szCs w:val="22"/>
                <w:color w:val="auto"/>
              </w:rPr>
            </w:pPr>
          </w:p>
        </w:tc>
        <w:tc>
          <w:tcPr>
            <w:tcW w:w="7560" w:type="dxa"/>
            <w:vAlign w:val="bottom"/>
          </w:tcPr>
          <w:p>
            <w:pPr>
              <w:ind w:left="660"/>
              <w:spacing w:after="0"/>
              <w:rPr>
                <w:sz w:val="20"/>
                <w:szCs w:val="20"/>
                <w:color w:val="auto"/>
              </w:rPr>
            </w:pPr>
            <w:r>
              <w:rPr>
                <w:rFonts w:ascii="Arial" w:cs="Arial" w:eastAsia="Arial" w:hAnsi="Arial"/>
                <w:sz w:val="20"/>
                <w:szCs w:val="20"/>
                <w:color w:val="auto"/>
              </w:rPr>
              <w:t>Mandatory Disposition or Redemption Pursuant to Gaming</w:t>
            </w:r>
          </w:p>
        </w:tc>
        <w:tc>
          <w:tcPr>
            <w:tcW w:w="2160" w:type="dxa"/>
            <w:vAlign w:val="bottom"/>
          </w:tcPr>
          <w:p>
            <w:pPr>
              <w:spacing w:after="0"/>
              <w:rPr>
                <w:sz w:val="22"/>
                <w:szCs w:val="22"/>
                <w:color w:val="auto"/>
              </w:rPr>
            </w:pPr>
          </w:p>
        </w:tc>
      </w:tr>
      <w:tr>
        <w:trPr>
          <w:trHeight w:val="250"/>
        </w:trPr>
        <w:tc>
          <w:tcPr>
            <w:tcW w:w="1640" w:type="dxa"/>
            <w:vAlign w:val="bottom"/>
          </w:tcPr>
          <w:p>
            <w:pPr>
              <w:spacing w:after="0"/>
              <w:rPr>
                <w:sz w:val="20"/>
                <w:szCs w:val="20"/>
                <w:color w:val="auto"/>
              </w:rPr>
            </w:pPr>
            <w:r>
              <w:rPr>
                <w:rFonts w:ascii="Arial" w:cs="Arial" w:eastAsia="Arial" w:hAnsi="Arial"/>
                <w:sz w:val="20"/>
                <w:szCs w:val="20"/>
                <w:color w:val="auto"/>
              </w:rPr>
              <w:t>Section 3.09</w:t>
            </w:r>
          </w:p>
        </w:tc>
        <w:tc>
          <w:tcPr>
            <w:tcW w:w="7560" w:type="dxa"/>
            <w:vAlign w:val="bottom"/>
          </w:tcPr>
          <w:p>
            <w:pPr>
              <w:ind w:left="660"/>
              <w:spacing w:after="0"/>
              <w:rPr>
                <w:sz w:val="20"/>
                <w:szCs w:val="20"/>
                <w:color w:val="auto"/>
              </w:rPr>
            </w:pPr>
            <w:r>
              <w:rPr>
                <w:rFonts w:ascii="Arial" w:cs="Arial" w:eastAsia="Arial" w:hAnsi="Arial"/>
                <w:sz w:val="20"/>
                <w:szCs w:val="20"/>
                <w:color w:val="auto"/>
              </w:rPr>
              <w:t>Laws</w:t>
            </w:r>
          </w:p>
        </w:tc>
        <w:tc>
          <w:tcPr>
            <w:tcW w:w="216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3.10</w:t>
            </w:r>
          </w:p>
        </w:tc>
        <w:tc>
          <w:tcPr>
            <w:tcW w:w="7560" w:type="dxa"/>
            <w:vAlign w:val="bottom"/>
          </w:tcPr>
          <w:p>
            <w:pPr>
              <w:ind w:left="660"/>
              <w:spacing w:after="0"/>
              <w:rPr>
                <w:sz w:val="20"/>
                <w:szCs w:val="20"/>
                <w:color w:val="auto"/>
              </w:rPr>
            </w:pPr>
            <w:r>
              <w:rPr>
                <w:rFonts w:ascii="Arial" w:cs="Arial" w:eastAsia="Arial" w:hAnsi="Arial"/>
                <w:sz w:val="20"/>
                <w:szCs w:val="20"/>
                <w:color w:val="auto"/>
              </w:rPr>
              <w:t>Redemption Upon Changes in Withholding Taxes</w:t>
            </w:r>
          </w:p>
        </w:tc>
        <w:tc>
          <w:tcPr>
            <w:tcW w:w="2160" w:type="dxa"/>
            <w:vAlign w:val="bottom"/>
          </w:tcPr>
          <w:p>
            <w:pPr>
              <w:jc w:val="right"/>
              <w:spacing w:after="0"/>
              <w:rPr>
                <w:sz w:val="20"/>
                <w:szCs w:val="20"/>
                <w:color w:val="auto"/>
              </w:rPr>
            </w:pPr>
            <w:r>
              <w:rPr>
                <w:rFonts w:ascii="Arial" w:cs="Arial" w:eastAsia="Arial" w:hAnsi="Arial"/>
                <w:sz w:val="20"/>
                <w:szCs w:val="20"/>
                <w:color w:val="auto"/>
              </w:rPr>
              <w:t>40</w:t>
            </w:r>
          </w:p>
        </w:tc>
      </w:tr>
    </w:tbl>
    <w:p>
      <w:pPr>
        <w:spacing w:after="0" w:line="200" w:lineRule="exact"/>
        <w:rPr>
          <w:sz w:val="20"/>
          <w:szCs w:val="20"/>
          <w:color w:val="auto"/>
        </w:rPr>
      </w:pPr>
    </w:p>
    <w:p>
      <w:pPr>
        <w:sectPr>
          <w:pgSz w:w="11900" w:h="16838" w:orient="portrait"/>
          <w:cols w:equalWidth="0" w:num="1">
            <w:col w:w="11400"/>
          </w:cols>
          <w:pgMar w:left="260" w:top="14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tabs>
          <w:tab w:leader="none" w:pos="5640" w:val="left"/>
        </w:tabs>
        <w:rPr>
          <w:sz w:val="20"/>
          <w:szCs w:val="20"/>
          <w:color w:val="auto"/>
        </w:rPr>
      </w:pPr>
      <w:r>
        <w:rPr>
          <w:rFonts w:ascii="Arial" w:cs="Arial" w:eastAsia="Arial" w:hAnsi="Arial"/>
          <w:sz w:val="11"/>
          <w:szCs w:val="11"/>
          <w:color w:val="auto"/>
        </w:rPr>
        <w:t>ASIA 33616188</w:t>
      </w:r>
      <w:r>
        <w:rPr>
          <w:sz w:val="20"/>
          <w:szCs w:val="20"/>
          <w:color w:val="auto"/>
        </w:rPr>
        <w:tab/>
      </w:r>
      <w:r>
        <w:rPr>
          <w:rFonts w:ascii="Arial" w:cs="Arial" w:eastAsia="Arial" w:hAnsi="Arial"/>
          <w:sz w:val="17"/>
          <w:szCs w:val="17"/>
          <w:color w:val="auto"/>
        </w:rPr>
        <w:t>1</w:t>
      </w:r>
    </w:p>
    <w:p>
      <w:pPr>
        <w:sectPr>
          <w:pgSz w:w="11900" w:h="16838" w:orient="portrait"/>
          <w:cols w:equalWidth="0" w:num="1">
            <w:col w:w="11400"/>
          </w:cols>
          <w:pgMar w:left="260" w:top="1440" w:right="239" w:bottom="1440" w:gutter="0" w:footer="0" w:header="0"/>
          <w:type w:val="continuous"/>
        </w:sectPr>
      </w:pPr>
    </w:p>
    <w:bookmarkStart w:id="148" w:name="page149"/>
    <w:bookmarkEnd w:id="148"/>
    <w:p>
      <w:pPr>
        <w:jc w:val="right"/>
        <w:spacing w:after="0"/>
        <w:rPr>
          <w:sz w:val="20"/>
          <w:szCs w:val="20"/>
          <w:color w:val="auto"/>
        </w:rPr>
      </w:pPr>
      <w:r>
        <w:rPr>
          <w:rFonts w:ascii="Arial" w:cs="Arial" w:eastAsia="Arial" w:hAnsi="Arial"/>
          <w:sz w:val="22"/>
          <w:szCs w:val="22"/>
          <w:i w:val="1"/>
          <w:i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640" w:type="dxa"/>
            <w:vAlign w:val="bottom"/>
          </w:tcPr>
          <w:p>
            <w:pPr>
              <w:spacing w:after="0"/>
              <w:rPr>
                <w:sz w:val="23"/>
                <w:szCs w:val="23"/>
                <w:color w:val="auto"/>
              </w:rPr>
            </w:pPr>
          </w:p>
        </w:tc>
        <w:tc>
          <w:tcPr>
            <w:tcW w:w="7500" w:type="dxa"/>
            <w:vAlign w:val="bottom"/>
          </w:tcPr>
          <w:p>
            <w:pPr>
              <w:ind w:left="3360"/>
              <w:spacing w:after="0"/>
              <w:rPr>
                <w:sz w:val="20"/>
                <w:szCs w:val="20"/>
                <w:color w:val="auto"/>
              </w:rPr>
            </w:pPr>
            <w:r>
              <w:rPr>
                <w:rFonts w:ascii="Arial" w:cs="Arial" w:eastAsia="Arial" w:hAnsi="Arial"/>
                <w:sz w:val="22"/>
                <w:szCs w:val="22"/>
                <w:color w:val="auto"/>
              </w:rPr>
              <w:t>ARTICLE 4</w:t>
            </w:r>
          </w:p>
        </w:tc>
        <w:tc>
          <w:tcPr>
            <w:tcW w:w="2220" w:type="dxa"/>
            <w:vAlign w:val="bottom"/>
          </w:tcPr>
          <w:p>
            <w:pPr>
              <w:spacing w:after="0"/>
              <w:rPr>
                <w:sz w:val="23"/>
                <w:szCs w:val="23"/>
                <w:color w:val="auto"/>
              </w:rPr>
            </w:pPr>
          </w:p>
        </w:tc>
      </w:tr>
      <w:tr>
        <w:trPr>
          <w:trHeight w:val="656"/>
        </w:trPr>
        <w:tc>
          <w:tcPr>
            <w:tcW w:w="1640" w:type="dxa"/>
            <w:vAlign w:val="bottom"/>
          </w:tcPr>
          <w:p>
            <w:pPr>
              <w:spacing w:after="0"/>
              <w:rPr>
                <w:sz w:val="24"/>
                <w:szCs w:val="24"/>
                <w:color w:val="auto"/>
              </w:rPr>
            </w:pPr>
          </w:p>
        </w:tc>
        <w:tc>
          <w:tcPr>
            <w:tcW w:w="7500" w:type="dxa"/>
            <w:vAlign w:val="bottom"/>
          </w:tcPr>
          <w:p>
            <w:pPr>
              <w:ind w:left="3440"/>
              <w:spacing w:after="0"/>
              <w:rPr>
                <w:sz w:val="20"/>
                <w:szCs w:val="20"/>
                <w:color w:val="auto"/>
              </w:rPr>
            </w:pPr>
            <w:r>
              <w:rPr>
                <w:rFonts w:ascii="Arial" w:cs="Arial" w:eastAsia="Arial" w:hAnsi="Arial"/>
                <w:sz w:val="20"/>
                <w:szCs w:val="20"/>
                <w:color w:val="auto"/>
              </w:rPr>
              <w:t>COVENANTS</w:t>
            </w:r>
          </w:p>
        </w:tc>
        <w:tc>
          <w:tcPr>
            <w:tcW w:w="2220" w:type="dxa"/>
            <w:vAlign w:val="bottom"/>
          </w:tcPr>
          <w:p>
            <w:pPr>
              <w:spacing w:after="0"/>
              <w:rPr>
                <w:sz w:val="24"/>
                <w:szCs w:val="24"/>
                <w:color w:val="auto"/>
              </w:rPr>
            </w:pP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4.01</w:t>
            </w:r>
          </w:p>
        </w:tc>
        <w:tc>
          <w:tcPr>
            <w:tcW w:w="7500" w:type="dxa"/>
            <w:vAlign w:val="bottom"/>
          </w:tcPr>
          <w:p>
            <w:pPr>
              <w:ind w:left="660"/>
              <w:spacing w:after="0"/>
              <w:rPr>
                <w:sz w:val="20"/>
                <w:szCs w:val="20"/>
                <w:color w:val="auto"/>
              </w:rPr>
            </w:pPr>
            <w:r>
              <w:rPr>
                <w:rFonts w:ascii="Arial" w:cs="Arial" w:eastAsia="Arial" w:hAnsi="Arial"/>
                <w:sz w:val="20"/>
                <w:szCs w:val="20"/>
                <w:color w:val="auto"/>
              </w:rPr>
              <w:t>Payment of Notes</w:t>
            </w:r>
          </w:p>
        </w:tc>
        <w:tc>
          <w:tcPr>
            <w:tcW w:w="222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4.02</w:t>
            </w:r>
          </w:p>
        </w:tc>
        <w:tc>
          <w:tcPr>
            <w:tcW w:w="7500" w:type="dxa"/>
            <w:vAlign w:val="bottom"/>
          </w:tcPr>
          <w:p>
            <w:pPr>
              <w:ind w:left="660"/>
              <w:spacing w:after="0"/>
              <w:rPr>
                <w:sz w:val="20"/>
                <w:szCs w:val="20"/>
                <w:color w:val="auto"/>
              </w:rPr>
            </w:pPr>
            <w:r>
              <w:rPr>
                <w:rFonts w:ascii="Arial" w:cs="Arial" w:eastAsia="Arial" w:hAnsi="Arial"/>
                <w:sz w:val="20"/>
                <w:szCs w:val="20"/>
                <w:color w:val="auto"/>
              </w:rPr>
              <w:t>Maintenance of Office or Agency</w:t>
            </w:r>
          </w:p>
        </w:tc>
        <w:tc>
          <w:tcPr>
            <w:tcW w:w="222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4.03</w:t>
            </w:r>
          </w:p>
        </w:tc>
        <w:tc>
          <w:tcPr>
            <w:tcW w:w="7500" w:type="dxa"/>
            <w:vAlign w:val="bottom"/>
          </w:tcPr>
          <w:p>
            <w:pPr>
              <w:ind w:left="660"/>
              <w:spacing w:after="0"/>
              <w:rPr>
                <w:sz w:val="20"/>
                <w:szCs w:val="20"/>
                <w:color w:val="auto"/>
              </w:rPr>
            </w:pPr>
            <w:r>
              <w:rPr>
                <w:rFonts w:ascii="Arial" w:cs="Arial" w:eastAsia="Arial" w:hAnsi="Arial"/>
                <w:sz w:val="20"/>
                <w:szCs w:val="20"/>
                <w:color w:val="auto"/>
              </w:rPr>
              <w:t>Reports</w:t>
            </w:r>
          </w:p>
        </w:tc>
        <w:tc>
          <w:tcPr>
            <w:tcW w:w="2220" w:type="dxa"/>
            <w:vAlign w:val="bottom"/>
          </w:tcPr>
          <w:p>
            <w:pPr>
              <w:jc w:val="right"/>
              <w:spacing w:after="0"/>
              <w:rPr>
                <w:sz w:val="20"/>
                <w:szCs w:val="20"/>
                <w:color w:val="auto"/>
              </w:rPr>
            </w:pPr>
            <w:r>
              <w:rPr>
                <w:rFonts w:ascii="Arial" w:cs="Arial" w:eastAsia="Arial" w:hAnsi="Arial"/>
                <w:sz w:val="20"/>
                <w:szCs w:val="20"/>
                <w:color w:val="auto"/>
              </w:rPr>
              <w:t>42</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4.04</w:t>
            </w:r>
          </w:p>
        </w:tc>
        <w:tc>
          <w:tcPr>
            <w:tcW w:w="7500" w:type="dxa"/>
            <w:vAlign w:val="bottom"/>
          </w:tcPr>
          <w:p>
            <w:pPr>
              <w:ind w:left="660"/>
              <w:spacing w:after="0"/>
              <w:rPr>
                <w:sz w:val="20"/>
                <w:szCs w:val="20"/>
                <w:color w:val="auto"/>
              </w:rPr>
            </w:pPr>
            <w:r>
              <w:rPr>
                <w:rFonts w:ascii="Arial" w:cs="Arial" w:eastAsia="Arial" w:hAnsi="Arial"/>
                <w:sz w:val="20"/>
                <w:szCs w:val="20"/>
                <w:color w:val="auto"/>
              </w:rPr>
              <w:t>Compliance Certificate</w:t>
            </w:r>
          </w:p>
        </w:tc>
        <w:tc>
          <w:tcPr>
            <w:tcW w:w="2220" w:type="dxa"/>
            <w:vAlign w:val="bottom"/>
          </w:tcPr>
          <w:p>
            <w:pPr>
              <w:jc w:val="right"/>
              <w:spacing w:after="0"/>
              <w:rPr>
                <w:sz w:val="20"/>
                <w:szCs w:val="20"/>
                <w:color w:val="auto"/>
              </w:rPr>
            </w:pPr>
            <w:r>
              <w:rPr>
                <w:rFonts w:ascii="Arial" w:cs="Arial" w:eastAsia="Arial" w:hAnsi="Arial"/>
                <w:sz w:val="20"/>
                <w:szCs w:val="20"/>
                <w:color w:val="auto"/>
              </w:rPr>
              <w:t>44</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4.05</w:t>
            </w:r>
          </w:p>
        </w:tc>
        <w:tc>
          <w:tcPr>
            <w:tcW w:w="7500" w:type="dxa"/>
            <w:vAlign w:val="bottom"/>
          </w:tcPr>
          <w:p>
            <w:pPr>
              <w:ind w:left="660"/>
              <w:spacing w:after="0"/>
              <w:rPr>
                <w:sz w:val="20"/>
                <w:szCs w:val="20"/>
                <w:color w:val="auto"/>
              </w:rPr>
            </w:pPr>
            <w:r>
              <w:rPr>
                <w:rFonts w:ascii="Arial" w:cs="Arial" w:eastAsia="Arial" w:hAnsi="Arial"/>
                <w:sz w:val="20"/>
                <w:szCs w:val="20"/>
                <w:color w:val="auto"/>
              </w:rPr>
              <w:t>Taxes</w:t>
            </w:r>
          </w:p>
        </w:tc>
        <w:tc>
          <w:tcPr>
            <w:tcW w:w="2220" w:type="dxa"/>
            <w:vAlign w:val="bottom"/>
          </w:tcPr>
          <w:p>
            <w:pPr>
              <w:jc w:val="right"/>
              <w:spacing w:after="0"/>
              <w:rPr>
                <w:sz w:val="20"/>
                <w:szCs w:val="20"/>
                <w:color w:val="auto"/>
              </w:rPr>
            </w:pPr>
            <w:r>
              <w:rPr>
                <w:rFonts w:ascii="Arial" w:cs="Arial" w:eastAsia="Arial" w:hAnsi="Arial"/>
                <w:sz w:val="20"/>
                <w:szCs w:val="20"/>
                <w:color w:val="auto"/>
              </w:rPr>
              <w:t>44</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4.06</w:t>
            </w:r>
          </w:p>
        </w:tc>
        <w:tc>
          <w:tcPr>
            <w:tcW w:w="7500" w:type="dxa"/>
            <w:vAlign w:val="bottom"/>
          </w:tcPr>
          <w:p>
            <w:pPr>
              <w:ind w:left="660"/>
              <w:spacing w:after="0"/>
              <w:rPr>
                <w:sz w:val="20"/>
                <w:szCs w:val="20"/>
                <w:color w:val="auto"/>
              </w:rPr>
            </w:pPr>
            <w:r>
              <w:rPr>
                <w:rFonts w:ascii="Arial" w:cs="Arial" w:eastAsia="Arial" w:hAnsi="Arial"/>
                <w:sz w:val="20"/>
                <w:szCs w:val="20"/>
                <w:color w:val="auto"/>
              </w:rPr>
              <w:t>Stay, Extension and Usury Laws</w:t>
            </w:r>
          </w:p>
        </w:tc>
        <w:tc>
          <w:tcPr>
            <w:tcW w:w="2220" w:type="dxa"/>
            <w:vAlign w:val="bottom"/>
          </w:tcPr>
          <w:p>
            <w:pPr>
              <w:jc w:val="right"/>
              <w:spacing w:after="0"/>
              <w:rPr>
                <w:sz w:val="20"/>
                <w:szCs w:val="20"/>
                <w:color w:val="auto"/>
              </w:rPr>
            </w:pPr>
            <w:r>
              <w:rPr>
                <w:rFonts w:ascii="Arial" w:cs="Arial" w:eastAsia="Arial" w:hAnsi="Arial"/>
                <w:sz w:val="20"/>
                <w:szCs w:val="20"/>
                <w:color w:val="auto"/>
              </w:rPr>
              <w:t>45</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4.07</w:t>
            </w:r>
          </w:p>
        </w:tc>
        <w:tc>
          <w:tcPr>
            <w:tcW w:w="7500" w:type="dxa"/>
            <w:vAlign w:val="bottom"/>
          </w:tcPr>
          <w:p>
            <w:pPr>
              <w:ind w:left="660"/>
              <w:spacing w:after="0"/>
              <w:rPr>
                <w:sz w:val="20"/>
                <w:szCs w:val="20"/>
                <w:color w:val="auto"/>
              </w:rPr>
            </w:pPr>
            <w:r>
              <w:rPr>
                <w:rFonts w:ascii="Arial" w:cs="Arial" w:eastAsia="Arial" w:hAnsi="Arial"/>
                <w:sz w:val="20"/>
                <w:szCs w:val="20"/>
                <w:color w:val="auto"/>
              </w:rPr>
              <w:t>Corporate and Organizational Existence</w:t>
            </w:r>
          </w:p>
        </w:tc>
        <w:tc>
          <w:tcPr>
            <w:tcW w:w="2220" w:type="dxa"/>
            <w:vAlign w:val="bottom"/>
          </w:tcPr>
          <w:p>
            <w:pPr>
              <w:jc w:val="right"/>
              <w:spacing w:after="0"/>
              <w:rPr>
                <w:sz w:val="20"/>
                <w:szCs w:val="20"/>
                <w:color w:val="auto"/>
              </w:rPr>
            </w:pPr>
            <w:r>
              <w:rPr>
                <w:rFonts w:ascii="Arial" w:cs="Arial" w:eastAsia="Arial" w:hAnsi="Arial"/>
                <w:sz w:val="20"/>
                <w:szCs w:val="20"/>
                <w:color w:val="auto"/>
              </w:rPr>
              <w:t>45</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4.08</w:t>
            </w:r>
          </w:p>
        </w:tc>
        <w:tc>
          <w:tcPr>
            <w:tcW w:w="7500" w:type="dxa"/>
            <w:vAlign w:val="bottom"/>
          </w:tcPr>
          <w:p>
            <w:pPr>
              <w:ind w:left="660"/>
              <w:spacing w:after="0"/>
              <w:rPr>
                <w:sz w:val="20"/>
                <w:szCs w:val="20"/>
                <w:color w:val="auto"/>
              </w:rPr>
            </w:pPr>
            <w:r>
              <w:rPr>
                <w:rFonts w:ascii="Arial" w:cs="Arial" w:eastAsia="Arial" w:hAnsi="Arial"/>
                <w:sz w:val="20"/>
                <w:szCs w:val="20"/>
                <w:color w:val="auto"/>
              </w:rPr>
              <w:t>Offer to Purchase Upon Change of Control Triggering Event</w:t>
            </w:r>
          </w:p>
        </w:tc>
        <w:tc>
          <w:tcPr>
            <w:tcW w:w="2220" w:type="dxa"/>
            <w:vAlign w:val="bottom"/>
          </w:tcPr>
          <w:p>
            <w:pPr>
              <w:jc w:val="right"/>
              <w:spacing w:after="0"/>
              <w:rPr>
                <w:sz w:val="20"/>
                <w:szCs w:val="20"/>
                <w:color w:val="auto"/>
              </w:rPr>
            </w:pPr>
            <w:r>
              <w:rPr>
                <w:rFonts w:ascii="Arial" w:cs="Arial" w:eastAsia="Arial" w:hAnsi="Arial"/>
                <w:sz w:val="20"/>
                <w:szCs w:val="20"/>
                <w:color w:val="auto"/>
              </w:rPr>
              <w:t>45</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4.09</w:t>
            </w:r>
          </w:p>
        </w:tc>
        <w:tc>
          <w:tcPr>
            <w:tcW w:w="7500" w:type="dxa"/>
            <w:vAlign w:val="bottom"/>
          </w:tcPr>
          <w:p>
            <w:pPr>
              <w:ind w:left="660"/>
              <w:spacing w:after="0"/>
              <w:rPr>
                <w:sz w:val="20"/>
                <w:szCs w:val="20"/>
                <w:color w:val="auto"/>
              </w:rPr>
            </w:pPr>
            <w:r>
              <w:rPr>
                <w:rFonts w:ascii="Arial" w:cs="Arial" w:eastAsia="Arial" w:hAnsi="Arial"/>
                <w:sz w:val="20"/>
                <w:szCs w:val="20"/>
                <w:color w:val="auto"/>
              </w:rPr>
              <w:t>Additional Amounts</w:t>
            </w:r>
          </w:p>
        </w:tc>
        <w:tc>
          <w:tcPr>
            <w:tcW w:w="2220" w:type="dxa"/>
            <w:vAlign w:val="bottom"/>
          </w:tcPr>
          <w:p>
            <w:pPr>
              <w:jc w:val="right"/>
              <w:spacing w:after="0"/>
              <w:rPr>
                <w:sz w:val="20"/>
                <w:szCs w:val="20"/>
                <w:color w:val="auto"/>
              </w:rPr>
            </w:pPr>
            <w:r>
              <w:rPr>
                <w:rFonts w:ascii="Arial" w:cs="Arial" w:eastAsia="Arial" w:hAnsi="Arial"/>
                <w:sz w:val="20"/>
                <w:szCs w:val="20"/>
                <w:color w:val="auto"/>
              </w:rPr>
              <w:t>47</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4.10</w:t>
            </w:r>
          </w:p>
        </w:tc>
        <w:tc>
          <w:tcPr>
            <w:tcW w:w="7500" w:type="dxa"/>
            <w:vAlign w:val="bottom"/>
          </w:tcPr>
          <w:p>
            <w:pPr>
              <w:ind w:left="660"/>
              <w:spacing w:after="0"/>
              <w:rPr>
                <w:sz w:val="20"/>
                <w:szCs w:val="20"/>
                <w:color w:val="auto"/>
              </w:rPr>
            </w:pPr>
            <w:r>
              <w:rPr>
                <w:rFonts w:ascii="Arial" w:cs="Arial" w:eastAsia="Arial" w:hAnsi="Arial"/>
                <w:sz w:val="20"/>
                <w:szCs w:val="20"/>
                <w:color w:val="auto"/>
              </w:rPr>
              <w:t>Special Put Option.</w:t>
            </w:r>
          </w:p>
        </w:tc>
        <w:tc>
          <w:tcPr>
            <w:tcW w:w="2220" w:type="dxa"/>
            <w:vAlign w:val="bottom"/>
          </w:tcPr>
          <w:p>
            <w:pPr>
              <w:jc w:val="right"/>
              <w:spacing w:after="0"/>
              <w:rPr>
                <w:sz w:val="20"/>
                <w:szCs w:val="20"/>
                <w:color w:val="auto"/>
              </w:rPr>
            </w:pPr>
            <w:r>
              <w:rPr>
                <w:rFonts w:ascii="Arial" w:cs="Arial" w:eastAsia="Arial" w:hAnsi="Arial"/>
                <w:sz w:val="20"/>
                <w:szCs w:val="20"/>
                <w:color w:val="auto"/>
              </w:rPr>
              <w:t>50</w:t>
            </w:r>
          </w:p>
        </w:tc>
      </w:tr>
    </w:tbl>
    <w:p>
      <w:pPr>
        <w:spacing w:after="0" w:line="200" w:lineRule="exact"/>
        <w:rPr>
          <w:sz w:val="20"/>
          <w:szCs w:val="20"/>
          <w:color w:val="auto"/>
        </w:rPr>
      </w:pPr>
    </w:p>
    <w:p>
      <w:pPr>
        <w:spacing w:after="0" w:line="288" w:lineRule="exact"/>
        <w:rPr>
          <w:sz w:val="20"/>
          <w:szCs w:val="20"/>
          <w:color w:val="auto"/>
        </w:rPr>
      </w:pPr>
    </w:p>
    <w:p>
      <w:pPr>
        <w:jc w:val="center"/>
        <w:ind w:right="340"/>
        <w:spacing w:after="0"/>
        <w:rPr>
          <w:sz w:val="20"/>
          <w:szCs w:val="20"/>
          <w:color w:val="auto"/>
        </w:rPr>
      </w:pPr>
      <w:r>
        <w:rPr>
          <w:rFonts w:ascii="Arial" w:cs="Arial" w:eastAsia="Arial" w:hAnsi="Arial"/>
          <w:sz w:val="22"/>
          <w:szCs w:val="22"/>
          <w:color w:val="auto"/>
        </w:rPr>
        <w:t>ARTICLE 5</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640" w:type="dxa"/>
            <w:vAlign w:val="bottom"/>
          </w:tcPr>
          <w:p>
            <w:pPr>
              <w:spacing w:after="0"/>
              <w:rPr>
                <w:sz w:val="21"/>
                <w:szCs w:val="21"/>
                <w:color w:val="auto"/>
              </w:rPr>
            </w:pPr>
          </w:p>
        </w:tc>
        <w:tc>
          <w:tcPr>
            <w:tcW w:w="7100" w:type="dxa"/>
            <w:vAlign w:val="bottom"/>
          </w:tcPr>
          <w:p>
            <w:pPr>
              <w:ind w:left="3420"/>
              <w:spacing w:after="0"/>
              <w:rPr>
                <w:sz w:val="20"/>
                <w:szCs w:val="20"/>
                <w:color w:val="auto"/>
              </w:rPr>
            </w:pPr>
            <w:r>
              <w:rPr>
                <w:rFonts w:ascii="Arial" w:cs="Arial" w:eastAsia="Arial" w:hAnsi="Arial"/>
                <w:sz w:val="20"/>
                <w:szCs w:val="20"/>
                <w:color w:val="auto"/>
              </w:rPr>
              <w:t>SUCCESSORS</w:t>
            </w:r>
          </w:p>
        </w:tc>
        <w:tc>
          <w:tcPr>
            <w:tcW w:w="2620" w:type="dxa"/>
            <w:vAlign w:val="bottom"/>
          </w:tcPr>
          <w:p>
            <w:pPr>
              <w:spacing w:after="0"/>
              <w:rPr>
                <w:sz w:val="21"/>
                <w:szCs w:val="21"/>
                <w:color w:val="auto"/>
              </w:rPr>
            </w:pP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5.01</w:t>
            </w:r>
          </w:p>
        </w:tc>
        <w:tc>
          <w:tcPr>
            <w:tcW w:w="7100" w:type="dxa"/>
            <w:vAlign w:val="bottom"/>
          </w:tcPr>
          <w:p>
            <w:pPr>
              <w:ind w:left="660"/>
              <w:spacing w:after="0"/>
              <w:rPr>
                <w:sz w:val="20"/>
                <w:szCs w:val="20"/>
                <w:color w:val="auto"/>
              </w:rPr>
            </w:pPr>
            <w:r>
              <w:rPr>
                <w:rFonts w:ascii="Arial" w:cs="Arial" w:eastAsia="Arial" w:hAnsi="Arial"/>
                <w:sz w:val="20"/>
                <w:szCs w:val="20"/>
                <w:color w:val="auto"/>
              </w:rPr>
              <w:t>Merger, Consolidation or Sale of Assets</w:t>
            </w:r>
          </w:p>
        </w:tc>
        <w:tc>
          <w:tcPr>
            <w:tcW w:w="2620" w:type="dxa"/>
            <w:vAlign w:val="bottom"/>
          </w:tcPr>
          <w:p>
            <w:pPr>
              <w:jc w:val="right"/>
              <w:spacing w:after="0"/>
              <w:rPr>
                <w:sz w:val="20"/>
                <w:szCs w:val="20"/>
                <w:color w:val="auto"/>
              </w:rPr>
            </w:pPr>
            <w:r>
              <w:rPr>
                <w:rFonts w:ascii="Arial" w:cs="Arial" w:eastAsia="Arial" w:hAnsi="Arial"/>
                <w:sz w:val="20"/>
                <w:szCs w:val="20"/>
                <w:color w:val="auto"/>
              </w:rPr>
              <w:t>52</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5.02</w:t>
            </w:r>
          </w:p>
        </w:tc>
        <w:tc>
          <w:tcPr>
            <w:tcW w:w="7100" w:type="dxa"/>
            <w:vAlign w:val="bottom"/>
          </w:tcPr>
          <w:p>
            <w:pPr>
              <w:ind w:left="660"/>
              <w:spacing w:after="0"/>
              <w:rPr>
                <w:sz w:val="20"/>
                <w:szCs w:val="20"/>
                <w:color w:val="auto"/>
              </w:rPr>
            </w:pPr>
            <w:r>
              <w:rPr>
                <w:rFonts w:ascii="Arial" w:cs="Arial" w:eastAsia="Arial" w:hAnsi="Arial"/>
                <w:sz w:val="20"/>
                <w:szCs w:val="20"/>
                <w:color w:val="auto"/>
              </w:rPr>
              <w:t>Successor Corporation Substituted</w:t>
            </w:r>
          </w:p>
        </w:tc>
        <w:tc>
          <w:tcPr>
            <w:tcW w:w="2620" w:type="dxa"/>
            <w:vAlign w:val="bottom"/>
          </w:tcPr>
          <w:p>
            <w:pPr>
              <w:jc w:val="right"/>
              <w:spacing w:after="0"/>
              <w:rPr>
                <w:sz w:val="20"/>
                <w:szCs w:val="20"/>
                <w:color w:val="auto"/>
              </w:rPr>
            </w:pPr>
            <w:r>
              <w:rPr>
                <w:rFonts w:ascii="Arial" w:cs="Arial" w:eastAsia="Arial" w:hAnsi="Arial"/>
                <w:sz w:val="20"/>
                <w:szCs w:val="20"/>
                <w:color w:val="auto"/>
              </w:rPr>
              <w:t>53</w:t>
            </w:r>
          </w:p>
        </w:tc>
      </w:tr>
    </w:tbl>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640" w:type="dxa"/>
            <w:vAlign w:val="bottom"/>
          </w:tcPr>
          <w:p>
            <w:pPr>
              <w:spacing w:after="0"/>
              <w:rPr>
                <w:sz w:val="23"/>
                <w:szCs w:val="23"/>
                <w:color w:val="auto"/>
              </w:rPr>
            </w:pPr>
          </w:p>
        </w:tc>
        <w:tc>
          <w:tcPr>
            <w:tcW w:w="7420" w:type="dxa"/>
            <w:vAlign w:val="bottom"/>
          </w:tcPr>
          <w:p>
            <w:pPr>
              <w:ind w:left="3360"/>
              <w:spacing w:after="0"/>
              <w:rPr>
                <w:sz w:val="20"/>
                <w:szCs w:val="20"/>
                <w:color w:val="auto"/>
              </w:rPr>
            </w:pPr>
            <w:r>
              <w:rPr>
                <w:rFonts w:ascii="Arial" w:cs="Arial" w:eastAsia="Arial" w:hAnsi="Arial"/>
                <w:sz w:val="22"/>
                <w:szCs w:val="22"/>
                <w:color w:val="auto"/>
              </w:rPr>
              <w:t>ARTICLE 6</w:t>
            </w:r>
          </w:p>
        </w:tc>
        <w:tc>
          <w:tcPr>
            <w:tcW w:w="2300" w:type="dxa"/>
            <w:vAlign w:val="bottom"/>
          </w:tcPr>
          <w:p>
            <w:pPr>
              <w:spacing w:after="0"/>
              <w:rPr>
                <w:sz w:val="23"/>
                <w:szCs w:val="23"/>
                <w:color w:val="auto"/>
              </w:rPr>
            </w:pPr>
          </w:p>
        </w:tc>
      </w:tr>
      <w:tr>
        <w:trPr>
          <w:trHeight w:val="413"/>
        </w:trPr>
        <w:tc>
          <w:tcPr>
            <w:tcW w:w="1640" w:type="dxa"/>
            <w:vAlign w:val="bottom"/>
          </w:tcPr>
          <w:p>
            <w:pPr>
              <w:spacing w:after="0"/>
              <w:rPr>
                <w:sz w:val="24"/>
                <w:szCs w:val="24"/>
                <w:color w:val="auto"/>
              </w:rPr>
            </w:pPr>
          </w:p>
        </w:tc>
        <w:tc>
          <w:tcPr>
            <w:tcW w:w="7420" w:type="dxa"/>
            <w:vAlign w:val="bottom"/>
          </w:tcPr>
          <w:p>
            <w:pPr>
              <w:ind w:left="2800"/>
              <w:spacing w:after="0"/>
              <w:rPr>
                <w:sz w:val="20"/>
                <w:szCs w:val="20"/>
                <w:color w:val="auto"/>
              </w:rPr>
            </w:pPr>
            <w:r>
              <w:rPr>
                <w:rFonts w:ascii="Arial" w:cs="Arial" w:eastAsia="Arial" w:hAnsi="Arial"/>
                <w:sz w:val="20"/>
                <w:szCs w:val="20"/>
                <w:color w:val="auto"/>
              </w:rPr>
              <w:t>DEFAULTS AND REMEDIES</w:t>
            </w:r>
          </w:p>
        </w:tc>
        <w:tc>
          <w:tcPr>
            <w:tcW w:w="2300" w:type="dxa"/>
            <w:vAlign w:val="bottom"/>
          </w:tcPr>
          <w:p>
            <w:pPr>
              <w:spacing w:after="0"/>
              <w:rPr>
                <w:sz w:val="24"/>
                <w:szCs w:val="24"/>
                <w:color w:val="auto"/>
              </w:rPr>
            </w:pP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6.01</w:t>
            </w:r>
          </w:p>
        </w:tc>
        <w:tc>
          <w:tcPr>
            <w:tcW w:w="7420" w:type="dxa"/>
            <w:vAlign w:val="bottom"/>
          </w:tcPr>
          <w:p>
            <w:pPr>
              <w:ind w:left="660"/>
              <w:spacing w:after="0"/>
              <w:rPr>
                <w:sz w:val="20"/>
                <w:szCs w:val="20"/>
                <w:color w:val="auto"/>
              </w:rPr>
            </w:pPr>
            <w:r>
              <w:rPr>
                <w:rFonts w:ascii="Arial" w:cs="Arial" w:eastAsia="Arial" w:hAnsi="Arial"/>
                <w:sz w:val="20"/>
                <w:szCs w:val="20"/>
                <w:color w:val="auto"/>
              </w:rPr>
              <w:t>Events of Default</w:t>
            </w:r>
          </w:p>
        </w:tc>
        <w:tc>
          <w:tcPr>
            <w:tcW w:w="2300" w:type="dxa"/>
            <w:vAlign w:val="bottom"/>
          </w:tcPr>
          <w:p>
            <w:pPr>
              <w:jc w:val="right"/>
              <w:spacing w:after="0"/>
              <w:rPr>
                <w:sz w:val="20"/>
                <w:szCs w:val="20"/>
                <w:color w:val="auto"/>
              </w:rPr>
            </w:pPr>
            <w:r>
              <w:rPr>
                <w:rFonts w:ascii="Arial" w:cs="Arial" w:eastAsia="Arial" w:hAnsi="Arial"/>
                <w:sz w:val="20"/>
                <w:szCs w:val="20"/>
                <w:color w:val="auto"/>
              </w:rPr>
              <w:t>54</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6.02</w:t>
            </w:r>
          </w:p>
        </w:tc>
        <w:tc>
          <w:tcPr>
            <w:tcW w:w="7420" w:type="dxa"/>
            <w:vAlign w:val="bottom"/>
          </w:tcPr>
          <w:p>
            <w:pPr>
              <w:ind w:left="660"/>
              <w:spacing w:after="0"/>
              <w:rPr>
                <w:sz w:val="20"/>
                <w:szCs w:val="20"/>
                <w:color w:val="auto"/>
              </w:rPr>
            </w:pPr>
            <w:r>
              <w:rPr>
                <w:rFonts w:ascii="Arial" w:cs="Arial" w:eastAsia="Arial" w:hAnsi="Arial"/>
                <w:sz w:val="20"/>
                <w:szCs w:val="20"/>
                <w:color w:val="auto"/>
              </w:rPr>
              <w:t>Acceleration</w:t>
            </w:r>
          </w:p>
        </w:tc>
        <w:tc>
          <w:tcPr>
            <w:tcW w:w="2300" w:type="dxa"/>
            <w:vAlign w:val="bottom"/>
          </w:tcPr>
          <w:p>
            <w:pPr>
              <w:jc w:val="right"/>
              <w:spacing w:after="0"/>
              <w:rPr>
                <w:sz w:val="20"/>
                <w:szCs w:val="20"/>
                <w:color w:val="auto"/>
              </w:rPr>
            </w:pPr>
            <w:r>
              <w:rPr>
                <w:rFonts w:ascii="Arial" w:cs="Arial" w:eastAsia="Arial" w:hAnsi="Arial"/>
                <w:sz w:val="20"/>
                <w:szCs w:val="20"/>
                <w:color w:val="auto"/>
              </w:rPr>
              <w:t>55</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6.03</w:t>
            </w:r>
          </w:p>
        </w:tc>
        <w:tc>
          <w:tcPr>
            <w:tcW w:w="7420" w:type="dxa"/>
            <w:vAlign w:val="bottom"/>
          </w:tcPr>
          <w:p>
            <w:pPr>
              <w:ind w:left="660"/>
              <w:spacing w:after="0"/>
              <w:rPr>
                <w:sz w:val="20"/>
                <w:szCs w:val="20"/>
                <w:color w:val="auto"/>
              </w:rPr>
            </w:pPr>
            <w:r>
              <w:rPr>
                <w:rFonts w:ascii="Arial" w:cs="Arial" w:eastAsia="Arial" w:hAnsi="Arial"/>
                <w:sz w:val="20"/>
                <w:szCs w:val="20"/>
                <w:color w:val="auto"/>
              </w:rPr>
              <w:t>Other Remedies</w:t>
            </w:r>
          </w:p>
        </w:tc>
        <w:tc>
          <w:tcPr>
            <w:tcW w:w="2300" w:type="dxa"/>
            <w:vAlign w:val="bottom"/>
          </w:tcPr>
          <w:p>
            <w:pPr>
              <w:jc w:val="right"/>
              <w:spacing w:after="0"/>
              <w:rPr>
                <w:sz w:val="20"/>
                <w:szCs w:val="20"/>
                <w:color w:val="auto"/>
              </w:rPr>
            </w:pPr>
            <w:r>
              <w:rPr>
                <w:rFonts w:ascii="Arial" w:cs="Arial" w:eastAsia="Arial" w:hAnsi="Arial"/>
                <w:sz w:val="20"/>
                <w:szCs w:val="20"/>
                <w:color w:val="auto"/>
              </w:rPr>
              <w:t>56</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6.04</w:t>
            </w:r>
          </w:p>
        </w:tc>
        <w:tc>
          <w:tcPr>
            <w:tcW w:w="7420" w:type="dxa"/>
            <w:vAlign w:val="bottom"/>
          </w:tcPr>
          <w:p>
            <w:pPr>
              <w:ind w:left="660"/>
              <w:spacing w:after="0"/>
              <w:rPr>
                <w:sz w:val="20"/>
                <w:szCs w:val="20"/>
                <w:color w:val="auto"/>
              </w:rPr>
            </w:pPr>
            <w:r>
              <w:rPr>
                <w:rFonts w:ascii="Arial" w:cs="Arial" w:eastAsia="Arial" w:hAnsi="Arial"/>
                <w:sz w:val="20"/>
                <w:szCs w:val="20"/>
                <w:color w:val="auto"/>
              </w:rPr>
              <w:t>Waiver of Defaults</w:t>
            </w:r>
          </w:p>
        </w:tc>
        <w:tc>
          <w:tcPr>
            <w:tcW w:w="2300" w:type="dxa"/>
            <w:vAlign w:val="bottom"/>
          </w:tcPr>
          <w:p>
            <w:pPr>
              <w:jc w:val="right"/>
              <w:spacing w:after="0"/>
              <w:rPr>
                <w:sz w:val="20"/>
                <w:szCs w:val="20"/>
                <w:color w:val="auto"/>
              </w:rPr>
            </w:pPr>
            <w:r>
              <w:rPr>
                <w:rFonts w:ascii="Arial" w:cs="Arial" w:eastAsia="Arial" w:hAnsi="Arial"/>
                <w:sz w:val="20"/>
                <w:szCs w:val="20"/>
                <w:color w:val="auto"/>
              </w:rPr>
              <w:t>56</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6.05</w:t>
            </w:r>
          </w:p>
        </w:tc>
        <w:tc>
          <w:tcPr>
            <w:tcW w:w="7420" w:type="dxa"/>
            <w:vAlign w:val="bottom"/>
          </w:tcPr>
          <w:p>
            <w:pPr>
              <w:ind w:left="660"/>
              <w:spacing w:after="0"/>
              <w:rPr>
                <w:sz w:val="20"/>
                <w:szCs w:val="20"/>
                <w:color w:val="auto"/>
              </w:rPr>
            </w:pPr>
            <w:r>
              <w:rPr>
                <w:rFonts w:ascii="Arial" w:cs="Arial" w:eastAsia="Arial" w:hAnsi="Arial"/>
                <w:sz w:val="20"/>
                <w:szCs w:val="20"/>
                <w:color w:val="auto"/>
              </w:rPr>
              <w:t>Control by Majority</w:t>
            </w:r>
          </w:p>
        </w:tc>
        <w:tc>
          <w:tcPr>
            <w:tcW w:w="2300" w:type="dxa"/>
            <w:vAlign w:val="bottom"/>
          </w:tcPr>
          <w:p>
            <w:pPr>
              <w:jc w:val="right"/>
              <w:spacing w:after="0"/>
              <w:rPr>
                <w:sz w:val="20"/>
                <w:szCs w:val="20"/>
                <w:color w:val="auto"/>
              </w:rPr>
            </w:pPr>
            <w:r>
              <w:rPr>
                <w:rFonts w:ascii="Arial" w:cs="Arial" w:eastAsia="Arial" w:hAnsi="Arial"/>
                <w:sz w:val="20"/>
                <w:szCs w:val="20"/>
                <w:color w:val="auto"/>
              </w:rPr>
              <w:t>56</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6.06</w:t>
            </w:r>
          </w:p>
        </w:tc>
        <w:tc>
          <w:tcPr>
            <w:tcW w:w="7420" w:type="dxa"/>
            <w:vAlign w:val="bottom"/>
          </w:tcPr>
          <w:p>
            <w:pPr>
              <w:ind w:left="660"/>
              <w:spacing w:after="0"/>
              <w:rPr>
                <w:sz w:val="20"/>
                <w:szCs w:val="20"/>
                <w:color w:val="auto"/>
              </w:rPr>
            </w:pPr>
            <w:r>
              <w:rPr>
                <w:rFonts w:ascii="Arial" w:cs="Arial" w:eastAsia="Arial" w:hAnsi="Arial"/>
                <w:sz w:val="20"/>
                <w:szCs w:val="20"/>
                <w:color w:val="auto"/>
              </w:rPr>
              <w:t>Limitation on Suits</w:t>
            </w:r>
          </w:p>
        </w:tc>
        <w:tc>
          <w:tcPr>
            <w:tcW w:w="2300" w:type="dxa"/>
            <w:vAlign w:val="bottom"/>
          </w:tcPr>
          <w:p>
            <w:pPr>
              <w:jc w:val="right"/>
              <w:spacing w:after="0"/>
              <w:rPr>
                <w:sz w:val="20"/>
                <w:szCs w:val="20"/>
                <w:color w:val="auto"/>
              </w:rPr>
            </w:pPr>
            <w:r>
              <w:rPr>
                <w:rFonts w:ascii="Arial" w:cs="Arial" w:eastAsia="Arial" w:hAnsi="Arial"/>
                <w:sz w:val="20"/>
                <w:szCs w:val="20"/>
                <w:color w:val="auto"/>
              </w:rPr>
              <w:t>56</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6.07</w:t>
            </w:r>
          </w:p>
        </w:tc>
        <w:tc>
          <w:tcPr>
            <w:tcW w:w="7420" w:type="dxa"/>
            <w:vAlign w:val="bottom"/>
          </w:tcPr>
          <w:p>
            <w:pPr>
              <w:ind w:left="660"/>
              <w:spacing w:after="0"/>
              <w:rPr>
                <w:sz w:val="20"/>
                <w:szCs w:val="20"/>
                <w:color w:val="auto"/>
              </w:rPr>
            </w:pPr>
            <w:r>
              <w:rPr>
                <w:rFonts w:ascii="Arial" w:cs="Arial" w:eastAsia="Arial" w:hAnsi="Arial"/>
                <w:sz w:val="20"/>
                <w:szCs w:val="20"/>
                <w:color w:val="auto"/>
              </w:rPr>
              <w:t>Rights of Holders of Notes to Receive Payment</w:t>
            </w:r>
          </w:p>
        </w:tc>
        <w:tc>
          <w:tcPr>
            <w:tcW w:w="2300" w:type="dxa"/>
            <w:vAlign w:val="bottom"/>
          </w:tcPr>
          <w:p>
            <w:pPr>
              <w:jc w:val="right"/>
              <w:spacing w:after="0"/>
              <w:rPr>
                <w:sz w:val="20"/>
                <w:szCs w:val="20"/>
                <w:color w:val="auto"/>
              </w:rPr>
            </w:pPr>
            <w:r>
              <w:rPr>
                <w:rFonts w:ascii="Arial" w:cs="Arial" w:eastAsia="Arial" w:hAnsi="Arial"/>
                <w:sz w:val="20"/>
                <w:szCs w:val="20"/>
                <w:color w:val="auto"/>
              </w:rPr>
              <w:t>57</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6.08</w:t>
            </w:r>
          </w:p>
        </w:tc>
        <w:tc>
          <w:tcPr>
            <w:tcW w:w="7420" w:type="dxa"/>
            <w:vAlign w:val="bottom"/>
          </w:tcPr>
          <w:p>
            <w:pPr>
              <w:ind w:left="660"/>
              <w:spacing w:after="0"/>
              <w:rPr>
                <w:sz w:val="20"/>
                <w:szCs w:val="20"/>
                <w:color w:val="auto"/>
              </w:rPr>
            </w:pPr>
            <w:r>
              <w:rPr>
                <w:rFonts w:ascii="Arial" w:cs="Arial" w:eastAsia="Arial" w:hAnsi="Arial"/>
                <w:sz w:val="20"/>
                <w:szCs w:val="20"/>
                <w:color w:val="auto"/>
              </w:rPr>
              <w:t>Collection Suit by Trustee</w:t>
            </w:r>
          </w:p>
        </w:tc>
        <w:tc>
          <w:tcPr>
            <w:tcW w:w="2300" w:type="dxa"/>
            <w:vAlign w:val="bottom"/>
          </w:tcPr>
          <w:p>
            <w:pPr>
              <w:jc w:val="right"/>
              <w:spacing w:after="0"/>
              <w:rPr>
                <w:sz w:val="20"/>
                <w:szCs w:val="20"/>
                <w:color w:val="auto"/>
              </w:rPr>
            </w:pPr>
            <w:r>
              <w:rPr>
                <w:rFonts w:ascii="Arial" w:cs="Arial" w:eastAsia="Arial" w:hAnsi="Arial"/>
                <w:sz w:val="20"/>
                <w:szCs w:val="20"/>
                <w:color w:val="auto"/>
              </w:rPr>
              <w:t>57</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6.09</w:t>
            </w:r>
          </w:p>
        </w:tc>
        <w:tc>
          <w:tcPr>
            <w:tcW w:w="7420" w:type="dxa"/>
            <w:vAlign w:val="bottom"/>
          </w:tcPr>
          <w:p>
            <w:pPr>
              <w:ind w:left="660"/>
              <w:spacing w:after="0"/>
              <w:rPr>
                <w:sz w:val="20"/>
                <w:szCs w:val="20"/>
                <w:color w:val="auto"/>
              </w:rPr>
            </w:pPr>
            <w:r>
              <w:rPr>
                <w:rFonts w:ascii="Arial" w:cs="Arial" w:eastAsia="Arial" w:hAnsi="Arial"/>
                <w:sz w:val="20"/>
                <w:szCs w:val="20"/>
                <w:color w:val="auto"/>
              </w:rPr>
              <w:t>Trustee May File Proofs of Claim</w:t>
            </w:r>
          </w:p>
        </w:tc>
        <w:tc>
          <w:tcPr>
            <w:tcW w:w="2300" w:type="dxa"/>
            <w:vAlign w:val="bottom"/>
          </w:tcPr>
          <w:p>
            <w:pPr>
              <w:jc w:val="right"/>
              <w:spacing w:after="0"/>
              <w:rPr>
                <w:sz w:val="20"/>
                <w:szCs w:val="20"/>
                <w:color w:val="auto"/>
              </w:rPr>
            </w:pPr>
            <w:r>
              <w:rPr>
                <w:rFonts w:ascii="Arial" w:cs="Arial" w:eastAsia="Arial" w:hAnsi="Arial"/>
                <w:sz w:val="20"/>
                <w:szCs w:val="20"/>
                <w:color w:val="auto"/>
              </w:rPr>
              <w:t>57</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6.10</w:t>
            </w:r>
          </w:p>
        </w:tc>
        <w:tc>
          <w:tcPr>
            <w:tcW w:w="7420" w:type="dxa"/>
            <w:vAlign w:val="bottom"/>
          </w:tcPr>
          <w:p>
            <w:pPr>
              <w:ind w:left="660"/>
              <w:spacing w:after="0"/>
              <w:rPr>
                <w:sz w:val="20"/>
                <w:szCs w:val="20"/>
                <w:color w:val="auto"/>
              </w:rPr>
            </w:pPr>
            <w:r>
              <w:rPr>
                <w:rFonts w:ascii="Arial" w:cs="Arial" w:eastAsia="Arial" w:hAnsi="Arial"/>
                <w:sz w:val="20"/>
                <w:szCs w:val="20"/>
                <w:color w:val="auto"/>
              </w:rPr>
              <w:t>Priorities</w:t>
            </w:r>
          </w:p>
        </w:tc>
        <w:tc>
          <w:tcPr>
            <w:tcW w:w="2300" w:type="dxa"/>
            <w:vAlign w:val="bottom"/>
          </w:tcPr>
          <w:p>
            <w:pPr>
              <w:jc w:val="right"/>
              <w:spacing w:after="0"/>
              <w:rPr>
                <w:sz w:val="20"/>
                <w:szCs w:val="20"/>
                <w:color w:val="auto"/>
              </w:rPr>
            </w:pPr>
            <w:r>
              <w:rPr>
                <w:rFonts w:ascii="Arial" w:cs="Arial" w:eastAsia="Arial" w:hAnsi="Arial"/>
                <w:sz w:val="20"/>
                <w:szCs w:val="20"/>
                <w:color w:val="auto"/>
              </w:rPr>
              <w:t>58</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6.11</w:t>
            </w:r>
          </w:p>
        </w:tc>
        <w:tc>
          <w:tcPr>
            <w:tcW w:w="7420" w:type="dxa"/>
            <w:vAlign w:val="bottom"/>
          </w:tcPr>
          <w:p>
            <w:pPr>
              <w:ind w:left="660"/>
              <w:spacing w:after="0"/>
              <w:rPr>
                <w:sz w:val="20"/>
                <w:szCs w:val="20"/>
                <w:color w:val="auto"/>
              </w:rPr>
            </w:pPr>
            <w:r>
              <w:rPr>
                <w:rFonts w:ascii="Arial" w:cs="Arial" w:eastAsia="Arial" w:hAnsi="Arial"/>
                <w:sz w:val="20"/>
                <w:szCs w:val="20"/>
                <w:color w:val="auto"/>
              </w:rPr>
              <w:t>Undertaking for Costs</w:t>
            </w:r>
          </w:p>
        </w:tc>
        <w:tc>
          <w:tcPr>
            <w:tcW w:w="2300" w:type="dxa"/>
            <w:vAlign w:val="bottom"/>
          </w:tcPr>
          <w:p>
            <w:pPr>
              <w:jc w:val="right"/>
              <w:spacing w:after="0"/>
              <w:rPr>
                <w:sz w:val="20"/>
                <w:szCs w:val="20"/>
                <w:color w:val="auto"/>
              </w:rPr>
            </w:pPr>
            <w:r>
              <w:rPr>
                <w:rFonts w:ascii="Arial" w:cs="Arial" w:eastAsia="Arial" w:hAnsi="Arial"/>
                <w:sz w:val="20"/>
                <w:szCs w:val="20"/>
                <w:color w:val="auto"/>
              </w:rPr>
              <w:t>58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180" w:type="dxa"/>
            <w:vAlign w:val="bottom"/>
          </w:tcPr>
          <w:p>
            <w:pPr>
              <w:spacing w:after="0"/>
              <w:rPr>
                <w:sz w:val="20"/>
                <w:szCs w:val="20"/>
                <w:color w:val="auto"/>
              </w:rPr>
            </w:pPr>
            <w:r>
              <w:rPr>
                <w:rFonts w:ascii="Arial" w:cs="Arial" w:eastAsia="Arial" w:hAnsi="Arial"/>
                <w:sz w:val="11"/>
                <w:szCs w:val="11"/>
                <w:color w:val="auto"/>
              </w:rPr>
              <w:t>ASIA 33616188</w:t>
            </w:r>
          </w:p>
        </w:tc>
        <w:tc>
          <w:tcPr>
            <w:tcW w:w="2580" w:type="dxa"/>
            <w:vAlign w:val="bottom"/>
          </w:tcPr>
          <w:p>
            <w:pPr>
              <w:jc w:val="right"/>
              <w:spacing w:after="0"/>
              <w:rPr>
                <w:sz w:val="20"/>
                <w:szCs w:val="20"/>
                <w:color w:val="auto"/>
              </w:rPr>
            </w:pPr>
            <w:r>
              <w:rPr>
                <w:rFonts w:ascii="Arial" w:cs="Arial" w:eastAsia="Arial" w:hAnsi="Arial"/>
                <w:sz w:val="22"/>
                <w:szCs w:val="22"/>
                <w:color w:val="auto"/>
              </w:rPr>
              <w:t>2</w:t>
            </w:r>
          </w:p>
        </w:tc>
      </w:tr>
    </w:tbl>
    <w:p>
      <w:pPr>
        <w:sectPr>
          <w:pgSz w:w="11900" w:h="16838" w:orient="portrait"/>
          <w:cols w:equalWidth="0" w:num="1">
            <w:col w:w="11400"/>
          </w:cols>
          <w:pgMar w:left="260" w:top="145" w:right="239" w:bottom="1440" w:gutter="0" w:footer="0" w:header="0"/>
        </w:sectPr>
      </w:pPr>
    </w:p>
    <w:bookmarkStart w:id="149" w:name="page150"/>
    <w:bookmarkEnd w:id="149"/>
    <w:p>
      <w:pPr>
        <w:jc w:val="right"/>
        <w:spacing w:after="0"/>
        <w:rPr>
          <w:sz w:val="20"/>
          <w:szCs w:val="20"/>
          <w:color w:val="auto"/>
        </w:rPr>
      </w:pPr>
      <w:r>
        <w:rPr>
          <w:rFonts w:ascii="Arial" w:cs="Arial" w:eastAsia="Arial" w:hAnsi="Arial"/>
          <w:sz w:val="22"/>
          <w:szCs w:val="22"/>
          <w:i w:val="1"/>
          <w:i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64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6380" w:type="dxa"/>
            <w:vAlign w:val="bottom"/>
          </w:tcPr>
          <w:p>
            <w:pPr>
              <w:jc w:val="right"/>
              <w:ind w:right="5200"/>
              <w:spacing w:after="0"/>
              <w:rPr>
                <w:sz w:val="20"/>
                <w:szCs w:val="20"/>
                <w:color w:val="auto"/>
              </w:rPr>
            </w:pPr>
            <w:r>
              <w:rPr>
                <w:rFonts w:ascii="Arial" w:cs="Arial" w:eastAsia="Arial" w:hAnsi="Arial"/>
                <w:sz w:val="22"/>
                <w:szCs w:val="22"/>
                <w:color w:val="auto"/>
                <w:w w:val="95"/>
              </w:rPr>
              <w:t>ARTICLE 7</w:t>
            </w:r>
          </w:p>
        </w:tc>
      </w:tr>
      <w:tr>
        <w:trPr>
          <w:trHeight w:val="386"/>
        </w:trPr>
        <w:tc>
          <w:tcPr>
            <w:tcW w:w="16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6380" w:type="dxa"/>
            <w:vAlign w:val="bottom"/>
          </w:tcPr>
          <w:p>
            <w:pPr>
              <w:jc w:val="right"/>
              <w:ind w:right="5300"/>
              <w:spacing w:after="0"/>
              <w:rPr>
                <w:sz w:val="20"/>
                <w:szCs w:val="20"/>
                <w:color w:val="auto"/>
              </w:rPr>
            </w:pPr>
            <w:r>
              <w:rPr>
                <w:rFonts w:ascii="Arial" w:cs="Arial" w:eastAsia="Arial" w:hAnsi="Arial"/>
                <w:sz w:val="20"/>
                <w:szCs w:val="20"/>
                <w:color w:val="auto"/>
              </w:rPr>
              <w:t>TRUSTEE</w:t>
            </w:r>
          </w:p>
        </w:tc>
      </w:tr>
      <w:tr>
        <w:trPr>
          <w:trHeight w:val="405"/>
        </w:trPr>
        <w:tc>
          <w:tcPr>
            <w:tcW w:w="1640" w:type="dxa"/>
            <w:vAlign w:val="bottom"/>
          </w:tcPr>
          <w:p>
            <w:pPr>
              <w:spacing w:after="0"/>
              <w:rPr>
                <w:sz w:val="20"/>
                <w:szCs w:val="20"/>
                <w:color w:val="auto"/>
              </w:rPr>
            </w:pPr>
            <w:r>
              <w:rPr>
                <w:rFonts w:ascii="Arial" w:cs="Arial" w:eastAsia="Arial" w:hAnsi="Arial"/>
                <w:sz w:val="20"/>
                <w:szCs w:val="20"/>
                <w:color w:val="auto"/>
              </w:rPr>
              <w:t>Section 7.01</w:t>
            </w:r>
          </w:p>
        </w:tc>
        <w:tc>
          <w:tcPr>
            <w:tcW w:w="3340" w:type="dxa"/>
            <w:vAlign w:val="bottom"/>
          </w:tcPr>
          <w:p>
            <w:pPr>
              <w:ind w:left="660"/>
              <w:spacing w:after="0"/>
              <w:rPr>
                <w:sz w:val="20"/>
                <w:szCs w:val="20"/>
                <w:color w:val="auto"/>
              </w:rPr>
            </w:pPr>
            <w:r>
              <w:rPr>
                <w:rFonts w:ascii="Arial" w:cs="Arial" w:eastAsia="Arial" w:hAnsi="Arial"/>
                <w:sz w:val="20"/>
                <w:szCs w:val="20"/>
                <w:color w:val="auto"/>
              </w:rPr>
              <w:t>Duties of Trustee</w:t>
            </w:r>
          </w:p>
        </w:tc>
        <w:tc>
          <w:tcPr>
            <w:tcW w:w="6380" w:type="dxa"/>
            <w:vAlign w:val="bottom"/>
          </w:tcPr>
          <w:p>
            <w:pPr>
              <w:jc w:val="right"/>
              <w:spacing w:after="0"/>
              <w:rPr>
                <w:sz w:val="20"/>
                <w:szCs w:val="20"/>
                <w:color w:val="auto"/>
              </w:rPr>
            </w:pPr>
            <w:r>
              <w:rPr>
                <w:rFonts w:ascii="Arial" w:cs="Arial" w:eastAsia="Arial" w:hAnsi="Arial"/>
                <w:sz w:val="20"/>
                <w:szCs w:val="20"/>
                <w:color w:val="auto"/>
              </w:rPr>
              <w:t>59</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7.02</w:t>
            </w:r>
          </w:p>
        </w:tc>
        <w:tc>
          <w:tcPr>
            <w:tcW w:w="3340" w:type="dxa"/>
            <w:vAlign w:val="bottom"/>
          </w:tcPr>
          <w:p>
            <w:pPr>
              <w:ind w:left="660"/>
              <w:spacing w:after="0"/>
              <w:rPr>
                <w:sz w:val="20"/>
                <w:szCs w:val="20"/>
                <w:color w:val="auto"/>
              </w:rPr>
            </w:pPr>
            <w:r>
              <w:rPr>
                <w:rFonts w:ascii="Arial" w:cs="Arial" w:eastAsia="Arial" w:hAnsi="Arial"/>
                <w:sz w:val="20"/>
                <w:szCs w:val="20"/>
                <w:color w:val="auto"/>
              </w:rPr>
              <w:t>Rights of Trustee</w:t>
            </w:r>
          </w:p>
        </w:tc>
        <w:tc>
          <w:tcPr>
            <w:tcW w:w="6380" w:type="dxa"/>
            <w:vAlign w:val="bottom"/>
          </w:tcPr>
          <w:p>
            <w:pPr>
              <w:jc w:val="right"/>
              <w:spacing w:after="0"/>
              <w:rPr>
                <w:sz w:val="20"/>
                <w:szCs w:val="20"/>
                <w:color w:val="auto"/>
              </w:rPr>
            </w:pPr>
            <w:r>
              <w:rPr>
                <w:rFonts w:ascii="Arial" w:cs="Arial" w:eastAsia="Arial" w:hAnsi="Arial"/>
                <w:sz w:val="20"/>
                <w:szCs w:val="20"/>
                <w:color w:val="auto"/>
              </w:rPr>
              <w:t>60</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7.03</w:t>
            </w:r>
          </w:p>
        </w:tc>
        <w:tc>
          <w:tcPr>
            <w:tcW w:w="3340" w:type="dxa"/>
            <w:vAlign w:val="bottom"/>
          </w:tcPr>
          <w:p>
            <w:pPr>
              <w:ind w:left="660"/>
              <w:spacing w:after="0"/>
              <w:rPr>
                <w:sz w:val="20"/>
                <w:szCs w:val="20"/>
                <w:color w:val="auto"/>
              </w:rPr>
            </w:pPr>
            <w:r>
              <w:rPr>
                <w:rFonts w:ascii="Arial" w:cs="Arial" w:eastAsia="Arial" w:hAnsi="Arial"/>
                <w:sz w:val="20"/>
                <w:szCs w:val="20"/>
                <w:color w:val="auto"/>
              </w:rPr>
              <w:t>Individual Rights of Trustee</w:t>
            </w:r>
          </w:p>
        </w:tc>
        <w:tc>
          <w:tcPr>
            <w:tcW w:w="6380" w:type="dxa"/>
            <w:vAlign w:val="bottom"/>
          </w:tcPr>
          <w:p>
            <w:pPr>
              <w:jc w:val="right"/>
              <w:spacing w:after="0"/>
              <w:rPr>
                <w:sz w:val="20"/>
                <w:szCs w:val="20"/>
                <w:color w:val="auto"/>
              </w:rPr>
            </w:pPr>
            <w:r>
              <w:rPr>
                <w:rFonts w:ascii="Arial" w:cs="Arial" w:eastAsia="Arial" w:hAnsi="Arial"/>
                <w:sz w:val="20"/>
                <w:szCs w:val="20"/>
                <w:color w:val="auto"/>
              </w:rPr>
              <w:t>62</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7.04</w:t>
            </w:r>
          </w:p>
        </w:tc>
        <w:tc>
          <w:tcPr>
            <w:tcW w:w="3340" w:type="dxa"/>
            <w:vAlign w:val="bottom"/>
          </w:tcPr>
          <w:p>
            <w:pPr>
              <w:ind w:left="660"/>
              <w:spacing w:after="0"/>
              <w:rPr>
                <w:sz w:val="20"/>
                <w:szCs w:val="20"/>
                <w:color w:val="auto"/>
              </w:rPr>
            </w:pPr>
            <w:r>
              <w:rPr>
                <w:rFonts w:ascii="Arial" w:cs="Arial" w:eastAsia="Arial" w:hAnsi="Arial"/>
                <w:sz w:val="20"/>
                <w:szCs w:val="20"/>
                <w:color w:val="auto"/>
              </w:rPr>
              <w:t>Trustee’s Disclaimer</w:t>
            </w:r>
          </w:p>
        </w:tc>
        <w:tc>
          <w:tcPr>
            <w:tcW w:w="6380" w:type="dxa"/>
            <w:vAlign w:val="bottom"/>
          </w:tcPr>
          <w:p>
            <w:pPr>
              <w:jc w:val="right"/>
              <w:spacing w:after="0"/>
              <w:rPr>
                <w:sz w:val="20"/>
                <w:szCs w:val="20"/>
                <w:color w:val="auto"/>
              </w:rPr>
            </w:pPr>
            <w:r>
              <w:rPr>
                <w:rFonts w:ascii="Arial" w:cs="Arial" w:eastAsia="Arial" w:hAnsi="Arial"/>
                <w:sz w:val="20"/>
                <w:szCs w:val="20"/>
                <w:color w:val="auto"/>
              </w:rPr>
              <w:t>62</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7.05</w:t>
            </w:r>
          </w:p>
        </w:tc>
        <w:tc>
          <w:tcPr>
            <w:tcW w:w="3340" w:type="dxa"/>
            <w:vAlign w:val="bottom"/>
          </w:tcPr>
          <w:p>
            <w:pPr>
              <w:ind w:left="660"/>
              <w:spacing w:after="0"/>
              <w:rPr>
                <w:sz w:val="20"/>
                <w:szCs w:val="20"/>
                <w:color w:val="auto"/>
              </w:rPr>
            </w:pPr>
            <w:r>
              <w:rPr>
                <w:rFonts w:ascii="Arial" w:cs="Arial" w:eastAsia="Arial" w:hAnsi="Arial"/>
                <w:sz w:val="20"/>
                <w:szCs w:val="20"/>
                <w:color w:val="auto"/>
              </w:rPr>
              <w:t>Notice of Defaults</w:t>
            </w:r>
          </w:p>
        </w:tc>
        <w:tc>
          <w:tcPr>
            <w:tcW w:w="6380" w:type="dxa"/>
            <w:vAlign w:val="bottom"/>
          </w:tcPr>
          <w:p>
            <w:pPr>
              <w:jc w:val="right"/>
              <w:spacing w:after="0"/>
              <w:rPr>
                <w:sz w:val="20"/>
                <w:szCs w:val="20"/>
                <w:color w:val="auto"/>
              </w:rPr>
            </w:pPr>
            <w:r>
              <w:rPr>
                <w:rFonts w:ascii="Arial" w:cs="Arial" w:eastAsia="Arial" w:hAnsi="Arial"/>
                <w:sz w:val="20"/>
                <w:szCs w:val="20"/>
                <w:color w:val="auto"/>
              </w:rPr>
              <w:t>62</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7.06</w:t>
            </w:r>
          </w:p>
        </w:tc>
        <w:tc>
          <w:tcPr>
            <w:tcW w:w="3340" w:type="dxa"/>
            <w:vAlign w:val="bottom"/>
          </w:tcPr>
          <w:p>
            <w:pPr>
              <w:ind w:left="660"/>
              <w:spacing w:after="0"/>
              <w:rPr>
                <w:sz w:val="20"/>
                <w:szCs w:val="20"/>
                <w:color w:val="auto"/>
              </w:rPr>
            </w:pPr>
            <w:r>
              <w:rPr>
                <w:rFonts w:ascii="Arial" w:cs="Arial" w:eastAsia="Arial" w:hAnsi="Arial"/>
                <w:sz w:val="20"/>
                <w:szCs w:val="20"/>
                <w:color w:val="auto"/>
              </w:rPr>
              <w:t>Compensation and Indemnity</w:t>
            </w:r>
          </w:p>
        </w:tc>
        <w:tc>
          <w:tcPr>
            <w:tcW w:w="6380" w:type="dxa"/>
            <w:vAlign w:val="bottom"/>
          </w:tcPr>
          <w:p>
            <w:pPr>
              <w:jc w:val="right"/>
              <w:spacing w:after="0"/>
              <w:rPr>
                <w:sz w:val="20"/>
                <w:szCs w:val="20"/>
                <w:color w:val="auto"/>
              </w:rPr>
            </w:pPr>
            <w:r>
              <w:rPr>
                <w:rFonts w:ascii="Arial" w:cs="Arial" w:eastAsia="Arial" w:hAnsi="Arial"/>
                <w:sz w:val="20"/>
                <w:szCs w:val="20"/>
                <w:color w:val="auto"/>
              </w:rPr>
              <w:t>62</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7.07</w:t>
            </w:r>
          </w:p>
        </w:tc>
        <w:tc>
          <w:tcPr>
            <w:tcW w:w="3340" w:type="dxa"/>
            <w:vAlign w:val="bottom"/>
          </w:tcPr>
          <w:p>
            <w:pPr>
              <w:ind w:left="660"/>
              <w:spacing w:after="0"/>
              <w:rPr>
                <w:sz w:val="20"/>
                <w:szCs w:val="20"/>
                <w:color w:val="auto"/>
              </w:rPr>
            </w:pPr>
            <w:r>
              <w:rPr>
                <w:rFonts w:ascii="Arial" w:cs="Arial" w:eastAsia="Arial" w:hAnsi="Arial"/>
                <w:sz w:val="20"/>
                <w:szCs w:val="20"/>
                <w:color w:val="auto"/>
              </w:rPr>
              <w:t>Replacement of Trustee</w:t>
            </w:r>
          </w:p>
        </w:tc>
        <w:tc>
          <w:tcPr>
            <w:tcW w:w="6380" w:type="dxa"/>
            <w:vAlign w:val="bottom"/>
          </w:tcPr>
          <w:p>
            <w:pPr>
              <w:jc w:val="right"/>
              <w:spacing w:after="0"/>
              <w:rPr>
                <w:sz w:val="20"/>
                <w:szCs w:val="20"/>
                <w:color w:val="auto"/>
              </w:rPr>
            </w:pPr>
            <w:r>
              <w:rPr>
                <w:rFonts w:ascii="Arial" w:cs="Arial" w:eastAsia="Arial" w:hAnsi="Arial"/>
                <w:sz w:val="20"/>
                <w:szCs w:val="20"/>
                <w:color w:val="auto"/>
              </w:rPr>
              <w:t>63</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7.08</w:t>
            </w:r>
          </w:p>
        </w:tc>
        <w:tc>
          <w:tcPr>
            <w:tcW w:w="3340" w:type="dxa"/>
            <w:vAlign w:val="bottom"/>
          </w:tcPr>
          <w:p>
            <w:pPr>
              <w:ind w:left="660"/>
              <w:spacing w:after="0"/>
              <w:rPr>
                <w:sz w:val="20"/>
                <w:szCs w:val="20"/>
                <w:color w:val="auto"/>
              </w:rPr>
            </w:pPr>
            <w:r>
              <w:rPr>
                <w:rFonts w:ascii="Arial" w:cs="Arial" w:eastAsia="Arial" w:hAnsi="Arial"/>
                <w:sz w:val="20"/>
                <w:szCs w:val="20"/>
                <w:color w:val="auto"/>
                <w:w w:val="87"/>
              </w:rPr>
              <w:t>Successor Trustee by Merger, etc.</w:t>
            </w:r>
          </w:p>
        </w:tc>
        <w:tc>
          <w:tcPr>
            <w:tcW w:w="6380" w:type="dxa"/>
            <w:vAlign w:val="bottom"/>
          </w:tcPr>
          <w:p>
            <w:pPr>
              <w:jc w:val="right"/>
              <w:spacing w:after="0"/>
              <w:rPr>
                <w:sz w:val="20"/>
                <w:szCs w:val="20"/>
                <w:color w:val="auto"/>
              </w:rPr>
            </w:pPr>
            <w:r>
              <w:rPr>
                <w:rFonts w:ascii="Arial" w:cs="Arial" w:eastAsia="Arial" w:hAnsi="Arial"/>
                <w:sz w:val="20"/>
                <w:szCs w:val="20"/>
                <w:color w:val="auto"/>
              </w:rPr>
              <w:t>64</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7.09</w:t>
            </w:r>
          </w:p>
        </w:tc>
        <w:tc>
          <w:tcPr>
            <w:tcW w:w="3340" w:type="dxa"/>
            <w:vAlign w:val="bottom"/>
          </w:tcPr>
          <w:p>
            <w:pPr>
              <w:ind w:left="660"/>
              <w:spacing w:after="0"/>
              <w:rPr>
                <w:sz w:val="20"/>
                <w:szCs w:val="20"/>
                <w:color w:val="auto"/>
              </w:rPr>
            </w:pPr>
            <w:r>
              <w:rPr>
                <w:rFonts w:ascii="Arial" w:cs="Arial" w:eastAsia="Arial" w:hAnsi="Arial"/>
                <w:sz w:val="20"/>
                <w:szCs w:val="20"/>
                <w:color w:val="auto"/>
              </w:rPr>
              <w:t>Eligibility; Disqualification</w:t>
            </w:r>
          </w:p>
        </w:tc>
        <w:tc>
          <w:tcPr>
            <w:tcW w:w="6380" w:type="dxa"/>
            <w:vAlign w:val="bottom"/>
          </w:tcPr>
          <w:p>
            <w:pPr>
              <w:jc w:val="right"/>
              <w:spacing w:after="0"/>
              <w:rPr>
                <w:sz w:val="20"/>
                <w:szCs w:val="20"/>
                <w:color w:val="auto"/>
              </w:rPr>
            </w:pPr>
            <w:r>
              <w:rPr>
                <w:rFonts w:ascii="Arial" w:cs="Arial" w:eastAsia="Arial" w:hAnsi="Arial"/>
                <w:sz w:val="20"/>
                <w:szCs w:val="20"/>
                <w:color w:val="auto"/>
              </w:rPr>
              <w:t>64</w:t>
            </w:r>
          </w:p>
        </w:tc>
      </w:tr>
    </w:tbl>
    <w:p>
      <w:pPr>
        <w:spacing w:after="0" w:line="200" w:lineRule="exact"/>
        <w:rPr>
          <w:sz w:val="20"/>
          <w:szCs w:val="20"/>
          <w:color w:val="auto"/>
        </w:rPr>
      </w:pPr>
    </w:p>
    <w:p>
      <w:pPr>
        <w:spacing w:after="0" w:line="288" w:lineRule="exact"/>
        <w:rPr>
          <w:sz w:val="20"/>
          <w:szCs w:val="20"/>
          <w:color w:val="auto"/>
        </w:rPr>
      </w:pPr>
    </w:p>
    <w:p>
      <w:pPr>
        <w:jc w:val="center"/>
        <w:ind w:right="340"/>
        <w:spacing w:after="0"/>
        <w:rPr>
          <w:sz w:val="20"/>
          <w:szCs w:val="20"/>
          <w:color w:val="auto"/>
        </w:rPr>
      </w:pPr>
      <w:r>
        <w:rPr>
          <w:rFonts w:ascii="Arial" w:cs="Arial" w:eastAsia="Arial" w:hAnsi="Arial"/>
          <w:sz w:val="22"/>
          <w:szCs w:val="22"/>
          <w:color w:val="auto"/>
        </w:rPr>
        <w:t>ARTICLE 8</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640" w:type="dxa"/>
            <w:vAlign w:val="bottom"/>
          </w:tcPr>
          <w:p>
            <w:pPr>
              <w:spacing w:after="0"/>
              <w:rPr>
                <w:sz w:val="21"/>
                <w:szCs w:val="21"/>
                <w:color w:val="auto"/>
              </w:rPr>
            </w:pPr>
          </w:p>
        </w:tc>
        <w:tc>
          <w:tcPr>
            <w:tcW w:w="8020" w:type="dxa"/>
            <w:vAlign w:val="bottom"/>
          </w:tcPr>
          <w:p>
            <w:pPr>
              <w:ind w:left="1580"/>
              <w:spacing w:after="0"/>
              <w:rPr>
                <w:sz w:val="20"/>
                <w:szCs w:val="20"/>
                <w:color w:val="auto"/>
              </w:rPr>
            </w:pPr>
            <w:r>
              <w:rPr>
                <w:rFonts w:ascii="Arial" w:cs="Arial" w:eastAsia="Arial" w:hAnsi="Arial"/>
                <w:sz w:val="20"/>
                <w:szCs w:val="20"/>
                <w:color w:val="auto"/>
              </w:rPr>
              <w:t>LEGAL DEFEASANCE AND COVENANT DEFEASANCE</w:t>
            </w:r>
          </w:p>
        </w:tc>
        <w:tc>
          <w:tcPr>
            <w:tcW w:w="1700" w:type="dxa"/>
            <w:vAlign w:val="bottom"/>
          </w:tcPr>
          <w:p>
            <w:pPr>
              <w:spacing w:after="0"/>
              <w:rPr>
                <w:sz w:val="21"/>
                <w:szCs w:val="21"/>
                <w:color w:val="auto"/>
              </w:rPr>
            </w:pP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8.01</w:t>
            </w:r>
          </w:p>
        </w:tc>
        <w:tc>
          <w:tcPr>
            <w:tcW w:w="8020" w:type="dxa"/>
            <w:vAlign w:val="bottom"/>
          </w:tcPr>
          <w:p>
            <w:pPr>
              <w:ind w:left="660"/>
              <w:spacing w:after="0"/>
              <w:rPr>
                <w:sz w:val="20"/>
                <w:szCs w:val="20"/>
                <w:color w:val="auto"/>
              </w:rPr>
            </w:pPr>
            <w:r>
              <w:rPr>
                <w:rFonts w:ascii="Arial" w:cs="Arial" w:eastAsia="Arial" w:hAnsi="Arial"/>
                <w:sz w:val="20"/>
                <w:szCs w:val="20"/>
                <w:color w:val="auto"/>
              </w:rPr>
              <w:t>Option to Effect Legal Defeasance or Covenant Defeasance</w:t>
            </w:r>
          </w:p>
        </w:tc>
        <w:tc>
          <w:tcPr>
            <w:tcW w:w="1700" w:type="dxa"/>
            <w:vAlign w:val="bottom"/>
          </w:tcPr>
          <w:p>
            <w:pPr>
              <w:jc w:val="right"/>
              <w:spacing w:after="0"/>
              <w:rPr>
                <w:sz w:val="20"/>
                <w:szCs w:val="20"/>
                <w:color w:val="auto"/>
              </w:rPr>
            </w:pPr>
            <w:r>
              <w:rPr>
                <w:rFonts w:ascii="Arial" w:cs="Arial" w:eastAsia="Arial" w:hAnsi="Arial"/>
                <w:sz w:val="20"/>
                <w:szCs w:val="20"/>
                <w:color w:val="auto"/>
              </w:rPr>
              <w:t>65</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8.02</w:t>
            </w:r>
          </w:p>
        </w:tc>
        <w:tc>
          <w:tcPr>
            <w:tcW w:w="8020" w:type="dxa"/>
            <w:vAlign w:val="bottom"/>
          </w:tcPr>
          <w:p>
            <w:pPr>
              <w:ind w:left="660"/>
              <w:spacing w:after="0"/>
              <w:rPr>
                <w:sz w:val="20"/>
                <w:szCs w:val="20"/>
                <w:color w:val="auto"/>
              </w:rPr>
            </w:pPr>
            <w:r>
              <w:rPr>
                <w:rFonts w:ascii="Arial" w:cs="Arial" w:eastAsia="Arial" w:hAnsi="Arial"/>
                <w:sz w:val="20"/>
                <w:szCs w:val="20"/>
                <w:color w:val="auto"/>
              </w:rPr>
              <w:t>Legal Defeasance and Discharge</w:t>
            </w:r>
          </w:p>
        </w:tc>
        <w:tc>
          <w:tcPr>
            <w:tcW w:w="1700" w:type="dxa"/>
            <w:vAlign w:val="bottom"/>
          </w:tcPr>
          <w:p>
            <w:pPr>
              <w:jc w:val="right"/>
              <w:spacing w:after="0"/>
              <w:rPr>
                <w:sz w:val="20"/>
                <w:szCs w:val="20"/>
                <w:color w:val="auto"/>
              </w:rPr>
            </w:pPr>
            <w:r>
              <w:rPr>
                <w:rFonts w:ascii="Arial" w:cs="Arial" w:eastAsia="Arial" w:hAnsi="Arial"/>
                <w:sz w:val="20"/>
                <w:szCs w:val="20"/>
                <w:color w:val="auto"/>
              </w:rPr>
              <w:t>65</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8.03</w:t>
            </w:r>
          </w:p>
        </w:tc>
        <w:tc>
          <w:tcPr>
            <w:tcW w:w="8020" w:type="dxa"/>
            <w:vAlign w:val="bottom"/>
          </w:tcPr>
          <w:p>
            <w:pPr>
              <w:ind w:left="660"/>
              <w:spacing w:after="0"/>
              <w:rPr>
                <w:sz w:val="20"/>
                <w:szCs w:val="20"/>
                <w:color w:val="auto"/>
              </w:rPr>
            </w:pPr>
            <w:r>
              <w:rPr>
                <w:rFonts w:ascii="Arial" w:cs="Arial" w:eastAsia="Arial" w:hAnsi="Arial"/>
                <w:sz w:val="20"/>
                <w:szCs w:val="20"/>
                <w:color w:val="auto"/>
              </w:rPr>
              <w:t>Covenant Defeasance</w:t>
            </w:r>
          </w:p>
        </w:tc>
        <w:tc>
          <w:tcPr>
            <w:tcW w:w="1700" w:type="dxa"/>
            <w:vAlign w:val="bottom"/>
          </w:tcPr>
          <w:p>
            <w:pPr>
              <w:jc w:val="right"/>
              <w:spacing w:after="0"/>
              <w:rPr>
                <w:sz w:val="20"/>
                <w:szCs w:val="20"/>
                <w:color w:val="auto"/>
              </w:rPr>
            </w:pPr>
            <w:r>
              <w:rPr>
                <w:rFonts w:ascii="Arial" w:cs="Arial" w:eastAsia="Arial" w:hAnsi="Arial"/>
                <w:sz w:val="20"/>
                <w:szCs w:val="20"/>
                <w:color w:val="auto"/>
              </w:rPr>
              <w:t>66</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8.04</w:t>
            </w:r>
          </w:p>
        </w:tc>
        <w:tc>
          <w:tcPr>
            <w:tcW w:w="8020" w:type="dxa"/>
            <w:vAlign w:val="bottom"/>
          </w:tcPr>
          <w:p>
            <w:pPr>
              <w:ind w:left="660"/>
              <w:spacing w:after="0"/>
              <w:rPr>
                <w:sz w:val="20"/>
                <w:szCs w:val="20"/>
                <w:color w:val="auto"/>
              </w:rPr>
            </w:pPr>
            <w:r>
              <w:rPr>
                <w:rFonts w:ascii="Arial" w:cs="Arial" w:eastAsia="Arial" w:hAnsi="Arial"/>
                <w:sz w:val="20"/>
                <w:szCs w:val="20"/>
                <w:color w:val="auto"/>
              </w:rPr>
              <w:t>Conditions to Legal or Covenant Defeasance</w:t>
            </w:r>
          </w:p>
        </w:tc>
        <w:tc>
          <w:tcPr>
            <w:tcW w:w="1700" w:type="dxa"/>
            <w:vAlign w:val="bottom"/>
          </w:tcPr>
          <w:p>
            <w:pPr>
              <w:jc w:val="right"/>
              <w:spacing w:after="0"/>
              <w:rPr>
                <w:sz w:val="20"/>
                <w:szCs w:val="20"/>
                <w:color w:val="auto"/>
              </w:rPr>
            </w:pPr>
            <w:r>
              <w:rPr>
                <w:rFonts w:ascii="Arial" w:cs="Arial" w:eastAsia="Arial" w:hAnsi="Arial"/>
                <w:sz w:val="20"/>
                <w:szCs w:val="20"/>
                <w:color w:val="auto"/>
              </w:rPr>
              <w:t>66</w:t>
            </w:r>
          </w:p>
        </w:tc>
      </w:tr>
      <w:tr>
        <w:trPr>
          <w:trHeight w:val="263"/>
        </w:trPr>
        <w:tc>
          <w:tcPr>
            <w:tcW w:w="1640" w:type="dxa"/>
            <w:vAlign w:val="bottom"/>
          </w:tcPr>
          <w:p>
            <w:pPr>
              <w:spacing w:after="0"/>
              <w:rPr>
                <w:sz w:val="22"/>
                <w:szCs w:val="22"/>
                <w:color w:val="auto"/>
              </w:rPr>
            </w:pPr>
          </w:p>
        </w:tc>
        <w:tc>
          <w:tcPr>
            <w:tcW w:w="8020" w:type="dxa"/>
            <w:vAlign w:val="bottom"/>
          </w:tcPr>
          <w:p>
            <w:pPr>
              <w:ind w:left="660"/>
              <w:spacing w:after="0"/>
              <w:rPr>
                <w:sz w:val="20"/>
                <w:szCs w:val="20"/>
                <w:color w:val="auto"/>
              </w:rPr>
            </w:pPr>
            <w:r>
              <w:rPr>
                <w:rFonts w:ascii="Arial" w:cs="Arial" w:eastAsia="Arial" w:hAnsi="Arial"/>
                <w:sz w:val="20"/>
                <w:szCs w:val="20"/>
                <w:color w:val="auto"/>
              </w:rPr>
              <w:t>Deposited Money and Government Securities to be Held in</w:t>
            </w:r>
          </w:p>
        </w:tc>
        <w:tc>
          <w:tcPr>
            <w:tcW w:w="1700" w:type="dxa"/>
            <w:vAlign w:val="bottom"/>
          </w:tcPr>
          <w:p>
            <w:pPr>
              <w:spacing w:after="0"/>
              <w:rPr>
                <w:sz w:val="22"/>
                <w:szCs w:val="22"/>
                <w:color w:val="auto"/>
              </w:rPr>
            </w:pPr>
          </w:p>
        </w:tc>
      </w:tr>
      <w:tr>
        <w:trPr>
          <w:trHeight w:val="250"/>
        </w:trPr>
        <w:tc>
          <w:tcPr>
            <w:tcW w:w="1640" w:type="dxa"/>
            <w:vAlign w:val="bottom"/>
          </w:tcPr>
          <w:p>
            <w:pPr>
              <w:spacing w:after="0"/>
              <w:rPr>
                <w:sz w:val="20"/>
                <w:szCs w:val="20"/>
                <w:color w:val="auto"/>
              </w:rPr>
            </w:pPr>
            <w:r>
              <w:rPr>
                <w:rFonts w:ascii="Arial" w:cs="Arial" w:eastAsia="Arial" w:hAnsi="Arial"/>
                <w:sz w:val="20"/>
                <w:szCs w:val="20"/>
                <w:color w:val="auto"/>
              </w:rPr>
              <w:t>Section 8.05</w:t>
            </w:r>
          </w:p>
        </w:tc>
        <w:tc>
          <w:tcPr>
            <w:tcW w:w="8020" w:type="dxa"/>
            <w:vAlign w:val="bottom"/>
          </w:tcPr>
          <w:p>
            <w:pPr>
              <w:ind w:left="660"/>
              <w:spacing w:after="0"/>
              <w:rPr>
                <w:sz w:val="20"/>
                <w:szCs w:val="20"/>
                <w:color w:val="auto"/>
              </w:rPr>
            </w:pPr>
            <w:r>
              <w:rPr>
                <w:rFonts w:ascii="Arial" w:cs="Arial" w:eastAsia="Arial" w:hAnsi="Arial"/>
                <w:sz w:val="20"/>
                <w:szCs w:val="20"/>
                <w:color w:val="auto"/>
              </w:rPr>
              <w:t>Trust; Other Miscellaneous Provisions</w:t>
            </w:r>
          </w:p>
        </w:tc>
        <w:tc>
          <w:tcPr>
            <w:tcW w:w="1700" w:type="dxa"/>
            <w:vAlign w:val="bottom"/>
          </w:tcPr>
          <w:p>
            <w:pPr>
              <w:jc w:val="right"/>
              <w:spacing w:after="0"/>
              <w:rPr>
                <w:sz w:val="20"/>
                <w:szCs w:val="20"/>
                <w:color w:val="auto"/>
              </w:rPr>
            </w:pPr>
            <w:r>
              <w:rPr>
                <w:rFonts w:ascii="Arial" w:cs="Arial" w:eastAsia="Arial" w:hAnsi="Arial"/>
                <w:sz w:val="20"/>
                <w:szCs w:val="20"/>
                <w:color w:val="auto"/>
              </w:rPr>
              <w:t>67</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8.06</w:t>
            </w:r>
          </w:p>
        </w:tc>
        <w:tc>
          <w:tcPr>
            <w:tcW w:w="8020" w:type="dxa"/>
            <w:vAlign w:val="bottom"/>
          </w:tcPr>
          <w:p>
            <w:pPr>
              <w:ind w:left="660"/>
              <w:spacing w:after="0"/>
              <w:rPr>
                <w:sz w:val="20"/>
                <w:szCs w:val="20"/>
                <w:color w:val="auto"/>
              </w:rPr>
            </w:pPr>
            <w:r>
              <w:rPr>
                <w:rFonts w:ascii="Arial" w:cs="Arial" w:eastAsia="Arial" w:hAnsi="Arial"/>
                <w:sz w:val="20"/>
                <w:szCs w:val="20"/>
                <w:color w:val="auto"/>
              </w:rPr>
              <w:t>Repayment to Issuer</w:t>
            </w:r>
          </w:p>
        </w:tc>
        <w:tc>
          <w:tcPr>
            <w:tcW w:w="1700" w:type="dxa"/>
            <w:vAlign w:val="bottom"/>
          </w:tcPr>
          <w:p>
            <w:pPr>
              <w:jc w:val="right"/>
              <w:spacing w:after="0"/>
              <w:rPr>
                <w:sz w:val="20"/>
                <w:szCs w:val="20"/>
                <w:color w:val="auto"/>
              </w:rPr>
            </w:pPr>
            <w:r>
              <w:rPr>
                <w:rFonts w:ascii="Arial" w:cs="Arial" w:eastAsia="Arial" w:hAnsi="Arial"/>
                <w:sz w:val="20"/>
                <w:szCs w:val="20"/>
                <w:color w:val="auto"/>
              </w:rPr>
              <w:t>68</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8.07</w:t>
            </w:r>
          </w:p>
        </w:tc>
        <w:tc>
          <w:tcPr>
            <w:tcW w:w="8020" w:type="dxa"/>
            <w:vAlign w:val="bottom"/>
          </w:tcPr>
          <w:p>
            <w:pPr>
              <w:ind w:left="660"/>
              <w:spacing w:after="0"/>
              <w:rPr>
                <w:sz w:val="20"/>
                <w:szCs w:val="20"/>
                <w:color w:val="auto"/>
              </w:rPr>
            </w:pPr>
            <w:r>
              <w:rPr>
                <w:rFonts w:ascii="Arial" w:cs="Arial" w:eastAsia="Arial" w:hAnsi="Arial"/>
                <w:sz w:val="20"/>
                <w:szCs w:val="20"/>
                <w:color w:val="auto"/>
              </w:rPr>
              <w:t>Reinstatement</w:t>
            </w:r>
          </w:p>
        </w:tc>
        <w:tc>
          <w:tcPr>
            <w:tcW w:w="1700" w:type="dxa"/>
            <w:vAlign w:val="bottom"/>
          </w:tcPr>
          <w:p>
            <w:pPr>
              <w:jc w:val="right"/>
              <w:spacing w:after="0"/>
              <w:rPr>
                <w:sz w:val="20"/>
                <w:szCs w:val="20"/>
                <w:color w:val="auto"/>
              </w:rPr>
            </w:pPr>
            <w:r>
              <w:rPr>
                <w:rFonts w:ascii="Arial" w:cs="Arial" w:eastAsia="Arial" w:hAnsi="Arial"/>
                <w:sz w:val="20"/>
                <w:szCs w:val="20"/>
                <w:color w:val="auto"/>
              </w:rPr>
              <w:t>68</w:t>
            </w:r>
          </w:p>
        </w:tc>
      </w:tr>
    </w:tbl>
    <w:p>
      <w:pPr>
        <w:spacing w:after="0" w:line="36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ARTICLE 9</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640" w:type="dxa"/>
            <w:vAlign w:val="bottom"/>
          </w:tcPr>
          <w:p>
            <w:pPr>
              <w:spacing w:after="0"/>
              <w:rPr>
                <w:sz w:val="21"/>
                <w:szCs w:val="21"/>
                <w:color w:val="auto"/>
              </w:rPr>
            </w:pPr>
          </w:p>
        </w:tc>
        <w:tc>
          <w:tcPr>
            <w:tcW w:w="7780" w:type="dxa"/>
            <w:vAlign w:val="bottom"/>
          </w:tcPr>
          <w:p>
            <w:pPr>
              <w:ind w:left="2080"/>
              <w:spacing w:after="0"/>
              <w:rPr>
                <w:sz w:val="20"/>
                <w:szCs w:val="20"/>
                <w:color w:val="auto"/>
              </w:rPr>
            </w:pPr>
            <w:r>
              <w:rPr>
                <w:rFonts w:ascii="Arial" w:cs="Arial" w:eastAsia="Arial" w:hAnsi="Arial"/>
                <w:sz w:val="20"/>
                <w:szCs w:val="20"/>
                <w:color w:val="auto"/>
              </w:rPr>
              <w:t>AMENDMENT, SUPPLEMENT AND WAIVER</w:t>
            </w:r>
          </w:p>
        </w:tc>
        <w:tc>
          <w:tcPr>
            <w:tcW w:w="1940" w:type="dxa"/>
            <w:vAlign w:val="bottom"/>
          </w:tcPr>
          <w:p>
            <w:pPr>
              <w:spacing w:after="0"/>
              <w:rPr>
                <w:sz w:val="21"/>
                <w:szCs w:val="21"/>
                <w:color w:val="auto"/>
              </w:rPr>
            </w:pP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9.01</w:t>
            </w:r>
          </w:p>
        </w:tc>
        <w:tc>
          <w:tcPr>
            <w:tcW w:w="7780" w:type="dxa"/>
            <w:vAlign w:val="bottom"/>
          </w:tcPr>
          <w:p>
            <w:pPr>
              <w:ind w:left="660"/>
              <w:spacing w:after="0"/>
              <w:rPr>
                <w:sz w:val="20"/>
                <w:szCs w:val="20"/>
                <w:color w:val="auto"/>
              </w:rPr>
            </w:pPr>
            <w:r>
              <w:rPr>
                <w:rFonts w:ascii="Arial" w:cs="Arial" w:eastAsia="Arial" w:hAnsi="Arial"/>
                <w:sz w:val="20"/>
                <w:szCs w:val="20"/>
                <w:color w:val="auto"/>
              </w:rPr>
              <w:t>Without Consent of Holders of Notes</w:t>
            </w:r>
          </w:p>
        </w:tc>
        <w:tc>
          <w:tcPr>
            <w:tcW w:w="1940" w:type="dxa"/>
            <w:vAlign w:val="bottom"/>
          </w:tcPr>
          <w:p>
            <w:pPr>
              <w:jc w:val="right"/>
              <w:spacing w:after="0"/>
              <w:rPr>
                <w:sz w:val="20"/>
                <w:szCs w:val="20"/>
                <w:color w:val="auto"/>
              </w:rPr>
            </w:pPr>
            <w:r>
              <w:rPr>
                <w:rFonts w:ascii="Arial" w:cs="Arial" w:eastAsia="Arial" w:hAnsi="Arial"/>
                <w:sz w:val="20"/>
                <w:szCs w:val="20"/>
                <w:color w:val="auto"/>
              </w:rPr>
              <w:t>69</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9.02</w:t>
            </w:r>
          </w:p>
        </w:tc>
        <w:tc>
          <w:tcPr>
            <w:tcW w:w="7780" w:type="dxa"/>
            <w:vAlign w:val="bottom"/>
          </w:tcPr>
          <w:p>
            <w:pPr>
              <w:ind w:left="660"/>
              <w:spacing w:after="0"/>
              <w:rPr>
                <w:sz w:val="20"/>
                <w:szCs w:val="20"/>
                <w:color w:val="auto"/>
              </w:rPr>
            </w:pPr>
            <w:r>
              <w:rPr>
                <w:rFonts w:ascii="Arial" w:cs="Arial" w:eastAsia="Arial" w:hAnsi="Arial"/>
                <w:sz w:val="20"/>
                <w:szCs w:val="20"/>
                <w:color w:val="auto"/>
              </w:rPr>
              <w:t>With Consent of Holders of Notes</w:t>
            </w:r>
          </w:p>
        </w:tc>
        <w:tc>
          <w:tcPr>
            <w:tcW w:w="1940" w:type="dxa"/>
            <w:vAlign w:val="bottom"/>
          </w:tcPr>
          <w:p>
            <w:pPr>
              <w:jc w:val="right"/>
              <w:spacing w:after="0"/>
              <w:rPr>
                <w:sz w:val="20"/>
                <w:szCs w:val="20"/>
                <w:color w:val="auto"/>
              </w:rPr>
            </w:pPr>
            <w:r>
              <w:rPr>
                <w:rFonts w:ascii="Arial" w:cs="Arial" w:eastAsia="Arial" w:hAnsi="Arial"/>
                <w:sz w:val="20"/>
                <w:szCs w:val="20"/>
                <w:color w:val="auto"/>
              </w:rPr>
              <w:t>70</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9.03</w:t>
            </w:r>
          </w:p>
        </w:tc>
        <w:tc>
          <w:tcPr>
            <w:tcW w:w="7780" w:type="dxa"/>
            <w:vAlign w:val="bottom"/>
          </w:tcPr>
          <w:p>
            <w:pPr>
              <w:ind w:left="660"/>
              <w:spacing w:after="0"/>
              <w:rPr>
                <w:sz w:val="20"/>
                <w:szCs w:val="20"/>
                <w:color w:val="auto"/>
              </w:rPr>
            </w:pPr>
            <w:r>
              <w:rPr>
                <w:rFonts w:ascii="Arial" w:cs="Arial" w:eastAsia="Arial" w:hAnsi="Arial"/>
                <w:sz w:val="20"/>
                <w:szCs w:val="20"/>
                <w:color w:val="auto"/>
              </w:rPr>
              <w:t>Revocation and Effect of Consents</w:t>
            </w:r>
          </w:p>
        </w:tc>
        <w:tc>
          <w:tcPr>
            <w:tcW w:w="1940" w:type="dxa"/>
            <w:vAlign w:val="bottom"/>
          </w:tcPr>
          <w:p>
            <w:pPr>
              <w:jc w:val="right"/>
              <w:spacing w:after="0"/>
              <w:rPr>
                <w:sz w:val="20"/>
                <w:szCs w:val="20"/>
                <w:color w:val="auto"/>
              </w:rPr>
            </w:pPr>
            <w:r>
              <w:rPr>
                <w:rFonts w:ascii="Arial" w:cs="Arial" w:eastAsia="Arial" w:hAnsi="Arial"/>
                <w:sz w:val="20"/>
                <w:szCs w:val="20"/>
                <w:color w:val="auto"/>
              </w:rPr>
              <w:t>72</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9.04</w:t>
            </w:r>
          </w:p>
        </w:tc>
        <w:tc>
          <w:tcPr>
            <w:tcW w:w="7780" w:type="dxa"/>
            <w:vAlign w:val="bottom"/>
          </w:tcPr>
          <w:p>
            <w:pPr>
              <w:ind w:left="660"/>
              <w:spacing w:after="0"/>
              <w:rPr>
                <w:sz w:val="20"/>
                <w:szCs w:val="20"/>
                <w:color w:val="auto"/>
              </w:rPr>
            </w:pPr>
            <w:r>
              <w:rPr>
                <w:rFonts w:ascii="Arial" w:cs="Arial" w:eastAsia="Arial" w:hAnsi="Arial"/>
                <w:sz w:val="20"/>
                <w:szCs w:val="20"/>
                <w:color w:val="auto"/>
              </w:rPr>
              <w:t>Notation on or Exchange of Notes</w:t>
            </w:r>
          </w:p>
        </w:tc>
        <w:tc>
          <w:tcPr>
            <w:tcW w:w="1940" w:type="dxa"/>
            <w:vAlign w:val="bottom"/>
          </w:tcPr>
          <w:p>
            <w:pPr>
              <w:jc w:val="right"/>
              <w:spacing w:after="0"/>
              <w:rPr>
                <w:sz w:val="20"/>
                <w:szCs w:val="20"/>
                <w:color w:val="auto"/>
              </w:rPr>
            </w:pPr>
            <w:r>
              <w:rPr>
                <w:rFonts w:ascii="Arial" w:cs="Arial" w:eastAsia="Arial" w:hAnsi="Arial"/>
                <w:sz w:val="20"/>
                <w:szCs w:val="20"/>
                <w:color w:val="auto"/>
              </w:rPr>
              <w:t>72</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9.05</w:t>
            </w:r>
          </w:p>
        </w:tc>
        <w:tc>
          <w:tcPr>
            <w:tcW w:w="7780" w:type="dxa"/>
            <w:vAlign w:val="bottom"/>
          </w:tcPr>
          <w:p>
            <w:pPr>
              <w:ind w:left="660"/>
              <w:spacing w:after="0"/>
              <w:rPr>
                <w:sz w:val="20"/>
                <w:szCs w:val="20"/>
                <w:color w:val="auto"/>
              </w:rPr>
            </w:pPr>
            <w:r>
              <w:rPr>
                <w:rFonts w:ascii="Arial" w:cs="Arial" w:eastAsia="Arial" w:hAnsi="Arial"/>
                <w:sz w:val="20"/>
                <w:szCs w:val="20"/>
                <w:color w:val="auto"/>
              </w:rPr>
              <w:t>Trustee to Sign Amendments, etc.</w:t>
            </w:r>
          </w:p>
        </w:tc>
        <w:tc>
          <w:tcPr>
            <w:tcW w:w="1940" w:type="dxa"/>
            <w:vAlign w:val="bottom"/>
          </w:tcPr>
          <w:p>
            <w:pPr>
              <w:jc w:val="right"/>
              <w:spacing w:after="0"/>
              <w:rPr>
                <w:sz w:val="20"/>
                <w:szCs w:val="20"/>
                <w:color w:val="auto"/>
              </w:rPr>
            </w:pPr>
            <w:r>
              <w:rPr>
                <w:rFonts w:ascii="Arial" w:cs="Arial" w:eastAsia="Arial" w:hAnsi="Arial"/>
                <w:sz w:val="20"/>
                <w:szCs w:val="20"/>
                <w:color w:val="auto"/>
              </w:rPr>
              <w:t>72</w:t>
            </w:r>
          </w:p>
        </w:tc>
      </w:tr>
    </w:tbl>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700" w:type="dxa"/>
            <w:vAlign w:val="bottom"/>
          </w:tcPr>
          <w:p>
            <w:pPr>
              <w:spacing w:after="0"/>
              <w:rPr>
                <w:sz w:val="23"/>
                <w:szCs w:val="23"/>
                <w:color w:val="auto"/>
              </w:rPr>
            </w:pPr>
          </w:p>
        </w:tc>
        <w:tc>
          <w:tcPr>
            <w:tcW w:w="7480" w:type="dxa"/>
            <w:vAlign w:val="bottom"/>
          </w:tcPr>
          <w:p>
            <w:pPr>
              <w:ind w:left="3240"/>
              <w:spacing w:after="0"/>
              <w:rPr>
                <w:sz w:val="20"/>
                <w:szCs w:val="20"/>
                <w:color w:val="auto"/>
              </w:rPr>
            </w:pPr>
            <w:r>
              <w:rPr>
                <w:rFonts w:ascii="Arial" w:cs="Arial" w:eastAsia="Arial" w:hAnsi="Arial"/>
                <w:sz w:val="22"/>
                <w:szCs w:val="22"/>
                <w:color w:val="auto"/>
              </w:rPr>
              <w:t>ARTICLE 10</w:t>
            </w:r>
          </w:p>
        </w:tc>
        <w:tc>
          <w:tcPr>
            <w:tcW w:w="2180" w:type="dxa"/>
            <w:vAlign w:val="bottom"/>
          </w:tcPr>
          <w:p>
            <w:pPr>
              <w:spacing w:after="0"/>
              <w:rPr>
                <w:sz w:val="23"/>
                <w:szCs w:val="23"/>
                <w:color w:val="auto"/>
              </w:rPr>
            </w:pPr>
          </w:p>
        </w:tc>
      </w:tr>
      <w:tr>
        <w:trPr>
          <w:trHeight w:val="413"/>
        </w:trPr>
        <w:tc>
          <w:tcPr>
            <w:tcW w:w="1700" w:type="dxa"/>
            <w:vAlign w:val="bottom"/>
          </w:tcPr>
          <w:p>
            <w:pPr>
              <w:spacing w:after="0"/>
              <w:rPr>
                <w:sz w:val="24"/>
                <w:szCs w:val="24"/>
                <w:color w:val="auto"/>
              </w:rPr>
            </w:pPr>
          </w:p>
        </w:tc>
        <w:tc>
          <w:tcPr>
            <w:tcW w:w="7480" w:type="dxa"/>
            <w:vAlign w:val="bottom"/>
          </w:tcPr>
          <w:p>
            <w:pPr>
              <w:ind w:left="2480"/>
              <w:spacing w:after="0"/>
              <w:rPr>
                <w:sz w:val="20"/>
                <w:szCs w:val="20"/>
                <w:color w:val="auto"/>
              </w:rPr>
            </w:pPr>
            <w:r>
              <w:rPr>
                <w:rFonts w:ascii="Arial" w:cs="Arial" w:eastAsia="Arial" w:hAnsi="Arial"/>
                <w:sz w:val="20"/>
                <w:szCs w:val="20"/>
                <w:color w:val="auto"/>
              </w:rPr>
              <w:t>SATISFACTION AND DISCHARGE</w:t>
            </w:r>
          </w:p>
        </w:tc>
        <w:tc>
          <w:tcPr>
            <w:tcW w:w="2180" w:type="dxa"/>
            <w:vAlign w:val="bottom"/>
          </w:tcPr>
          <w:p>
            <w:pPr>
              <w:spacing w:after="0"/>
              <w:rPr>
                <w:sz w:val="24"/>
                <w:szCs w:val="24"/>
                <w:color w:val="auto"/>
              </w:rPr>
            </w:pPr>
          </w:p>
        </w:tc>
      </w:tr>
      <w:tr>
        <w:trPr>
          <w:trHeight w:val="284"/>
        </w:trPr>
        <w:tc>
          <w:tcPr>
            <w:tcW w:w="1700" w:type="dxa"/>
            <w:vAlign w:val="bottom"/>
          </w:tcPr>
          <w:p>
            <w:pPr>
              <w:spacing w:after="0"/>
              <w:rPr>
                <w:sz w:val="20"/>
                <w:szCs w:val="20"/>
                <w:color w:val="auto"/>
              </w:rPr>
            </w:pPr>
            <w:r>
              <w:rPr>
                <w:rFonts w:ascii="Arial" w:cs="Arial" w:eastAsia="Arial" w:hAnsi="Arial"/>
                <w:sz w:val="20"/>
                <w:szCs w:val="20"/>
                <w:color w:val="auto"/>
              </w:rPr>
              <w:t>Section 10.01</w:t>
            </w:r>
          </w:p>
        </w:tc>
        <w:tc>
          <w:tcPr>
            <w:tcW w:w="7480" w:type="dxa"/>
            <w:vAlign w:val="bottom"/>
          </w:tcPr>
          <w:p>
            <w:pPr>
              <w:ind w:left="600"/>
              <w:spacing w:after="0"/>
              <w:rPr>
                <w:sz w:val="20"/>
                <w:szCs w:val="20"/>
                <w:color w:val="auto"/>
              </w:rPr>
            </w:pPr>
            <w:r>
              <w:rPr>
                <w:rFonts w:ascii="Arial" w:cs="Arial" w:eastAsia="Arial" w:hAnsi="Arial"/>
                <w:sz w:val="20"/>
                <w:szCs w:val="20"/>
                <w:color w:val="auto"/>
              </w:rPr>
              <w:t>Satisfaction and Discharge</w:t>
            </w:r>
          </w:p>
        </w:tc>
        <w:tc>
          <w:tcPr>
            <w:tcW w:w="2180" w:type="dxa"/>
            <w:vAlign w:val="bottom"/>
          </w:tcPr>
          <w:p>
            <w:pPr>
              <w:jc w:val="right"/>
              <w:spacing w:after="0"/>
              <w:rPr>
                <w:sz w:val="20"/>
                <w:szCs w:val="20"/>
                <w:color w:val="auto"/>
              </w:rPr>
            </w:pPr>
            <w:r>
              <w:rPr>
                <w:rFonts w:ascii="Arial" w:cs="Arial" w:eastAsia="Arial" w:hAnsi="Arial"/>
                <w:sz w:val="20"/>
                <w:szCs w:val="20"/>
                <w:color w:val="auto"/>
              </w:rPr>
              <w:t>73</w:t>
            </w:r>
          </w:p>
        </w:tc>
      </w:tr>
      <w:tr>
        <w:trPr>
          <w:trHeight w:val="284"/>
        </w:trPr>
        <w:tc>
          <w:tcPr>
            <w:tcW w:w="1700" w:type="dxa"/>
            <w:vAlign w:val="bottom"/>
          </w:tcPr>
          <w:p>
            <w:pPr>
              <w:spacing w:after="0"/>
              <w:rPr>
                <w:sz w:val="20"/>
                <w:szCs w:val="20"/>
                <w:color w:val="auto"/>
              </w:rPr>
            </w:pPr>
            <w:r>
              <w:rPr>
                <w:rFonts w:ascii="Arial" w:cs="Arial" w:eastAsia="Arial" w:hAnsi="Arial"/>
                <w:sz w:val="20"/>
                <w:szCs w:val="20"/>
                <w:color w:val="auto"/>
              </w:rPr>
              <w:t>Section 10.02</w:t>
            </w:r>
          </w:p>
        </w:tc>
        <w:tc>
          <w:tcPr>
            <w:tcW w:w="7480" w:type="dxa"/>
            <w:vAlign w:val="bottom"/>
          </w:tcPr>
          <w:p>
            <w:pPr>
              <w:ind w:left="600"/>
              <w:spacing w:after="0"/>
              <w:rPr>
                <w:sz w:val="20"/>
                <w:szCs w:val="20"/>
                <w:color w:val="auto"/>
              </w:rPr>
            </w:pPr>
            <w:r>
              <w:rPr>
                <w:rFonts w:ascii="Arial" w:cs="Arial" w:eastAsia="Arial" w:hAnsi="Arial"/>
                <w:sz w:val="20"/>
                <w:szCs w:val="20"/>
                <w:color w:val="auto"/>
              </w:rPr>
              <w:t>Application of Trust Money</w:t>
            </w:r>
          </w:p>
        </w:tc>
        <w:tc>
          <w:tcPr>
            <w:tcW w:w="2180" w:type="dxa"/>
            <w:vAlign w:val="bottom"/>
          </w:tcPr>
          <w:p>
            <w:pPr>
              <w:jc w:val="right"/>
              <w:spacing w:after="0"/>
              <w:rPr>
                <w:sz w:val="20"/>
                <w:szCs w:val="20"/>
                <w:color w:val="auto"/>
              </w:rPr>
            </w:pPr>
            <w:r>
              <w:rPr>
                <w:rFonts w:ascii="Arial" w:cs="Arial" w:eastAsia="Arial" w:hAnsi="Arial"/>
                <w:sz w:val="20"/>
                <w:szCs w:val="20"/>
                <w:color w:val="auto"/>
              </w:rPr>
              <w:t>74</w:t>
            </w:r>
          </w:p>
        </w:tc>
      </w:tr>
    </w:tbl>
    <w:p>
      <w:pPr>
        <w:spacing w:after="0" w:line="200" w:lineRule="exact"/>
        <w:rPr>
          <w:sz w:val="20"/>
          <w:szCs w:val="20"/>
          <w:color w:val="auto"/>
        </w:rPr>
      </w:pPr>
    </w:p>
    <w:p>
      <w:pPr>
        <w:sectPr>
          <w:pgSz w:w="11900" w:h="16838" w:orient="portrait"/>
          <w:cols w:equalWidth="0" w:num="1">
            <w:col w:w="11400"/>
          </w:cols>
          <w:pgMar w:left="260" w:top="14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tabs>
          <w:tab w:leader="none" w:pos="5640" w:val="left"/>
        </w:tabs>
        <w:rPr>
          <w:sz w:val="20"/>
          <w:szCs w:val="20"/>
          <w:color w:val="auto"/>
        </w:rPr>
      </w:pPr>
      <w:r>
        <w:rPr>
          <w:rFonts w:ascii="Arial" w:cs="Arial" w:eastAsia="Arial" w:hAnsi="Arial"/>
          <w:sz w:val="11"/>
          <w:szCs w:val="11"/>
          <w:color w:val="auto"/>
        </w:rPr>
        <w:t>ASIA 33616188</w:t>
      </w:r>
      <w:r>
        <w:rPr>
          <w:sz w:val="20"/>
          <w:szCs w:val="20"/>
          <w:color w:val="auto"/>
        </w:rPr>
        <w:tab/>
      </w:r>
      <w:r>
        <w:rPr>
          <w:rFonts w:ascii="Arial" w:cs="Arial" w:eastAsia="Arial" w:hAnsi="Arial"/>
          <w:sz w:val="17"/>
          <w:szCs w:val="17"/>
          <w:color w:val="auto"/>
        </w:rPr>
        <w:t>3</w:t>
      </w:r>
    </w:p>
    <w:p>
      <w:pPr>
        <w:sectPr>
          <w:pgSz w:w="11900" w:h="16838" w:orient="portrait"/>
          <w:cols w:equalWidth="0" w:num="1">
            <w:col w:w="11400"/>
          </w:cols>
          <w:pgMar w:left="260" w:top="145" w:right="239" w:bottom="1440" w:gutter="0" w:footer="0" w:header="0"/>
          <w:type w:val="continuous"/>
        </w:sectPr>
      </w:pPr>
    </w:p>
    <w:bookmarkStart w:id="150" w:name="page151"/>
    <w:bookmarkEnd w:id="150"/>
    <w:p>
      <w:pPr>
        <w:jc w:val="right"/>
        <w:spacing w:after="0"/>
        <w:rPr>
          <w:sz w:val="20"/>
          <w:szCs w:val="20"/>
          <w:color w:val="auto"/>
        </w:rPr>
      </w:pPr>
      <w:r>
        <w:rPr>
          <w:rFonts w:ascii="Arial" w:cs="Arial" w:eastAsia="Arial" w:hAnsi="Arial"/>
          <w:sz w:val="22"/>
          <w:szCs w:val="22"/>
          <w:i w:val="1"/>
          <w:i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40"/>
        <w:spacing w:after="0"/>
        <w:rPr>
          <w:sz w:val="20"/>
          <w:szCs w:val="20"/>
          <w:color w:val="auto"/>
        </w:rPr>
      </w:pPr>
      <w:r>
        <w:rPr>
          <w:rFonts w:ascii="Arial" w:cs="Arial" w:eastAsia="Arial" w:hAnsi="Arial"/>
          <w:sz w:val="22"/>
          <w:szCs w:val="22"/>
          <w:color w:val="auto"/>
        </w:rPr>
        <w:t>ARTICLE 11</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700" w:type="dxa"/>
            <w:vAlign w:val="bottom"/>
          </w:tcPr>
          <w:p>
            <w:pPr>
              <w:spacing w:after="0"/>
              <w:rPr>
                <w:sz w:val="21"/>
                <w:szCs w:val="21"/>
                <w:color w:val="auto"/>
              </w:rPr>
            </w:pPr>
          </w:p>
        </w:tc>
        <w:tc>
          <w:tcPr>
            <w:tcW w:w="7440" w:type="dxa"/>
            <w:vAlign w:val="bottom"/>
          </w:tcPr>
          <w:p>
            <w:pPr>
              <w:ind w:left="3160"/>
              <w:spacing w:after="0"/>
              <w:rPr>
                <w:sz w:val="20"/>
                <w:szCs w:val="20"/>
                <w:color w:val="auto"/>
              </w:rPr>
            </w:pPr>
            <w:r>
              <w:rPr>
                <w:rFonts w:ascii="Arial" w:cs="Arial" w:eastAsia="Arial" w:hAnsi="Arial"/>
                <w:sz w:val="20"/>
                <w:szCs w:val="20"/>
                <w:color w:val="auto"/>
              </w:rPr>
              <w:t>MISCELLANEOUS</w:t>
            </w:r>
          </w:p>
        </w:tc>
        <w:tc>
          <w:tcPr>
            <w:tcW w:w="2220" w:type="dxa"/>
            <w:vAlign w:val="bottom"/>
          </w:tcPr>
          <w:p>
            <w:pPr>
              <w:spacing w:after="0"/>
              <w:rPr>
                <w:sz w:val="21"/>
                <w:szCs w:val="21"/>
                <w:color w:val="auto"/>
              </w:rPr>
            </w:pPr>
          </w:p>
        </w:tc>
      </w:tr>
      <w:tr>
        <w:trPr>
          <w:trHeight w:val="284"/>
        </w:trPr>
        <w:tc>
          <w:tcPr>
            <w:tcW w:w="1700" w:type="dxa"/>
            <w:vAlign w:val="bottom"/>
          </w:tcPr>
          <w:p>
            <w:pPr>
              <w:spacing w:after="0"/>
              <w:rPr>
                <w:sz w:val="20"/>
                <w:szCs w:val="20"/>
                <w:color w:val="auto"/>
              </w:rPr>
            </w:pPr>
            <w:r>
              <w:rPr>
                <w:rFonts w:ascii="Arial" w:cs="Arial" w:eastAsia="Arial" w:hAnsi="Arial"/>
                <w:sz w:val="20"/>
                <w:szCs w:val="20"/>
                <w:color w:val="auto"/>
              </w:rPr>
              <w:t>Section 11.01</w:t>
            </w:r>
          </w:p>
        </w:tc>
        <w:tc>
          <w:tcPr>
            <w:tcW w:w="7440" w:type="dxa"/>
            <w:vAlign w:val="bottom"/>
          </w:tcPr>
          <w:p>
            <w:pPr>
              <w:ind w:left="600"/>
              <w:spacing w:after="0"/>
              <w:rPr>
                <w:sz w:val="20"/>
                <w:szCs w:val="20"/>
                <w:color w:val="auto"/>
              </w:rPr>
            </w:pPr>
            <w:r>
              <w:rPr>
                <w:rFonts w:ascii="Arial" w:cs="Arial" w:eastAsia="Arial" w:hAnsi="Arial"/>
                <w:sz w:val="20"/>
                <w:szCs w:val="20"/>
                <w:color w:val="auto"/>
              </w:rPr>
              <w:t>Notices</w:t>
            </w:r>
          </w:p>
        </w:tc>
        <w:tc>
          <w:tcPr>
            <w:tcW w:w="2220" w:type="dxa"/>
            <w:vAlign w:val="bottom"/>
          </w:tcPr>
          <w:p>
            <w:pPr>
              <w:jc w:val="right"/>
              <w:spacing w:after="0"/>
              <w:rPr>
                <w:sz w:val="20"/>
                <w:szCs w:val="20"/>
                <w:color w:val="auto"/>
              </w:rPr>
            </w:pPr>
            <w:r>
              <w:rPr>
                <w:rFonts w:ascii="Arial" w:cs="Arial" w:eastAsia="Arial" w:hAnsi="Arial"/>
                <w:sz w:val="20"/>
                <w:szCs w:val="20"/>
                <w:color w:val="auto"/>
              </w:rPr>
              <w:t>74</w:t>
            </w:r>
          </w:p>
        </w:tc>
      </w:tr>
      <w:tr>
        <w:trPr>
          <w:trHeight w:val="284"/>
        </w:trPr>
        <w:tc>
          <w:tcPr>
            <w:tcW w:w="1700" w:type="dxa"/>
            <w:vAlign w:val="bottom"/>
          </w:tcPr>
          <w:p>
            <w:pPr>
              <w:spacing w:after="0"/>
              <w:rPr>
                <w:sz w:val="20"/>
                <w:szCs w:val="20"/>
                <w:color w:val="auto"/>
              </w:rPr>
            </w:pPr>
            <w:r>
              <w:rPr>
                <w:rFonts w:ascii="Arial" w:cs="Arial" w:eastAsia="Arial" w:hAnsi="Arial"/>
                <w:sz w:val="20"/>
                <w:szCs w:val="20"/>
                <w:color w:val="auto"/>
              </w:rPr>
              <w:t>Section 11.02</w:t>
            </w:r>
          </w:p>
        </w:tc>
        <w:tc>
          <w:tcPr>
            <w:tcW w:w="7440" w:type="dxa"/>
            <w:vAlign w:val="bottom"/>
          </w:tcPr>
          <w:p>
            <w:pPr>
              <w:ind w:left="600"/>
              <w:spacing w:after="0"/>
              <w:rPr>
                <w:sz w:val="20"/>
                <w:szCs w:val="20"/>
                <w:color w:val="auto"/>
              </w:rPr>
            </w:pPr>
            <w:r>
              <w:rPr>
                <w:rFonts w:ascii="Arial" w:cs="Arial" w:eastAsia="Arial" w:hAnsi="Arial"/>
                <w:sz w:val="20"/>
                <w:szCs w:val="20"/>
                <w:color w:val="auto"/>
              </w:rPr>
              <w:t>Certificate and Opinion as to Conditions Precedent</w:t>
            </w:r>
          </w:p>
        </w:tc>
        <w:tc>
          <w:tcPr>
            <w:tcW w:w="2220" w:type="dxa"/>
            <w:vAlign w:val="bottom"/>
          </w:tcPr>
          <w:p>
            <w:pPr>
              <w:jc w:val="right"/>
              <w:spacing w:after="0"/>
              <w:rPr>
                <w:sz w:val="20"/>
                <w:szCs w:val="20"/>
                <w:color w:val="auto"/>
              </w:rPr>
            </w:pPr>
            <w:r>
              <w:rPr>
                <w:rFonts w:ascii="Arial" w:cs="Arial" w:eastAsia="Arial" w:hAnsi="Arial"/>
                <w:sz w:val="20"/>
                <w:szCs w:val="20"/>
                <w:color w:val="auto"/>
              </w:rPr>
              <w:t>76</w:t>
            </w:r>
          </w:p>
        </w:tc>
      </w:tr>
      <w:tr>
        <w:trPr>
          <w:trHeight w:val="284"/>
        </w:trPr>
        <w:tc>
          <w:tcPr>
            <w:tcW w:w="1700" w:type="dxa"/>
            <w:vAlign w:val="bottom"/>
          </w:tcPr>
          <w:p>
            <w:pPr>
              <w:spacing w:after="0"/>
              <w:rPr>
                <w:sz w:val="20"/>
                <w:szCs w:val="20"/>
                <w:color w:val="auto"/>
              </w:rPr>
            </w:pPr>
            <w:r>
              <w:rPr>
                <w:rFonts w:ascii="Arial" w:cs="Arial" w:eastAsia="Arial" w:hAnsi="Arial"/>
                <w:sz w:val="20"/>
                <w:szCs w:val="20"/>
                <w:color w:val="auto"/>
              </w:rPr>
              <w:t>Section 11.03</w:t>
            </w:r>
          </w:p>
        </w:tc>
        <w:tc>
          <w:tcPr>
            <w:tcW w:w="7440" w:type="dxa"/>
            <w:vAlign w:val="bottom"/>
          </w:tcPr>
          <w:p>
            <w:pPr>
              <w:ind w:left="600"/>
              <w:spacing w:after="0"/>
              <w:rPr>
                <w:sz w:val="20"/>
                <w:szCs w:val="20"/>
                <w:color w:val="auto"/>
              </w:rPr>
            </w:pPr>
            <w:r>
              <w:rPr>
                <w:rFonts w:ascii="Arial" w:cs="Arial" w:eastAsia="Arial" w:hAnsi="Arial"/>
                <w:sz w:val="20"/>
                <w:szCs w:val="20"/>
                <w:color w:val="auto"/>
              </w:rPr>
              <w:t>Statements Required in Certificate or Opinion</w:t>
            </w:r>
          </w:p>
        </w:tc>
        <w:tc>
          <w:tcPr>
            <w:tcW w:w="2220" w:type="dxa"/>
            <w:vAlign w:val="bottom"/>
          </w:tcPr>
          <w:p>
            <w:pPr>
              <w:jc w:val="right"/>
              <w:spacing w:after="0"/>
              <w:rPr>
                <w:sz w:val="20"/>
                <w:szCs w:val="20"/>
                <w:color w:val="auto"/>
              </w:rPr>
            </w:pPr>
            <w:r>
              <w:rPr>
                <w:rFonts w:ascii="Arial" w:cs="Arial" w:eastAsia="Arial" w:hAnsi="Arial"/>
                <w:sz w:val="20"/>
                <w:szCs w:val="20"/>
                <w:color w:val="auto"/>
              </w:rPr>
              <w:t>76</w:t>
            </w:r>
          </w:p>
        </w:tc>
      </w:tr>
      <w:tr>
        <w:trPr>
          <w:trHeight w:val="284"/>
        </w:trPr>
        <w:tc>
          <w:tcPr>
            <w:tcW w:w="1700" w:type="dxa"/>
            <w:vAlign w:val="bottom"/>
          </w:tcPr>
          <w:p>
            <w:pPr>
              <w:spacing w:after="0"/>
              <w:rPr>
                <w:sz w:val="20"/>
                <w:szCs w:val="20"/>
                <w:color w:val="auto"/>
              </w:rPr>
            </w:pPr>
            <w:r>
              <w:rPr>
                <w:rFonts w:ascii="Arial" w:cs="Arial" w:eastAsia="Arial" w:hAnsi="Arial"/>
                <w:sz w:val="20"/>
                <w:szCs w:val="20"/>
                <w:color w:val="auto"/>
              </w:rPr>
              <w:t>Section 11.04</w:t>
            </w:r>
          </w:p>
        </w:tc>
        <w:tc>
          <w:tcPr>
            <w:tcW w:w="7440" w:type="dxa"/>
            <w:vAlign w:val="bottom"/>
          </w:tcPr>
          <w:p>
            <w:pPr>
              <w:ind w:left="600"/>
              <w:spacing w:after="0"/>
              <w:rPr>
                <w:sz w:val="20"/>
                <w:szCs w:val="20"/>
                <w:color w:val="auto"/>
              </w:rPr>
            </w:pPr>
            <w:r>
              <w:rPr>
                <w:rFonts w:ascii="Arial" w:cs="Arial" w:eastAsia="Arial" w:hAnsi="Arial"/>
                <w:sz w:val="20"/>
                <w:szCs w:val="20"/>
                <w:color w:val="auto"/>
              </w:rPr>
              <w:t>Rules by Trustee and Agents</w:t>
            </w:r>
          </w:p>
        </w:tc>
        <w:tc>
          <w:tcPr>
            <w:tcW w:w="2220" w:type="dxa"/>
            <w:vAlign w:val="bottom"/>
          </w:tcPr>
          <w:p>
            <w:pPr>
              <w:jc w:val="right"/>
              <w:spacing w:after="0"/>
              <w:rPr>
                <w:sz w:val="20"/>
                <w:szCs w:val="20"/>
                <w:color w:val="auto"/>
              </w:rPr>
            </w:pPr>
            <w:r>
              <w:rPr>
                <w:rFonts w:ascii="Arial" w:cs="Arial" w:eastAsia="Arial" w:hAnsi="Arial"/>
                <w:sz w:val="20"/>
                <w:szCs w:val="20"/>
                <w:color w:val="auto"/>
              </w:rPr>
              <w:t>76</w:t>
            </w:r>
          </w:p>
        </w:tc>
      </w:tr>
      <w:tr>
        <w:trPr>
          <w:trHeight w:val="263"/>
        </w:trPr>
        <w:tc>
          <w:tcPr>
            <w:tcW w:w="1700" w:type="dxa"/>
            <w:vAlign w:val="bottom"/>
          </w:tcPr>
          <w:p>
            <w:pPr>
              <w:spacing w:after="0"/>
              <w:rPr>
                <w:sz w:val="22"/>
                <w:szCs w:val="22"/>
                <w:color w:val="auto"/>
              </w:rPr>
            </w:pPr>
          </w:p>
        </w:tc>
        <w:tc>
          <w:tcPr>
            <w:tcW w:w="7440" w:type="dxa"/>
            <w:vAlign w:val="bottom"/>
          </w:tcPr>
          <w:p>
            <w:pPr>
              <w:ind w:left="600"/>
              <w:spacing w:after="0"/>
              <w:rPr>
                <w:sz w:val="20"/>
                <w:szCs w:val="20"/>
                <w:color w:val="auto"/>
              </w:rPr>
            </w:pPr>
            <w:r>
              <w:rPr>
                <w:rFonts w:ascii="Arial" w:cs="Arial" w:eastAsia="Arial" w:hAnsi="Arial"/>
                <w:sz w:val="20"/>
                <w:szCs w:val="20"/>
                <w:color w:val="auto"/>
              </w:rPr>
              <w:t>No Personal Liability of Directors, Officers, Employees and</w:t>
            </w:r>
          </w:p>
        </w:tc>
        <w:tc>
          <w:tcPr>
            <w:tcW w:w="2220" w:type="dxa"/>
            <w:vAlign w:val="bottom"/>
          </w:tcPr>
          <w:p>
            <w:pPr>
              <w:spacing w:after="0"/>
              <w:rPr>
                <w:sz w:val="22"/>
                <w:szCs w:val="22"/>
                <w:color w:val="auto"/>
              </w:rPr>
            </w:pPr>
          </w:p>
        </w:tc>
      </w:tr>
      <w:tr>
        <w:trPr>
          <w:trHeight w:val="250"/>
        </w:trPr>
        <w:tc>
          <w:tcPr>
            <w:tcW w:w="1700" w:type="dxa"/>
            <w:vAlign w:val="bottom"/>
          </w:tcPr>
          <w:p>
            <w:pPr>
              <w:spacing w:after="0"/>
              <w:rPr>
                <w:sz w:val="20"/>
                <w:szCs w:val="20"/>
                <w:color w:val="auto"/>
              </w:rPr>
            </w:pPr>
            <w:r>
              <w:rPr>
                <w:rFonts w:ascii="Arial" w:cs="Arial" w:eastAsia="Arial" w:hAnsi="Arial"/>
                <w:sz w:val="20"/>
                <w:szCs w:val="20"/>
                <w:color w:val="auto"/>
              </w:rPr>
              <w:t>Section 11.05</w:t>
            </w:r>
          </w:p>
        </w:tc>
        <w:tc>
          <w:tcPr>
            <w:tcW w:w="7440" w:type="dxa"/>
            <w:vAlign w:val="bottom"/>
          </w:tcPr>
          <w:p>
            <w:pPr>
              <w:ind w:left="600"/>
              <w:spacing w:after="0"/>
              <w:rPr>
                <w:sz w:val="20"/>
                <w:szCs w:val="20"/>
                <w:color w:val="auto"/>
              </w:rPr>
            </w:pPr>
            <w:r>
              <w:rPr>
                <w:rFonts w:ascii="Arial" w:cs="Arial" w:eastAsia="Arial" w:hAnsi="Arial"/>
                <w:sz w:val="20"/>
                <w:szCs w:val="20"/>
                <w:color w:val="auto"/>
              </w:rPr>
              <w:t>Equity Holders</w:t>
            </w:r>
          </w:p>
        </w:tc>
        <w:tc>
          <w:tcPr>
            <w:tcW w:w="2220" w:type="dxa"/>
            <w:vAlign w:val="bottom"/>
          </w:tcPr>
          <w:p>
            <w:pPr>
              <w:jc w:val="right"/>
              <w:spacing w:after="0"/>
              <w:rPr>
                <w:sz w:val="20"/>
                <w:szCs w:val="20"/>
                <w:color w:val="auto"/>
              </w:rPr>
            </w:pPr>
            <w:r>
              <w:rPr>
                <w:rFonts w:ascii="Arial" w:cs="Arial" w:eastAsia="Arial" w:hAnsi="Arial"/>
                <w:sz w:val="20"/>
                <w:szCs w:val="20"/>
                <w:color w:val="auto"/>
              </w:rPr>
              <w:t>76</w:t>
            </w:r>
          </w:p>
        </w:tc>
      </w:tr>
      <w:tr>
        <w:trPr>
          <w:trHeight w:val="284"/>
        </w:trPr>
        <w:tc>
          <w:tcPr>
            <w:tcW w:w="1700" w:type="dxa"/>
            <w:vAlign w:val="bottom"/>
          </w:tcPr>
          <w:p>
            <w:pPr>
              <w:spacing w:after="0"/>
              <w:rPr>
                <w:sz w:val="20"/>
                <w:szCs w:val="20"/>
                <w:color w:val="auto"/>
              </w:rPr>
            </w:pPr>
            <w:r>
              <w:rPr>
                <w:rFonts w:ascii="Arial" w:cs="Arial" w:eastAsia="Arial" w:hAnsi="Arial"/>
                <w:sz w:val="20"/>
                <w:szCs w:val="20"/>
                <w:color w:val="auto"/>
              </w:rPr>
              <w:t>Section 11.06</w:t>
            </w:r>
          </w:p>
        </w:tc>
        <w:tc>
          <w:tcPr>
            <w:tcW w:w="7440" w:type="dxa"/>
            <w:vAlign w:val="bottom"/>
          </w:tcPr>
          <w:p>
            <w:pPr>
              <w:ind w:left="600"/>
              <w:spacing w:after="0"/>
              <w:rPr>
                <w:sz w:val="20"/>
                <w:szCs w:val="20"/>
                <w:color w:val="auto"/>
              </w:rPr>
            </w:pPr>
            <w:r>
              <w:rPr>
                <w:rFonts w:ascii="Arial" w:cs="Arial" w:eastAsia="Arial" w:hAnsi="Arial"/>
                <w:sz w:val="20"/>
                <w:szCs w:val="20"/>
                <w:color w:val="auto"/>
              </w:rPr>
              <w:t>Governing Law; Waiver of Jury Trial</w:t>
            </w:r>
          </w:p>
        </w:tc>
        <w:tc>
          <w:tcPr>
            <w:tcW w:w="2220" w:type="dxa"/>
            <w:vAlign w:val="bottom"/>
          </w:tcPr>
          <w:p>
            <w:pPr>
              <w:jc w:val="right"/>
              <w:spacing w:after="0"/>
              <w:rPr>
                <w:sz w:val="20"/>
                <w:szCs w:val="20"/>
                <w:color w:val="auto"/>
              </w:rPr>
            </w:pPr>
            <w:r>
              <w:rPr>
                <w:rFonts w:ascii="Arial" w:cs="Arial" w:eastAsia="Arial" w:hAnsi="Arial"/>
                <w:sz w:val="20"/>
                <w:szCs w:val="20"/>
                <w:color w:val="auto"/>
              </w:rPr>
              <w:t>77</w:t>
            </w:r>
          </w:p>
        </w:tc>
      </w:tr>
      <w:tr>
        <w:trPr>
          <w:trHeight w:val="263"/>
        </w:trPr>
        <w:tc>
          <w:tcPr>
            <w:tcW w:w="1700" w:type="dxa"/>
            <w:vAlign w:val="bottom"/>
          </w:tcPr>
          <w:p>
            <w:pPr>
              <w:spacing w:after="0"/>
              <w:rPr>
                <w:sz w:val="22"/>
                <w:szCs w:val="22"/>
                <w:color w:val="auto"/>
              </w:rPr>
            </w:pPr>
          </w:p>
        </w:tc>
        <w:tc>
          <w:tcPr>
            <w:tcW w:w="7440" w:type="dxa"/>
            <w:vAlign w:val="bottom"/>
          </w:tcPr>
          <w:p>
            <w:pPr>
              <w:ind w:left="600"/>
              <w:spacing w:after="0"/>
              <w:rPr>
                <w:sz w:val="20"/>
                <w:szCs w:val="20"/>
                <w:color w:val="auto"/>
              </w:rPr>
            </w:pPr>
            <w:r>
              <w:rPr>
                <w:rFonts w:ascii="Arial" w:cs="Arial" w:eastAsia="Arial" w:hAnsi="Arial"/>
                <w:sz w:val="20"/>
                <w:szCs w:val="20"/>
                <w:color w:val="auto"/>
              </w:rPr>
              <w:t>Submission to Jurisdiction; Waiver of Immunities; Agent for</w:t>
            </w:r>
          </w:p>
        </w:tc>
        <w:tc>
          <w:tcPr>
            <w:tcW w:w="2220" w:type="dxa"/>
            <w:vAlign w:val="bottom"/>
          </w:tcPr>
          <w:p>
            <w:pPr>
              <w:spacing w:after="0"/>
              <w:rPr>
                <w:sz w:val="22"/>
                <w:szCs w:val="22"/>
                <w:color w:val="auto"/>
              </w:rPr>
            </w:pPr>
          </w:p>
        </w:tc>
      </w:tr>
      <w:tr>
        <w:trPr>
          <w:trHeight w:val="250"/>
        </w:trPr>
        <w:tc>
          <w:tcPr>
            <w:tcW w:w="1700" w:type="dxa"/>
            <w:vAlign w:val="bottom"/>
          </w:tcPr>
          <w:p>
            <w:pPr>
              <w:spacing w:after="0"/>
              <w:rPr>
                <w:sz w:val="20"/>
                <w:szCs w:val="20"/>
                <w:color w:val="auto"/>
              </w:rPr>
            </w:pPr>
            <w:r>
              <w:rPr>
                <w:rFonts w:ascii="Arial" w:cs="Arial" w:eastAsia="Arial" w:hAnsi="Arial"/>
                <w:sz w:val="20"/>
                <w:szCs w:val="20"/>
                <w:color w:val="auto"/>
              </w:rPr>
              <w:t>Section 11.07</w:t>
            </w:r>
          </w:p>
        </w:tc>
        <w:tc>
          <w:tcPr>
            <w:tcW w:w="7440" w:type="dxa"/>
            <w:vAlign w:val="bottom"/>
          </w:tcPr>
          <w:p>
            <w:pPr>
              <w:ind w:left="600"/>
              <w:spacing w:after="0"/>
              <w:rPr>
                <w:sz w:val="20"/>
                <w:szCs w:val="20"/>
                <w:color w:val="auto"/>
              </w:rPr>
            </w:pPr>
            <w:r>
              <w:rPr>
                <w:rFonts w:ascii="Arial" w:cs="Arial" w:eastAsia="Arial" w:hAnsi="Arial"/>
                <w:sz w:val="20"/>
                <w:szCs w:val="20"/>
                <w:color w:val="auto"/>
              </w:rPr>
              <w:t>Service</w:t>
            </w:r>
          </w:p>
        </w:tc>
        <w:tc>
          <w:tcPr>
            <w:tcW w:w="2220" w:type="dxa"/>
            <w:vAlign w:val="bottom"/>
          </w:tcPr>
          <w:p>
            <w:pPr>
              <w:jc w:val="right"/>
              <w:spacing w:after="0"/>
              <w:rPr>
                <w:sz w:val="20"/>
                <w:szCs w:val="20"/>
                <w:color w:val="auto"/>
              </w:rPr>
            </w:pPr>
            <w:r>
              <w:rPr>
                <w:rFonts w:ascii="Arial" w:cs="Arial" w:eastAsia="Arial" w:hAnsi="Arial"/>
                <w:sz w:val="20"/>
                <w:szCs w:val="20"/>
                <w:color w:val="auto"/>
              </w:rPr>
              <w:t>77</w:t>
            </w:r>
          </w:p>
        </w:tc>
      </w:tr>
      <w:tr>
        <w:trPr>
          <w:trHeight w:val="284"/>
        </w:trPr>
        <w:tc>
          <w:tcPr>
            <w:tcW w:w="1700" w:type="dxa"/>
            <w:vAlign w:val="bottom"/>
          </w:tcPr>
          <w:p>
            <w:pPr>
              <w:spacing w:after="0"/>
              <w:rPr>
                <w:sz w:val="20"/>
                <w:szCs w:val="20"/>
                <w:color w:val="auto"/>
              </w:rPr>
            </w:pPr>
            <w:r>
              <w:rPr>
                <w:rFonts w:ascii="Arial" w:cs="Arial" w:eastAsia="Arial" w:hAnsi="Arial"/>
                <w:sz w:val="20"/>
                <w:szCs w:val="20"/>
                <w:color w:val="auto"/>
              </w:rPr>
              <w:t>Section 11.08</w:t>
            </w:r>
          </w:p>
        </w:tc>
        <w:tc>
          <w:tcPr>
            <w:tcW w:w="7440" w:type="dxa"/>
            <w:vAlign w:val="bottom"/>
          </w:tcPr>
          <w:p>
            <w:pPr>
              <w:ind w:left="600"/>
              <w:spacing w:after="0"/>
              <w:rPr>
                <w:sz w:val="20"/>
                <w:szCs w:val="20"/>
                <w:color w:val="auto"/>
              </w:rPr>
            </w:pPr>
            <w:r>
              <w:rPr>
                <w:rFonts w:ascii="Arial" w:cs="Arial" w:eastAsia="Arial" w:hAnsi="Arial"/>
                <w:sz w:val="20"/>
                <w:szCs w:val="20"/>
                <w:color w:val="auto"/>
              </w:rPr>
              <w:t>Indemnification for Judgment Currency</w:t>
            </w:r>
          </w:p>
        </w:tc>
        <w:tc>
          <w:tcPr>
            <w:tcW w:w="2220" w:type="dxa"/>
            <w:vAlign w:val="bottom"/>
          </w:tcPr>
          <w:p>
            <w:pPr>
              <w:jc w:val="right"/>
              <w:spacing w:after="0"/>
              <w:rPr>
                <w:sz w:val="20"/>
                <w:szCs w:val="20"/>
                <w:color w:val="auto"/>
              </w:rPr>
            </w:pPr>
            <w:r>
              <w:rPr>
                <w:rFonts w:ascii="Arial" w:cs="Arial" w:eastAsia="Arial" w:hAnsi="Arial"/>
                <w:sz w:val="20"/>
                <w:szCs w:val="20"/>
                <w:color w:val="auto"/>
              </w:rPr>
              <w:t>77</w:t>
            </w:r>
          </w:p>
        </w:tc>
      </w:tr>
      <w:tr>
        <w:trPr>
          <w:trHeight w:val="284"/>
        </w:trPr>
        <w:tc>
          <w:tcPr>
            <w:tcW w:w="1700" w:type="dxa"/>
            <w:vAlign w:val="bottom"/>
          </w:tcPr>
          <w:p>
            <w:pPr>
              <w:spacing w:after="0"/>
              <w:rPr>
                <w:sz w:val="20"/>
                <w:szCs w:val="20"/>
                <w:color w:val="auto"/>
              </w:rPr>
            </w:pPr>
            <w:r>
              <w:rPr>
                <w:rFonts w:ascii="Arial" w:cs="Arial" w:eastAsia="Arial" w:hAnsi="Arial"/>
                <w:sz w:val="20"/>
                <w:szCs w:val="20"/>
                <w:color w:val="auto"/>
              </w:rPr>
              <w:t>Section 11.09</w:t>
            </w:r>
          </w:p>
        </w:tc>
        <w:tc>
          <w:tcPr>
            <w:tcW w:w="7440" w:type="dxa"/>
            <w:vAlign w:val="bottom"/>
          </w:tcPr>
          <w:p>
            <w:pPr>
              <w:ind w:left="600"/>
              <w:spacing w:after="0"/>
              <w:rPr>
                <w:sz w:val="20"/>
                <w:szCs w:val="20"/>
                <w:color w:val="auto"/>
              </w:rPr>
            </w:pPr>
            <w:r>
              <w:rPr>
                <w:rFonts w:ascii="Arial" w:cs="Arial" w:eastAsia="Arial" w:hAnsi="Arial"/>
                <w:sz w:val="20"/>
                <w:szCs w:val="20"/>
                <w:color w:val="auto"/>
              </w:rPr>
              <w:t>No Adverse Interpretation of Other Agreements</w:t>
            </w:r>
          </w:p>
        </w:tc>
        <w:tc>
          <w:tcPr>
            <w:tcW w:w="2220" w:type="dxa"/>
            <w:vAlign w:val="bottom"/>
          </w:tcPr>
          <w:p>
            <w:pPr>
              <w:jc w:val="right"/>
              <w:spacing w:after="0"/>
              <w:rPr>
                <w:sz w:val="20"/>
                <w:szCs w:val="20"/>
                <w:color w:val="auto"/>
              </w:rPr>
            </w:pPr>
            <w:r>
              <w:rPr>
                <w:rFonts w:ascii="Arial" w:cs="Arial" w:eastAsia="Arial" w:hAnsi="Arial"/>
                <w:sz w:val="20"/>
                <w:szCs w:val="20"/>
                <w:color w:val="auto"/>
              </w:rPr>
              <w:t>78</w:t>
            </w:r>
          </w:p>
        </w:tc>
      </w:tr>
      <w:tr>
        <w:trPr>
          <w:trHeight w:val="284"/>
        </w:trPr>
        <w:tc>
          <w:tcPr>
            <w:tcW w:w="1700" w:type="dxa"/>
            <w:vAlign w:val="bottom"/>
          </w:tcPr>
          <w:p>
            <w:pPr>
              <w:spacing w:after="0"/>
              <w:rPr>
                <w:sz w:val="20"/>
                <w:szCs w:val="20"/>
                <w:color w:val="auto"/>
              </w:rPr>
            </w:pPr>
            <w:r>
              <w:rPr>
                <w:rFonts w:ascii="Arial" w:cs="Arial" w:eastAsia="Arial" w:hAnsi="Arial"/>
                <w:sz w:val="20"/>
                <w:szCs w:val="20"/>
                <w:color w:val="auto"/>
              </w:rPr>
              <w:t>Section 11.10</w:t>
            </w:r>
          </w:p>
        </w:tc>
        <w:tc>
          <w:tcPr>
            <w:tcW w:w="7440" w:type="dxa"/>
            <w:vAlign w:val="bottom"/>
          </w:tcPr>
          <w:p>
            <w:pPr>
              <w:ind w:left="600"/>
              <w:spacing w:after="0"/>
              <w:rPr>
                <w:sz w:val="20"/>
                <w:szCs w:val="20"/>
                <w:color w:val="auto"/>
              </w:rPr>
            </w:pPr>
            <w:r>
              <w:rPr>
                <w:rFonts w:ascii="Arial" w:cs="Arial" w:eastAsia="Arial" w:hAnsi="Arial"/>
                <w:sz w:val="20"/>
                <w:szCs w:val="20"/>
                <w:color w:val="auto"/>
              </w:rPr>
              <w:t>Successors</w:t>
            </w:r>
          </w:p>
        </w:tc>
        <w:tc>
          <w:tcPr>
            <w:tcW w:w="2220" w:type="dxa"/>
            <w:vAlign w:val="bottom"/>
          </w:tcPr>
          <w:p>
            <w:pPr>
              <w:jc w:val="right"/>
              <w:spacing w:after="0"/>
              <w:rPr>
                <w:sz w:val="20"/>
                <w:szCs w:val="20"/>
                <w:color w:val="auto"/>
              </w:rPr>
            </w:pPr>
            <w:r>
              <w:rPr>
                <w:rFonts w:ascii="Arial" w:cs="Arial" w:eastAsia="Arial" w:hAnsi="Arial"/>
                <w:sz w:val="20"/>
                <w:szCs w:val="20"/>
                <w:color w:val="auto"/>
              </w:rPr>
              <w:t>78</w:t>
            </w:r>
          </w:p>
        </w:tc>
      </w:tr>
      <w:tr>
        <w:trPr>
          <w:trHeight w:val="284"/>
        </w:trPr>
        <w:tc>
          <w:tcPr>
            <w:tcW w:w="1700" w:type="dxa"/>
            <w:vAlign w:val="bottom"/>
          </w:tcPr>
          <w:p>
            <w:pPr>
              <w:spacing w:after="0"/>
              <w:rPr>
                <w:sz w:val="20"/>
                <w:szCs w:val="20"/>
                <w:color w:val="auto"/>
              </w:rPr>
            </w:pPr>
            <w:r>
              <w:rPr>
                <w:rFonts w:ascii="Arial" w:cs="Arial" w:eastAsia="Arial" w:hAnsi="Arial"/>
                <w:sz w:val="20"/>
                <w:szCs w:val="20"/>
                <w:color w:val="auto"/>
              </w:rPr>
              <w:t>Section 11.11</w:t>
            </w:r>
          </w:p>
        </w:tc>
        <w:tc>
          <w:tcPr>
            <w:tcW w:w="7440" w:type="dxa"/>
            <w:vAlign w:val="bottom"/>
          </w:tcPr>
          <w:p>
            <w:pPr>
              <w:ind w:left="600"/>
              <w:spacing w:after="0"/>
              <w:rPr>
                <w:sz w:val="20"/>
                <w:szCs w:val="20"/>
                <w:color w:val="auto"/>
              </w:rPr>
            </w:pPr>
            <w:r>
              <w:rPr>
                <w:rFonts w:ascii="Arial" w:cs="Arial" w:eastAsia="Arial" w:hAnsi="Arial"/>
                <w:sz w:val="20"/>
                <w:szCs w:val="20"/>
                <w:color w:val="auto"/>
              </w:rPr>
              <w:t>Severability</w:t>
            </w:r>
          </w:p>
        </w:tc>
        <w:tc>
          <w:tcPr>
            <w:tcW w:w="2220" w:type="dxa"/>
            <w:vAlign w:val="bottom"/>
          </w:tcPr>
          <w:p>
            <w:pPr>
              <w:jc w:val="right"/>
              <w:spacing w:after="0"/>
              <w:rPr>
                <w:sz w:val="20"/>
                <w:szCs w:val="20"/>
                <w:color w:val="auto"/>
              </w:rPr>
            </w:pPr>
            <w:r>
              <w:rPr>
                <w:rFonts w:ascii="Arial" w:cs="Arial" w:eastAsia="Arial" w:hAnsi="Arial"/>
                <w:sz w:val="20"/>
                <w:szCs w:val="20"/>
                <w:color w:val="auto"/>
              </w:rPr>
              <w:t>78</w:t>
            </w:r>
          </w:p>
        </w:tc>
      </w:tr>
      <w:tr>
        <w:trPr>
          <w:trHeight w:val="284"/>
        </w:trPr>
        <w:tc>
          <w:tcPr>
            <w:tcW w:w="1700" w:type="dxa"/>
            <w:vAlign w:val="bottom"/>
          </w:tcPr>
          <w:p>
            <w:pPr>
              <w:spacing w:after="0"/>
              <w:rPr>
                <w:sz w:val="20"/>
                <w:szCs w:val="20"/>
                <w:color w:val="auto"/>
              </w:rPr>
            </w:pPr>
            <w:r>
              <w:rPr>
                <w:rFonts w:ascii="Arial" w:cs="Arial" w:eastAsia="Arial" w:hAnsi="Arial"/>
                <w:sz w:val="20"/>
                <w:szCs w:val="20"/>
                <w:color w:val="auto"/>
              </w:rPr>
              <w:t>Section 11.12</w:t>
            </w:r>
          </w:p>
        </w:tc>
        <w:tc>
          <w:tcPr>
            <w:tcW w:w="7440" w:type="dxa"/>
            <w:vAlign w:val="bottom"/>
          </w:tcPr>
          <w:p>
            <w:pPr>
              <w:ind w:left="600"/>
              <w:spacing w:after="0"/>
              <w:rPr>
                <w:sz w:val="20"/>
                <w:szCs w:val="20"/>
                <w:color w:val="auto"/>
              </w:rPr>
            </w:pPr>
            <w:r>
              <w:rPr>
                <w:rFonts w:ascii="Arial" w:cs="Arial" w:eastAsia="Arial" w:hAnsi="Arial"/>
                <w:sz w:val="20"/>
                <w:szCs w:val="20"/>
                <w:color w:val="auto"/>
              </w:rPr>
              <w:t>Counterpart Originals</w:t>
            </w:r>
          </w:p>
        </w:tc>
        <w:tc>
          <w:tcPr>
            <w:tcW w:w="2220" w:type="dxa"/>
            <w:vAlign w:val="bottom"/>
          </w:tcPr>
          <w:p>
            <w:pPr>
              <w:jc w:val="right"/>
              <w:spacing w:after="0"/>
              <w:rPr>
                <w:sz w:val="20"/>
                <w:szCs w:val="20"/>
                <w:color w:val="auto"/>
              </w:rPr>
            </w:pPr>
            <w:r>
              <w:rPr>
                <w:rFonts w:ascii="Arial" w:cs="Arial" w:eastAsia="Arial" w:hAnsi="Arial"/>
                <w:sz w:val="20"/>
                <w:szCs w:val="20"/>
                <w:color w:val="auto"/>
              </w:rPr>
              <w:t>78</w:t>
            </w:r>
          </w:p>
        </w:tc>
      </w:tr>
      <w:tr>
        <w:trPr>
          <w:trHeight w:val="284"/>
        </w:trPr>
        <w:tc>
          <w:tcPr>
            <w:tcW w:w="1700" w:type="dxa"/>
            <w:vAlign w:val="bottom"/>
          </w:tcPr>
          <w:p>
            <w:pPr>
              <w:spacing w:after="0"/>
              <w:rPr>
                <w:sz w:val="20"/>
                <w:szCs w:val="20"/>
                <w:color w:val="auto"/>
              </w:rPr>
            </w:pPr>
            <w:r>
              <w:rPr>
                <w:rFonts w:ascii="Arial" w:cs="Arial" w:eastAsia="Arial" w:hAnsi="Arial"/>
                <w:sz w:val="20"/>
                <w:szCs w:val="20"/>
                <w:color w:val="auto"/>
              </w:rPr>
              <w:t>Section 11.13</w:t>
            </w:r>
          </w:p>
        </w:tc>
        <w:tc>
          <w:tcPr>
            <w:tcW w:w="7440" w:type="dxa"/>
            <w:vAlign w:val="bottom"/>
          </w:tcPr>
          <w:p>
            <w:pPr>
              <w:ind w:left="600"/>
              <w:spacing w:after="0"/>
              <w:rPr>
                <w:sz w:val="20"/>
                <w:szCs w:val="20"/>
                <w:color w:val="auto"/>
              </w:rPr>
            </w:pPr>
            <w:r>
              <w:rPr>
                <w:rFonts w:ascii="Arial" w:cs="Arial" w:eastAsia="Arial" w:hAnsi="Arial"/>
                <w:sz w:val="20"/>
                <w:szCs w:val="20"/>
                <w:color w:val="auto"/>
              </w:rPr>
              <w:t>Table of Contents, Headings, etc.</w:t>
            </w:r>
          </w:p>
        </w:tc>
        <w:tc>
          <w:tcPr>
            <w:tcW w:w="2220" w:type="dxa"/>
            <w:vAlign w:val="bottom"/>
          </w:tcPr>
          <w:p>
            <w:pPr>
              <w:jc w:val="right"/>
              <w:spacing w:after="0"/>
              <w:rPr>
                <w:sz w:val="20"/>
                <w:szCs w:val="20"/>
                <w:color w:val="auto"/>
              </w:rPr>
            </w:pPr>
            <w:r>
              <w:rPr>
                <w:rFonts w:ascii="Arial" w:cs="Arial" w:eastAsia="Arial" w:hAnsi="Arial"/>
                <w:sz w:val="20"/>
                <w:szCs w:val="20"/>
                <w:color w:val="auto"/>
              </w:rPr>
              <w:t>78</w:t>
            </w:r>
          </w:p>
        </w:tc>
      </w:tr>
      <w:tr>
        <w:trPr>
          <w:trHeight w:val="263"/>
        </w:trPr>
        <w:tc>
          <w:tcPr>
            <w:tcW w:w="1700" w:type="dxa"/>
            <w:vAlign w:val="bottom"/>
          </w:tcPr>
          <w:p>
            <w:pPr>
              <w:spacing w:after="0"/>
              <w:rPr>
                <w:sz w:val="22"/>
                <w:szCs w:val="22"/>
                <w:color w:val="auto"/>
              </w:rPr>
            </w:pPr>
          </w:p>
        </w:tc>
        <w:tc>
          <w:tcPr>
            <w:tcW w:w="7440" w:type="dxa"/>
            <w:vAlign w:val="bottom"/>
          </w:tcPr>
          <w:p>
            <w:pPr>
              <w:ind w:left="600"/>
              <w:spacing w:after="0"/>
              <w:rPr>
                <w:sz w:val="20"/>
                <w:szCs w:val="20"/>
                <w:color w:val="auto"/>
              </w:rPr>
            </w:pPr>
            <w:r>
              <w:rPr>
                <w:rFonts w:ascii="Arial" w:cs="Arial" w:eastAsia="Arial" w:hAnsi="Arial"/>
                <w:sz w:val="20"/>
                <w:szCs w:val="20"/>
                <w:color w:val="auto"/>
              </w:rPr>
              <w:t>Compliance with Applicable Anti-Terrorism and Money</w:t>
            </w:r>
          </w:p>
        </w:tc>
        <w:tc>
          <w:tcPr>
            <w:tcW w:w="2220" w:type="dxa"/>
            <w:vAlign w:val="bottom"/>
          </w:tcPr>
          <w:p>
            <w:pPr>
              <w:spacing w:after="0"/>
              <w:rPr>
                <w:sz w:val="22"/>
                <w:szCs w:val="22"/>
                <w:color w:val="auto"/>
              </w:rPr>
            </w:pPr>
          </w:p>
        </w:tc>
      </w:tr>
      <w:tr>
        <w:trPr>
          <w:trHeight w:val="250"/>
        </w:trPr>
        <w:tc>
          <w:tcPr>
            <w:tcW w:w="1700" w:type="dxa"/>
            <w:vAlign w:val="bottom"/>
          </w:tcPr>
          <w:p>
            <w:pPr>
              <w:spacing w:after="0"/>
              <w:rPr>
                <w:sz w:val="20"/>
                <w:szCs w:val="20"/>
                <w:color w:val="auto"/>
              </w:rPr>
            </w:pPr>
            <w:r>
              <w:rPr>
                <w:rFonts w:ascii="Arial" w:cs="Arial" w:eastAsia="Arial" w:hAnsi="Arial"/>
                <w:sz w:val="20"/>
                <w:szCs w:val="20"/>
                <w:color w:val="auto"/>
              </w:rPr>
              <w:t>Section 11.14</w:t>
            </w:r>
          </w:p>
        </w:tc>
        <w:tc>
          <w:tcPr>
            <w:tcW w:w="7440" w:type="dxa"/>
            <w:vAlign w:val="bottom"/>
          </w:tcPr>
          <w:p>
            <w:pPr>
              <w:ind w:left="600"/>
              <w:spacing w:after="0"/>
              <w:rPr>
                <w:sz w:val="20"/>
                <w:szCs w:val="20"/>
                <w:color w:val="auto"/>
              </w:rPr>
            </w:pPr>
            <w:r>
              <w:rPr>
                <w:rFonts w:ascii="Arial" w:cs="Arial" w:eastAsia="Arial" w:hAnsi="Arial"/>
                <w:sz w:val="20"/>
                <w:szCs w:val="20"/>
                <w:color w:val="auto"/>
              </w:rPr>
              <w:t>Laundering Regulations.</w:t>
            </w:r>
          </w:p>
        </w:tc>
        <w:tc>
          <w:tcPr>
            <w:tcW w:w="2220" w:type="dxa"/>
            <w:vAlign w:val="bottom"/>
          </w:tcPr>
          <w:p>
            <w:pPr>
              <w:jc w:val="right"/>
              <w:spacing w:after="0"/>
              <w:rPr>
                <w:sz w:val="20"/>
                <w:szCs w:val="20"/>
                <w:color w:val="auto"/>
              </w:rPr>
            </w:pPr>
            <w:r>
              <w:rPr>
                <w:rFonts w:ascii="Arial" w:cs="Arial" w:eastAsia="Arial" w:hAnsi="Arial"/>
                <w:sz w:val="20"/>
                <w:szCs w:val="20"/>
                <w:color w:val="auto"/>
              </w:rPr>
              <w:t>79</w:t>
            </w:r>
          </w:p>
        </w:tc>
      </w:tr>
    </w:tbl>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EXHIBITS</w:t>
      </w:r>
    </w:p>
    <w:p>
      <w:pPr>
        <w:sectPr>
          <w:pgSz w:w="11900" w:h="16838" w:orient="portrait"/>
          <w:cols w:equalWidth="0" w:num="1">
            <w:col w:w="11400"/>
          </w:cols>
          <w:pgMar w:left="260" w:top="145" w:right="239" w:bottom="1440" w:gutter="0" w:footer="0" w:header="0"/>
        </w:sectPr>
      </w:pPr>
    </w:p>
    <w:p>
      <w:pPr>
        <w:spacing w:after="0" w:line="292" w:lineRule="exact"/>
        <w:rPr>
          <w:sz w:val="20"/>
          <w:szCs w:val="20"/>
          <w:color w:val="auto"/>
        </w:rPr>
      </w:pPr>
    </w:p>
    <w:p>
      <w:pPr>
        <w:spacing w:after="0"/>
        <w:rPr>
          <w:sz w:val="20"/>
          <w:szCs w:val="20"/>
          <w:color w:val="auto"/>
        </w:rPr>
      </w:pPr>
      <w:r>
        <w:rPr>
          <w:rFonts w:ascii="Arial" w:cs="Arial" w:eastAsia="Arial" w:hAnsi="Arial"/>
          <w:sz w:val="19"/>
          <w:szCs w:val="19"/>
          <w:color w:val="auto"/>
        </w:rPr>
        <w:t>Exhibit A</w:t>
      </w:r>
    </w:p>
    <w:p>
      <w:pPr>
        <w:spacing w:after="0" w:line="65" w:lineRule="exact"/>
        <w:rPr>
          <w:sz w:val="20"/>
          <w:szCs w:val="20"/>
          <w:color w:val="auto"/>
        </w:rPr>
      </w:pPr>
    </w:p>
    <w:p>
      <w:pPr>
        <w:spacing w:after="0"/>
        <w:rPr>
          <w:sz w:val="20"/>
          <w:szCs w:val="20"/>
          <w:color w:val="auto"/>
        </w:rPr>
      </w:pPr>
      <w:r>
        <w:rPr>
          <w:rFonts w:ascii="Arial" w:cs="Arial" w:eastAsia="Arial" w:hAnsi="Arial"/>
          <w:sz w:val="19"/>
          <w:szCs w:val="19"/>
          <w:color w:val="auto"/>
        </w:rPr>
        <w:t>Exhibit B</w:t>
      </w:r>
    </w:p>
    <w:p>
      <w:pPr>
        <w:spacing w:after="0" w:line="65" w:lineRule="exact"/>
        <w:rPr>
          <w:sz w:val="20"/>
          <w:szCs w:val="20"/>
          <w:color w:val="auto"/>
        </w:rPr>
      </w:pPr>
    </w:p>
    <w:p>
      <w:pPr>
        <w:spacing w:after="0"/>
        <w:rPr>
          <w:sz w:val="20"/>
          <w:szCs w:val="20"/>
          <w:color w:val="auto"/>
        </w:rPr>
      </w:pPr>
      <w:r>
        <w:rPr>
          <w:rFonts w:ascii="Arial" w:cs="Arial" w:eastAsia="Arial" w:hAnsi="Arial"/>
          <w:sz w:val="19"/>
          <w:szCs w:val="19"/>
          <w:color w:val="auto"/>
        </w:rPr>
        <w:t>Exhibit C</w:t>
      </w:r>
    </w:p>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FORM OF NOTE</w:t>
      </w:r>
    </w:p>
    <w:p>
      <w:pPr>
        <w:spacing w:after="0" w:line="54" w:lineRule="exact"/>
        <w:rPr>
          <w:sz w:val="20"/>
          <w:szCs w:val="20"/>
          <w:color w:val="auto"/>
        </w:rPr>
      </w:pPr>
    </w:p>
    <w:p>
      <w:pPr>
        <w:spacing w:after="0"/>
        <w:rPr>
          <w:sz w:val="20"/>
          <w:szCs w:val="20"/>
          <w:color w:val="auto"/>
        </w:rPr>
      </w:pPr>
      <w:r>
        <w:rPr>
          <w:rFonts w:ascii="Arial" w:cs="Arial" w:eastAsia="Arial" w:hAnsi="Arial"/>
          <w:sz w:val="19"/>
          <w:szCs w:val="19"/>
          <w:color w:val="auto"/>
        </w:rPr>
        <w:t>FORM OF CERTIFICATE OF TRANSFER</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FORM OF CERTIFICATE OF EXCHANGE</w:t>
      </w:r>
    </w:p>
    <w:p>
      <w:pPr>
        <w:spacing w:after="0" w:line="211" w:lineRule="exact"/>
        <w:rPr>
          <w:sz w:val="20"/>
          <w:szCs w:val="20"/>
          <w:color w:val="auto"/>
        </w:rPr>
      </w:pPr>
    </w:p>
    <w:p>
      <w:pPr>
        <w:sectPr>
          <w:pgSz w:w="11900" w:h="16838" w:orient="portrait"/>
          <w:cols w:equalWidth="0" w:num="2">
            <w:col w:w="1580" w:space="720"/>
            <w:col w:w="9100"/>
          </w:cols>
          <w:pgMar w:left="260" w:top="14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180" w:type="dxa"/>
            <w:vAlign w:val="bottom"/>
          </w:tcPr>
          <w:p>
            <w:pPr>
              <w:spacing w:after="0"/>
              <w:rPr>
                <w:sz w:val="20"/>
                <w:szCs w:val="20"/>
                <w:color w:val="auto"/>
              </w:rPr>
            </w:pPr>
            <w:r>
              <w:rPr>
                <w:rFonts w:ascii="Arial" w:cs="Arial" w:eastAsia="Arial" w:hAnsi="Arial"/>
                <w:sz w:val="11"/>
                <w:szCs w:val="11"/>
                <w:color w:val="auto"/>
              </w:rPr>
              <w:t>ASIA 33616188</w:t>
            </w:r>
          </w:p>
        </w:tc>
        <w:tc>
          <w:tcPr>
            <w:tcW w:w="2580" w:type="dxa"/>
            <w:vAlign w:val="bottom"/>
          </w:tcPr>
          <w:p>
            <w:pPr>
              <w:jc w:val="right"/>
              <w:spacing w:after="0"/>
              <w:rPr>
                <w:sz w:val="20"/>
                <w:szCs w:val="20"/>
                <w:color w:val="auto"/>
              </w:rPr>
            </w:pPr>
            <w:r>
              <w:rPr>
                <w:rFonts w:ascii="Arial" w:cs="Arial" w:eastAsia="Arial" w:hAnsi="Arial"/>
                <w:sz w:val="22"/>
                <w:szCs w:val="22"/>
                <w:color w:val="auto"/>
              </w:rPr>
              <w:t>4</w:t>
            </w:r>
          </w:p>
        </w:tc>
      </w:tr>
    </w:tbl>
    <w:p>
      <w:pPr>
        <w:sectPr>
          <w:pgSz w:w="11900" w:h="16838" w:orient="portrait"/>
          <w:cols w:equalWidth="0" w:num="1">
            <w:col w:w="11400"/>
          </w:cols>
          <w:pgMar w:left="260" w:top="145" w:right="239" w:bottom="1440" w:gutter="0" w:footer="0" w:header="0"/>
          <w:type w:val="continuous"/>
        </w:sectPr>
      </w:pPr>
    </w:p>
    <w:bookmarkStart w:id="151" w:name="page152"/>
    <w:bookmarkEnd w:id="151"/>
    <w:p>
      <w:pPr>
        <w:spacing w:after="0" w:line="2"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INDENTURE, dated as of December 17, 2019, between Wynn Macau, Limited, a company incorporated with limited liability under the laws of the Cayman Islands (the “</w:t>
      </w:r>
      <w:r>
        <w:rPr>
          <w:rFonts w:ascii="Arial" w:cs="Arial" w:eastAsia="Arial" w:hAnsi="Arial"/>
          <w:sz w:val="22"/>
          <w:szCs w:val="22"/>
          <w:i w:val="1"/>
          <w:iCs w:val="1"/>
          <w:color w:val="auto"/>
        </w:rPr>
        <w:t>Issuer</w:t>
      </w:r>
      <w:r>
        <w:rPr>
          <w:rFonts w:ascii="Arial" w:cs="Arial" w:eastAsia="Arial" w:hAnsi="Arial"/>
          <w:sz w:val="22"/>
          <w:szCs w:val="22"/>
          <w:color w:val="auto"/>
        </w:rPr>
        <w:t>”), and Deutsche Bank Trust Company Americas, a New York banking corporation, as trustee (the “</w:t>
      </w:r>
      <w:r>
        <w:rPr>
          <w:rFonts w:ascii="Arial" w:cs="Arial" w:eastAsia="Arial" w:hAnsi="Arial"/>
          <w:sz w:val="22"/>
          <w:szCs w:val="22"/>
          <w:i w:val="1"/>
          <w:iCs w:val="1"/>
          <w:color w:val="auto"/>
        </w:rPr>
        <w:t>Trustee</w:t>
      </w:r>
      <w:r>
        <w:rPr>
          <w:rFonts w:ascii="Arial" w:cs="Arial" w:eastAsia="Arial" w:hAnsi="Arial"/>
          <w:sz w:val="22"/>
          <w:szCs w:val="22"/>
          <w:color w:val="auto"/>
        </w:rPr>
        <w:t>”).</w:t>
      </w:r>
    </w:p>
    <w:p>
      <w:pPr>
        <w:spacing w:after="0" w:line="18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The Issuer and the Trustee agree as follows for the benefit of each other and for the equal and ratable benefit of the Holders (as defined below) of the 5.125% Senior Notes due 2029 (the “</w:t>
      </w:r>
      <w:r>
        <w:rPr>
          <w:rFonts w:ascii="Arial" w:cs="Arial" w:eastAsia="Arial" w:hAnsi="Arial"/>
          <w:sz w:val="22"/>
          <w:szCs w:val="22"/>
          <w:i w:val="1"/>
          <w:iCs w:val="1"/>
          <w:color w:val="auto"/>
        </w:rPr>
        <w:t>Notes</w:t>
      </w:r>
      <w:r>
        <w:rPr>
          <w:rFonts w:ascii="Arial" w:cs="Arial" w:eastAsia="Arial" w:hAnsi="Arial"/>
          <w:sz w:val="22"/>
          <w:szCs w:val="22"/>
          <w:color w:val="auto"/>
        </w:rPr>
        <w:t>”):</w:t>
      </w:r>
    </w:p>
    <w:p>
      <w:pPr>
        <w:spacing w:after="0" w:line="174" w:lineRule="exact"/>
        <w:rPr>
          <w:sz w:val="20"/>
          <w:szCs w:val="20"/>
          <w:color w:val="auto"/>
        </w:rPr>
      </w:pPr>
    </w:p>
    <w:p>
      <w:pPr>
        <w:jc w:val="center"/>
        <w:ind w:right="520"/>
        <w:spacing w:after="0"/>
        <w:rPr>
          <w:sz w:val="20"/>
          <w:szCs w:val="20"/>
          <w:color w:val="auto"/>
        </w:rPr>
      </w:pPr>
      <w:r>
        <w:rPr>
          <w:rFonts w:ascii="Arial" w:cs="Arial" w:eastAsia="Arial" w:hAnsi="Arial"/>
          <w:sz w:val="22"/>
          <w:szCs w:val="22"/>
          <w:color w:val="auto"/>
        </w:rPr>
        <w:t>Article 1</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DEFINITIONS AND INCORPORATION BY REFERENCE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1.01 </w:t>
      </w:r>
      <w:r>
        <w:rPr>
          <w:rFonts w:ascii="Arial" w:cs="Arial" w:eastAsia="Arial" w:hAnsi="Arial"/>
          <w:sz w:val="22"/>
          <w:szCs w:val="22"/>
          <w:i w:val="1"/>
          <w:iCs w:val="1"/>
          <w:color w:val="auto"/>
        </w:rPr>
        <w:t>Definitions.</w:t>
      </w:r>
    </w:p>
    <w:p>
      <w:pPr>
        <w:spacing w:after="0" w:line="256" w:lineRule="exact"/>
        <w:rPr>
          <w:sz w:val="20"/>
          <w:szCs w:val="20"/>
          <w:color w:val="auto"/>
        </w:rPr>
      </w:pPr>
    </w:p>
    <w:p>
      <w:pPr>
        <w:jc w:val="both"/>
        <w:ind w:firstLine="648"/>
        <w:spacing w:after="0" w:line="35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144A Global Note</w:t>
      </w:r>
      <w:r>
        <w:rPr>
          <w:rFonts w:ascii="Arial" w:cs="Arial" w:eastAsia="Arial" w:hAnsi="Arial"/>
          <w:sz w:val="19"/>
          <w:szCs w:val="19"/>
          <w:color w:val="auto"/>
        </w:rPr>
        <w:t>” means a Global Note substantially in the form of Exhibit A hereto bearing the Global Note Legend and the Private Placement Legend and deposited with or on behalf of, and registered in the name of, the Depositary or its nominee that shall be issued in a denomination equal to the outstanding principal amount of the Notes sold in reliance on Rule 144A.</w:t>
      </w:r>
    </w:p>
    <w:p>
      <w:pPr>
        <w:spacing w:after="0" w:line="132"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Additional Notes</w:t>
      </w:r>
      <w:r>
        <w:rPr>
          <w:rFonts w:ascii="Arial" w:cs="Arial" w:eastAsia="Arial" w:hAnsi="Arial"/>
          <w:sz w:val="22"/>
          <w:szCs w:val="22"/>
          <w:color w:val="auto"/>
        </w:rPr>
        <w:t>” means Additional Notes issued under this Indenture in accordance with Section 2.13 hereof, as part of the same series as the Initial Notes. Any Additional Notes shall vote on all matters as one class with the Initial Notes, including, without limitation, waivers, amendments and redemptions.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Adjusted Treasury Rate</w:t>
      </w:r>
      <w:r>
        <w:rPr>
          <w:rFonts w:ascii="Arial" w:cs="Arial" w:eastAsia="Arial" w:hAnsi="Arial"/>
          <w:sz w:val="22"/>
          <w:szCs w:val="22"/>
          <w:color w:val="auto"/>
        </w:rPr>
        <w:t>” means, with respect to any redemption date:</w:t>
      </w:r>
    </w:p>
    <w:p>
      <w:pPr>
        <w:spacing w:after="0" w:line="260" w:lineRule="exact"/>
        <w:rPr>
          <w:sz w:val="20"/>
          <w:szCs w:val="20"/>
          <w:color w:val="auto"/>
        </w:rPr>
      </w:pPr>
    </w:p>
    <w:p>
      <w:pPr>
        <w:jc w:val="both"/>
        <w:ind w:left="340" w:firstLine="316"/>
        <w:spacing w:after="0" w:line="336" w:lineRule="auto"/>
        <w:tabs>
          <w:tab w:leader="none" w:pos="975" w:val="left"/>
        </w:tabs>
        <w:numPr>
          <w:ilvl w:val="0"/>
          <w:numId w:val="70"/>
        </w:numPr>
        <w:rPr>
          <w:rFonts w:ascii="Arial" w:cs="Arial" w:eastAsia="Arial" w:hAnsi="Arial"/>
          <w:sz w:val="19"/>
          <w:szCs w:val="19"/>
          <w:color w:val="auto"/>
        </w:rPr>
      </w:pPr>
      <w:r>
        <w:rPr>
          <w:rFonts w:ascii="Arial" w:cs="Arial" w:eastAsia="Arial" w:hAnsi="Arial"/>
          <w:sz w:val="19"/>
          <w:szCs w:val="19"/>
          <w:color w:val="auto"/>
        </w:rPr>
        <w:t>the yield, under the heading which represents the average for the immediately preceding week, appearing in the most recently published statistical release designated “H.15(519)” or any successor publication which is published weekly by the Board of Governors of the Federal Reserve System and which establishes yields on actively traded United States Treasury securities adjusted to constant maturity under the caption “Treasury Constant Maturities,” for the maturity corresponding to the Comparable Treasury Issue (if no maturity is within three months before or after the Remaining Life, yields for the two published maturities most closely corresponding to the Comparable Treasury Issue shall be determined and the Adjusted Treasury Rate shall be interpolated or extrapolated from such yields on a straight line basis, rounding to the nearest month); or</w:t>
      </w:r>
    </w:p>
    <w:p>
      <w:pPr>
        <w:spacing w:after="0" w:line="154" w:lineRule="exact"/>
        <w:rPr>
          <w:rFonts w:ascii="Arial" w:cs="Arial" w:eastAsia="Arial" w:hAnsi="Arial"/>
          <w:sz w:val="19"/>
          <w:szCs w:val="19"/>
          <w:color w:val="auto"/>
        </w:rPr>
      </w:pPr>
    </w:p>
    <w:p>
      <w:pPr>
        <w:jc w:val="both"/>
        <w:ind w:left="340" w:firstLine="316"/>
        <w:spacing w:after="0" w:line="288" w:lineRule="auto"/>
        <w:tabs>
          <w:tab w:leader="none" w:pos="975" w:val="left"/>
        </w:tabs>
        <w:numPr>
          <w:ilvl w:val="0"/>
          <w:numId w:val="70"/>
        </w:numPr>
        <w:rPr>
          <w:rFonts w:ascii="Arial" w:cs="Arial" w:eastAsia="Arial" w:hAnsi="Arial"/>
          <w:sz w:val="22"/>
          <w:szCs w:val="22"/>
          <w:color w:val="auto"/>
        </w:rPr>
      </w:pPr>
      <w:r>
        <w:rPr>
          <w:rFonts w:ascii="Arial" w:cs="Arial" w:eastAsia="Arial" w:hAnsi="Arial"/>
          <w:sz w:val="22"/>
          <w:szCs w:val="22"/>
          <w:color w:val="auto"/>
        </w:rPr>
        <w:t>if such release (or any successor release) is not published during the week preceding the calculation date or does not contain such yields, the rate per annum equal to the semi-annual equivalent yield to maturity of the Comparable Treasury Issue, calculated using a price for the Comparable Treasury Issue (expressed as a percentage of its principal amount) equal to the Comparable Treasury Price for such redemption date.</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3180" w:type="dxa"/>
            <w:vAlign w:val="bottom"/>
          </w:tcPr>
          <w:p>
            <w:pPr>
              <w:spacing w:after="0"/>
              <w:rPr>
                <w:sz w:val="20"/>
                <w:szCs w:val="20"/>
                <w:color w:val="auto"/>
              </w:rPr>
            </w:pPr>
            <w:r>
              <w:rPr>
                <w:rFonts w:ascii="Arial" w:cs="Arial" w:eastAsia="Arial" w:hAnsi="Arial"/>
                <w:sz w:val="11"/>
                <w:szCs w:val="11"/>
                <w:color w:val="auto"/>
              </w:rPr>
              <w:t>ASIA 33616188</w:t>
            </w:r>
          </w:p>
        </w:tc>
        <w:tc>
          <w:tcPr>
            <w:tcW w:w="2580" w:type="dxa"/>
            <w:vAlign w:val="bottom"/>
          </w:tcPr>
          <w:p>
            <w:pPr>
              <w:jc w:val="right"/>
              <w:spacing w:after="0"/>
              <w:rPr>
                <w:sz w:val="20"/>
                <w:szCs w:val="20"/>
                <w:color w:val="auto"/>
              </w:rPr>
            </w:pPr>
            <w:r>
              <w:rPr>
                <w:rFonts w:ascii="Arial" w:cs="Arial" w:eastAsia="Arial" w:hAnsi="Arial"/>
                <w:sz w:val="22"/>
                <w:szCs w:val="22"/>
                <w:color w:val="auto"/>
              </w:rPr>
              <w:t>1</w:t>
            </w:r>
          </w:p>
        </w:tc>
      </w:tr>
    </w:tbl>
    <w:p>
      <w:pPr>
        <w:sectPr>
          <w:pgSz w:w="11900" w:h="16838" w:orient="portrait"/>
          <w:cols w:equalWidth="0" w:num="1">
            <w:col w:w="11420"/>
          </w:cols>
          <w:pgMar w:left="240" w:top="1440" w:right="239" w:bottom="1440" w:gutter="0" w:footer="0" w:header="0"/>
        </w:sectPr>
      </w:pPr>
    </w:p>
    <w:bookmarkStart w:id="152" w:name="page153"/>
    <w:bookmarkEnd w:id="152"/>
    <w:p>
      <w:pPr>
        <w:spacing w:after="0" w:line="2"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The Adjusted Treasury Rate shall be calculated on the third Business Day preceding the redemption date or, in the case of a satisfaction and discharge or a defeasance, on the third Business Day prior to the date on which the Issuer deposits the amount required under this Indenture.</w:t>
      </w:r>
    </w:p>
    <w:p>
      <w:pPr>
        <w:spacing w:after="0" w:line="184"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Affiliate</w:t>
      </w:r>
      <w:r>
        <w:rPr>
          <w:rFonts w:ascii="Arial" w:cs="Arial" w:eastAsia="Arial" w:hAnsi="Arial"/>
          <w:sz w:val="21"/>
          <w:szCs w:val="21"/>
          <w:color w:val="auto"/>
        </w:rPr>
        <w:t xml:space="preserve">” of any specified Person means any other Person directly or indirectly controlling or controlled by or under direct or indirect common control with such specified Person. For purposes of this definition, “control,” as used with respect to any Person, means the possession, directly or indirectly, of the power to direct or cause the direction of the management or policies of such Person, whether through the ownership of voting securities, by agreement or otherwise;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Ms. Chen Chih Ling, Linda shall not, by virtue of meeting any of the foregoing criteria as a result of the shares held by her in the Concessionaire as of the date of this Indenture or as a result of her role as executive director of the Issuer, be an Affiliate of the Issuer, Wynn Resorts or any of their respective Subsidiaries. For purposes of this definition, the terms “controlling,” “controlled by” and “under common control with” have correlative meanings.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Agent</w:t>
      </w:r>
      <w:r>
        <w:rPr>
          <w:rFonts w:ascii="Arial" w:cs="Arial" w:eastAsia="Arial" w:hAnsi="Arial"/>
          <w:sz w:val="22"/>
          <w:szCs w:val="22"/>
          <w:color w:val="auto"/>
        </w:rPr>
        <w:t>” means any Registrar, Paying Agent or additional paying agent.</w:t>
      </w:r>
    </w:p>
    <w:p>
      <w:pPr>
        <w:spacing w:after="0" w:line="260"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Applicable Procedures</w:t>
      </w:r>
      <w:r>
        <w:rPr>
          <w:rFonts w:ascii="Arial" w:cs="Arial" w:eastAsia="Arial" w:hAnsi="Arial"/>
          <w:sz w:val="21"/>
          <w:szCs w:val="21"/>
          <w:color w:val="auto"/>
        </w:rPr>
        <w:t>” means, with respect to any transfer or exchange of or for beneficial interests in any Global Note, the rules and procedures of the Depositary, Euroclear and Clearstream that apply to such transfer or exchange.</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Bankruptcy Law</w:t>
      </w:r>
      <w:r>
        <w:rPr>
          <w:rFonts w:ascii="Arial" w:cs="Arial" w:eastAsia="Arial" w:hAnsi="Arial"/>
          <w:sz w:val="21"/>
          <w:szCs w:val="21"/>
          <w:color w:val="auto"/>
        </w:rPr>
        <w:t>” means Title 11, U.S. Code or any similar federal, state or foreign law for the relief of debtors.</w:t>
      </w:r>
    </w:p>
    <w:p>
      <w:pPr>
        <w:spacing w:after="0" w:line="27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Beneficial Owner</w:t>
      </w:r>
      <w:r>
        <w:rPr>
          <w:rFonts w:ascii="Arial" w:cs="Arial" w:eastAsia="Arial" w:hAnsi="Arial"/>
          <w:sz w:val="21"/>
          <w:szCs w:val="21"/>
          <w:color w:val="auto"/>
        </w:rPr>
        <w:t>” has the meaning assigned to such term in Rule 13d-3 and Rule 13d-5 under the Exchange Act, except that in calculating the beneficial ownership of any particular “person” (as that term is used in Section 13(d)(3) of the Exchange Act), such “person” shall be deemed to have beneficial ownership of all securities that such “person” has the right to acquire by conversion or exercise of other securities, whether such right is currently exercisable or is exercisable only after the passage of time. The terms “Beneficially Owns” and “Beneficially Owned” have a corresponding meaning.</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Board of Directors</w:t>
      </w:r>
      <w:r>
        <w:rPr>
          <w:rFonts w:ascii="Arial" w:cs="Arial" w:eastAsia="Arial" w:hAnsi="Arial"/>
          <w:sz w:val="22"/>
          <w:szCs w:val="22"/>
          <w:color w:val="auto"/>
        </w:rPr>
        <w:t>” means:</w:t>
      </w:r>
    </w:p>
    <w:p>
      <w:pPr>
        <w:spacing w:after="0" w:line="260" w:lineRule="exact"/>
        <w:rPr>
          <w:sz w:val="20"/>
          <w:szCs w:val="20"/>
          <w:color w:val="auto"/>
        </w:rPr>
      </w:pPr>
    </w:p>
    <w:p>
      <w:pPr>
        <w:ind w:left="340" w:firstLine="316"/>
        <w:spacing w:after="0" w:line="302" w:lineRule="auto"/>
        <w:tabs>
          <w:tab w:leader="none" w:pos="961" w:val="left"/>
        </w:tabs>
        <w:numPr>
          <w:ilvl w:val="0"/>
          <w:numId w:val="71"/>
        </w:numPr>
        <w:rPr>
          <w:rFonts w:ascii="Arial" w:cs="Arial" w:eastAsia="Arial" w:hAnsi="Arial"/>
          <w:sz w:val="22"/>
          <w:szCs w:val="22"/>
          <w:color w:val="auto"/>
        </w:rPr>
      </w:pPr>
      <w:r>
        <w:rPr>
          <w:rFonts w:ascii="Arial" w:cs="Arial" w:eastAsia="Arial" w:hAnsi="Arial"/>
          <w:sz w:val="22"/>
          <w:szCs w:val="22"/>
          <w:color w:val="auto"/>
        </w:rPr>
        <w:t>with respect to a corporation, the board of directors of the corporation or any committee thereof duly authorized to act on behalf of such board;</w:t>
      </w:r>
    </w:p>
    <w:p>
      <w:pPr>
        <w:spacing w:after="0" w:line="173" w:lineRule="exact"/>
        <w:rPr>
          <w:rFonts w:ascii="Arial" w:cs="Arial" w:eastAsia="Arial" w:hAnsi="Arial"/>
          <w:sz w:val="22"/>
          <w:szCs w:val="22"/>
          <w:color w:val="auto"/>
        </w:rPr>
      </w:pPr>
    </w:p>
    <w:p>
      <w:pPr>
        <w:ind w:left="960" w:hanging="304"/>
        <w:spacing w:after="0"/>
        <w:tabs>
          <w:tab w:leader="none" w:pos="960" w:val="left"/>
        </w:tabs>
        <w:numPr>
          <w:ilvl w:val="0"/>
          <w:numId w:val="71"/>
        </w:numPr>
        <w:rPr>
          <w:rFonts w:ascii="Arial" w:cs="Arial" w:eastAsia="Arial" w:hAnsi="Arial"/>
          <w:sz w:val="22"/>
          <w:szCs w:val="22"/>
          <w:color w:val="auto"/>
        </w:rPr>
      </w:pPr>
      <w:r>
        <w:rPr>
          <w:rFonts w:ascii="Arial" w:cs="Arial" w:eastAsia="Arial" w:hAnsi="Arial"/>
          <w:sz w:val="22"/>
          <w:szCs w:val="22"/>
          <w:color w:val="auto"/>
        </w:rPr>
        <w:t>with respect to a partnership, the board of directors of the general partner of the partnership;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3180" w:type="dxa"/>
            <w:vAlign w:val="bottom"/>
          </w:tcPr>
          <w:p>
            <w:pPr>
              <w:spacing w:after="0"/>
              <w:rPr>
                <w:sz w:val="20"/>
                <w:szCs w:val="20"/>
                <w:color w:val="auto"/>
              </w:rPr>
            </w:pPr>
            <w:r>
              <w:rPr>
                <w:rFonts w:ascii="Arial" w:cs="Arial" w:eastAsia="Arial" w:hAnsi="Arial"/>
                <w:sz w:val="11"/>
                <w:szCs w:val="11"/>
                <w:color w:val="auto"/>
              </w:rPr>
              <w:t>ASIA 33616188</w:t>
            </w:r>
          </w:p>
        </w:tc>
        <w:tc>
          <w:tcPr>
            <w:tcW w:w="2580" w:type="dxa"/>
            <w:vAlign w:val="bottom"/>
          </w:tcPr>
          <w:p>
            <w:pPr>
              <w:jc w:val="right"/>
              <w:spacing w:after="0"/>
              <w:rPr>
                <w:sz w:val="20"/>
                <w:szCs w:val="20"/>
                <w:color w:val="auto"/>
              </w:rPr>
            </w:pPr>
            <w:r>
              <w:rPr>
                <w:rFonts w:ascii="Arial" w:cs="Arial" w:eastAsia="Arial" w:hAnsi="Arial"/>
                <w:sz w:val="22"/>
                <w:szCs w:val="22"/>
                <w:color w:val="auto"/>
              </w:rPr>
              <w:t>2</w:t>
            </w:r>
          </w:p>
        </w:tc>
      </w:tr>
    </w:tbl>
    <w:p>
      <w:pPr>
        <w:sectPr>
          <w:pgSz w:w="11900" w:h="16838" w:orient="portrait"/>
          <w:cols w:equalWidth="0" w:num="1">
            <w:col w:w="11420"/>
          </w:cols>
          <w:pgMar w:left="240" w:top="1440" w:right="239" w:bottom="1440" w:gutter="0" w:footer="0" w:header="0"/>
        </w:sectPr>
      </w:pPr>
    </w:p>
    <w:bookmarkStart w:id="153" w:name="page154"/>
    <w:bookmarkEnd w:id="153"/>
    <w:p>
      <w:pPr>
        <w:spacing w:after="0" w:line="2" w:lineRule="exact"/>
        <w:rPr>
          <w:sz w:val="20"/>
          <w:szCs w:val="20"/>
          <w:color w:val="auto"/>
        </w:rPr>
      </w:pPr>
    </w:p>
    <w:p>
      <w:pPr>
        <w:ind w:left="340" w:firstLine="316"/>
        <w:spacing w:after="0" w:line="302" w:lineRule="auto"/>
        <w:tabs>
          <w:tab w:leader="none" w:pos="961" w:val="left"/>
        </w:tabs>
        <w:numPr>
          <w:ilvl w:val="0"/>
          <w:numId w:val="72"/>
        </w:numPr>
        <w:rPr>
          <w:rFonts w:ascii="Arial" w:cs="Arial" w:eastAsia="Arial" w:hAnsi="Arial"/>
          <w:sz w:val="22"/>
          <w:szCs w:val="22"/>
          <w:color w:val="auto"/>
        </w:rPr>
      </w:pPr>
      <w:r>
        <w:rPr>
          <w:rFonts w:ascii="Arial" w:cs="Arial" w:eastAsia="Arial" w:hAnsi="Arial"/>
          <w:sz w:val="22"/>
          <w:szCs w:val="22"/>
          <w:color w:val="auto"/>
        </w:rPr>
        <w:t>with respect to a limited liability company, the Person or Persons who are the managing member, members or managers or any controlling committee or managing members or managers thereof; and</w:t>
      </w:r>
    </w:p>
    <w:p>
      <w:pPr>
        <w:spacing w:after="0" w:line="173" w:lineRule="exact"/>
        <w:rPr>
          <w:rFonts w:ascii="Arial" w:cs="Arial" w:eastAsia="Arial" w:hAnsi="Arial"/>
          <w:sz w:val="22"/>
          <w:szCs w:val="22"/>
          <w:color w:val="auto"/>
        </w:rPr>
      </w:pPr>
    </w:p>
    <w:p>
      <w:pPr>
        <w:ind w:left="960" w:hanging="304"/>
        <w:spacing w:after="0"/>
        <w:tabs>
          <w:tab w:leader="none" w:pos="960" w:val="left"/>
        </w:tabs>
        <w:numPr>
          <w:ilvl w:val="0"/>
          <w:numId w:val="72"/>
        </w:numPr>
        <w:rPr>
          <w:rFonts w:ascii="Arial" w:cs="Arial" w:eastAsia="Arial" w:hAnsi="Arial"/>
          <w:sz w:val="22"/>
          <w:szCs w:val="22"/>
          <w:color w:val="auto"/>
        </w:rPr>
      </w:pPr>
      <w:r>
        <w:rPr>
          <w:rFonts w:ascii="Arial" w:cs="Arial" w:eastAsia="Arial" w:hAnsi="Arial"/>
          <w:sz w:val="22"/>
          <w:szCs w:val="22"/>
          <w:color w:val="auto"/>
        </w:rPr>
        <w:t>with respect to any other Person, the board or committee of such Person serving a similar function.</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Business Day</w:t>
      </w:r>
      <w:r>
        <w:rPr>
          <w:rFonts w:ascii="Arial" w:cs="Arial" w:eastAsia="Arial" w:hAnsi="Arial"/>
          <w:sz w:val="22"/>
          <w:szCs w:val="22"/>
          <w:color w:val="auto"/>
        </w:rPr>
        <w:t>” means any day other than a Legal Holiday.</w:t>
      </w:r>
    </w:p>
    <w:p>
      <w:pPr>
        <w:spacing w:after="0" w:line="260" w:lineRule="exact"/>
        <w:rPr>
          <w:sz w:val="20"/>
          <w:szCs w:val="20"/>
          <w:color w:val="auto"/>
        </w:rPr>
      </w:pPr>
    </w:p>
    <w:p>
      <w:pPr>
        <w:jc w:val="both"/>
        <w:ind w:firstLine="648"/>
        <w:spacing w:after="0" w:line="346"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Capital Lease Obligation</w:t>
      </w:r>
      <w:r>
        <w:rPr>
          <w:rFonts w:ascii="Arial" w:cs="Arial" w:eastAsia="Arial" w:hAnsi="Arial"/>
          <w:sz w:val="19"/>
          <w:szCs w:val="19"/>
          <w:color w:val="auto"/>
        </w:rPr>
        <w:t xml:space="preserve">” means, at the time any determination is to be made, the amount of the liability in respect of a capital lease that would at that time be required to be capitalized on a balance sheet in </w:t>
      </w:r>
      <w:r>
        <w:rPr>
          <w:rFonts w:ascii="Arial" w:cs="Arial" w:eastAsia="Arial" w:hAnsi="Arial"/>
          <w:sz w:val="19"/>
          <w:szCs w:val="19"/>
          <w:i w:val="1"/>
          <w:iCs w:val="1"/>
          <w:color w:val="auto"/>
        </w:rPr>
        <w:t>accordance</w:t>
      </w:r>
      <w:r>
        <w:rPr>
          <w:rFonts w:ascii="Arial" w:cs="Arial" w:eastAsia="Arial" w:hAnsi="Arial"/>
          <w:sz w:val="19"/>
          <w:szCs w:val="19"/>
          <w:color w:val="auto"/>
        </w:rPr>
        <w:t xml:space="preserve"> with IFRS as in effect as of December 31, 2018, and the Stated Maturity thereof shall be the date of the last payment of rent or any other amount due under such lease prior to the first date upon which such lease may be prepaid by the lessee without payment of a penalty.</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Capital Stock</w:t>
      </w:r>
      <w:r>
        <w:rPr>
          <w:rFonts w:ascii="Arial" w:cs="Arial" w:eastAsia="Arial" w:hAnsi="Arial"/>
          <w:sz w:val="22"/>
          <w:szCs w:val="22"/>
          <w:color w:val="auto"/>
        </w:rPr>
        <w:t>” means:</w:t>
      </w:r>
    </w:p>
    <w:p>
      <w:pPr>
        <w:spacing w:after="0" w:line="260" w:lineRule="exact"/>
        <w:rPr>
          <w:sz w:val="20"/>
          <w:szCs w:val="20"/>
          <w:color w:val="auto"/>
        </w:rPr>
      </w:pPr>
    </w:p>
    <w:p>
      <w:pPr>
        <w:ind w:left="960" w:hanging="304"/>
        <w:spacing w:after="0"/>
        <w:tabs>
          <w:tab w:leader="none" w:pos="960" w:val="left"/>
        </w:tabs>
        <w:numPr>
          <w:ilvl w:val="0"/>
          <w:numId w:val="73"/>
        </w:numPr>
        <w:rPr>
          <w:rFonts w:ascii="Arial" w:cs="Arial" w:eastAsia="Arial" w:hAnsi="Arial"/>
          <w:sz w:val="22"/>
          <w:szCs w:val="22"/>
          <w:color w:val="auto"/>
        </w:rPr>
      </w:pPr>
      <w:r>
        <w:rPr>
          <w:rFonts w:ascii="Arial" w:cs="Arial" w:eastAsia="Arial" w:hAnsi="Arial"/>
          <w:sz w:val="22"/>
          <w:szCs w:val="22"/>
          <w:color w:val="auto"/>
        </w:rPr>
        <w:t>in the case of a corporation, corporate stock;</w:t>
      </w:r>
    </w:p>
    <w:p>
      <w:pPr>
        <w:spacing w:after="0" w:line="260" w:lineRule="exact"/>
        <w:rPr>
          <w:rFonts w:ascii="Arial" w:cs="Arial" w:eastAsia="Arial" w:hAnsi="Arial"/>
          <w:sz w:val="22"/>
          <w:szCs w:val="22"/>
          <w:color w:val="auto"/>
        </w:rPr>
      </w:pPr>
    </w:p>
    <w:p>
      <w:pPr>
        <w:ind w:left="340" w:right="20" w:firstLine="316"/>
        <w:spacing w:after="0" w:line="302" w:lineRule="auto"/>
        <w:tabs>
          <w:tab w:leader="none" w:pos="975" w:val="left"/>
        </w:tabs>
        <w:numPr>
          <w:ilvl w:val="0"/>
          <w:numId w:val="73"/>
        </w:numPr>
        <w:rPr>
          <w:rFonts w:ascii="Arial" w:cs="Arial" w:eastAsia="Arial" w:hAnsi="Arial"/>
          <w:sz w:val="22"/>
          <w:szCs w:val="22"/>
          <w:color w:val="auto"/>
        </w:rPr>
      </w:pPr>
      <w:r>
        <w:rPr>
          <w:rFonts w:ascii="Arial" w:cs="Arial" w:eastAsia="Arial" w:hAnsi="Arial"/>
          <w:sz w:val="22"/>
          <w:szCs w:val="22"/>
          <w:color w:val="auto"/>
        </w:rPr>
        <w:t>in the case of an association or business entity, any and all shares, interests, participations, rights or other equivalents (however designated) of corporate stock;</w:t>
      </w:r>
    </w:p>
    <w:p>
      <w:pPr>
        <w:spacing w:after="0" w:line="173" w:lineRule="exact"/>
        <w:rPr>
          <w:rFonts w:ascii="Arial" w:cs="Arial" w:eastAsia="Arial" w:hAnsi="Arial"/>
          <w:sz w:val="22"/>
          <w:szCs w:val="22"/>
          <w:color w:val="auto"/>
        </w:rPr>
      </w:pPr>
    </w:p>
    <w:p>
      <w:pPr>
        <w:ind w:left="340" w:firstLine="316"/>
        <w:spacing w:after="0" w:line="302" w:lineRule="auto"/>
        <w:tabs>
          <w:tab w:leader="none" w:pos="1015" w:val="left"/>
        </w:tabs>
        <w:numPr>
          <w:ilvl w:val="0"/>
          <w:numId w:val="73"/>
        </w:numPr>
        <w:rPr>
          <w:rFonts w:ascii="Arial" w:cs="Arial" w:eastAsia="Arial" w:hAnsi="Arial"/>
          <w:sz w:val="22"/>
          <w:szCs w:val="22"/>
          <w:color w:val="auto"/>
        </w:rPr>
      </w:pPr>
      <w:r>
        <w:rPr>
          <w:rFonts w:ascii="Arial" w:cs="Arial" w:eastAsia="Arial" w:hAnsi="Arial"/>
          <w:sz w:val="22"/>
          <w:szCs w:val="22"/>
          <w:color w:val="auto"/>
        </w:rPr>
        <w:t>in the case of a partnership or limited liability company, partnership interests (whether general or limited) or membership interests (whether general or limited); and</w:t>
      </w:r>
    </w:p>
    <w:p>
      <w:pPr>
        <w:spacing w:after="0" w:line="173" w:lineRule="exact"/>
        <w:rPr>
          <w:rFonts w:ascii="Arial" w:cs="Arial" w:eastAsia="Arial" w:hAnsi="Arial"/>
          <w:sz w:val="22"/>
          <w:szCs w:val="22"/>
          <w:color w:val="auto"/>
        </w:rPr>
      </w:pPr>
    </w:p>
    <w:p>
      <w:pPr>
        <w:jc w:val="both"/>
        <w:ind w:left="340" w:firstLine="316"/>
        <w:spacing w:after="0" w:line="311" w:lineRule="auto"/>
        <w:tabs>
          <w:tab w:leader="none" w:pos="975" w:val="left"/>
        </w:tabs>
        <w:numPr>
          <w:ilvl w:val="0"/>
          <w:numId w:val="73"/>
        </w:numPr>
        <w:rPr>
          <w:rFonts w:ascii="Arial" w:cs="Arial" w:eastAsia="Arial" w:hAnsi="Arial"/>
          <w:sz w:val="21"/>
          <w:szCs w:val="21"/>
          <w:color w:val="auto"/>
        </w:rPr>
      </w:pPr>
      <w:r>
        <w:rPr>
          <w:rFonts w:ascii="Arial" w:cs="Arial" w:eastAsia="Arial" w:hAnsi="Arial"/>
          <w:sz w:val="21"/>
          <w:szCs w:val="21"/>
          <w:color w:val="auto"/>
        </w:rPr>
        <w:t>any other interests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Change of Control</w:t>
      </w:r>
      <w:r>
        <w:rPr>
          <w:rFonts w:ascii="Arial" w:cs="Arial" w:eastAsia="Arial" w:hAnsi="Arial"/>
          <w:sz w:val="22"/>
          <w:szCs w:val="22"/>
          <w:color w:val="auto"/>
        </w:rPr>
        <w:t>” means the occurrence of any of the following:</w:t>
      </w:r>
    </w:p>
    <w:p>
      <w:pPr>
        <w:spacing w:after="0" w:line="260" w:lineRule="exact"/>
        <w:rPr>
          <w:sz w:val="20"/>
          <w:szCs w:val="20"/>
          <w:color w:val="auto"/>
        </w:rPr>
      </w:pPr>
    </w:p>
    <w:p>
      <w:pPr>
        <w:jc w:val="both"/>
        <w:ind w:left="340" w:firstLine="316"/>
        <w:spacing w:after="0" w:line="288" w:lineRule="auto"/>
        <w:tabs>
          <w:tab w:leader="none" w:pos="975" w:val="left"/>
        </w:tabs>
        <w:numPr>
          <w:ilvl w:val="0"/>
          <w:numId w:val="74"/>
        </w:numPr>
        <w:rPr>
          <w:rFonts w:ascii="Arial" w:cs="Arial" w:eastAsia="Arial" w:hAnsi="Arial"/>
          <w:sz w:val="22"/>
          <w:szCs w:val="22"/>
          <w:color w:val="auto"/>
        </w:rPr>
      </w:pPr>
      <w:r>
        <w:rPr>
          <w:rFonts w:ascii="Arial" w:cs="Arial" w:eastAsia="Arial" w:hAnsi="Arial"/>
          <w:sz w:val="22"/>
          <w:szCs w:val="22"/>
          <w:color w:val="auto"/>
        </w:rPr>
        <w:t>the direct or indirect sale, transfer, conveyance or other disposition (other than by way of merger or consolidation), in one or a series of related transactions, of all or substantially all of the properties or assets of the Issuer and its Subsidiaries, taken as a whole, to any “person” (as that term is used in Section 13(d)(3) of the Exchange Act), other than to Wynn Resorts or any of its Affiliates;</w:t>
      </w:r>
    </w:p>
    <w:p>
      <w:pPr>
        <w:spacing w:after="0" w:line="190" w:lineRule="exact"/>
        <w:rPr>
          <w:rFonts w:ascii="Arial" w:cs="Arial" w:eastAsia="Arial" w:hAnsi="Arial"/>
          <w:sz w:val="22"/>
          <w:szCs w:val="22"/>
          <w:color w:val="auto"/>
        </w:rPr>
      </w:pPr>
    </w:p>
    <w:p>
      <w:pPr>
        <w:ind w:left="960" w:hanging="304"/>
        <w:spacing w:after="0"/>
        <w:tabs>
          <w:tab w:leader="none" w:pos="960" w:val="left"/>
        </w:tabs>
        <w:numPr>
          <w:ilvl w:val="0"/>
          <w:numId w:val="74"/>
        </w:numPr>
        <w:rPr>
          <w:rFonts w:ascii="Arial" w:cs="Arial" w:eastAsia="Arial" w:hAnsi="Arial"/>
          <w:sz w:val="22"/>
          <w:szCs w:val="22"/>
          <w:color w:val="auto"/>
        </w:rPr>
      </w:pPr>
      <w:r>
        <w:rPr>
          <w:rFonts w:ascii="Arial" w:cs="Arial" w:eastAsia="Arial" w:hAnsi="Arial"/>
          <w:sz w:val="22"/>
          <w:szCs w:val="22"/>
          <w:color w:val="auto"/>
        </w:rPr>
        <w:t>the adoption of a plan relating to the liquidation or dissolution of the Issuer or any successor thereto;</w:t>
      </w:r>
    </w:p>
    <w:p>
      <w:pPr>
        <w:spacing w:after="0" w:line="260" w:lineRule="exact"/>
        <w:rPr>
          <w:rFonts w:ascii="Arial" w:cs="Arial" w:eastAsia="Arial" w:hAnsi="Arial"/>
          <w:sz w:val="22"/>
          <w:szCs w:val="22"/>
          <w:color w:val="auto"/>
        </w:rPr>
      </w:pPr>
    </w:p>
    <w:p>
      <w:pPr>
        <w:ind w:left="340" w:firstLine="316"/>
        <w:spacing w:after="0" w:line="387" w:lineRule="auto"/>
        <w:tabs>
          <w:tab w:leader="none" w:pos="961" w:val="left"/>
        </w:tabs>
        <w:numPr>
          <w:ilvl w:val="0"/>
          <w:numId w:val="74"/>
        </w:numPr>
        <w:rPr>
          <w:rFonts w:ascii="Arial" w:cs="Arial" w:eastAsia="Arial" w:hAnsi="Arial"/>
          <w:sz w:val="19"/>
          <w:szCs w:val="19"/>
          <w:color w:val="auto"/>
        </w:rPr>
      </w:pPr>
      <w:r>
        <w:rPr>
          <w:rFonts w:ascii="Arial" w:cs="Arial" w:eastAsia="Arial" w:hAnsi="Arial"/>
          <w:sz w:val="19"/>
          <w:szCs w:val="19"/>
          <w:color w:val="auto"/>
        </w:rPr>
        <w:t>the consummation of any transaction (including, without limitation, any merger or consolidation) the result of which is that any “person” (as defined in clause (1) above), other than Wynn Resorts or any Affiliate of Wynn Resorts becomes the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3180" w:type="dxa"/>
            <w:vAlign w:val="bottom"/>
          </w:tcPr>
          <w:p>
            <w:pPr>
              <w:spacing w:after="0"/>
              <w:rPr>
                <w:sz w:val="20"/>
                <w:szCs w:val="20"/>
                <w:color w:val="auto"/>
              </w:rPr>
            </w:pPr>
            <w:r>
              <w:rPr>
                <w:rFonts w:ascii="Arial" w:cs="Arial" w:eastAsia="Arial" w:hAnsi="Arial"/>
                <w:sz w:val="11"/>
                <w:szCs w:val="11"/>
                <w:color w:val="auto"/>
              </w:rPr>
              <w:t>ASIA 33616188</w:t>
            </w:r>
          </w:p>
        </w:tc>
        <w:tc>
          <w:tcPr>
            <w:tcW w:w="2580" w:type="dxa"/>
            <w:vAlign w:val="bottom"/>
          </w:tcPr>
          <w:p>
            <w:pPr>
              <w:jc w:val="right"/>
              <w:spacing w:after="0"/>
              <w:rPr>
                <w:sz w:val="20"/>
                <w:szCs w:val="20"/>
                <w:color w:val="auto"/>
              </w:rPr>
            </w:pPr>
            <w:r>
              <w:rPr>
                <w:rFonts w:ascii="Arial" w:cs="Arial" w:eastAsia="Arial" w:hAnsi="Arial"/>
                <w:sz w:val="22"/>
                <w:szCs w:val="22"/>
                <w:color w:val="auto"/>
              </w:rPr>
              <w:t>3</w:t>
            </w:r>
          </w:p>
        </w:tc>
      </w:tr>
    </w:tbl>
    <w:p>
      <w:pPr>
        <w:sectPr>
          <w:pgSz w:w="11900" w:h="16838" w:orient="portrait"/>
          <w:cols w:equalWidth="0" w:num="1">
            <w:col w:w="11420"/>
          </w:cols>
          <w:pgMar w:left="240" w:top="1440" w:right="239" w:bottom="1440" w:gutter="0" w:footer="0" w:header="0"/>
        </w:sectPr>
      </w:pPr>
    </w:p>
    <w:bookmarkStart w:id="154" w:name="page155"/>
    <w:bookmarkEnd w:id="154"/>
    <w:p>
      <w:pPr>
        <w:spacing w:after="0" w:line="2" w:lineRule="exact"/>
        <w:rPr>
          <w:sz w:val="20"/>
          <w:szCs w:val="20"/>
          <w:color w:val="auto"/>
        </w:rPr>
      </w:pPr>
    </w:p>
    <w:p>
      <w:pPr>
        <w:ind w:left="340"/>
        <w:spacing w:after="0" w:line="302" w:lineRule="auto"/>
        <w:rPr>
          <w:sz w:val="20"/>
          <w:szCs w:val="20"/>
          <w:color w:val="auto"/>
        </w:rPr>
      </w:pPr>
      <w:r>
        <w:rPr>
          <w:rFonts w:ascii="Arial" w:cs="Arial" w:eastAsia="Arial" w:hAnsi="Arial"/>
          <w:sz w:val="22"/>
          <w:szCs w:val="22"/>
          <w:color w:val="auto"/>
        </w:rPr>
        <w:t>Beneficial Owner, directly or indirectly, of more than 50% of the outstanding Voting Stock of Wynn Macau, measured by voting power rather than number of Equity Interests;</w:t>
      </w:r>
    </w:p>
    <w:p>
      <w:pPr>
        <w:spacing w:after="0" w:line="174" w:lineRule="exact"/>
        <w:rPr>
          <w:sz w:val="20"/>
          <w:szCs w:val="20"/>
          <w:color w:val="auto"/>
        </w:rPr>
      </w:pPr>
    </w:p>
    <w:p>
      <w:pPr>
        <w:ind w:left="960" w:hanging="304"/>
        <w:spacing w:after="0"/>
        <w:tabs>
          <w:tab w:leader="none" w:pos="960" w:val="left"/>
        </w:tabs>
        <w:numPr>
          <w:ilvl w:val="0"/>
          <w:numId w:val="75"/>
        </w:numPr>
        <w:rPr>
          <w:rFonts w:ascii="Arial" w:cs="Arial" w:eastAsia="Arial" w:hAnsi="Arial"/>
          <w:sz w:val="19"/>
          <w:szCs w:val="19"/>
          <w:color w:val="auto"/>
        </w:rPr>
      </w:pPr>
      <w:r>
        <w:rPr>
          <w:rFonts w:ascii="Arial" w:cs="Arial" w:eastAsia="Arial" w:hAnsi="Arial"/>
          <w:sz w:val="19"/>
          <w:szCs w:val="19"/>
          <w:color w:val="auto"/>
        </w:rPr>
        <w:t>the first day on which a majority of the members of the Board of Directors of the Issuer are not Continuing Directors;</w:t>
      </w:r>
    </w:p>
    <w:p>
      <w:pPr>
        <w:spacing w:after="0" w:line="294" w:lineRule="exact"/>
        <w:rPr>
          <w:rFonts w:ascii="Arial" w:cs="Arial" w:eastAsia="Arial" w:hAnsi="Arial"/>
          <w:sz w:val="19"/>
          <w:szCs w:val="19"/>
          <w:color w:val="auto"/>
        </w:rPr>
      </w:pPr>
    </w:p>
    <w:p>
      <w:pPr>
        <w:ind w:left="340" w:firstLine="316"/>
        <w:spacing w:after="0" w:line="302" w:lineRule="auto"/>
        <w:tabs>
          <w:tab w:leader="none" w:pos="961" w:val="left"/>
        </w:tabs>
        <w:numPr>
          <w:ilvl w:val="0"/>
          <w:numId w:val="75"/>
        </w:numPr>
        <w:rPr>
          <w:rFonts w:ascii="Arial" w:cs="Arial" w:eastAsia="Arial" w:hAnsi="Arial"/>
          <w:sz w:val="22"/>
          <w:szCs w:val="22"/>
          <w:color w:val="auto"/>
        </w:rPr>
      </w:pPr>
      <w:r>
        <w:rPr>
          <w:rFonts w:ascii="Arial" w:cs="Arial" w:eastAsia="Arial" w:hAnsi="Arial"/>
          <w:sz w:val="22"/>
          <w:szCs w:val="22"/>
          <w:color w:val="auto"/>
        </w:rPr>
        <w:t>the first day on which the Issuer ceases to own, directly or indirectly, at least 60% of the outstanding Equity Interests of (and at least a 60% economic interest in) the Concessionaire; or</w:t>
      </w:r>
    </w:p>
    <w:p>
      <w:pPr>
        <w:spacing w:after="0" w:line="173" w:lineRule="exact"/>
        <w:rPr>
          <w:rFonts w:ascii="Arial" w:cs="Arial" w:eastAsia="Arial" w:hAnsi="Arial"/>
          <w:sz w:val="22"/>
          <w:szCs w:val="22"/>
          <w:color w:val="auto"/>
        </w:rPr>
      </w:pPr>
    </w:p>
    <w:p>
      <w:pPr>
        <w:ind w:left="960" w:hanging="304"/>
        <w:spacing w:after="0"/>
        <w:tabs>
          <w:tab w:leader="none" w:pos="960" w:val="left"/>
        </w:tabs>
        <w:numPr>
          <w:ilvl w:val="0"/>
          <w:numId w:val="75"/>
        </w:numPr>
        <w:rPr>
          <w:rFonts w:ascii="Arial" w:cs="Arial" w:eastAsia="Arial" w:hAnsi="Arial"/>
          <w:sz w:val="22"/>
          <w:szCs w:val="22"/>
          <w:color w:val="auto"/>
        </w:rPr>
      </w:pPr>
      <w:r>
        <w:rPr>
          <w:rFonts w:ascii="Arial" w:cs="Arial" w:eastAsia="Arial" w:hAnsi="Arial"/>
          <w:sz w:val="22"/>
          <w:szCs w:val="22"/>
          <w:color w:val="auto"/>
        </w:rPr>
        <w:t>the 30th day following the date on which the Issuer ceases to be entitled to use the “WYNN” trademark.</w:t>
      </w:r>
    </w:p>
    <w:p>
      <w:pPr>
        <w:spacing w:after="0" w:line="260"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21"/>
          <w:szCs w:val="21"/>
          <w:color w:val="auto"/>
        </w:rPr>
        <w:t>Notwithstanding the preceding or any provision of Section 13(d)(3) of the Exchange Act, a Person or group shall not be deemed to beneficially own Voting Stock subject to a stock or asset purchase agreement, merger agreement, option agreement, warrant agreement or similar agreement (or voting or option or similar agreement related thereto) until the consummation of the acquisition of the Voting Stock in connection with the transactions contemplated by such agreement.</w:t>
      </w:r>
    </w:p>
    <w:p>
      <w:pPr>
        <w:spacing w:after="0" w:line="17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Change of Control Triggering Event</w:t>
      </w:r>
      <w:r>
        <w:rPr>
          <w:rFonts w:ascii="Arial" w:cs="Arial" w:eastAsia="Arial" w:hAnsi="Arial"/>
          <w:sz w:val="22"/>
          <w:szCs w:val="22"/>
          <w:color w:val="auto"/>
        </w:rPr>
        <w:t>” means the occurrence of a Change of Control and, if the Notes are rated by both Rating Agencies, a Ratings Event.</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Clearstream</w:t>
      </w:r>
      <w:r>
        <w:rPr>
          <w:rFonts w:ascii="Arial" w:cs="Arial" w:eastAsia="Arial" w:hAnsi="Arial"/>
          <w:sz w:val="22"/>
          <w:szCs w:val="22"/>
          <w:color w:val="auto"/>
        </w:rPr>
        <w:t>” means Clearstream Banking S.A.</w:t>
      </w:r>
    </w:p>
    <w:p>
      <w:pPr>
        <w:spacing w:after="0" w:line="26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Comparable Treasury Issue</w:t>
      </w:r>
      <w:r>
        <w:rPr>
          <w:rFonts w:ascii="Arial" w:cs="Arial" w:eastAsia="Arial" w:hAnsi="Arial"/>
          <w:sz w:val="22"/>
          <w:szCs w:val="22"/>
          <w:color w:val="auto"/>
        </w:rPr>
        <w:t>” means the United States Treasury security selected by an Independent Investment Banker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such securities (“Remaining Life”).</w:t>
      </w:r>
    </w:p>
    <w:p>
      <w:pPr>
        <w:spacing w:after="0" w:line="190" w:lineRule="exact"/>
        <w:rPr>
          <w:sz w:val="20"/>
          <w:szCs w:val="20"/>
          <w:color w:val="auto"/>
        </w:rPr>
      </w:pPr>
    </w:p>
    <w:p>
      <w:pPr>
        <w:jc w:val="both"/>
        <w:ind w:firstLine="648"/>
        <w:spacing w:after="0" w:line="35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Comparable Treasury Price</w:t>
      </w:r>
      <w:r>
        <w:rPr>
          <w:rFonts w:ascii="Arial" w:cs="Arial" w:eastAsia="Arial" w:hAnsi="Arial"/>
          <w:sz w:val="19"/>
          <w:szCs w:val="19"/>
          <w:color w:val="auto"/>
        </w:rPr>
        <w:t>” means (1) the average of four Reference Treasury Dealer Quotations for such redemption date, after excluding the highest and lowest Reference Treasury Dealer Quotations or (2) if the Independent Investment Banker obtains fewer than four such Reference Treasury Dealer Quotations, the average of all such quotations.</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Concessionaire</w:t>
      </w:r>
      <w:r>
        <w:rPr>
          <w:rFonts w:ascii="Arial" w:cs="Arial" w:eastAsia="Arial" w:hAnsi="Arial"/>
          <w:sz w:val="22"/>
          <w:szCs w:val="22"/>
          <w:color w:val="auto"/>
        </w:rPr>
        <w:t>” means Wynn Resorts (Macau) S.A., a company incorporated under the laws of Macau.</w:t>
      </w:r>
    </w:p>
    <w:p>
      <w:pPr>
        <w:spacing w:after="0" w:line="26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continuing</w:t>
      </w:r>
      <w:r>
        <w:rPr>
          <w:rFonts w:ascii="Arial" w:cs="Arial" w:eastAsia="Arial" w:hAnsi="Arial"/>
          <w:sz w:val="22"/>
          <w:szCs w:val="22"/>
          <w:color w:val="auto"/>
        </w:rPr>
        <w:t>” means, with respect to any Default or Event of Default, that such Default or Event of Default has not been cured or waived.</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3180" w:type="dxa"/>
            <w:vAlign w:val="bottom"/>
          </w:tcPr>
          <w:p>
            <w:pPr>
              <w:spacing w:after="0"/>
              <w:rPr>
                <w:sz w:val="20"/>
                <w:szCs w:val="20"/>
                <w:color w:val="auto"/>
              </w:rPr>
            </w:pPr>
            <w:r>
              <w:rPr>
                <w:rFonts w:ascii="Arial" w:cs="Arial" w:eastAsia="Arial" w:hAnsi="Arial"/>
                <w:sz w:val="11"/>
                <w:szCs w:val="11"/>
                <w:color w:val="auto"/>
              </w:rPr>
              <w:t>ASIA 33616188</w:t>
            </w:r>
          </w:p>
        </w:tc>
        <w:tc>
          <w:tcPr>
            <w:tcW w:w="2580" w:type="dxa"/>
            <w:vAlign w:val="bottom"/>
          </w:tcPr>
          <w:p>
            <w:pPr>
              <w:jc w:val="right"/>
              <w:spacing w:after="0"/>
              <w:rPr>
                <w:sz w:val="20"/>
                <w:szCs w:val="20"/>
                <w:color w:val="auto"/>
              </w:rPr>
            </w:pPr>
            <w:r>
              <w:rPr>
                <w:rFonts w:ascii="Arial" w:cs="Arial" w:eastAsia="Arial" w:hAnsi="Arial"/>
                <w:sz w:val="22"/>
                <w:szCs w:val="22"/>
                <w:color w:val="auto"/>
              </w:rPr>
              <w:t>4</w:t>
            </w:r>
          </w:p>
        </w:tc>
      </w:tr>
    </w:tbl>
    <w:p>
      <w:pPr>
        <w:sectPr>
          <w:pgSz w:w="11900" w:h="16838" w:orient="portrait"/>
          <w:cols w:equalWidth="0" w:num="1">
            <w:col w:w="11420"/>
          </w:cols>
          <w:pgMar w:left="240" w:top="1440" w:right="239" w:bottom="1440" w:gutter="0" w:footer="0" w:header="0"/>
        </w:sectPr>
      </w:pPr>
    </w:p>
    <w:bookmarkStart w:id="155" w:name="page156"/>
    <w:bookmarkEnd w:id="155"/>
    <w:p>
      <w:pPr>
        <w:spacing w:after="0" w:line="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Continuing Directors</w:t>
      </w:r>
      <w:r>
        <w:rPr>
          <w:rFonts w:ascii="Arial" w:cs="Arial" w:eastAsia="Arial" w:hAnsi="Arial"/>
          <w:sz w:val="19"/>
          <w:szCs w:val="19"/>
          <w:color w:val="auto"/>
        </w:rPr>
        <w:t>” means, as of any date of determination, with respect to any Person, any member of the Board of</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color w:val="auto"/>
        </w:rPr>
        <w:t>Directors of such Person who:</w:t>
      </w:r>
    </w:p>
    <w:p>
      <w:pPr>
        <w:spacing w:after="0" w:line="260" w:lineRule="exact"/>
        <w:rPr>
          <w:sz w:val="20"/>
          <w:szCs w:val="20"/>
          <w:color w:val="auto"/>
        </w:rPr>
      </w:pPr>
    </w:p>
    <w:p>
      <w:pPr>
        <w:ind w:left="960" w:hanging="304"/>
        <w:spacing w:after="0"/>
        <w:tabs>
          <w:tab w:leader="none" w:pos="960" w:val="left"/>
        </w:tabs>
        <w:numPr>
          <w:ilvl w:val="0"/>
          <w:numId w:val="76"/>
        </w:numPr>
        <w:rPr>
          <w:rFonts w:ascii="Arial" w:cs="Arial" w:eastAsia="Arial" w:hAnsi="Arial"/>
          <w:sz w:val="22"/>
          <w:szCs w:val="22"/>
          <w:color w:val="auto"/>
        </w:rPr>
      </w:pPr>
      <w:r>
        <w:rPr>
          <w:rFonts w:ascii="Arial" w:cs="Arial" w:eastAsia="Arial" w:hAnsi="Arial"/>
          <w:sz w:val="22"/>
          <w:szCs w:val="22"/>
          <w:color w:val="auto"/>
        </w:rPr>
        <w:t>was a member of such Board of Directors on the date hereof; or</w:t>
      </w:r>
    </w:p>
    <w:p>
      <w:pPr>
        <w:spacing w:after="0" w:line="260" w:lineRule="exact"/>
        <w:rPr>
          <w:rFonts w:ascii="Arial" w:cs="Arial" w:eastAsia="Arial" w:hAnsi="Arial"/>
          <w:sz w:val="22"/>
          <w:szCs w:val="22"/>
          <w:color w:val="auto"/>
        </w:rPr>
      </w:pPr>
    </w:p>
    <w:p>
      <w:pPr>
        <w:jc w:val="both"/>
        <w:ind w:left="340" w:firstLine="316"/>
        <w:spacing w:after="0" w:line="292" w:lineRule="auto"/>
        <w:tabs>
          <w:tab w:leader="none" w:pos="961" w:val="left"/>
        </w:tabs>
        <w:numPr>
          <w:ilvl w:val="0"/>
          <w:numId w:val="76"/>
        </w:numPr>
        <w:rPr>
          <w:rFonts w:ascii="Arial" w:cs="Arial" w:eastAsia="Arial" w:hAnsi="Arial"/>
          <w:sz w:val="22"/>
          <w:szCs w:val="22"/>
          <w:color w:val="auto"/>
        </w:rPr>
      </w:pPr>
      <w:r>
        <w:rPr>
          <w:rFonts w:ascii="Arial" w:cs="Arial" w:eastAsia="Arial" w:hAnsi="Arial"/>
          <w:sz w:val="22"/>
          <w:szCs w:val="22"/>
          <w:color w:val="auto"/>
        </w:rPr>
        <w:t>was nominated for election, or was elected or appointed, to such Board of Directors with the approval of a majority of the Continuing Directors who were members of such Board of Directors at the time of such nomination, election or appointment.</w:t>
      </w:r>
    </w:p>
    <w:p>
      <w:pPr>
        <w:spacing w:after="0" w:line="18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Corporate Trust Office of the Trustee</w:t>
      </w:r>
      <w:r>
        <w:rPr>
          <w:rFonts w:ascii="Arial" w:cs="Arial" w:eastAsia="Arial" w:hAnsi="Arial"/>
          <w:sz w:val="22"/>
          <w:szCs w:val="22"/>
          <w:color w:val="auto"/>
        </w:rPr>
        <w:t>” means the address of the Trustee specified in Section 11.01 hereof or such other address as to which the Trustee may give notice to the Issuer.</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Custodian</w:t>
      </w:r>
      <w:r>
        <w:rPr>
          <w:rFonts w:ascii="Arial" w:cs="Arial" w:eastAsia="Arial" w:hAnsi="Arial"/>
          <w:sz w:val="19"/>
          <w:szCs w:val="19"/>
          <w:color w:val="auto"/>
        </w:rPr>
        <w:t>” means the Trustee, as custodian with respect to the Notes in global form, or any successor entity thereto.</w:t>
      </w:r>
    </w:p>
    <w:p>
      <w:pPr>
        <w:spacing w:after="0" w:line="29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Default</w:t>
      </w:r>
      <w:r>
        <w:rPr>
          <w:rFonts w:ascii="Arial" w:cs="Arial" w:eastAsia="Arial" w:hAnsi="Arial"/>
          <w:sz w:val="19"/>
          <w:szCs w:val="19"/>
          <w:color w:val="auto"/>
        </w:rPr>
        <w:t>” means any event that is, or with the passage of time or the giving of notice or both would be, an Event of Default.</w:t>
      </w:r>
    </w:p>
    <w:p>
      <w:pPr>
        <w:spacing w:after="0" w:line="29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Definitive Note</w:t>
      </w:r>
      <w:r>
        <w:rPr>
          <w:rFonts w:ascii="Arial" w:cs="Arial" w:eastAsia="Arial" w:hAnsi="Arial"/>
          <w:sz w:val="21"/>
          <w:szCs w:val="21"/>
          <w:color w:val="auto"/>
        </w:rPr>
        <w:t>” means a certificated Note registered in the name of the Holder thereof and issued in accordance with Section 2.06 hereof, substantially in the form of Exhibit A hereto except that such Note shall not bear the Global Note Legend and shall not have the “Schedule of Exchanges of Interests in the Global Note” attached thereto.</w:t>
      </w:r>
    </w:p>
    <w:p>
      <w:pPr>
        <w:spacing w:after="0" w:line="169"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Depositary</w:t>
      </w:r>
      <w:r>
        <w:rPr>
          <w:rFonts w:ascii="Arial" w:cs="Arial" w:eastAsia="Arial" w:hAnsi="Arial"/>
          <w:sz w:val="22"/>
          <w:szCs w:val="22"/>
          <w:color w:val="auto"/>
        </w:rPr>
        <w:t>” means, with respect to the Notes issuable or issued in whole or in part in global form, the Person specified in Section 2.03 hereof as the Depositary with respect to the Notes, and any and all successors thereto appointed as depositary hereunder and having become such pursuant to the applicable provision of this Indenture.</w:t>
      </w:r>
    </w:p>
    <w:p>
      <w:pPr>
        <w:spacing w:after="0" w:line="184"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Designated Officer</w:t>
      </w:r>
      <w:r>
        <w:rPr>
          <w:rFonts w:ascii="Arial" w:cs="Arial" w:eastAsia="Arial" w:hAnsi="Arial"/>
          <w:sz w:val="22"/>
          <w:szCs w:val="22"/>
          <w:color w:val="auto"/>
        </w:rPr>
        <w:t>” means, with respect to any Person, the Chairman of the Board, the Chief Executive Officer, the President, the Chief Operating Officer, the Chief Financial Officer, the Treasurer, the Controller, the Secretary, the Assistant Secretary or any Vice President of such Person.</w:t>
      </w:r>
    </w:p>
    <w:p>
      <w:pPr>
        <w:spacing w:after="0" w:line="184"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Disqualified Stock</w:t>
      </w:r>
      <w:r>
        <w:rPr>
          <w:rFonts w:ascii="Arial" w:cs="Arial" w:eastAsia="Arial" w:hAnsi="Arial"/>
          <w:sz w:val="21"/>
          <w:szCs w:val="21"/>
          <w:color w:val="auto"/>
        </w:rPr>
        <w:t>” means any Capital Stock that, by its terms (or by the terms of any security into which it is convertible, or for which it is exchangeable, in each case, at the option of the holder of the Capital Stock), or upon the happening of any event, matures or is mandatorily redeemable, pursuant to a sinking fund obligation or otherwise, or redeemable at the option of the holder of the Capital Stock, in whole or in part, on or prior to the date that is 91 days after the date on which the Notes mature. Notwithstanding the preceding sentence, any Capital Stock that would constitute Disqualified Stock solely because the holders of the Capital Stock have the right to require the issuer thereof to repurchase such Capital Stock upon the occurrence of a change of control or an asset sale will not constitute Disqualified Stock.</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3180" w:type="dxa"/>
            <w:vAlign w:val="bottom"/>
          </w:tcPr>
          <w:p>
            <w:pPr>
              <w:spacing w:after="0"/>
              <w:rPr>
                <w:sz w:val="20"/>
                <w:szCs w:val="20"/>
                <w:color w:val="auto"/>
              </w:rPr>
            </w:pPr>
            <w:r>
              <w:rPr>
                <w:rFonts w:ascii="Arial" w:cs="Arial" w:eastAsia="Arial" w:hAnsi="Arial"/>
                <w:sz w:val="11"/>
                <w:szCs w:val="11"/>
                <w:color w:val="auto"/>
              </w:rPr>
              <w:t>ASIA 33616188</w:t>
            </w:r>
          </w:p>
        </w:tc>
        <w:tc>
          <w:tcPr>
            <w:tcW w:w="2580" w:type="dxa"/>
            <w:vAlign w:val="bottom"/>
          </w:tcPr>
          <w:p>
            <w:pPr>
              <w:jc w:val="right"/>
              <w:spacing w:after="0"/>
              <w:rPr>
                <w:sz w:val="20"/>
                <w:szCs w:val="20"/>
                <w:color w:val="auto"/>
              </w:rPr>
            </w:pPr>
            <w:r>
              <w:rPr>
                <w:rFonts w:ascii="Arial" w:cs="Arial" w:eastAsia="Arial" w:hAnsi="Arial"/>
                <w:sz w:val="22"/>
                <w:szCs w:val="22"/>
                <w:color w:val="auto"/>
              </w:rPr>
              <w:t>5</w:t>
            </w:r>
          </w:p>
        </w:tc>
      </w:tr>
    </w:tbl>
    <w:p>
      <w:pPr>
        <w:sectPr>
          <w:pgSz w:w="11900" w:h="16838" w:orient="portrait"/>
          <w:cols w:equalWidth="0" w:num="1">
            <w:col w:w="11420"/>
          </w:cols>
          <w:pgMar w:left="240" w:top="1440" w:right="239" w:bottom="1440" w:gutter="0" w:footer="0" w:header="0"/>
        </w:sectPr>
      </w:pPr>
    </w:p>
    <w:bookmarkStart w:id="156" w:name="page157"/>
    <w:bookmarkEnd w:id="156"/>
    <w:p>
      <w:pPr>
        <w:spacing w:after="0" w:line="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Dollar Equivalent</w:t>
      </w:r>
      <w:r>
        <w:rPr>
          <w:rFonts w:ascii="Arial" w:cs="Arial" w:eastAsia="Arial" w:hAnsi="Arial"/>
          <w:sz w:val="22"/>
          <w:szCs w:val="22"/>
          <w:color w:val="auto"/>
        </w:rPr>
        <w:t>” means, with respect to any monetary amount in a currency other than U.S. dollars, at any time for the determination thereof, the amount of U.S. dollars obtained by converting such foreign currency involved in such computation into U.S. dollars at the base rate for the purchase of U.S. dollars with the applicable foreign currency as quoted by the Federal Reserve Bank of New York on the date of determination.</w:t>
      </w:r>
    </w:p>
    <w:p>
      <w:pPr>
        <w:spacing w:after="0" w:line="190"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Equity Interests</w:t>
      </w:r>
      <w:r>
        <w:rPr>
          <w:rFonts w:ascii="Arial" w:cs="Arial" w:eastAsia="Arial" w:hAnsi="Arial"/>
          <w:sz w:val="22"/>
          <w:szCs w:val="22"/>
          <w:color w:val="auto"/>
        </w:rPr>
        <w:t>” means Capital Stock and all warrants, options or other rights to acquire Capital Stock (but excluding any debt security that is convertible into, or exchangeable for, Capital Stock).</w:t>
      </w:r>
    </w:p>
    <w:p>
      <w:pPr>
        <w:spacing w:after="0" w:line="174"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Equity Offering</w:t>
      </w:r>
      <w:r>
        <w:rPr>
          <w:rFonts w:ascii="Arial" w:cs="Arial" w:eastAsia="Arial" w:hAnsi="Arial"/>
          <w:sz w:val="21"/>
          <w:szCs w:val="21"/>
          <w:color w:val="auto"/>
        </w:rPr>
        <w:t>” means any public sale or private issuance of Capital Stock (other than Disqualified Stock) of (1) the Issuer or (2) a direct or indirect parent of the Issuer to the extent the net proceeds from such sale or issuance are contributed in cash to the common equity capital of the Issuer (in each case other than pursuant to a registration statement on Form S-8 or otherwise relating to equity securities issuable under any employee benefit plan of the Issuer).</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Euroclear</w:t>
      </w:r>
      <w:r>
        <w:rPr>
          <w:rFonts w:ascii="Arial" w:cs="Arial" w:eastAsia="Arial" w:hAnsi="Arial"/>
          <w:sz w:val="22"/>
          <w:szCs w:val="22"/>
          <w:color w:val="auto"/>
        </w:rPr>
        <w:t>” means Euroclear Bank, SA/NV, as operator of the Euroclear system.</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Exchange Act</w:t>
      </w:r>
      <w:r>
        <w:rPr>
          <w:rFonts w:ascii="Arial" w:cs="Arial" w:eastAsia="Arial" w:hAnsi="Arial"/>
          <w:sz w:val="22"/>
          <w:szCs w:val="22"/>
          <w:color w:val="auto"/>
        </w:rPr>
        <w:t>” means the United States Securities Exchange Act of 1934, as amended.</w:t>
      </w:r>
    </w:p>
    <w:p>
      <w:pPr>
        <w:spacing w:after="0" w:line="26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Fair Market Value</w:t>
      </w:r>
      <w:r>
        <w:rPr>
          <w:rFonts w:ascii="Arial" w:cs="Arial" w:eastAsia="Arial" w:hAnsi="Arial"/>
          <w:sz w:val="22"/>
          <w:szCs w:val="22"/>
          <w:color w:val="auto"/>
        </w:rPr>
        <w:t>” means the value that would be paid by a willing buyer to an unaffiliated willing seller in a transaction not involving distress or necessity of either party, determined in good faith by (1) an appropriate officer of the Issuer, in the case of any value equal to or less than US$25.0 million (or the Dollar Equivalent thereof) or (2) the Board of Directors of the Issuer, in the event of any value greater than US$25.0 million (or the Dollar Equivalent thereof), in each case, unless otherwise provided in this Indenture.</w:t>
      </w:r>
    </w:p>
    <w:p>
      <w:pPr>
        <w:spacing w:after="0" w:line="18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Gaming Authority</w:t>
      </w:r>
      <w:r>
        <w:rPr>
          <w:rFonts w:ascii="Arial" w:cs="Arial" w:eastAsia="Arial" w:hAnsi="Arial"/>
          <w:sz w:val="21"/>
          <w:szCs w:val="21"/>
          <w:color w:val="auto"/>
        </w:rPr>
        <w:t>” means any agency, authority, board, bureau, commission, department, office or instrumentality of any nature whatsoever of any national or foreign government, any state, province or city or other political subdivision or otherwise, whether on the date of this Indenture or thereafter in existence, including the Government of the Macau Special Administrative Region and any other applicable gaming regulatory authority or agency, in each case, with authority to regulate the sale or distribution of liquor or any gaming operation (or proposed gaming operation) owned, managed or operated by the Issuer or any of its respective Affiliates, including the Concessionaire.</w:t>
      </w:r>
    </w:p>
    <w:p>
      <w:pPr>
        <w:spacing w:after="0" w:line="182" w:lineRule="exact"/>
        <w:rPr>
          <w:sz w:val="20"/>
          <w:szCs w:val="20"/>
          <w:color w:val="auto"/>
        </w:rPr>
      </w:pPr>
    </w:p>
    <w:p>
      <w:pPr>
        <w:jc w:val="both"/>
        <w:ind w:firstLine="648"/>
        <w:spacing w:after="0" w:line="38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Gaming Law</w:t>
      </w:r>
      <w:r>
        <w:rPr>
          <w:rFonts w:ascii="Arial" w:cs="Arial" w:eastAsia="Arial" w:hAnsi="Arial"/>
          <w:sz w:val="19"/>
          <w:szCs w:val="19"/>
          <w:color w:val="auto"/>
        </w:rPr>
        <w:t>” means the gaming laws, rules, regulations or ordinances of any jurisdiction or jurisdictions to which Wynn Resorts, the Issuer or any of their respective Affiliates, including the Concessionaire, is, or may be, at any time subject.</w:t>
      </w:r>
    </w:p>
    <w:p>
      <w:pPr>
        <w:spacing w:after="0" w:line="106"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Gaming License</w:t>
      </w:r>
      <w:r>
        <w:rPr>
          <w:rFonts w:ascii="Arial" w:cs="Arial" w:eastAsia="Arial" w:hAnsi="Arial"/>
          <w:sz w:val="22"/>
          <w:szCs w:val="22"/>
          <w:color w:val="auto"/>
        </w:rPr>
        <w:t>” means the license, concession, subconcession or other authorization from any Government Authority which authorizes, permits, concedes or allows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3180" w:type="dxa"/>
            <w:vAlign w:val="bottom"/>
          </w:tcPr>
          <w:p>
            <w:pPr>
              <w:spacing w:after="0"/>
              <w:rPr>
                <w:sz w:val="20"/>
                <w:szCs w:val="20"/>
                <w:color w:val="auto"/>
              </w:rPr>
            </w:pPr>
            <w:r>
              <w:rPr>
                <w:rFonts w:ascii="Arial" w:cs="Arial" w:eastAsia="Arial" w:hAnsi="Arial"/>
                <w:sz w:val="11"/>
                <w:szCs w:val="11"/>
                <w:color w:val="auto"/>
              </w:rPr>
              <w:t>ASIA 33616188</w:t>
            </w:r>
          </w:p>
        </w:tc>
        <w:tc>
          <w:tcPr>
            <w:tcW w:w="2580" w:type="dxa"/>
            <w:vAlign w:val="bottom"/>
          </w:tcPr>
          <w:p>
            <w:pPr>
              <w:jc w:val="right"/>
              <w:spacing w:after="0"/>
              <w:rPr>
                <w:sz w:val="20"/>
                <w:szCs w:val="20"/>
                <w:color w:val="auto"/>
              </w:rPr>
            </w:pPr>
            <w:r>
              <w:rPr>
                <w:rFonts w:ascii="Arial" w:cs="Arial" w:eastAsia="Arial" w:hAnsi="Arial"/>
                <w:sz w:val="22"/>
                <w:szCs w:val="22"/>
                <w:color w:val="auto"/>
              </w:rPr>
              <w:t>6</w:t>
            </w:r>
          </w:p>
        </w:tc>
      </w:tr>
    </w:tbl>
    <w:p>
      <w:pPr>
        <w:sectPr>
          <w:pgSz w:w="11900" w:h="16838" w:orient="portrait"/>
          <w:cols w:equalWidth="0" w:num="1">
            <w:col w:w="11420"/>
          </w:cols>
          <w:pgMar w:left="240" w:top="1440" w:right="239" w:bottom="1440" w:gutter="0" w:footer="0" w:header="0"/>
        </w:sectPr>
      </w:pPr>
    </w:p>
    <w:bookmarkStart w:id="157" w:name="page158"/>
    <w:bookmarkEnd w:id="157"/>
    <w:p>
      <w:pPr>
        <w:spacing w:after="0" w:line="2" w:lineRule="exact"/>
        <w:rPr>
          <w:sz w:val="20"/>
          <w:szCs w:val="20"/>
          <w:color w:val="auto"/>
        </w:rPr>
      </w:pPr>
    </w:p>
    <w:p>
      <w:pPr>
        <w:jc w:val="both"/>
        <w:spacing w:after="0" w:line="302" w:lineRule="auto"/>
        <w:rPr>
          <w:sz w:val="20"/>
          <w:szCs w:val="20"/>
          <w:color w:val="auto"/>
        </w:rPr>
      </w:pPr>
      <w:r>
        <w:rPr>
          <w:rFonts w:ascii="Arial" w:cs="Arial" w:eastAsia="Arial" w:hAnsi="Arial"/>
          <w:sz w:val="22"/>
          <w:szCs w:val="22"/>
          <w:color w:val="auto"/>
        </w:rPr>
        <w:t>Wynn Macau or any of its Subsidiaries, at the relevant time, to own or manage casino or gaming areas or operate casino games of fortune and chance.</w:t>
      </w:r>
    </w:p>
    <w:p>
      <w:pPr>
        <w:spacing w:after="0" w:line="200" w:lineRule="exact"/>
        <w:rPr>
          <w:sz w:val="20"/>
          <w:szCs w:val="20"/>
          <w:color w:val="auto"/>
        </w:rPr>
      </w:pPr>
    </w:p>
    <w:p>
      <w:pPr>
        <w:spacing w:after="0" w:line="21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Global Note Legend</w:t>
      </w:r>
      <w:r>
        <w:rPr>
          <w:rFonts w:ascii="Arial" w:cs="Arial" w:eastAsia="Arial" w:hAnsi="Arial"/>
          <w:sz w:val="22"/>
          <w:szCs w:val="22"/>
          <w:color w:val="auto"/>
        </w:rPr>
        <w:t>” means the legend set forth in Section 2.06(f)(2) hereof, which is required to be placed on all Global Notes issued under this Indenture.</w:t>
      </w:r>
    </w:p>
    <w:p>
      <w:pPr>
        <w:spacing w:after="0" w:line="17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Global Notes</w:t>
      </w:r>
      <w:r>
        <w:rPr>
          <w:rFonts w:ascii="Arial" w:cs="Arial" w:eastAsia="Arial" w:hAnsi="Arial"/>
          <w:sz w:val="22"/>
          <w:szCs w:val="22"/>
          <w:color w:val="auto"/>
        </w:rPr>
        <w:t>” means each of the global Notes issued in accordance with Section 2.01 hereof and substantially in the form of Exhibit A hereto that, except as otherwise provided in Section 2.01(b) hereof, bear the Global Note Legend and that have the “Schedule of Exchanges of Interests in the Global Note” attached thereto, and that are deposited with or on behalf of and registered in the name of the Depositary or its nominee.</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Government Securities</w:t>
      </w:r>
      <w:r>
        <w:rPr>
          <w:rFonts w:ascii="Arial" w:cs="Arial" w:eastAsia="Arial" w:hAnsi="Arial"/>
          <w:sz w:val="22"/>
          <w:szCs w:val="22"/>
          <w:color w:val="auto"/>
        </w:rPr>
        <w:t>” means securities that are:</w:t>
      </w:r>
    </w:p>
    <w:p>
      <w:pPr>
        <w:spacing w:after="0" w:line="260" w:lineRule="exact"/>
        <w:rPr>
          <w:sz w:val="20"/>
          <w:szCs w:val="20"/>
          <w:color w:val="auto"/>
        </w:rPr>
      </w:pPr>
    </w:p>
    <w:p>
      <w:pPr>
        <w:ind w:left="960" w:hanging="304"/>
        <w:spacing w:after="0"/>
        <w:tabs>
          <w:tab w:leader="none" w:pos="960" w:val="left"/>
        </w:tabs>
        <w:numPr>
          <w:ilvl w:val="0"/>
          <w:numId w:val="77"/>
        </w:numPr>
        <w:rPr>
          <w:rFonts w:ascii="Arial" w:cs="Arial" w:eastAsia="Arial" w:hAnsi="Arial"/>
          <w:sz w:val="19"/>
          <w:szCs w:val="19"/>
          <w:color w:val="auto"/>
        </w:rPr>
      </w:pPr>
      <w:r>
        <w:rPr>
          <w:rFonts w:ascii="Arial" w:cs="Arial" w:eastAsia="Arial" w:hAnsi="Arial"/>
          <w:sz w:val="19"/>
          <w:szCs w:val="19"/>
          <w:color w:val="auto"/>
        </w:rPr>
        <w:t>direct obligations of the United States of America for the timely payment of which its full faith and credit is pledged; or</w:t>
      </w:r>
    </w:p>
    <w:p>
      <w:pPr>
        <w:spacing w:after="0" w:line="294" w:lineRule="exact"/>
        <w:rPr>
          <w:rFonts w:ascii="Arial" w:cs="Arial" w:eastAsia="Arial" w:hAnsi="Arial"/>
          <w:sz w:val="19"/>
          <w:szCs w:val="19"/>
          <w:color w:val="auto"/>
        </w:rPr>
      </w:pPr>
    </w:p>
    <w:p>
      <w:pPr>
        <w:jc w:val="both"/>
        <w:ind w:left="340" w:firstLine="316"/>
        <w:spacing w:after="0" w:line="292" w:lineRule="auto"/>
        <w:tabs>
          <w:tab w:leader="none" w:pos="975" w:val="left"/>
        </w:tabs>
        <w:numPr>
          <w:ilvl w:val="0"/>
          <w:numId w:val="77"/>
        </w:numPr>
        <w:rPr>
          <w:rFonts w:ascii="Arial" w:cs="Arial" w:eastAsia="Arial" w:hAnsi="Arial"/>
          <w:sz w:val="22"/>
          <w:szCs w:val="22"/>
          <w:color w:val="auto"/>
        </w:rPr>
      </w:pPr>
      <w:r>
        <w:rPr>
          <w:rFonts w:ascii="Arial" w:cs="Arial" w:eastAsia="Arial" w:hAnsi="Arial"/>
          <w:sz w:val="22"/>
          <w:szCs w:val="22"/>
          <w:color w:val="auto"/>
        </w:rPr>
        <w:t>obligations of a Person controlled or supervised by and acting as an agency or instrumentality of the United States of America the timely payment of which is unconditionally guaranteed as a full faith and credit obligation by the United States of America;</w:t>
      </w:r>
    </w:p>
    <w:p>
      <w:pPr>
        <w:spacing w:after="0" w:line="18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22"/>
          <w:szCs w:val="22"/>
          <w:color w:val="auto"/>
        </w:rPr>
        <w:t>which, in either case, are not callable or redeemable at the option of the issuer thereof, and will include a depository receipt issued by a bank (as defined in Section 3(a)(2) of the Securities Act), as custodian with respect to any such Government Security or a specific payment of principal of or interest on any such Government Security held by such custodian for the account of the holder of such depository receipt; provided that (except as required by law) such custodian is not authorized to make any deduction from the amount payable to the holder of such depository receipt from any amount received by the custodian in respect of the Government Security or the specific payment of principal of or interest on the Government Security evidenced by such depository receipt.</w:t>
      </w:r>
    </w:p>
    <w:p>
      <w:pPr>
        <w:spacing w:after="0" w:line="19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Guarantee</w:t>
      </w:r>
      <w:r>
        <w:rPr>
          <w:rFonts w:ascii="Arial" w:cs="Arial" w:eastAsia="Arial" w:hAnsi="Arial"/>
          <w:sz w:val="22"/>
          <w:szCs w:val="22"/>
          <w:color w:val="auto"/>
        </w:rPr>
        <w:t>”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 or otherwise).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3180" w:type="dxa"/>
            <w:vAlign w:val="bottom"/>
          </w:tcPr>
          <w:p>
            <w:pPr>
              <w:spacing w:after="0"/>
              <w:rPr>
                <w:sz w:val="20"/>
                <w:szCs w:val="20"/>
                <w:color w:val="auto"/>
              </w:rPr>
            </w:pPr>
            <w:r>
              <w:rPr>
                <w:rFonts w:ascii="Arial" w:cs="Arial" w:eastAsia="Arial" w:hAnsi="Arial"/>
                <w:sz w:val="11"/>
                <w:szCs w:val="11"/>
                <w:color w:val="auto"/>
              </w:rPr>
              <w:t>ASIA 33616188</w:t>
            </w:r>
          </w:p>
        </w:tc>
        <w:tc>
          <w:tcPr>
            <w:tcW w:w="2580" w:type="dxa"/>
            <w:vAlign w:val="bottom"/>
          </w:tcPr>
          <w:p>
            <w:pPr>
              <w:jc w:val="right"/>
              <w:spacing w:after="0"/>
              <w:rPr>
                <w:sz w:val="20"/>
                <w:szCs w:val="20"/>
                <w:color w:val="auto"/>
              </w:rPr>
            </w:pPr>
            <w:r>
              <w:rPr>
                <w:rFonts w:ascii="Arial" w:cs="Arial" w:eastAsia="Arial" w:hAnsi="Arial"/>
                <w:sz w:val="22"/>
                <w:szCs w:val="22"/>
                <w:color w:val="auto"/>
              </w:rPr>
              <w:t>7</w:t>
            </w:r>
          </w:p>
        </w:tc>
      </w:tr>
    </w:tbl>
    <w:p>
      <w:pPr>
        <w:sectPr>
          <w:pgSz w:w="11900" w:h="16838" w:orient="portrait"/>
          <w:cols w:equalWidth="0" w:num="1">
            <w:col w:w="11420"/>
          </w:cols>
          <w:pgMar w:left="240" w:top="1440" w:right="239" w:bottom="1440" w:gutter="0" w:footer="0" w:header="0"/>
        </w:sectPr>
      </w:pPr>
    </w:p>
    <w:bookmarkStart w:id="158" w:name="page159"/>
    <w:bookmarkEnd w:id="158"/>
    <w:p>
      <w:pPr>
        <w:spacing w:after="0" w:line="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Hedging Obligations</w:t>
      </w:r>
      <w:r>
        <w:rPr>
          <w:rFonts w:ascii="Arial" w:cs="Arial" w:eastAsia="Arial" w:hAnsi="Arial"/>
          <w:sz w:val="22"/>
          <w:szCs w:val="22"/>
          <w:color w:val="auto"/>
        </w:rPr>
        <w:t>” means, with respect to any specified Person, the obligations of such Person under:</w:t>
      </w:r>
    </w:p>
    <w:p>
      <w:pPr>
        <w:spacing w:after="0" w:line="260" w:lineRule="exact"/>
        <w:rPr>
          <w:sz w:val="20"/>
          <w:szCs w:val="20"/>
          <w:color w:val="auto"/>
        </w:rPr>
      </w:pPr>
    </w:p>
    <w:p>
      <w:pPr>
        <w:ind w:left="340" w:firstLine="316"/>
        <w:spacing w:after="0" w:line="302" w:lineRule="auto"/>
        <w:tabs>
          <w:tab w:leader="none" w:pos="961" w:val="left"/>
        </w:tabs>
        <w:numPr>
          <w:ilvl w:val="0"/>
          <w:numId w:val="78"/>
        </w:numPr>
        <w:rPr>
          <w:rFonts w:ascii="Arial" w:cs="Arial" w:eastAsia="Arial" w:hAnsi="Arial"/>
          <w:sz w:val="22"/>
          <w:szCs w:val="22"/>
          <w:color w:val="auto"/>
        </w:rPr>
      </w:pPr>
      <w:r>
        <w:rPr>
          <w:rFonts w:ascii="Arial" w:cs="Arial" w:eastAsia="Arial" w:hAnsi="Arial"/>
          <w:sz w:val="22"/>
          <w:szCs w:val="22"/>
          <w:color w:val="auto"/>
        </w:rPr>
        <w:t>interest rate swap agreements (whether from fixed to floating or from floating to fixed), interest rate cap agreements and interest rate collar agreements;</w:t>
      </w:r>
    </w:p>
    <w:p>
      <w:pPr>
        <w:spacing w:after="0" w:line="173" w:lineRule="exact"/>
        <w:rPr>
          <w:rFonts w:ascii="Arial" w:cs="Arial" w:eastAsia="Arial" w:hAnsi="Arial"/>
          <w:sz w:val="22"/>
          <w:szCs w:val="22"/>
          <w:color w:val="auto"/>
        </w:rPr>
      </w:pPr>
    </w:p>
    <w:p>
      <w:pPr>
        <w:ind w:left="960" w:hanging="304"/>
        <w:spacing w:after="0"/>
        <w:tabs>
          <w:tab w:leader="none" w:pos="960" w:val="left"/>
        </w:tabs>
        <w:numPr>
          <w:ilvl w:val="0"/>
          <w:numId w:val="78"/>
        </w:numPr>
        <w:rPr>
          <w:rFonts w:ascii="Arial" w:cs="Arial" w:eastAsia="Arial" w:hAnsi="Arial"/>
          <w:sz w:val="22"/>
          <w:szCs w:val="22"/>
          <w:color w:val="auto"/>
        </w:rPr>
      </w:pPr>
      <w:r>
        <w:rPr>
          <w:rFonts w:ascii="Arial" w:cs="Arial" w:eastAsia="Arial" w:hAnsi="Arial"/>
          <w:sz w:val="22"/>
          <w:szCs w:val="22"/>
          <w:color w:val="auto"/>
        </w:rPr>
        <w:t>other agreements or arrangements designed to manage interest rates or interest rate risk; and</w:t>
      </w:r>
    </w:p>
    <w:p>
      <w:pPr>
        <w:spacing w:after="0" w:line="260" w:lineRule="exact"/>
        <w:rPr>
          <w:rFonts w:ascii="Arial" w:cs="Arial" w:eastAsia="Arial" w:hAnsi="Arial"/>
          <w:sz w:val="22"/>
          <w:szCs w:val="22"/>
          <w:color w:val="auto"/>
        </w:rPr>
      </w:pPr>
    </w:p>
    <w:p>
      <w:pPr>
        <w:ind w:left="340" w:firstLine="316"/>
        <w:spacing w:after="0" w:line="302" w:lineRule="auto"/>
        <w:tabs>
          <w:tab w:leader="none" w:pos="961" w:val="left"/>
        </w:tabs>
        <w:numPr>
          <w:ilvl w:val="0"/>
          <w:numId w:val="78"/>
        </w:numPr>
        <w:rPr>
          <w:rFonts w:ascii="Arial" w:cs="Arial" w:eastAsia="Arial" w:hAnsi="Arial"/>
          <w:sz w:val="22"/>
          <w:szCs w:val="22"/>
          <w:color w:val="auto"/>
        </w:rPr>
      </w:pPr>
      <w:r>
        <w:rPr>
          <w:rFonts w:ascii="Arial" w:cs="Arial" w:eastAsia="Arial" w:hAnsi="Arial"/>
          <w:sz w:val="22"/>
          <w:szCs w:val="22"/>
          <w:color w:val="auto"/>
        </w:rPr>
        <w:t>other agreements or arrangements designed to protect such Person against fluctuations in currency exchange rates and/or commodity prices.</w:t>
      </w:r>
    </w:p>
    <w:p>
      <w:pPr>
        <w:spacing w:after="0" w:line="174" w:lineRule="exact"/>
        <w:rPr>
          <w:sz w:val="20"/>
          <w:szCs w:val="20"/>
          <w:color w:val="auto"/>
        </w:rPr>
      </w:pPr>
    </w:p>
    <w:p>
      <w:pPr>
        <w:ind w:right="2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Holder</w:t>
      </w:r>
      <w:r>
        <w:rPr>
          <w:rFonts w:ascii="Arial" w:cs="Arial" w:eastAsia="Arial" w:hAnsi="Arial"/>
          <w:sz w:val="22"/>
          <w:szCs w:val="22"/>
          <w:color w:val="auto"/>
        </w:rPr>
        <w:t>” means any registered holder, from time to time, of the Notes. Only registered holders shall have any rights under this Indenture.</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IFRS</w:t>
      </w:r>
      <w:r>
        <w:rPr>
          <w:rFonts w:ascii="Arial" w:cs="Arial" w:eastAsia="Arial" w:hAnsi="Arial"/>
          <w:sz w:val="22"/>
          <w:szCs w:val="22"/>
          <w:color w:val="auto"/>
        </w:rPr>
        <w:t>” means International Financial Reporting Standards as in effect from time to time.</w:t>
      </w:r>
    </w:p>
    <w:p>
      <w:pPr>
        <w:spacing w:after="0" w:line="260" w:lineRule="exact"/>
        <w:rPr>
          <w:sz w:val="20"/>
          <w:szCs w:val="20"/>
          <w:color w:val="auto"/>
        </w:rPr>
      </w:pPr>
    </w:p>
    <w:p>
      <w:pPr>
        <w:ind w:right="2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Indebtedness</w:t>
      </w:r>
      <w:r>
        <w:rPr>
          <w:rFonts w:ascii="Arial" w:cs="Arial" w:eastAsia="Arial" w:hAnsi="Arial"/>
          <w:sz w:val="22"/>
          <w:szCs w:val="22"/>
          <w:color w:val="auto"/>
        </w:rPr>
        <w:t>” means, with respect to any specified Person, any indebtedness of such Person (excluding accrued expenses and trade payables), whether or not contingent:</w:t>
      </w:r>
    </w:p>
    <w:p>
      <w:pPr>
        <w:spacing w:after="0" w:line="174" w:lineRule="exact"/>
        <w:rPr>
          <w:sz w:val="20"/>
          <w:szCs w:val="20"/>
          <w:color w:val="auto"/>
        </w:rPr>
      </w:pPr>
    </w:p>
    <w:p>
      <w:pPr>
        <w:ind w:left="960" w:hanging="304"/>
        <w:spacing w:after="0"/>
        <w:tabs>
          <w:tab w:leader="none" w:pos="960" w:val="left"/>
        </w:tabs>
        <w:numPr>
          <w:ilvl w:val="0"/>
          <w:numId w:val="79"/>
        </w:numPr>
        <w:rPr>
          <w:rFonts w:ascii="Arial" w:cs="Arial" w:eastAsia="Arial" w:hAnsi="Arial"/>
          <w:sz w:val="22"/>
          <w:szCs w:val="22"/>
          <w:color w:val="auto"/>
        </w:rPr>
      </w:pPr>
      <w:r>
        <w:rPr>
          <w:rFonts w:ascii="Arial" w:cs="Arial" w:eastAsia="Arial" w:hAnsi="Arial"/>
          <w:sz w:val="22"/>
          <w:szCs w:val="22"/>
          <w:color w:val="auto"/>
        </w:rPr>
        <w:t>in respect of borrowed money;</w:t>
      </w:r>
    </w:p>
    <w:p>
      <w:pPr>
        <w:spacing w:after="0" w:line="260" w:lineRule="exact"/>
        <w:rPr>
          <w:rFonts w:ascii="Arial" w:cs="Arial" w:eastAsia="Arial" w:hAnsi="Arial"/>
          <w:sz w:val="22"/>
          <w:szCs w:val="22"/>
          <w:color w:val="auto"/>
        </w:rPr>
      </w:pPr>
    </w:p>
    <w:p>
      <w:pPr>
        <w:ind w:left="340" w:firstLine="316"/>
        <w:spacing w:after="0" w:line="302" w:lineRule="auto"/>
        <w:tabs>
          <w:tab w:leader="none" w:pos="961" w:val="left"/>
        </w:tabs>
        <w:numPr>
          <w:ilvl w:val="0"/>
          <w:numId w:val="79"/>
        </w:numPr>
        <w:rPr>
          <w:rFonts w:ascii="Arial" w:cs="Arial" w:eastAsia="Arial" w:hAnsi="Arial"/>
          <w:sz w:val="22"/>
          <w:szCs w:val="22"/>
          <w:color w:val="auto"/>
        </w:rPr>
      </w:pPr>
      <w:r>
        <w:rPr>
          <w:rFonts w:ascii="Arial" w:cs="Arial" w:eastAsia="Arial" w:hAnsi="Arial"/>
          <w:sz w:val="22"/>
          <w:szCs w:val="22"/>
          <w:color w:val="auto"/>
        </w:rPr>
        <w:t>evidenced by bonds, notes, debentures or similar instruments or letters of credit (or reimbursement agreements in respect thereof);</w:t>
      </w:r>
    </w:p>
    <w:p>
      <w:pPr>
        <w:spacing w:after="0" w:line="173" w:lineRule="exact"/>
        <w:rPr>
          <w:rFonts w:ascii="Arial" w:cs="Arial" w:eastAsia="Arial" w:hAnsi="Arial"/>
          <w:sz w:val="22"/>
          <w:szCs w:val="22"/>
          <w:color w:val="auto"/>
        </w:rPr>
      </w:pPr>
    </w:p>
    <w:p>
      <w:pPr>
        <w:ind w:left="960" w:hanging="304"/>
        <w:spacing w:after="0"/>
        <w:tabs>
          <w:tab w:leader="none" w:pos="960" w:val="left"/>
        </w:tabs>
        <w:numPr>
          <w:ilvl w:val="0"/>
          <w:numId w:val="79"/>
        </w:numPr>
        <w:rPr>
          <w:rFonts w:ascii="Arial" w:cs="Arial" w:eastAsia="Arial" w:hAnsi="Arial"/>
          <w:sz w:val="22"/>
          <w:szCs w:val="22"/>
          <w:color w:val="auto"/>
        </w:rPr>
      </w:pPr>
      <w:r>
        <w:rPr>
          <w:rFonts w:ascii="Arial" w:cs="Arial" w:eastAsia="Arial" w:hAnsi="Arial"/>
          <w:sz w:val="22"/>
          <w:szCs w:val="22"/>
          <w:color w:val="auto"/>
        </w:rPr>
        <w:t>in respect of banker’s acceptances;</w:t>
      </w:r>
    </w:p>
    <w:p>
      <w:pPr>
        <w:spacing w:after="0" w:line="260" w:lineRule="exact"/>
        <w:rPr>
          <w:rFonts w:ascii="Arial" w:cs="Arial" w:eastAsia="Arial" w:hAnsi="Arial"/>
          <w:sz w:val="22"/>
          <w:szCs w:val="22"/>
          <w:color w:val="auto"/>
        </w:rPr>
      </w:pPr>
    </w:p>
    <w:p>
      <w:pPr>
        <w:ind w:left="960" w:hanging="304"/>
        <w:spacing w:after="0"/>
        <w:tabs>
          <w:tab w:leader="none" w:pos="960" w:val="left"/>
        </w:tabs>
        <w:numPr>
          <w:ilvl w:val="0"/>
          <w:numId w:val="79"/>
        </w:numPr>
        <w:rPr>
          <w:rFonts w:ascii="Arial" w:cs="Arial" w:eastAsia="Arial" w:hAnsi="Arial"/>
          <w:sz w:val="22"/>
          <w:szCs w:val="22"/>
          <w:color w:val="auto"/>
        </w:rPr>
      </w:pPr>
      <w:r>
        <w:rPr>
          <w:rFonts w:ascii="Arial" w:cs="Arial" w:eastAsia="Arial" w:hAnsi="Arial"/>
          <w:sz w:val="22"/>
          <w:szCs w:val="22"/>
          <w:color w:val="auto"/>
        </w:rPr>
        <w:t>representing Capital Lease Obligations;</w:t>
      </w:r>
    </w:p>
    <w:p>
      <w:pPr>
        <w:spacing w:after="0" w:line="260" w:lineRule="exact"/>
        <w:rPr>
          <w:rFonts w:ascii="Arial" w:cs="Arial" w:eastAsia="Arial" w:hAnsi="Arial"/>
          <w:sz w:val="22"/>
          <w:szCs w:val="22"/>
          <w:color w:val="auto"/>
        </w:rPr>
      </w:pPr>
    </w:p>
    <w:p>
      <w:pPr>
        <w:ind w:left="340" w:firstLine="316"/>
        <w:spacing w:after="0" w:line="302" w:lineRule="auto"/>
        <w:tabs>
          <w:tab w:leader="none" w:pos="961" w:val="left"/>
        </w:tabs>
        <w:numPr>
          <w:ilvl w:val="0"/>
          <w:numId w:val="79"/>
        </w:numPr>
        <w:rPr>
          <w:rFonts w:ascii="Arial" w:cs="Arial" w:eastAsia="Arial" w:hAnsi="Arial"/>
          <w:sz w:val="22"/>
          <w:szCs w:val="22"/>
          <w:color w:val="auto"/>
        </w:rPr>
      </w:pPr>
      <w:r>
        <w:rPr>
          <w:rFonts w:ascii="Arial" w:cs="Arial" w:eastAsia="Arial" w:hAnsi="Arial"/>
          <w:sz w:val="22"/>
          <w:szCs w:val="22"/>
          <w:color w:val="auto"/>
        </w:rPr>
        <w:t>representing the balance deferred and unpaid of the purchase price of any property or services due more than six months after such property is acquired or such services are completed; or</w:t>
      </w:r>
    </w:p>
    <w:p>
      <w:pPr>
        <w:spacing w:after="0" w:line="173" w:lineRule="exact"/>
        <w:rPr>
          <w:rFonts w:ascii="Arial" w:cs="Arial" w:eastAsia="Arial" w:hAnsi="Arial"/>
          <w:sz w:val="22"/>
          <w:szCs w:val="22"/>
          <w:color w:val="auto"/>
        </w:rPr>
      </w:pPr>
    </w:p>
    <w:p>
      <w:pPr>
        <w:ind w:left="960" w:hanging="304"/>
        <w:spacing w:after="0"/>
        <w:tabs>
          <w:tab w:leader="none" w:pos="960" w:val="left"/>
        </w:tabs>
        <w:numPr>
          <w:ilvl w:val="0"/>
          <w:numId w:val="79"/>
        </w:numPr>
        <w:rPr>
          <w:rFonts w:ascii="Arial" w:cs="Arial" w:eastAsia="Arial" w:hAnsi="Arial"/>
          <w:sz w:val="22"/>
          <w:szCs w:val="22"/>
          <w:color w:val="auto"/>
        </w:rPr>
      </w:pPr>
      <w:r>
        <w:rPr>
          <w:rFonts w:ascii="Arial" w:cs="Arial" w:eastAsia="Arial" w:hAnsi="Arial"/>
          <w:sz w:val="22"/>
          <w:szCs w:val="22"/>
          <w:color w:val="auto"/>
        </w:rPr>
        <w:t>representing any Hedging Obligations,</w:t>
      </w:r>
    </w:p>
    <w:p>
      <w:pPr>
        <w:spacing w:after="0" w:line="26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2"/>
          <w:szCs w:val="22"/>
          <w:color w:val="auto"/>
        </w:rPr>
        <w:t>if and to the extent any of the preceding items (other than letters of credit and Hedging Obligations) would appear as a liability upon a balance sheet of the specified Person prepared in accordance with IFRS. 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3180" w:type="dxa"/>
            <w:vAlign w:val="bottom"/>
          </w:tcPr>
          <w:p>
            <w:pPr>
              <w:spacing w:after="0"/>
              <w:rPr>
                <w:sz w:val="20"/>
                <w:szCs w:val="20"/>
                <w:color w:val="auto"/>
              </w:rPr>
            </w:pPr>
            <w:r>
              <w:rPr>
                <w:rFonts w:ascii="Arial" w:cs="Arial" w:eastAsia="Arial" w:hAnsi="Arial"/>
                <w:sz w:val="11"/>
                <w:szCs w:val="11"/>
                <w:color w:val="auto"/>
              </w:rPr>
              <w:t>ASIA 33616188</w:t>
            </w:r>
          </w:p>
        </w:tc>
        <w:tc>
          <w:tcPr>
            <w:tcW w:w="2580" w:type="dxa"/>
            <w:vAlign w:val="bottom"/>
          </w:tcPr>
          <w:p>
            <w:pPr>
              <w:jc w:val="right"/>
              <w:spacing w:after="0"/>
              <w:rPr>
                <w:sz w:val="20"/>
                <w:szCs w:val="20"/>
                <w:color w:val="auto"/>
              </w:rPr>
            </w:pPr>
            <w:r>
              <w:rPr>
                <w:rFonts w:ascii="Arial" w:cs="Arial" w:eastAsia="Arial" w:hAnsi="Arial"/>
                <w:sz w:val="22"/>
                <w:szCs w:val="22"/>
                <w:color w:val="auto"/>
              </w:rPr>
              <w:t>8</w:t>
            </w:r>
          </w:p>
        </w:tc>
      </w:tr>
    </w:tbl>
    <w:p>
      <w:pPr>
        <w:sectPr>
          <w:pgSz w:w="11900" w:h="16838" w:orient="portrait"/>
          <w:cols w:equalWidth="0" w:num="1">
            <w:col w:w="11420"/>
          </w:cols>
          <w:pgMar w:left="240" w:top="1440" w:right="239" w:bottom="1440" w:gutter="0" w:footer="0" w:header="0"/>
        </w:sectPr>
      </w:pPr>
    </w:p>
    <w:bookmarkStart w:id="159" w:name="page160"/>
    <w:bookmarkEnd w:id="159"/>
    <w:p>
      <w:pPr>
        <w:spacing w:after="0" w:line="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amount of any Indebtedness outstanding as of any date shall be:</w:t>
      </w:r>
    </w:p>
    <w:p>
      <w:pPr>
        <w:spacing w:after="0" w:line="260" w:lineRule="exact"/>
        <w:rPr>
          <w:sz w:val="20"/>
          <w:szCs w:val="20"/>
          <w:color w:val="auto"/>
        </w:rPr>
      </w:pPr>
    </w:p>
    <w:p>
      <w:pPr>
        <w:ind w:left="960" w:hanging="304"/>
        <w:spacing w:after="0"/>
        <w:tabs>
          <w:tab w:leader="none" w:pos="960" w:val="left"/>
        </w:tabs>
        <w:numPr>
          <w:ilvl w:val="0"/>
          <w:numId w:val="80"/>
        </w:numPr>
        <w:rPr>
          <w:rFonts w:ascii="Arial" w:cs="Arial" w:eastAsia="Arial" w:hAnsi="Arial"/>
          <w:sz w:val="22"/>
          <w:szCs w:val="22"/>
          <w:color w:val="auto"/>
        </w:rPr>
      </w:pPr>
      <w:r>
        <w:rPr>
          <w:rFonts w:ascii="Arial" w:cs="Arial" w:eastAsia="Arial" w:hAnsi="Arial"/>
          <w:sz w:val="22"/>
          <w:szCs w:val="22"/>
          <w:color w:val="auto"/>
        </w:rPr>
        <w:t>the accreted value of the Indebtedness, in the case of any Indebtedness issued with original issue discount;</w:t>
      </w:r>
    </w:p>
    <w:p>
      <w:pPr>
        <w:spacing w:after="0" w:line="260" w:lineRule="exact"/>
        <w:rPr>
          <w:rFonts w:ascii="Arial" w:cs="Arial" w:eastAsia="Arial" w:hAnsi="Arial"/>
          <w:sz w:val="22"/>
          <w:szCs w:val="22"/>
          <w:color w:val="auto"/>
        </w:rPr>
      </w:pPr>
    </w:p>
    <w:p>
      <w:pPr>
        <w:ind w:left="340" w:right="20" w:firstLine="316"/>
        <w:spacing w:after="0" w:line="302" w:lineRule="auto"/>
        <w:tabs>
          <w:tab w:leader="none" w:pos="961" w:val="left"/>
        </w:tabs>
        <w:numPr>
          <w:ilvl w:val="0"/>
          <w:numId w:val="80"/>
        </w:numPr>
        <w:rPr>
          <w:rFonts w:ascii="Arial" w:cs="Arial" w:eastAsia="Arial" w:hAnsi="Arial"/>
          <w:sz w:val="22"/>
          <w:szCs w:val="22"/>
          <w:color w:val="auto"/>
        </w:rPr>
      </w:pPr>
      <w:r>
        <w:rPr>
          <w:rFonts w:ascii="Arial" w:cs="Arial" w:eastAsia="Arial" w:hAnsi="Arial"/>
          <w:sz w:val="22"/>
          <w:szCs w:val="22"/>
          <w:color w:val="auto"/>
        </w:rPr>
        <w:t>the principal amount of the Indebtedness, together with any interest on the Indebtedness that is more than 30 days past due, in the case of any other Indebtedness;</w:t>
      </w:r>
    </w:p>
    <w:p>
      <w:pPr>
        <w:spacing w:after="0" w:line="173" w:lineRule="exact"/>
        <w:rPr>
          <w:rFonts w:ascii="Arial" w:cs="Arial" w:eastAsia="Arial" w:hAnsi="Arial"/>
          <w:sz w:val="22"/>
          <w:szCs w:val="22"/>
          <w:color w:val="auto"/>
        </w:rPr>
      </w:pPr>
    </w:p>
    <w:p>
      <w:pPr>
        <w:ind w:left="960" w:hanging="304"/>
        <w:spacing w:after="0"/>
        <w:tabs>
          <w:tab w:leader="none" w:pos="960" w:val="left"/>
        </w:tabs>
        <w:numPr>
          <w:ilvl w:val="0"/>
          <w:numId w:val="80"/>
        </w:numPr>
        <w:rPr>
          <w:rFonts w:ascii="Arial" w:cs="Arial" w:eastAsia="Arial" w:hAnsi="Arial"/>
          <w:sz w:val="19"/>
          <w:szCs w:val="19"/>
          <w:color w:val="auto"/>
        </w:rPr>
      </w:pPr>
      <w:r>
        <w:rPr>
          <w:rFonts w:ascii="Arial" w:cs="Arial" w:eastAsia="Arial" w:hAnsi="Arial"/>
          <w:sz w:val="19"/>
          <w:szCs w:val="19"/>
          <w:color w:val="auto"/>
        </w:rPr>
        <w:t>in the case of a Guarantee of Indebtedness, the maximum amount of the Indebtedness guaranteed under such Guarantee;</w:t>
      </w:r>
    </w:p>
    <w:p>
      <w:pPr>
        <w:spacing w:after="0" w:line="78" w:lineRule="exact"/>
        <w:rPr>
          <w:rFonts w:ascii="Arial" w:cs="Arial" w:eastAsia="Arial" w:hAnsi="Arial"/>
          <w:sz w:val="19"/>
          <w:szCs w:val="19"/>
          <w:color w:val="auto"/>
        </w:rPr>
      </w:pPr>
    </w:p>
    <w:p>
      <w:pPr>
        <w:ind w:left="340"/>
        <w:spacing w:after="0"/>
        <w:rPr>
          <w:rFonts w:ascii="Arial" w:cs="Arial" w:eastAsia="Arial" w:hAnsi="Arial"/>
          <w:sz w:val="19"/>
          <w:szCs w:val="19"/>
          <w:color w:val="auto"/>
        </w:rPr>
      </w:pPr>
      <w:r>
        <w:rPr>
          <w:rFonts w:ascii="Arial" w:cs="Arial" w:eastAsia="Arial" w:hAnsi="Arial"/>
          <w:sz w:val="22"/>
          <w:szCs w:val="22"/>
          <w:color w:val="auto"/>
        </w:rPr>
        <w:t>and</w:t>
      </w:r>
    </w:p>
    <w:p>
      <w:pPr>
        <w:spacing w:after="0" w:line="260" w:lineRule="exact"/>
        <w:rPr>
          <w:rFonts w:ascii="Arial" w:cs="Arial" w:eastAsia="Arial" w:hAnsi="Arial"/>
          <w:sz w:val="19"/>
          <w:szCs w:val="19"/>
          <w:color w:val="auto"/>
        </w:rPr>
      </w:pPr>
    </w:p>
    <w:p>
      <w:pPr>
        <w:ind w:left="960" w:hanging="304"/>
        <w:spacing w:after="0"/>
        <w:tabs>
          <w:tab w:leader="none" w:pos="960" w:val="left"/>
        </w:tabs>
        <w:numPr>
          <w:ilvl w:val="0"/>
          <w:numId w:val="80"/>
        </w:numPr>
        <w:rPr>
          <w:rFonts w:ascii="Arial" w:cs="Arial" w:eastAsia="Arial" w:hAnsi="Arial"/>
          <w:sz w:val="22"/>
          <w:szCs w:val="22"/>
          <w:color w:val="auto"/>
        </w:rPr>
      </w:pPr>
      <w:r>
        <w:rPr>
          <w:rFonts w:ascii="Arial" w:cs="Arial" w:eastAsia="Arial" w:hAnsi="Arial"/>
          <w:sz w:val="22"/>
          <w:szCs w:val="22"/>
          <w:color w:val="auto"/>
        </w:rPr>
        <w:t>in the case of Indebtedness of others secured by a Lien on any asset of the specified Person, the lesser of:</w:t>
      </w:r>
    </w:p>
    <w:p>
      <w:pPr>
        <w:spacing w:after="0" w:line="260" w:lineRule="exact"/>
        <w:rPr>
          <w:sz w:val="20"/>
          <w:szCs w:val="20"/>
          <w:color w:val="auto"/>
        </w:rPr>
      </w:pPr>
    </w:p>
    <w:p>
      <w:pPr>
        <w:ind w:right="20" w:firstLine="656"/>
        <w:spacing w:after="0" w:line="302" w:lineRule="auto"/>
        <w:tabs>
          <w:tab w:leader="none" w:pos="946" w:val="left"/>
        </w:tabs>
        <w:numPr>
          <w:ilvl w:val="0"/>
          <w:numId w:val="81"/>
        </w:numPr>
        <w:rPr>
          <w:rFonts w:ascii="Arial" w:cs="Arial" w:eastAsia="Arial" w:hAnsi="Arial"/>
          <w:sz w:val="22"/>
          <w:szCs w:val="22"/>
          <w:color w:val="auto"/>
        </w:rPr>
      </w:pPr>
      <w:r>
        <w:rPr>
          <w:rFonts w:ascii="Arial" w:cs="Arial" w:eastAsia="Arial" w:hAnsi="Arial"/>
          <w:sz w:val="22"/>
          <w:szCs w:val="22"/>
          <w:color w:val="auto"/>
        </w:rPr>
        <w:t>the face amount of such Indebtedness (plus, in the case of any letter of credit or similar instrument, the amount of any reimbursement obligations in respect thereof), and</w:t>
      </w:r>
    </w:p>
    <w:p>
      <w:pPr>
        <w:spacing w:after="0" w:line="173" w:lineRule="exact"/>
        <w:rPr>
          <w:rFonts w:ascii="Arial" w:cs="Arial" w:eastAsia="Arial" w:hAnsi="Arial"/>
          <w:sz w:val="22"/>
          <w:szCs w:val="22"/>
          <w:color w:val="auto"/>
        </w:rPr>
      </w:pPr>
    </w:p>
    <w:p>
      <w:pPr>
        <w:ind w:left="960" w:hanging="304"/>
        <w:spacing w:after="0"/>
        <w:tabs>
          <w:tab w:leader="none" w:pos="960" w:val="left"/>
        </w:tabs>
        <w:numPr>
          <w:ilvl w:val="0"/>
          <w:numId w:val="81"/>
        </w:numPr>
        <w:rPr>
          <w:rFonts w:ascii="Arial" w:cs="Arial" w:eastAsia="Arial" w:hAnsi="Arial"/>
          <w:sz w:val="22"/>
          <w:szCs w:val="22"/>
          <w:color w:val="auto"/>
        </w:rPr>
      </w:pPr>
      <w:r>
        <w:rPr>
          <w:rFonts w:ascii="Arial" w:cs="Arial" w:eastAsia="Arial" w:hAnsi="Arial"/>
          <w:sz w:val="22"/>
          <w:szCs w:val="22"/>
          <w:color w:val="auto"/>
        </w:rPr>
        <w:t>the Fair Market Value of the asset(s) subject to such Lien.</w:t>
      </w:r>
    </w:p>
    <w:p>
      <w:pPr>
        <w:spacing w:after="0" w:line="26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Notwithstanding anything contained in this Indenture to the contrary, any obligation of the Issuer incurred in the ordinary course of business in respect of casino chips or similar instruments shall not constitute “Indebtedness” for any purpose under this Indenture.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Indenture</w:t>
      </w:r>
      <w:r>
        <w:rPr>
          <w:rFonts w:ascii="Arial" w:cs="Arial" w:eastAsia="Arial" w:hAnsi="Arial"/>
          <w:sz w:val="22"/>
          <w:szCs w:val="22"/>
          <w:color w:val="auto"/>
        </w:rPr>
        <w:t>” means this Indenture, as amended or supplemented from time to time.</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Independent Investment Banker</w:t>
      </w:r>
      <w:r>
        <w:rPr>
          <w:rFonts w:ascii="Arial" w:cs="Arial" w:eastAsia="Arial" w:hAnsi="Arial"/>
          <w:sz w:val="22"/>
          <w:szCs w:val="22"/>
          <w:color w:val="auto"/>
        </w:rPr>
        <w:t>” means one of the Reference Treasury Dealers appointed by the Issuer.</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Indirect Participant</w:t>
      </w:r>
      <w:r>
        <w:rPr>
          <w:rFonts w:ascii="Arial" w:cs="Arial" w:eastAsia="Arial" w:hAnsi="Arial"/>
          <w:sz w:val="22"/>
          <w:szCs w:val="22"/>
          <w:color w:val="auto"/>
        </w:rPr>
        <w:t>” means a Person who holds a beneficial interest in a Global Note through a Participant.</w:t>
      </w:r>
    </w:p>
    <w:p>
      <w:pPr>
        <w:spacing w:after="0" w:line="26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Initial Notes</w:t>
      </w:r>
      <w:r>
        <w:rPr>
          <w:rFonts w:ascii="Arial" w:cs="Arial" w:eastAsia="Arial" w:hAnsi="Arial"/>
          <w:sz w:val="22"/>
          <w:szCs w:val="22"/>
          <w:color w:val="auto"/>
        </w:rPr>
        <w:t>” means the first US$1,000,000,000 aggregate principal amount of Notes issued under this Indenture on the date of this Indenture.</w:t>
      </w:r>
    </w:p>
    <w:p>
      <w:pPr>
        <w:spacing w:after="0" w:line="17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Initial Purchasers</w:t>
      </w:r>
      <w:r>
        <w:rPr>
          <w:rFonts w:ascii="Arial" w:cs="Arial" w:eastAsia="Arial" w:hAnsi="Arial"/>
          <w:sz w:val="22"/>
          <w:szCs w:val="22"/>
          <w:color w:val="auto"/>
        </w:rPr>
        <w:t>” means Deutsche Bank AG, Singapore Branch, Banco Nacional Ultramarino, S.A., Bank of China Limited, Macau Branch, Bank of Communications Co., Ltd. Macau Branch, BNP Paribas, BOCI Asia Limited, BofA Securities, Inc., DBS Bank Ltd., Industrial and Commercial Bank of China (Macau) Limited, J.P. Morgan Securities plc, Scotia Capital (USA) Inc., SMBC Nikko Securities America, Inc. and United Overseas Bank Limited, Hong Kong Branch (incorporated in Singapore with limited liability).</w:t>
      </w:r>
    </w:p>
    <w:p>
      <w:pPr>
        <w:spacing w:after="0" w:line="189" w:lineRule="exact"/>
        <w:rPr>
          <w:sz w:val="20"/>
          <w:szCs w:val="20"/>
          <w:color w:val="auto"/>
        </w:rPr>
      </w:pPr>
    </w:p>
    <w:p>
      <w:pPr>
        <w:jc w:val="both"/>
        <w:ind w:firstLine="648"/>
        <w:spacing w:after="0" w:line="35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Investment Grade</w:t>
      </w:r>
      <w:r>
        <w:rPr>
          <w:rFonts w:ascii="Arial" w:cs="Arial" w:eastAsia="Arial" w:hAnsi="Arial"/>
          <w:sz w:val="19"/>
          <w:szCs w:val="19"/>
          <w:color w:val="auto"/>
        </w:rPr>
        <w:t>” means a rating of Baa3 or better by Moody’s (or its equivalent under any successor rating categories of Moody’s), a rating of BBB-or better by S&amp;P (or its equivalent under any successor rating categories of S&amp;P) or the equivalent Investment Grade credit rating from any additional Rating Agency or Rating Agencies selected by the Issuer, as applicable.</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3180" w:type="dxa"/>
            <w:vAlign w:val="bottom"/>
          </w:tcPr>
          <w:p>
            <w:pPr>
              <w:spacing w:after="0"/>
              <w:rPr>
                <w:sz w:val="20"/>
                <w:szCs w:val="20"/>
                <w:color w:val="auto"/>
              </w:rPr>
            </w:pPr>
            <w:r>
              <w:rPr>
                <w:rFonts w:ascii="Arial" w:cs="Arial" w:eastAsia="Arial" w:hAnsi="Arial"/>
                <w:sz w:val="11"/>
                <w:szCs w:val="11"/>
                <w:color w:val="auto"/>
              </w:rPr>
              <w:t>ASIA 33616188</w:t>
            </w:r>
          </w:p>
        </w:tc>
        <w:tc>
          <w:tcPr>
            <w:tcW w:w="2580" w:type="dxa"/>
            <w:vAlign w:val="bottom"/>
          </w:tcPr>
          <w:p>
            <w:pPr>
              <w:jc w:val="right"/>
              <w:spacing w:after="0"/>
              <w:rPr>
                <w:sz w:val="20"/>
                <w:szCs w:val="20"/>
                <w:color w:val="auto"/>
              </w:rPr>
            </w:pPr>
            <w:r>
              <w:rPr>
                <w:rFonts w:ascii="Arial" w:cs="Arial" w:eastAsia="Arial" w:hAnsi="Arial"/>
                <w:sz w:val="22"/>
                <w:szCs w:val="22"/>
                <w:color w:val="auto"/>
              </w:rPr>
              <w:t>9</w:t>
            </w:r>
          </w:p>
        </w:tc>
      </w:tr>
    </w:tbl>
    <w:p>
      <w:pPr>
        <w:sectPr>
          <w:pgSz w:w="11900" w:h="16838" w:orient="portrait"/>
          <w:cols w:equalWidth="0" w:num="1">
            <w:col w:w="11420"/>
          </w:cols>
          <w:pgMar w:left="240" w:top="1440" w:right="239" w:bottom="1440" w:gutter="0" w:footer="0" w:header="0"/>
        </w:sectPr>
      </w:pPr>
    </w:p>
    <w:bookmarkStart w:id="160" w:name="page161"/>
    <w:bookmarkEnd w:id="160"/>
    <w:p>
      <w:pPr>
        <w:spacing w:after="0" w:line="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Issue Date</w:t>
      </w:r>
      <w:r>
        <w:rPr>
          <w:rFonts w:ascii="Arial" w:cs="Arial" w:eastAsia="Arial" w:hAnsi="Arial"/>
          <w:sz w:val="22"/>
          <w:szCs w:val="22"/>
          <w:color w:val="auto"/>
        </w:rPr>
        <w:t>” means the date on which the Notes (other than Additional Notes) are originally issued.</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Issuer</w:t>
      </w:r>
      <w:r>
        <w:rPr>
          <w:rFonts w:ascii="Arial" w:cs="Arial" w:eastAsia="Arial" w:hAnsi="Arial"/>
          <w:sz w:val="22"/>
          <w:szCs w:val="22"/>
          <w:color w:val="auto"/>
        </w:rPr>
        <w:t>” means Wynn Macau, Limited, and any and all successors thereto.</w:t>
      </w:r>
    </w:p>
    <w:p>
      <w:pPr>
        <w:spacing w:after="0" w:line="26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Legal Holiday</w:t>
      </w:r>
      <w:r>
        <w:rPr>
          <w:rFonts w:ascii="Arial" w:cs="Arial" w:eastAsia="Arial" w:hAnsi="Arial"/>
          <w:sz w:val="22"/>
          <w:szCs w:val="22"/>
          <w:color w:val="auto"/>
        </w:rPr>
        <w:t>” means a Saturday, a Sunday or a day on which banking institutions in New York, New York, Hong Kong, Macau or at a place of payment are authorized by law, regulation or executive order to remain closed. If a payment date is a Legal Holiday at a place of payment, payment may be made at that place on the next succeeding day that is not a Legal Holiday, and no interest shall accrue on such payment for the intervening period.</w:t>
      </w:r>
    </w:p>
    <w:p>
      <w:pPr>
        <w:spacing w:after="0" w:line="190" w:lineRule="exact"/>
        <w:rPr>
          <w:sz w:val="20"/>
          <w:szCs w:val="20"/>
          <w:color w:val="auto"/>
        </w:rPr>
      </w:pPr>
    </w:p>
    <w:p>
      <w:pPr>
        <w:jc w:val="both"/>
        <w:ind w:firstLine="648"/>
        <w:spacing w:after="0" w:line="35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Lien</w:t>
      </w:r>
      <w:r>
        <w:rPr>
          <w:rFonts w:ascii="Arial" w:cs="Arial" w:eastAsia="Arial" w:hAnsi="Arial"/>
          <w:sz w:val="19"/>
          <w:szCs w:val="19"/>
          <w:color w:val="auto"/>
        </w:rPr>
        <w:t>” means, with respect to any asset, (1) any mortgage, lien, pledge, charge, security interest or encumbrance of any kind in respect of such asset, whether or not filed, recorded or otherwise perfected under applicable law, including any conditional sale or other title retention agreement, (2) any lease in the nature thereof or (3) any agreement to deliver a security interest in any asset.</w:t>
      </w:r>
    </w:p>
    <w:p>
      <w:pPr>
        <w:spacing w:after="0" w:line="132" w:lineRule="exact"/>
        <w:rPr>
          <w:sz w:val="20"/>
          <w:szCs w:val="20"/>
          <w:color w:val="auto"/>
        </w:rPr>
      </w:pPr>
    </w:p>
    <w:p>
      <w:pPr>
        <w:jc w:val="both"/>
        <w:ind w:right="20" w:firstLine="648"/>
        <w:spacing w:after="0" w:line="38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Moody’s</w:t>
      </w:r>
      <w:r>
        <w:rPr>
          <w:rFonts w:ascii="Arial" w:cs="Arial" w:eastAsia="Arial" w:hAnsi="Arial"/>
          <w:sz w:val="19"/>
          <w:szCs w:val="19"/>
          <w:color w:val="auto"/>
        </w:rPr>
        <w:t>” means Moody’s Investors Service, Inc., or any successor to its statistical rating business, except that any reference to a particular rating by Moody’s shall be deemed to be a reference to the corresponding rating by any such successor.</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Non-U.S. Person</w:t>
      </w:r>
      <w:r>
        <w:rPr>
          <w:rFonts w:ascii="Arial" w:cs="Arial" w:eastAsia="Arial" w:hAnsi="Arial"/>
          <w:sz w:val="22"/>
          <w:szCs w:val="22"/>
          <w:color w:val="auto"/>
        </w:rPr>
        <w:t>” means a Person who is not a U.S. Person.</w:t>
      </w:r>
    </w:p>
    <w:p>
      <w:pPr>
        <w:spacing w:after="0" w:line="26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Notes</w:t>
      </w:r>
      <w:r>
        <w:rPr>
          <w:rFonts w:ascii="Arial" w:cs="Arial" w:eastAsia="Arial" w:hAnsi="Arial"/>
          <w:sz w:val="22"/>
          <w:szCs w:val="22"/>
          <w:color w:val="auto"/>
        </w:rPr>
        <w:t>” has the meaning assigned to it in the preamble to this Indenture. The Initial Notes and the Additional Notes shall be treated as a single class for all purposes under this Indenture, and unless the context otherwise requires, all references to the Notes shall include the Initial Notes and any Additional Notes.</w:t>
      </w:r>
    </w:p>
    <w:p>
      <w:pPr>
        <w:spacing w:after="0" w:line="18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Obligations</w:t>
      </w:r>
      <w:r>
        <w:rPr>
          <w:rFonts w:ascii="Arial" w:cs="Arial" w:eastAsia="Arial" w:hAnsi="Arial"/>
          <w:sz w:val="22"/>
          <w:szCs w:val="22"/>
          <w:color w:val="auto"/>
        </w:rPr>
        <w:t>” means any principal, interest, penalties, fees, indemnifications, reimbursements, damages and other liabilities payable under the documentation governing any Indebtedness (including, without limitation, interest accruing at the then applicable rate provided in such documentation after the maturity of such Indebtedness and interest accruing at the then applicable rate provided in such documentation after the filing of a petition in bankruptcy, or the commencement of any insolvency, reorganization or like proceeding, relating to any debtor under such documentation, whether or not a claim for post-filing or post-petition interest is allowed in such proceeding).</w:t>
      </w:r>
    </w:p>
    <w:p>
      <w:pPr>
        <w:spacing w:after="0" w:line="183"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Officer</w:t>
      </w:r>
      <w:r>
        <w:rPr>
          <w:rFonts w:ascii="Arial" w:cs="Arial" w:eastAsia="Arial" w:hAnsi="Arial"/>
          <w:sz w:val="19"/>
          <w:szCs w:val="19"/>
          <w:color w:val="auto"/>
        </w:rPr>
        <w:t>” means the Chairman of the Board, Chief Executive Officer, Chief Financial Officer, President, any Executive Vice President, Senior Vice President or Vice President, Treasurer or Secretary of the Issuer, or the Surviving Person, as the case may be, or any Director of the Board of the Issuer, or the Surviving Person, as the case may be, or any Person acting in that capacity.</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3160" w:type="dxa"/>
            <w:vAlign w:val="bottom"/>
          </w:tcPr>
          <w:p>
            <w:pPr>
              <w:spacing w:after="0"/>
              <w:rPr>
                <w:sz w:val="20"/>
                <w:szCs w:val="20"/>
                <w:color w:val="auto"/>
              </w:rPr>
            </w:pPr>
            <w:r>
              <w:rPr>
                <w:rFonts w:ascii="Arial" w:cs="Arial" w:eastAsia="Arial" w:hAnsi="Arial"/>
                <w:sz w:val="11"/>
                <w:szCs w:val="11"/>
                <w:color w:val="auto"/>
              </w:rPr>
              <w:t>ASIA 33616188</w:t>
            </w:r>
          </w:p>
        </w:tc>
        <w:tc>
          <w:tcPr>
            <w:tcW w:w="2660" w:type="dxa"/>
            <w:vAlign w:val="bottom"/>
          </w:tcPr>
          <w:p>
            <w:pPr>
              <w:jc w:val="right"/>
              <w:spacing w:after="0"/>
              <w:rPr>
                <w:sz w:val="20"/>
                <w:szCs w:val="20"/>
                <w:color w:val="auto"/>
              </w:rPr>
            </w:pPr>
            <w:r>
              <w:rPr>
                <w:rFonts w:ascii="Arial" w:cs="Arial" w:eastAsia="Arial" w:hAnsi="Arial"/>
                <w:sz w:val="22"/>
                <w:szCs w:val="22"/>
                <w:color w:val="auto"/>
              </w:rPr>
              <w:t>10</w:t>
            </w:r>
          </w:p>
        </w:tc>
      </w:tr>
    </w:tbl>
    <w:p>
      <w:pPr>
        <w:sectPr>
          <w:pgSz w:w="11900" w:h="16838" w:orient="portrait"/>
          <w:cols w:equalWidth="0" w:num="1">
            <w:col w:w="11420"/>
          </w:cols>
          <w:pgMar w:left="240" w:top="1440" w:right="239" w:bottom="1440" w:gutter="0" w:footer="0" w:header="0"/>
        </w:sectPr>
      </w:pPr>
    </w:p>
    <w:bookmarkStart w:id="161" w:name="page162"/>
    <w:bookmarkEnd w:id="161"/>
    <w:p>
      <w:pPr>
        <w:ind w:right="60"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Officer’s Certificate</w:t>
      </w:r>
      <w:r>
        <w:rPr>
          <w:rFonts w:ascii="Arial" w:cs="Arial" w:eastAsia="Arial" w:hAnsi="Arial"/>
          <w:sz w:val="19"/>
          <w:szCs w:val="19"/>
          <w:color w:val="auto"/>
        </w:rPr>
        <w:t>” means a certificate signed on behalf of the Issuer , or the Surviving Person, as the case may be, by an Officer of the Issuer, or the Surviving Person, as the case may be, that meets the requirements of Section 11.03 hereof.</w:t>
      </w:r>
    </w:p>
    <w:p>
      <w:pPr>
        <w:spacing w:after="0" w:line="14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Opinion of Counsel</w:t>
      </w:r>
      <w:r>
        <w:rPr>
          <w:rFonts w:ascii="Arial" w:cs="Arial" w:eastAsia="Arial" w:hAnsi="Arial"/>
          <w:sz w:val="22"/>
          <w:szCs w:val="22"/>
          <w:color w:val="auto"/>
        </w:rPr>
        <w:t>” means an opinion from legal counsel who is reasonably acceptable to the Trustee, that meets the requirements of Section 11.03 hereof. The counsel may be an employee of or counsel to the Issuer.</w:t>
      </w:r>
    </w:p>
    <w:p>
      <w:pPr>
        <w:spacing w:after="0" w:line="174" w:lineRule="exact"/>
        <w:rPr>
          <w:sz w:val="20"/>
          <w:szCs w:val="20"/>
          <w:color w:val="auto"/>
        </w:rPr>
      </w:pPr>
    </w:p>
    <w:p>
      <w:pPr>
        <w:jc w:val="both"/>
        <w:ind w:right="20" w:firstLine="648"/>
        <w:spacing w:after="0" w:line="38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Participant</w:t>
      </w:r>
      <w:r>
        <w:rPr>
          <w:rFonts w:ascii="Arial" w:cs="Arial" w:eastAsia="Arial" w:hAnsi="Arial"/>
          <w:sz w:val="19"/>
          <w:szCs w:val="19"/>
          <w:color w:val="auto"/>
        </w:rPr>
        <w:t>” means, with respect to the Depositary, Euroclear or Clearstream, a Person who has an account with the Depositary, Euroclear or Clearstream, respectively (and, with respect to DTC, shall include Euroclear and Clearstream).</w:t>
      </w:r>
    </w:p>
    <w:p>
      <w:pPr>
        <w:spacing w:after="0" w:line="10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Person</w:t>
      </w:r>
      <w:r>
        <w:rPr>
          <w:rFonts w:ascii="Arial" w:cs="Arial" w:eastAsia="Arial" w:hAnsi="Arial"/>
          <w:sz w:val="22"/>
          <w:szCs w:val="22"/>
          <w:color w:val="auto"/>
        </w:rPr>
        <w:t>” means any individual, corporation, partnership, joint venture, association, joint-stock company, trust, unincorporated organization, limited liability company or government or other entity.</w:t>
      </w:r>
    </w:p>
    <w:p>
      <w:pPr>
        <w:spacing w:after="0" w:line="17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Private Placement Legend</w:t>
      </w:r>
      <w:r>
        <w:rPr>
          <w:rFonts w:ascii="Arial" w:cs="Arial" w:eastAsia="Arial" w:hAnsi="Arial"/>
          <w:sz w:val="22"/>
          <w:szCs w:val="22"/>
          <w:color w:val="auto"/>
        </w:rPr>
        <w:t>” means the legend set forth in Section 2.06(f)(1) hereof to be placed on all Notes issued under this Indenture except where otherwise permitted by the provisions of this Indenture.</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QIB</w:t>
      </w:r>
      <w:r>
        <w:rPr>
          <w:rFonts w:ascii="Arial" w:cs="Arial" w:eastAsia="Arial" w:hAnsi="Arial"/>
          <w:sz w:val="22"/>
          <w:szCs w:val="22"/>
          <w:color w:val="auto"/>
        </w:rPr>
        <w:t>” means a “qualified institutional buyer” as defined in Rule 144A.</w:t>
      </w:r>
    </w:p>
    <w:p>
      <w:pPr>
        <w:spacing w:after="0" w:line="260" w:lineRule="exact"/>
        <w:rPr>
          <w:sz w:val="20"/>
          <w:szCs w:val="20"/>
          <w:color w:val="auto"/>
        </w:rPr>
      </w:pPr>
    </w:p>
    <w:p>
      <w:pPr>
        <w:jc w:val="both"/>
        <w:ind w:firstLine="648"/>
        <w:spacing w:after="0" w:line="346"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Rating Agencies</w:t>
      </w:r>
      <w:r>
        <w:rPr>
          <w:rFonts w:ascii="Arial" w:cs="Arial" w:eastAsia="Arial" w:hAnsi="Arial"/>
          <w:sz w:val="19"/>
          <w:szCs w:val="19"/>
          <w:color w:val="auto"/>
        </w:rPr>
        <w:t>” means (a) each of Moody’s and S&amp;P and (b) if either Moody’s or S&amp;P ceases to rate the Notes or fails to make a rating of the Notes publicly available for reasons outside of the Issuer’s control, a “nationally recognized statistical rating organization” within the meaning of Section 3(a)(62) of the Exchange Act selected by the Issuer (as certified by a resolution of the Issuer’s Board of Directors) as a replacement agency for Moody’s or S&amp;P, or each of them, as the case may be.</w:t>
      </w:r>
    </w:p>
    <w:p>
      <w:pPr>
        <w:spacing w:after="0" w:line="14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Rating Category</w:t>
      </w:r>
      <w:r>
        <w:rPr>
          <w:rFonts w:ascii="Arial" w:cs="Arial" w:eastAsia="Arial" w:hAnsi="Arial"/>
          <w:sz w:val="22"/>
          <w:szCs w:val="22"/>
          <w:color w:val="auto"/>
        </w:rPr>
        <w:t>” means (1) with respect to S&amp;P, any of the following categories: “BB,” “B,” “CCC,” “CC,” “C” and “D” (or equivalent successor categories), (2) with respect to Moody’s, any of the following categories: “Ba,” “B,” “Caa,” “Ca,” “C” and “D” (or equivalent successor categories) and (3) the equivalent of any such category of S&amp;P or Moody’s used by another Rating Agency. In determining whether the rating of the Notes has decreased by one or more gradations, gradations within Rating Categories (“+” and “–” for S&amp;P; “1,” “2” and “3” for Moody’s; or the equivalent gradations for another Rating Agency) shall be taken into account (e.g., with respect to S&amp;P, a decline in a rating from “BB+” to “BB,” or from “BB” to “BB–,” shall constitute a decrease of one gradation).</w:t>
      </w:r>
    </w:p>
    <w:p>
      <w:pPr>
        <w:spacing w:after="0" w:line="193"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Rating Date</w:t>
      </w:r>
      <w:r>
        <w:rPr>
          <w:rFonts w:ascii="Arial" w:cs="Arial" w:eastAsia="Arial" w:hAnsi="Arial"/>
          <w:sz w:val="22"/>
          <w:szCs w:val="22"/>
          <w:color w:val="auto"/>
        </w:rPr>
        <w:t>” means the date that is 60 days prior to the earlier of (a) a Change of Control or (b) public notice of the occurrence of a Change of Control or the intention by the Issuer to affect a Change of Control.</w:t>
      </w:r>
    </w:p>
    <w:p>
      <w:pPr>
        <w:spacing w:after="0" w:line="17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Ratings Event</w:t>
      </w:r>
      <w:r>
        <w:rPr>
          <w:rFonts w:ascii="Arial" w:cs="Arial" w:eastAsia="Arial" w:hAnsi="Arial"/>
          <w:sz w:val="22"/>
          <w:szCs w:val="22"/>
          <w:color w:val="auto"/>
        </w:rPr>
        <w:t>” means the occurrence of the events described in (1) or (2) of this definition on, or within 60 days after the earlier of (i) the occurrence of a Change of Control</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3160" w:type="dxa"/>
            <w:vAlign w:val="bottom"/>
          </w:tcPr>
          <w:p>
            <w:pPr>
              <w:spacing w:after="0"/>
              <w:rPr>
                <w:sz w:val="20"/>
                <w:szCs w:val="20"/>
                <w:color w:val="auto"/>
              </w:rPr>
            </w:pPr>
            <w:r>
              <w:rPr>
                <w:rFonts w:ascii="Arial" w:cs="Arial" w:eastAsia="Arial" w:hAnsi="Arial"/>
                <w:sz w:val="11"/>
                <w:szCs w:val="11"/>
                <w:color w:val="auto"/>
              </w:rPr>
              <w:t>ASIA 33616188</w:t>
            </w:r>
          </w:p>
        </w:tc>
        <w:tc>
          <w:tcPr>
            <w:tcW w:w="2660" w:type="dxa"/>
            <w:vAlign w:val="bottom"/>
          </w:tcPr>
          <w:p>
            <w:pPr>
              <w:jc w:val="right"/>
              <w:spacing w:after="0"/>
              <w:rPr>
                <w:sz w:val="20"/>
                <w:szCs w:val="20"/>
                <w:color w:val="auto"/>
              </w:rPr>
            </w:pPr>
            <w:r>
              <w:rPr>
                <w:rFonts w:ascii="Arial" w:cs="Arial" w:eastAsia="Arial" w:hAnsi="Arial"/>
                <w:sz w:val="22"/>
                <w:szCs w:val="22"/>
                <w:color w:val="auto"/>
              </w:rPr>
              <w:t>11</w:t>
            </w:r>
          </w:p>
        </w:tc>
      </w:tr>
    </w:tbl>
    <w:p>
      <w:pPr>
        <w:sectPr>
          <w:pgSz w:w="11900" w:h="16838" w:orient="portrait"/>
          <w:cols w:equalWidth="0" w:num="1">
            <w:col w:w="11420"/>
          </w:cols>
          <w:pgMar w:left="240" w:top="1428" w:right="239" w:bottom="1440" w:gutter="0" w:footer="0" w:header="0"/>
        </w:sectPr>
      </w:pPr>
    </w:p>
    <w:bookmarkStart w:id="162" w:name="page163"/>
    <w:bookmarkEnd w:id="162"/>
    <w:p>
      <w:pPr>
        <w:spacing w:after="0" w:line="2" w:lineRule="exact"/>
        <w:rPr>
          <w:sz w:val="20"/>
          <w:szCs w:val="20"/>
          <w:color w:val="auto"/>
        </w:rPr>
      </w:pPr>
    </w:p>
    <w:p>
      <w:pPr>
        <w:jc w:val="both"/>
        <w:spacing w:after="0" w:line="292" w:lineRule="auto"/>
        <w:rPr>
          <w:sz w:val="20"/>
          <w:szCs w:val="20"/>
          <w:color w:val="auto"/>
        </w:rPr>
      </w:pPr>
      <w:r>
        <w:rPr>
          <w:rFonts w:ascii="Arial" w:cs="Arial" w:eastAsia="Arial" w:hAnsi="Arial"/>
          <w:sz w:val="22"/>
          <w:szCs w:val="22"/>
          <w:color w:val="auto"/>
        </w:rPr>
        <w:t>or (ii) public notice of the occurrence of a Change of Control or the intention by the Issuer to effect a Change of Control (which period shall be extended so long as the rating of the Notes is under publicly announced consideration for a possible downgrade by any of the Rating Agencies):</w:t>
      </w:r>
    </w:p>
    <w:p>
      <w:pPr>
        <w:spacing w:after="0" w:line="184" w:lineRule="exact"/>
        <w:rPr>
          <w:sz w:val="20"/>
          <w:szCs w:val="20"/>
          <w:color w:val="auto"/>
        </w:rPr>
      </w:pPr>
    </w:p>
    <w:p>
      <w:pPr>
        <w:ind w:left="340" w:right="20" w:firstLine="316"/>
        <w:spacing w:after="0" w:line="302" w:lineRule="auto"/>
        <w:tabs>
          <w:tab w:leader="none" w:pos="961" w:val="left"/>
        </w:tabs>
        <w:numPr>
          <w:ilvl w:val="0"/>
          <w:numId w:val="82"/>
        </w:numPr>
        <w:rPr>
          <w:rFonts w:ascii="Arial" w:cs="Arial" w:eastAsia="Arial" w:hAnsi="Arial"/>
          <w:sz w:val="22"/>
          <w:szCs w:val="22"/>
          <w:color w:val="auto"/>
        </w:rPr>
      </w:pPr>
      <w:r>
        <w:rPr>
          <w:rFonts w:ascii="Arial" w:cs="Arial" w:eastAsia="Arial" w:hAnsi="Arial"/>
          <w:sz w:val="22"/>
          <w:szCs w:val="22"/>
          <w:color w:val="auto"/>
        </w:rPr>
        <w:t>if the Notes are rated by one or both Rating Agencies on the Rating Date as Investment Grade, the rating of the Notes shall be reduced so that the Notes are rated below Investment Grade by both Rating Agencies; or</w:t>
      </w:r>
    </w:p>
    <w:p>
      <w:pPr>
        <w:spacing w:after="0" w:line="173" w:lineRule="exact"/>
        <w:rPr>
          <w:rFonts w:ascii="Arial" w:cs="Arial" w:eastAsia="Arial" w:hAnsi="Arial"/>
          <w:sz w:val="22"/>
          <w:szCs w:val="22"/>
          <w:color w:val="auto"/>
        </w:rPr>
      </w:pPr>
    </w:p>
    <w:p>
      <w:pPr>
        <w:jc w:val="both"/>
        <w:ind w:left="340" w:firstLine="316"/>
        <w:spacing w:after="0" w:line="292" w:lineRule="auto"/>
        <w:tabs>
          <w:tab w:leader="none" w:pos="961" w:val="left"/>
        </w:tabs>
        <w:numPr>
          <w:ilvl w:val="0"/>
          <w:numId w:val="82"/>
        </w:numPr>
        <w:rPr>
          <w:rFonts w:ascii="Arial" w:cs="Arial" w:eastAsia="Arial" w:hAnsi="Arial"/>
          <w:sz w:val="22"/>
          <w:szCs w:val="22"/>
          <w:color w:val="auto"/>
        </w:rPr>
      </w:pPr>
      <w:r>
        <w:rPr>
          <w:rFonts w:ascii="Arial" w:cs="Arial" w:eastAsia="Arial" w:hAnsi="Arial"/>
          <w:sz w:val="22"/>
          <w:szCs w:val="22"/>
          <w:color w:val="auto"/>
        </w:rPr>
        <w:t>if the Notes are rated below Investment Grade by both Rating Agencies on the Rating Date, the rating of the Notes by either Rating Agency shall decrease by one or more gradations (including gradations within Rating Categories as well as between Rating Categories).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Reference Treasury Dealer</w:t>
      </w:r>
      <w:r>
        <w:rPr>
          <w:rFonts w:ascii="Arial" w:cs="Arial" w:eastAsia="Arial" w:hAnsi="Arial"/>
          <w:sz w:val="19"/>
          <w:szCs w:val="19"/>
          <w:color w:val="auto"/>
        </w:rPr>
        <w:t>” means any primary U.S. Government securities dealer in New York City selected by the</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color w:val="auto"/>
        </w:rPr>
        <w:t>Issuer.</w:t>
      </w:r>
    </w:p>
    <w:p>
      <w:pPr>
        <w:spacing w:after="0" w:line="260" w:lineRule="exact"/>
        <w:rPr>
          <w:sz w:val="20"/>
          <w:szCs w:val="20"/>
          <w:color w:val="auto"/>
        </w:rPr>
      </w:pPr>
    </w:p>
    <w:p>
      <w:pPr>
        <w:jc w:val="both"/>
        <w:ind w:firstLine="648"/>
        <w:spacing w:after="0" w:line="341"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Reference Treasury Dealer Quotations</w:t>
      </w:r>
      <w:r>
        <w:rPr>
          <w:rFonts w:ascii="Arial" w:cs="Arial" w:eastAsia="Arial" w:hAnsi="Arial"/>
          <w:sz w:val="19"/>
          <w:szCs w:val="19"/>
          <w:color w:val="auto"/>
        </w:rPr>
        <w:t>” means, with respect to each Reference Treasury Dealer and any redemption date, the average, as determined by the Independent Investment Banker, of the bid and asked prices for the Comparable Treasury Issue (expressed in each case as a percentage of its principal amount) quoted in writing to the Independent Investment Banker at 5:00 p.m., New York City time, on the third Business Day preceding such redemption date or, in the case of a satisfaction and discharge or a defeasance, on the third Business Day prior to the date on which the Issuer deposits the amount required under this Indenture.</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Regulation S</w:t>
      </w:r>
      <w:r>
        <w:rPr>
          <w:rFonts w:ascii="Arial" w:cs="Arial" w:eastAsia="Arial" w:hAnsi="Arial"/>
          <w:sz w:val="22"/>
          <w:szCs w:val="22"/>
          <w:color w:val="auto"/>
        </w:rPr>
        <w:t>” means Regulation S promulgated under the Securities Act.</w:t>
      </w:r>
    </w:p>
    <w:p>
      <w:pPr>
        <w:spacing w:after="0" w:line="260" w:lineRule="exact"/>
        <w:rPr>
          <w:sz w:val="20"/>
          <w:szCs w:val="20"/>
          <w:color w:val="auto"/>
        </w:rPr>
      </w:pPr>
    </w:p>
    <w:p>
      <w:pPr>
        <w:jc w:val="both"/>
        <w:ind w:firstLine="648"/>
        <w:spacing w:after="0" w:line="35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Regulation S Global Note</w:t>
      </w:r>
      <w:r>
        <w:rPr>
          <w:rFonts w:ascii="Arial" w:cs="Arial" w:eastAsia="Arial" w:hAnsi="Arial"/>
          <w:sz w:val="19"/>
          <w:szCs w:val="19"/>
          <w:color w:val="auto"/>
        </w:rPr>
        <w:t>” means a Global Note in the form of Exhibit A hereto bearing the Global Note Legend and the Private Placement Legend and deposited with or on behalf of and registered in the name of the Depositary or its nominee, issued in a denomination equal to the outstanding principal amount of the Notes sold in reliance on Rule 903 of Regulation S.</w:t>
      </w:r>
    </w:p>
    <w:p>
      <w:pPr>
        <w:spacing w:after="0" w:line="13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Responsible Officer,</w:t>
      </w:r>
      <w:r>
        <w:rPr>
          <w:rFonts w:ascii="Arial" w:cs="Arial" w:eastAsia="Arial" w:hAnsi="Arial"/>
          <w:sz w:val="22"/>
          <w:szCs w:val="22"/>
          <w:color w:val="auto"/>
        </w:rPr>
        <w:t>” means when used with respect to the Trustee, means any officer of the Trustee with direct responsibility for the administration of this Indenture.</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Restricted Definitive Note</w:t>
      </w:r>
      <w:r>
        <w:rPr>
          <w:rFonts w:ascii="Arial" w:cs="Arial" w:eastAsia="Arial" w:hAnsi="Arial"/>
          <w:sz w:val="22"/>
          <w:szCs w:val="22"/>
          <w:color w:val="auto"/>
        </w:rPr>
        <w:t>” means a Definitive Note bearing the Private Placement Legend.</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Restricted Global Note</w:t>
      </w:r>
      <w:r>
        <w:rPr>
          <w:rFonts w:ascii="Arial" w:cs="Arial" w:eastAsia="Arial" w:hAnsi="Arial"/>
          <w:sz w:val="22"/>
          <w:szCs w:val="22"/>
          <w:color w:val="auto"/>
        </w:rPr>
        <w:t>” means a Global Note bearing the Private Placement Legend.</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Rule 144</w:t>
      </w:r>
      <w:r>
        <w:rPr>
          <w:rFonts w:ascii="Arial" w:cs="Arial" w:eastAsia="Arial" w:hAnsi="Arial"/>
          <w:sz w:val="22"/>
          <w:szCs w:val="22"/>
          <w:color w:val="auto"/>
        </w:rPr>
        <w:t>” means Rule 144 promulgated under the Securities Act.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Rule 144A</w:t>
      </w:r>
      <w:r>
        <w:rPr>
          <w:rFonts w:ascii="Arial" w:cs="Arial" w:eastAsia="Arial" w:hAnsi="Arial"/>
          <w:sz w:val="22"/>
          <w:szCs w:val="22"/>
          <w:color w:val="auto"/>
        </w:rPr>
        <w:t>” means Rule 144A promulgated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3160" w:type="dxa"/>
            <w:vAlign w:val="bottom"/>
          </w:tcPr>
          <w:p>
            <w:pPr>
              <w:spacing w:after="0"/>
              <w:rPr>
                <w:sz w:val="20"/>
                <w:szCs w:val="20"/>
                <w:color w:val="auto"/>
              </w:rPr>
            </w:pPr>
            <w:r>
              <w:rPr>
                <w:rFonts w:ascii="Arial" w:cs="Arial" w:eastAsia="Arial" w:hAnsi="Arial"/>
                <w:sz w:val="11"/>
                <w:szCs w:val="11"/>
                <w:color w:val="auto"/>
              </w:rPr>
              <w:t>ASIA 33616188</w:t>
            </w:r>
          </w:p>
        </w:tc>
        <w:tc>
          <w:tcPr>
            <w:tcW w:w="2660" w:type="dxa"/>
            <w:vAlign w:val="bottom"/>
          </w:tcPr>
          <w:p>
            <w:pPr>
              <w:jc w:val="right"/>
              <w:spacing w:after="0"/>
              <w:rPr>
                <w:sz w:val="20"/>
                <w:szCs w:val="20"/>
                <w:color w:val="auto"/>
              </w:rPr>
            </w:pPr>
            <w:r>
              <w:rPr>
                <w:rFonts w:ascii="Arial" w:cs="Arial" w:eastAsia="Arial" w:hAnsi="Arial"/>
                <w:sz w:val="22"/>
                <w:szCs w:val="22"/>
                <w:color w:val="auto"/>
              </w:rPr>
              <w:t>12</w:t>
            </w:r>
          </w:p>
        </w:tc>
      </w:tr>
    </w:tbl>
    <w:p>
      <w:pPr>
        <w:sectPr>
          <w:pgSz w:w="11900" w:h="16838" w:orient="portrait"/>
          <w:cols w:equalWidth="0" w:num="1">
            <w:col w:w="11420"/>
          </w:cols>
          <w:pgMar w:left="240" w:top="1440" w:right="239" w:bottom="1440" w:gutter="0" w:footer="0" w:header="0"/>
        </w:sectPr>
      </w:pPr>
    </w:p>
    <w:bookmarkStart w:id="163" w:name="page164"/>
    <w:bookmarkEnd w:id="163"/>
    <w:p>
      <w:pPr>
        <w:spacing w:after="0" w:line="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Rule 903</w:t>
      </w:r>
      <w:r>
        <w:rPr>
          <w:rFonts w:ascii="Arial" w:cs="Arial" w:eastAsia="Arial" w:hAnsi="Arial"/>
          <w:sz w:val="22"/>
          <w:szCs w:val="22"/>
          <w:color w:val="auto"/>
        </w:rPr>
        <w:t>” means Rule 903 promulgated under the Securities Act.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Rule 904</w:t>
      </w:r>
      <w:r>
        <w:rPr>
          <w:rFonts w:ascii="Arial" w:cs="Arial" w:eastAsia="Arial" w:hAnsi="Arial"/>
          <w:sz w:val="22"/>
          <w:szCs w:val="22"/>
          <w:color w:val="auto"/>
        </w:rPr>
        <w:t>” means Rule 904 promulgated under the Securities Act.</w:t>
      </w:r>
    </w:p>
    <w:p>
      <w:pPr>
        <w:spacing w:after="0" w:line="260" w:lineRule="exact"/>
        <w:rPr>
          <w:sz w:val="20"/>
          <w:szCs w:val="20"/>
          <w:color w:val="auto"/>
        </w:rPr>
      </w:pPr>
    </w:p>
    <w:p>
      <w:pPr>
        <w:jc w:val="both"/>
        <w:ind w:firstLine="648"/>
        <w:spacing w:after="0" w:line="38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S&amp;P</w:t>
      </w:r>
      <w:r>
        <w:rPr>
          <w:rFonts w:ascii="Arial" w:cs="Arial" w:eastAsia="Arial" w:hAnsi="Arial"/>
          <w:sz w:val="19"/>
          <w:szCs w:val="19"/>
          <w:color w:val="auto"/>
        </w:rPr>
        <w:t>” means Standard &amp; Poor’s Rating Group or any successor to its statistical rating business, except that any reference to a particular rating by S&amp;P shall be deemed to be a reference to the corresponding rating by any such successor.</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SEC</w:t>
      </w:r>
      <w:r>
        <w:rPr>
          <w:rFonts w:ascii="Arial" w:cs="Arial" w:eastAsia="Arial" w:hAnsi="Arial"/>
          <w:sz w:val="22"/>
          <w:szCs w:val="22"/>
          <w:color w:val="auto"/>
        </w:rPr>
        <w:t>” means the United States Securities and Exchange Commission.</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Securities Act</w:t>
      </w:r>
      <w:r>
        <w:rPr>
          <w:rFonts w:ascii="Arial" w:cs="Arial" w:eastAsia="Arial" w:hAnsi="Arial"/>
          <w:sz w:val="22"/>
          <w:szCs w:val="22"/>
          <w:color w:val="auto"/>
        </w:rPr>
        <w:t>” means the United States Securities Act of 1933, as amended.</w:t>
      </w:r>
    </w:p>
    <w:p>
      <w:pPr>
        <w:spacing w:after="0" w:line="260" w:lineRule="exact"/>
        <w:rPr>
          <w:sz w:val="20"/>
          <w:szCs w:val="20"/>
          <w:color w:val="auto"/>
        </w:rPr>
      </w:pPr>
    </w:p>
    <w:p>
      <w:pPr>
        <w:jc w:val="both"/>
        <w:ind w:firstLine="648"/>
        <w:spacing w:after="0" w:line="35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Significant Subsidiary</w:t>
      </w:r>
      <w:r>
        <w:rPr>
          <w:rFonts w:ascii="Arial" w:cs="Arial" w:eastAsia="Arial" w:hAnsi="Arial"/>
          <w:sz w:val="19"/>
          <w:szCs w:val="19"/>
          <w:color w:val="auto"/>
        </w:rPr>
        <w:t>” means any Subsidiary that (a) contributed at least 10% of the Issuer’s and its Subsidiaries’ total consolidated income from continuing operations before income taxes and extraordinary items for the most recently ended fiscal year of the Issuer or (b) owned at least 10% of Total Assets as of the last day of the most recently ended fiscal year of the Issuer.</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Special Put Option Triggering Event</w:t>
      </w:r>
      <w:r>
        <w:rPr>
          <w:rFonts w:ascii="Arial" w:cs="Arial" w:eastAsia="Arial" w:hAnsi="Arial"/>
          <w:sz w:val="22"/>
          <w:szCs w:val="22"/>
          <w:color w:val="auto"/>
        </w:rPr>
        <w:t>” means:</w:t>
      </w:r>
    </w:p>
    <w:p>
      <w:pPr>
        <w:spacing w:after="0" w:line="260" w:lineRule="exact"/>
        <w:rPr>
          <w:sz w:val="20"/>
          <w:szCs w:val="20"/>
          <w:color w:val="auto"/>
        </w:rPr>
      </w:pPr>
    </w:p>
    <w:p>
      <w:pPr>
        <w:jc w:val="both"/>
        <w:ind w:firstLine="656"/>
        <w:spacing w:after="0" w:line="341" w:lineRule="auto"/>
        <w:tabs>
          <w:tab w:leader="none" w:pos="964" w:val="left"/>
        </w:tabs>
        <w:numPr>
          <w:ilvl w:val="0"/>
          <w:numId w:val="83"/>
        </w:numPr>
        <w:rPr>
          <w:rFonts w:ascii="Arial" w:cs="Arial" w:eastAsia="Arial" w:hAnsi="Arial"/>
          <w:sz w:val="19"/>
          <w:szCs w:val="19"/>
          <w:color w:val="auto"/>
        </w:rPr>
      </w:pPr>
      <w:r>
        <w:rPr>
          <w:rFonts w:ascii="Arial" w:cs="Arial" w:eastAsia="Arial" w:hAnsi="Arial"/>
          <w:sz w:val="19"/>
          <w:szCs w:val="19"/>
          <w:color w:val="auto"/>
        </w:rPr>
        <w:t>any event after which none of the Issuer or any Subsidiary of the Issuer has such licenses, concessions, subconcessions or other permits or authorizations as are necessary for the Issuer and its Subsidiaries to own or manage casino or gaming areas or operate casino games of fortune and chance in Macau in substantially the same manner and scope as the Issuer and its Subsidiaries are entitled to at the Issue Date, for a period of ten consecutive days or more, and such event has a material adverse effect on the financial condition, business, properties, or results of operations of the Issuer and its Subsidiaries, taken as a whole; or</w:t>
      </w:r>
    </w:p>
    <w:p>
      <w:pPr>
        <w:spacing w:after="0" w:line="149" w:lineRule="exact"/>
        <w:rPr>
          <w:rFonts w:ascii="Arial" w:cs="Arial" w:eastAsia="Arial" w:hAnsi="Arial"/>
          <w:sz w:val="19"/>
          <w:szCs w:val="19"/>
          <w:color w:val="auto"/>
        </w:rPr>
      </w:pPr>
    </w:p>
    <w:p>
      <w:pPr>
        <w:ind w:firstLine="656"/>
        <w:spacing w:after="0" w:line="387" w:lineRule="auto"/>
        <w:tabs>
          <w:tab w:leader="none" w:pos="968" w:val="left"/>
        </w:tabs>
        <w:numPr>
          <w:ilvl w:val="0"/>
          <w:numId w:val="83"/>
        </w:numPr>
        <w:rPr>
          <w:rFonts w:ascii="Arial" w:cs="Arial" w:eastAsia="Arial" w:hAnsi="Arial"/>
          <w:sz w:val="19"/>
          <w:szCs w:val="19"/>
          <w:color w:val="auto"/>
        </w:rPr>
      </w:pPr>
      <w:r>
        <w:rPr>
          <w:rFonts w:ascii="Arial" w:cs="Arial" w:eastAsia="Arial" w:hAnsi="Arial"/>
          <w:sz w:val="19"/>
          <w:szCs w:val="19"/>
          <w:color w:val="auto"/>
        </w:rPr>
        <w:t>the termination, rescission, revocation or modification of any Gaming License which has had a material adverse effect on the financial condition, business, properties, or results of operations of Wynn Macau and its Subsidiaries, taken as a whole.</w:t>
      </w:r>
    </w:p>
    <w:p>
      <w:pPr>
        <w:spacing w:after="0" w:line="106" w:lineRule="exact"/>
        <w:rPr>
          <w:sz w:val="20"/>
          <w:szCs w:val="20"/>
          <w:color w:val="auto"/>
        </w:rPr>
      </w:pPr>
    </w:p>
    <w:p>
      <w:pPr>
        <w:jc w:val="both"/>
        <w:ind w:firstLine="648"/>
        <w:spacing w:after="0" w:line="346"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Stated Maturity</w:t>
      </w:r>
      <w:r>
        <w:rPr>
          <w:rFonts w:ascii="Arial" w:cs="Arial" w:eastAsia="Arial" w:hAnsi="Arial"/>
          <w:sz w:val="19"/>
          <w:szCs w:val="19"/>
          <w:color w:val="auto"/>
        </w:rPr>
        <w:t>” means, with respect to any installment of interest or principal on any series of Indebtedness, the date on which the payment of interest or principal was scheduled to be paid in the documentation governing such Indebtedness as of the first date it was incurred in compliance with this Indenture, and shall not include any contingent obligations to repay, redeem or repurchase any such interest or principal prior to the date originally scheduled for the payment thereof.</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Subsidiary</w:t>
      </w:r>
      <w:r>
        <w:rPr>
          <w:rFonts w:ascii="Arial" w:cs="Arial" w:eastAsia="Arial" w:hAnsi="Arial"/>
          <w:sz w:val="22"/>
          <w:szCs w:val="22"/>
          <w:color w:val="auto"/>
        </w:rPr>
        <w:t>” means, with respect to any specified Person:</w:t>
      </w:r>
    </w:p>
    <w:p>
      <w:pPr>
        <w:spacing w:after="0" w:line="260" w:lineRule="exact"/>
        <w:rPr>
          <w:sz w:val="20"/>
          <w:szCs w:val="20"/>
          <w:color w:val="auto"/>
        </w:rPr>
      </w:pPr>
    </w:p>
    <w:p>
      <w:pPr>
        <w:ind w:left="340" w:firstLine="316"/>
        <w:spacing w:after="0" w:line="387" w:lineRule="auto"/>
        <w:tabs>
          <w:tab w:leader="none" w:pos="975" w:val="left"/>
        </w:tabs>
        <w:numPr>
          <w:ilvl w:val="0"/>
          <w:numId w:val="84"/>
        </w:numPr>
        <w:rPr>
          <w:rFonts w:ascii="Arial" w:cs="Arial" w:eastAsia="Arial" w:hAnsi="Arial"/>
          <w:sz w:val="19"/>
          <w:szCs w:val="19"/>
          <w:color w:val="auto"/>
        </w:rPr>
      </w:pPr>
      <w:r>
        <w:rPr>
          <w:rFonts w:ascii="Arial" w:cs="Arial" w:eastAsia="Arial" w:hAnsi="Arial"/>
          <w:sz w:val="19"/>
          <w:szCs w:val="19"/>
          <w:color w:val="auto"/>
        </w:rPr>
        <w:t>any corporation, association or other business entity of which more than 50% of the total voting power of shares of Capital Stock entitled (without regard to the occurrence of any contingency and after giving effect to any voting agreement or</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3160" w:type="dxa"/>
            <w:vAlign w:val="bottom"/>
          </w:tcPr>
          <w:p>
            <w:pPr>
              <w:spacing w:after="0"/>
              <w:rPr>
                <w:sz w:val="20"/>
                <w:szCs w:val="20"/>
                <w:color w:val="auto"/>
              </w:rPr>
            </w:pPr>
            <w:r>
              <w:rPr>
                <w:rFonts w:ascii="Arial" w:cs="Arial" w:eastAsia="Arial" w:hAnsi="Arial"/>
                <w:sz w:val="11"/>
                <w:szCs w:val="11"/>
                <w:color w:val="auto"/>
              </w:rPr>
              <w:t>ASIA 33616188</w:t>
            </w:r>
          </w:p>
        </w:tc>
        <w:tc>
          <w:tcPr>
            <w:tcW w:w="2660" w:type="dxa"/>
            <w:vAlign w:val="bottom"/>
          </w:tcPr>
          <w:p>
            <w:pPr>
              <w:jc w:val="right"/>
              <w:spacing w:after="0"/>
              <w:rPr>
                <w:sz w:val="20"/>
                <w:szCs w:val="20"/>
                <w:color w:val="auto"/>
              </w:rPr>
            </w:pPr>
            <w:r>
              <w:rPr>
                <w:rFonts w:ascii="Arial" w:cs="Arial" w:eastAsia="Arial" w:hAnsi="Arial"/>
                <w:sz w:val="22"/>
                <w:szCs w:val="22"/>
                <w:color w:val="auto"/>
              </w:rPr>
              <w:t>13</w:t>
            </w:r>
          </w:p>
        </w:tc>
      </w:tr>
    </w:tbl>
    <w:p>
      <w:pPr>
        <w:sectPr>
          <w:pgSz w:w="11900" w:h="16838" w:orient="portrait"/>
          <w:cols w:equalWidth="0" w:num="1">
            <w:col w:w="11420"/>
          </w:cols>
          <w:pgMar w:left="240" w:top="1440" w:right="239" w:bottom="1440" w:gutter="0" w:footer="0" w:header="0"/>
        </w:sectPr>
      </w:pPr>
    </w:p>
    <w:bookmarkStart w:id="164" w:name="page165"/>
    <w:bookmarkEnd w:id="164"/>
    <w:p>
      <w:pPr>
        <w:spacing w:after="0" w:line="2" w:lineRule="exact"/>
        <w:rPr>
          <w:sz w:val="20"/>
          <w:szCs w:val="20"/>
          <w:color w:val="auto"/>
        </w:rPr>
      </w:pPr>
    </w:p>
    <w:p>
      <w:pPr>
        <w:jc w:val="both"/>
        <w:ind w:left="340"/>
        <w:spacing w:after="0" w:line="292" w:lineRule="auto"/>
        <w:rPr>
          <w:sz w:val="20"/>
          <w:szCs w:val="20"/>
          <w:color w:val="auto"/>
        </w:rPr>
      </w:pPr>
      <w:r>
        <w:rPr>
          <w:rFonts w:ascii="Arial" w:cs="Arial" w:eastAsia="Arial" w:hAnsi="Arial"/>
          <w:sz w:val="22"/>
          <w:szCs w:val="22"/>
          <w:color w:val="auto"/>
        </w:rPr>
        <w:t>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w:t>
      </w:r>
    </w:p>
    <w:p>
      <w:pPr>
        <w:spacing w:after="0" w:line="184" w:lineRule="exact"/>
        <w:rPr>
          <w:sz w:val="20"/>
          <w:szCs w:val="20"/>
          <w:color w:val="auto"/>
        </w:rPr>
      </w:pPr>
    </w:p>
    <w:p>
      <w:pPr>
        <w:jc w:val="both"/>
        <w:ind w:left="340" w:firstLine="316"/>
        <w:spacing w:after="0" w:line="292" w:lineRule="auto"/>
        <w:tabs>
          <w:tab w:leader="none" w:pos="961" w:val="left"/>
        </w:tabs>
        <w:numPr>
          <w:ilvl w:val="0"/>
          <w:numId w:val="85"/>
        </w:numPr>
        <w:rPr>
          <w:rFonts w:ascii="Arial" w:cs="Arial" w:eastAsia="Arial" w:hAnsi="Arial"/>
          <w:sz w:val="22"/>
          <w:szCs w:val="22"/>
          <w:color w:val="auto"/>
        </w:rPr>
      </w:pPr>
      <w:r>
        <w:rPr>
          <w:rFonts w:ascii="Arial" w:cs="Arial" w:eastAsia="Arial" w:hAnsi="Arial"/>
          <w:sz w:val="22"/>
          <w:szCs w:val="22"/>
          <w:color w:val="auto"/>
        </w:rPr>
        <w:t>any partnership (a) the sole general partner or the managing general partner of which is such Person or a Subsidiary of such Person or (b) the only general partners of which are that Person or one or more Subsidiaries of that Person (or any combination thereof); or</w:t>
      </w:r>
    </w:p>
    <w:p>
      <w:pPr>
        <w:spacing w:after="0" w:line="184" w:lineRule="exact"/>
        <w:rPr>
          <w:rFonts w:ascii="Arial" w:cs="Arial" w:eastAsia="Arial" w:hAnsi="Arial"/>
          <w:sz w:val="22"/>
          <w:szCs w:val="22"/>
          <w:color w:val="auto"/>
        </w:rPr>
      </w:pPr>
    </w:p>
    <w:p>
      <w:pPr>
        <w:jc w:val="both"/>
        <w:ind w:left="340" w:firstLine="316"/>
        <w:spacing w:after="0" w:line="292" w:lineRule="auto"/>
        <w:tabs>
          <w:tab w:leader="none" w:pos="975" w:val="left"/>
        </w:tabs>
        <w:numPr>
          <w:ilvl w:val="0"/>
          <w:numId w:val="85"/>
        </w:numPr>
        <w:rPr>
          <w:rFonts w:ascii="Arial" w:cs="Arial" w:eastAsia="Arial" w:hAnsi="Arial"/>
          <w:sz w:val="22"/>
          <w:szCs w:val="22"/>
          <w:color w:val="auto"/>
        </w:rPr>
      </w:pPr>
      <w:r>
        <w:rPr>
          <w:rFonts w:ascii="Arial" w:cs="Arial" w:eastAsia="Arial" w:hAnsi="Arial"/>
          <w:sz w:val="22"/>
          <w:szCs w:val="22"/>
          <w:color w:val="auto"/>
        </w:rPr>
        <w:t>any limited liability company (a) the manager or managing member of which is such Person or a Subsidiary of such Person or (b) the only members of which are that Person or one or more Subsidiaries of that Person (or any combination thereof).</w:t>
      </w:r>
    </w:p>
    <w:p>
      <w:pPr>
        <w:spacing w:after="0" w:line="184" w:lineRule="exact"/>
        <w:rPr>
          <w:sz w:val="20"/>
          <w:szCs w:val="20"/>
          <w:color w:val="auto"/>
        </w:rPr>
      </w:pPr>
    </w:p>
    <w:p>
      <w:pPr>
        <w:ind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Total Assets</w:t>
      </w:r>
      <w:r>
        <w:rPr>
          <w:rFonts w:ascii="Arial" w:cs="Arial" w:eastAsia="Arial" w:hAnsi="Arial"/>
          <w:sz w:val="22"/>
          <w:szCs w:val="22"/>
          <w:color w:val="auto"/>
        </w:rPr>
        <w:t>” means at any date, the total assets of the Issuer and its Subsidiaries at such date, determined on a consolidated basis in accordance with IFRS.</w:t>
      </w:r>
    </w:p>
    <w:p>
      <w:pPr>
        <w:spacing w:after="0" w:line="174" w:lineRule="exact"/>
        <w:rPr>
          <w:sz w:val="20"/>
          <w:szCs w:val="20"/>
          <w:color w:val="auto"/>
        </w:rPr>
      </w:pPr>
    </w:p>
    <w:p>
      <w:pPr>
        <w:ind w:right="2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Trustee</w:t>
      </w:r>
      <w:r>
        <w:rPr>
          <w:rFonts w:ascii="Arial" w:cs="Arial" w:eastAsia="Arial" w:hAnsi="Arial"/>
          <w:sz w:val="22"/>
          <w:szCs w:val="22"/>
          <w:color w:val="auto"/>
        </w:rPr>
        <w:t>” means the party named as such in the preamble to this Indenture until a successor replaces it in accordance with the applicable provisions of this Indenture and thereafter means the successor serving hereunder.</w:t>
      </w:r>
    </w:p>
    <w:p>
      <w:pPr>
        <w:spacing w:after="0" w:line="174" w:lineRule="exact"/>
        <w:rPr>
          <w:sz w:val="20"/>
          <w:szCs w:val="20"/>
          <w:color w:val="auto"/>
        </w:rPr>
      </w:pPr>
    </w:p>
    <w:p>
      <w:pPr>
        <w:ind w:right="2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Unrestricted Definitive Note</w:t>
      </w:r>
      <w:r>
        <w:rPr>
          <w:rFonts w:ascii="Arial" w:cs="Arial" w:eastAsia="Arial" w:hAnsi="Arial"/>
          <w:sz w:val="22"/>
          <w:szCs w:val="22"/>
          <w:color w:val="auto"/>
        </w:rPr>
        <w:t>” means a Definitive Note that does not bear and is not required to bear the Private Placement Legend.</w:t>
      </w:r>
    </w:p>
    <w:p>
      <w:pPr>
        <w:spacing w:after="0" w:line="174" w:lineRule="exact"/>
        <w:rPr>
          <w:sz w:val="20"/>
          <w:szCs w:val="20"/>
          <w:color w:val="auto"/>
        </w:rPr>
      </w:pPr>
    </w:p>
    <w:p>
      <w:pPr>
        <w:ind w:right="2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Unrestricted Global Note</w:t>
      </w:r>
      <w:r>
        <w:rPr>
          <w:rFonts w:ascii="Arial" w:cs="Arial" w:eastAsia="Arial" w:hAnsi="Arial"/>
          <w:sz w:val="22"/>
          <w:szCs w:val="22"/>
          <w:color w:val="auto"/>
        </w:rPr>
        <w:t>” means a Global Note that does not bear and is not required to bear the Private Placement Legend.</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U.S. Person</w:t>
      </w:r>
      <w:r>
        <w:rPr>
          <w:rFonts w:ascii="Arial" w:cs="Arial" w:eastAsia="Arial" w:hAnsi="Arial"/>
          <w:sz w:val="22"/>
          <w:szCs w:val="22"/>
          <w:color w:val="auto"/>
        </w:rPr>
        <w:t>” means a U.S. Person as defined in Rule 902(k) promulgated under the Securities Act.</w:t>
      </w:r>
    </w:p>
    <w:p>
      <w:pPr>
        <w:spacing w:after="0" w:line="260" w:lineRule="exact"/>
        <w:rPr>
          <w:sz w:val="20"/>
          <w:szCs w:val="20"/>
          <w:color w:val="auto"/>
        </w:rPr>
      </w:pPr>
    </w:p>
    <w:p>
      <w:pPr>
        <w:ind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Voting Stock</w:t>
      </w:r>
      <w:r>
        <w:rPr>
          <w:rFonts w:ascii="Arial" w:cs="Arial" w:eastAsia="Arial" w:hAnsi="Arial"/>
          <w:sz w:val="22"/>
          <w:szCs w:val="22"/>
          <w:color w:val="auto"/>
        </w:rPr>
        <w:t>” of any Person as of any date means the Capital Stock of such Person that is at the time entitled to vote in the election of the Board of Directors of such Person.</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Wynn Resorts</w:t>
      </w:r>
      <w:r>
        <w:rPr>
          <w:rFonts w:ascii="Arial" w:cs="Arial" w:eastAsia="Arial" w:hAnsi="Arial"/>
          <w:sz w:val="22"/>
          <w:szCs w:val="22"/>
          <w:color w:val="auto"/>
        </w:rPr>
        <w:t>” means Wynn Resorts, Limited, a Nevada corporation, and its successors.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3160" w:type="dxa"/>
            <w:vAlign w:val="bottom"/>
          </w:tcPr>
          <w:p>
            <w:pPr>
              <w:spacing w:after="0"/>
              <w:rPr>
                <w:sz w:val="20"/>
                <w:szCs w:val="20"/>
                <w:color w:val="auto"/>
              </w:rPr>
            </w:pPr>
            <w:r>
              <w:rPr>
                <w:rFonts w:ascii="Arial" w:cs="Arial" w:eastAsia="Arial" w:hAnsi="Arial"/>
                <w:sz w:val="11"/>
                <w:szCs w:val="11"/>
                <w:color w:val="auto"/>
              </w:rPr>
              <w:t>ASIA 33616188</w:t>
            </w:r>
          </w:p>
        </w:tc>
        <w:tc>
          <w:tcPr>
            <w:tcW w:w="2660" w:type="dxa"/>
            <w:vAlign w:val="bottom"/>
          </w:tcPr>
          <w:p>
            <w:pPr>
              <w:jc w:val="right"/>
              <w:spacing w:after="0"/>
              <w:rPr>
                <w:sz w:val="20"/>
                <w:szCs w:val="20"/>
                <w:color w:val="auto"/>
              </w:rPr>
            </w:pPr>
            <w:r>
              <w:rPr>
                <w:rFonts w:ascii="Arial" w:cs="Arial" w:eastAsia="Arial" w:hAnsi="Arial"/>
                <w:sz w:val="22"/>
                <w:szCs w:val="22"/>
                <w:color w:val="auto"/>
              </w:rPr>
              <w:t>14</w:t>
            </w:r>
          </w:p>
        </w:tc>
      </w:tr>
    </w:tbl>
    <w:p>
      <w:pPr>
        <w:sectPr>
          <w:pgSz w:w="11900" w:h="16838" w:orient="portrait"/>
          <w:cols w:equalWidth="0" w:num="1">
            <w:col w:w="11420"/>
          </w:cols>
          <w:pgMar w:left="240" w:top="1440" w:right="239" w:bottom="1440" w:gutter="0" w:footer="0" w:header="0"/>
        </w:sectPr>
      </w:pPr>
    </w:p>
    <w:bookmarkStart w:id="165" w:name="page166"/>
    <w:bookmarkEnd w:id="165"/>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1.02 </w:t>
      </w:r>
      <w:r>
        <w:rPr>
          <w:rFonts w:ascii="Arial" w:cs="Arial" w:eastAsia="Arial" w:hAnsi="Arial"/>
          <w:sz w:val="22"/>
          <w:szCs w:val="22"/>
          <w:i w:val="1"/>
          <w:iCs w:val="1"/>
          <w:color w:val="auto"/>
        </w:rPr>
        <w:t>Other Definitions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0"/>
        <w:spacing w:after="0"/>
        <w:rPr>
          <w:sz w:val="20"/>
          <w:szCs w:val="20"/>
          <w:color w:val="auto"/>
        </w:rPr>
      </w:pPr>
      <w:r>
        <w:rPr>
          <w:rFonts w:ascii="Arial" w:cs="Arial" w:eastAsia="Arial" w:hAnsi="Arial"/>
          <w:sz w:val="22"/>
          <w:szCs w:val="22"/>
          <w:u w:val="single" w:color="auto"/>
          <w:color w:val="auto"/>
        </w:rPr>
        <w:t>Term</w:t>
      </w:r>
    </w:p>
    <w:p>
      <w:pPr>
        <w:spacing w:after="0" w:line="152" w:lineRule="exact"/>
        <w:rPr>
          <w:sz w:val="20"/>
          <w:szCs w:val="20"/>
          <w:color w:val="auto"/>
        </w:rPr>
      </w:pPr>
    </w:p>
    <w:p>
      <w:pPr>
        <w:ind w:lef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Additional Amounts</w:t>
      </w:r>
      <w:r>
        <w:rPr>
          <w:rFonts w:ascii="Arial" w:cs="Arial" w:eastAsia="Arial" w:hAnsi="Arial"/>
          <w:sz w:val="22"/>
          <w:szCs w:val="22"/>
          <w:color w:val="auto"/>
        </w:rPr>
        <w:t>”</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Applicable AML Law</w:t>
      </w:r>
      <w:r>
        <w:rPr>
          <w:rFonts w:ascii="Arial" w:cs="Arial" w:eastAsia="Arial" w:hAnsi="Arial"/>
          <w:sz w:val="22"/>
          <w:szCs w:val="22"/>
          <w:color w:val="auto"/>
        </w:rPr>
        <w:t>”</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Authentication Order</w:t>
      </w:r>
      <w:r>
        <w:rPr>
          <w:rFonts w:ascii="Arial" w:cs="Arial" w:eastAsia="Arial" w:hAnsi="Arial"/>
          <w:sz w:val="22"/>
          <w:szCs w:val="22"/>
          <w:color w:val="auto"/>
        </w:rPr>
        <w:t>”</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Change of Control Offer</w:t>
      </w:r>
      <w:r>
        <w:rPr>
          <w:rFonts w:ascii="Arial" w:cs="Arial" w:eastAsia="Arial" w:hAnsi="Arial"/>
          <w:sz w:val="22"/>
          <w:szCs w:val="22"/>
          <w:color w:val="auto"/>
        </w:rPr>
        <w:t>”</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Change of Control Payment</w:t>
      </w:r>
      <w:r>
        <w:rPr>
          <w:rFonts w:ascii="Arial" w:cs="Arial" w:eastAsia="Arial" w:hAnsi="Arial"/>
          <w:sz w:val="22"/>
          <w:szCs w:val="22"/>
          <w:color w:val="auto"/>
        </w:rPr>
        <w:t>”</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Change of Control Payment Date</w:t>
      </w:r>
      <w:r>
        <w:rPr>
          <w:rFonts w:ascii="Arial" w:cs="Arial" w:eastAsia="Arial" w:hAnsi="Arial"/>
          <w:sz w:val="22"/>
          <w:szCs w:val="22"/>
          <w:color w:val="auto"/>
        </w:rPr>
        <w:t>”</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Covenant Defeasance</w:t>
      </w:r>
      <w:r>
        <w:rPr>
          <w:rFonts w:ascii="Arial" w:cs="Arial" w:eastAsia="Arial" w:hAnsi="Arial"/>
          <w:sz w:val="22"/>
          <w:szCs w:val="22"/>
          <w:color w:val="auto"/>
        </w:rPr>
        <w:t>”</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DTC</w:t>
      </w:r>
      <w:r>
        <w:rPr>
          <w:rFonts w:ascii="Arial" w:cs="Arial" w:eastAsia="Arial" w:hAnsi="Arial"/>
          <w:sz w:val="22"/>
          <w:szCs w:val="22"/>
          <w:color w:val="auto"/>
        </w:rPr>
        <w:t>”</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Event of Default</w:t>
      </w:r>
      <w:r>
        <w:rPr>
          <w:rFonts w:ascii="Arial" w:cs="Arial" w:eastAsia="Arial" w:hAnsi="Arial"/>
          <w:sz w:val="22"/>
          <w:szCs w:val="22"/>
          <w:color w:val="auto"/>
        </w:rPr>
        <w:t>”</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22"/>
          <w:szCs w:val="22"/>
          <w:i w:val="1"/>
          <w:iCs w:val="1"/>
          <w:color w:val="auto"/>
        </w:rPr>
        <w:t>“FATCA”</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HKSE</w:t>
      </w:r>
      <w:r>
        <w:rPr>
          <w:rFonts w:ascii="Arial" w:cs="Arial" w:eastAsia="Arial" w:hAnsi="Arial"/>
          <w:sz w:val="22"/>
          <w:szCs w:val="22"/>
          <w:color w:val="auto"/>
        </w:rPr>
        <w:t>”</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Judgment Currency</w:t>
      </w:r>
      <w:r>
        <w:rPr>
          <w:rFonts w:ascii="Arial" w:cs="Arial" w:eastAsia="Arial" w:hAnsi="Arial"/>
          <w:sz w:val="22"/>
          <w:szCs w:val="22"/>
          <w:color w:val="auto"/>
        </w:rPr>
        <w:t>”</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Legal Defeasance</w:t>
      </w:r>
      <w:r>
        <w:rPr>
          <w:rFonts w:ascii="Arial" w:cs="Arial" w:eastAsia="Arial" w:hAnsi="Arial"/>
          <w:sz w:val="22"/>
          <w:szCs w:val="22"/>
          <w:color w:val="auto"/>
        </w:rPr>
        <w:t>”</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Paying Agent</w:t>
      </w:r>
      <w:r>
        <w:rPr>
          <w:rFonts w:ascii="Arial" w:cs="Arial" w:eastAsia="Arial" w:hAnsi="Arial"/>
          <w:sz w:val="22"/>
          <w:szCs w:val="22"/>
          <w:color w:val="auto"/>
        </w:rPr>
        <w:t>”</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Relevant Jurisdiction</w:t>
      </w:r>
      <w:r>
        <w:rPr>
          <w:rFonts w:ascii="Arial" w:cs="Arial" w:eastAsia="Arial" w:hAnsi="Arial"/>
          <w:sz w:val="22"/>
          <w:szCs w:val="22"/>
          <w:color w:val="auto"/>
        </w:rPr>
        <w:t>”</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Registrar</w:t>
      </w:r>
      <w:r>
        <w:rPr>
          <w:rFonts w:ascii="Arial" w:cs="Arial" w:eastAsia="Arial" w:hAnsi="Arial"/>
          <w:sz w:val="22"/>
          <w:szCs w:val="22"/>
          <w:color w:val="auto"/>
        </w:rPr>
        <w:t>”</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Special Put Option Offer</w:t>
      </w:r>
      <w:r>
        <w:rPr>
          <w:rFonts w:ascii="Arial" w:cs="Arial" w:eastAsia="Arial" w:hAnsi="Arial"/>
          <w:sz w:val="22"/>
          <w:szCs w:val="22"/>
          <w:color w:val="auto"/>
        </w:rPr>
        <w:t>”</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Special Put Option Payment</w:t>
      </w:r>
      <w:r>
        <w:rPr>
          <w:rFonts w:ascii="Arial" w:cs="Arial" w:eastAsia="Arial" w:hAnsi="Arial"/>
          <w:sz w:val="22"/>
          <w:szCs w:val="22"/>
          <w:color w:val="auto"/>
        </w:rPr>
        <w:t>”</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Surviving Person</w:t>
      </w:r>
      <w:r>
        <w:rPr>
          <w:rFonts w:ascii="Arial" w:cs="Arial" w:eastAsia="Arial" w:hAnsi="Arial"/>
          <w:sz w:val="22"/>
          <w:szCs w:val="22"/>
          <w:color w:val="auto"/>
        </w:rPr>
        <w:t>”</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Taxes</w:t>
      </w:r>
      <w:r>
        <w:rPr>
          <w:rFonts w:ascii="Arial" w:cs="Arial" w:eastAsia="Arial" w:hAnsi="Arial"/>
          <w:sz w:val="22"/>
          <w:szCs w:val="22"/>
          <w:color w:val="auto"/>
        </w:rPr>
        <w:t>”</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1.03 </w:t>
      </w:r>
      <w:r>
        <w:rPr>
          <w:rFonts w:ascii="Arial" w:cs="Arial" w:eastAsia="Arial" w:hAnsi="Arial"/>
          <w:sz w:val="22"/>
          <w:szCs w:val="22"/>
          <w:i w:val="1"/>
          <w:iCs w:val="1"/>
          <w:color w:val="auto"/>
        </w:rPr>
        <w:t>Rules of Construction</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Unless the context otherwise requires:</w:t>
      </w:r>
    </w:p>
    <w:p>
      <w:pPr>
        <w:spacing w:after="0" w:line="260" w:lineRule="exact"/>
        <w:rPr>
          <w:sz w:val="20"/>
          <w:szCs w:val="20"/>
          <w:color w:val="auto"/>
        </w:rPr>
      </w:pPr>
    </w:p>
    <w:p>
      <w:pPr>
        <w:ind w:left="1600" w:hanging="295"/>
        <w:spacing w:after="0"/>
        <w:tabs>
          <w:tab w:leader="none" w:pos="1600" w:val="left"/>
        </w:tabs>
        <w:numPr>
          <w:ilvl w:val="0"/>
          <w:numId w:val="86"/>
        </w:numPr>
        <w:rPr>
          <w:rFonts w:ascii="Arial" w:cs="Arial" w:eastAsia="Arial" w:hAnsi="Arial"/>
          <w:sz w:val="22"/>
          <w:szCs w:val="22"/>
          <w:color w:val="auto"/>
        </w:rPr>
      </w:pPr>
      <w:r>
        <w:rPr>
          <w:rFonts w:ascii="Arial" w:cs="Arial" w:eastAsia="Arial" w:hAnsi="Arial"/>
          <w:sz w:val="22"/>
          <w:szCs w:val="22"/>
          <w:color w:val="auto"/>
        </w:rPr>
        <w:t>a term has the meaning assigned to it;</w:t>
      </w:r>
    </w:p>
    <w:p>
      <w:pPr>
        <w:spacing w:after="0" w:line="260" w:lineRule="exact"/>
        <w:rPr>
          <w:rFonts w:ascii="Arial" w:cs="Arial" w:eastAsia="Arial" w:hAnsi="Arial"/>
          <w:sz w:val="22"/>
          <w:szCs w:val="22"/>
          <w:color w:val="auto"/>
        </w:rPr>
      </w:pPr>
    </w:p>
    <w:p>
      <w:pPr>
        <w:ind w:left="1600" w:hanging="295"/>
        <w:spacing w:after="0"/>
        <w:tabs>
          <w:tab w:leader="none" w:pos="1600" w:val="left"/>
        </w:tabs>
        <w:numPr>
          <w:ilvl w:val="0"/>
          <w:numId w:val="86"/>
        </w:numPr>
        <w:rPr>
          <w:rFonts w:ascii="Arial" w:cs="Arial" w:eastAsia="Arial" w:hAnsi="Arial"/>
          <w:sz w:val="19"/>
          <w:szCs w:val="19"/>
          <w:color w:val="auto"/>
        </w:rPr>
      </w:pPr>
      <w:r>
        <w:rPr>
          <w:rFonts w:ascii="Arial" w:cs="Arial" w:eastAsia="Arial" w:hAnsi="Arial"/>
          <w:sz w:val="19"/>
          <w:szCs w:val="19"/>
          <w:color w:val="auto"/>
        </w:rPr>
        <w:t>an accounting term not otherwise defined has the meaning assigned to it in accordance with IFRS;</w:t>
      </w:r>
    </w:p>
    <w:p>
      <w:pPr>
        <w:spacing w:after="0" w:line="294" w:lineRule="exact"/>
        <w:rPr>
          <w:rFonts w:ascii="Arial" w:cs="Arial" w:eastAsia="Arial" w:hAnsi="Arial"/>
          <w:sz w:val="19"/>
          <w:szCs w:val="19"/>
          <w:color w:val="auto"/>
        </w:rPr>
      </w:pPr>
    </w:p>
    <w:p>
      <w:pPr>
        <w:ind w:left="1600" w:hanging="295"/>
        <w:spacing w:after="0"/>
        <w:tabs>
          <w:tab w:leader="none" w:pos="1600" w:val="left"/>
        </w:tabs>
        <w:numPr>
          <w:ilvl w:val="0"/>
          <w:numId w:val="86"/>
        </w:numPr>
        <w:rPr>
          <w:rFonts w:ascii="Arial" w:cs="Arial" w:eastAsia="Arial" w:hAnsi="Arial"/>
          <w:sz w:val="22"/>
          <w:szCs w:val="22"/>
          <w:color w:val="auto"/>
        </w:rPr>
      </w:pPr>
      <w:r>
        <w:rPr>
          <w:rFonts w:ascii="Arial" w:cs="Arial" w:eastAsia="Arial" w:hAnsi="Arial"/>
          <w:sz w:val="22"/>
          <w:szCs w:val="22"/>
          <w:color w:val="auto"/>
        </w:rPr>
        <w:t>“or” is not exclusive;</w:t>
      </w:r>
    </w:p>
    <w:p>
      <w:pPr>
        <w:spacing w:after="0" w:line="260" w:lineRule="exact"/>
        <w:rPr>
          <w:rFonts w:ascii="Arial" w:cs="Arial" w:eastAsia="Arial" w:hAnsi="Arial"/>
          <w:sz w:val="22"/>
          <w:szCs w:val="22"/>
          <w:color w:val="auto"/>
        </w:rPr>
      </w:pPr>
    </w:p>
    <w:p>
      <w:pPr>
        <w:ind w:left="1600" w:hanging="295"/>
        <w:spacing w:after="0"/>
        <w:tabs>
          <w:tab w:leader="none" w:pos="1600" w:val="left"/>
        </w:tabs>
        <w:numPr>
          <w:ilvl w:val="0"/>
          <w:numId w:val="86"/>
        </w:numPr>
        <w:rPr>
          <w:rFonts w:ascii="Arial" w:cs="Arial" w:eastAsia="Arial" w:hAnsi="Arial"/>
          <w:sz w:val="22"/>
          <w:szCs w:val="22"/>
          <w:color w:val="auto"/>
        </w:rPr>
      </w:pPr>
      <w:r>
        <w:rPr>
          <w:rFonts w:ascii="Arial" w:cs="Arial" w:eastAsia="Arial" w:hAnsi="Arial"/>
          <w:sz w:val="22"/>
          <w:szCs w:val="22"/>
          <w:color w:val="auto"/>
        </w:rPr>
        <w:t>“including” is not limiting;</w:t>
      </w:r>
    </w:p>
    <w:p>
      <w:pPr>
        <w:spacing w:after="0" w:line="260" w:lineRule="exact"/>
        <w:rPr>
          <w:rFonts w:ascii="Arial" w:cs="Arial" w:eastAsia="Arial" w:hAnsi="Arial"/>
          <w:sz w:val="22"/>
          <w:szCs w:val="22"/>
          <w:color w:val="auto"/>
        </w:rPr>
      </w:pPr>
    </w:p>
    <w:p>
      <w:pPr>
        <w:ind w:left="1600" w:hanging="295"/>
        <w:spacing w:after="0"/>
        <w:tabs>
          <w:tab w:leader="none" w:pos="1600" w:val="left"/>
        </w:tabs>
        <w:numPr>
          <w:ilvl w:val="0"/>
          <w:numId w:val="86"/>
        </w:numPr>
        <w:rPr>
          <w:rFonts w:ascii="Arial" w:cs="Arial" w:eastAsia="Arial" w:hAnsi="Arial"/>
          <w:sz w:val="22"/>
          <w:szCs w:val="22"/>
          <w:color w:val="auto"/>
        </w:rPr>
      </w:pPr>
      <w:r>
        <w:rPr>
          <w:rFonts w:ascii="Arial" w:cs="Arial" w:eastAsia="Arial" w:hAnsi="Arial"/>
          <w:sz w:val="22"/>
          <w:szCs w:val="22"/>
          <w:color w:val="auto"/>
        </w:rPr>
        <w:t>words in the singular include the plural, and in the plural include the singular;</w:t>
      </w:r>
    </w:p>
    <w:p>
      <w:pPr>
        <w:spacing w:after="0" w:line="260" w:lineRule="exact"/>
        <w:rPr>
          <w:rFonts w:ascii="Arial" w:cs="Arial" w:eastAsia="Arial" w:hAnsi="Arial"/>
          <w:sz w:val="22"/>
          <w:szCs w:val="22"/>
          <w:color w:val="auto"/>
        </w:rPr>
      </w:pPr>
    </w:p>
    <w:p>
      <w:pPr>
        <w:ind w:left="1600" w:hanging="295"/>
        <w:spacing w:after="0"/>
        <w:tabs>
          <w:tab w:leader="none" w:pos="1600" w:val="left"/>
        </w:tabs>
        <w:numPr>
          <w:ilvl w:val="0"/>
          <w:numId w:val="86"/>
        </w:numPr>
        <w:rPr>
          <w:rFonts w:ascii="Arial" w:cs="Arial" w:eastAsia="Arial" w:hAnsi="Arial"/>
          <w:sz w:val="22"/>
          <w:szCs w:val="22"/>
          <w:color w:val="auto"/>
        </w:rPr>
      </w:pPr>
      <w:r>
        <w:rPr>
          <w:rFonts w:ascii="Arial" w:cs="Arial" w:eastAsia="Arial" w:hAnsi="Arial"/>
          <w:sz w:val="22"/>
          <w:szCs w:val="22"/>
          <w:color w:val="auto"/>
        </w:rPr>
        <w:t>“will” and “shall” shall be interpreted to express a command;</w:t>
      </w:r>
    </w:p>
    <w:p>
      <w:pPr>
        <w:spacing w:after="0" w:line="260" w:lineRule="exact"/>
        <w:rPr>
          <w:rFonts w:ascii="Arial" w:cs="Arial" w:eastAsia="Arial" w:hAnsi="Arial"/>
          <w:sz w:val="22"/>
          <w:szCs w:val="22"/>
          <w:color w:val="auto"/>
        </w:rPr>
      </w:pPr>
    </w:p>
    <w:p>
      <w:pPr>
        <w:ind w:left="1600" w:hanging="295"/>
        <w:spacing w:after="0"/>
        <w:tabs>
          <w:tab w:leader="none" w:pos="1600" w:val="left"/>
        </w:tabs>
        <w:numPr>
          <w:ilvl w:val="0"/>
          <w:numId w:val="86"/>
        </w:numPr>
        <w:rPr>
          <w:rFonts w:ascii="Arial" w:cs="Arial" w:eastAsia="Arial" w:hAnsi="Arial"/>
          <w:sz w:val="22"/>
          <w:szCs w:val="22"/>
          <w:color w:val="auto"/>
        </w:rPr>
      </w:pPr>
      <w:r>
        <w:rPr>
          <w:rFonts w:ascii="Arial" w:cs="Arial" w:eastAsia="Arial" w:hAnsi="Arial"/>
          <w:sz w:val="22"/>
          <w:szCs w:val="22"/>
          <w:color w:val="auto"/>
        </w:rPr>
        <w:t>provisions apply to successive events and transactions;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9"/>
          <w:szCs w:val="19"/>
          <w:color w:val="auto"/>
        </w:rPr>
        <w:t>Defined</w:t>
      </w:r>
    </w:p>
    <w:p>
      <w:pPr>
        <w:spacing w:after="0" w:line="100" w:lineRule="exact"/>
        <w:rPr>
          <w:sz w:val="20"/>
          <w:szCs w:val="20"/>
          <w:color w:val="auto"/>
        </w:rPr>
      </w:pPr>
    </w:p>
    <w:p>
      <w:pPr>
        <w:ind w:left="280"/>
        <w:spacing w:after="0"/>
        <w:rPr>
          <w:sz w:val="20"/>
          <w:szCs w:val="20"/>
          <w:color w:val="auto"/>
        </w:rPr>
      </w:pPr>
      <w:r>
        <w:rPr>
          <w:rFonts w:ascii="Arial" w:cs="Arial" w:eastAsia="Arial" w:hAnsi="Arial"/>
          <w:sz w:val="22"/>
          <w:szCs w:val="22"/>
          <w:color w:val="auto"/>
        </w:rPr>
        <w:t>in</w:t>
      </w:r>
    </w:p>
    <w:p>
      <w:pPr>
        <w:jc w:val="center"/>
        <w:ind w:left="-19" w:right="20"/>
        <w:spacing w:after="0" w:line="316" w:lineRule="auto"/>
        <w:rPr>
          <w:sz w:val="20"/>
          <w:szCs w:val="20"/>
          <w:color w:val="auto"/>
        </w:rPr>
      </w:pPr>
      <w:r>
        <w:rPr>
          <w:rFonts w:ascii="Arial" w:cs="Arial" w:eastAsia="Arial" w:hAnsi="Arial"/>
          <w:sz w:val="19"/>
          <w:szCs w:val="19"/>
          <w:u w:val="single" w:color="auto"/>
          <w:color w:val="auto"/>
        </w:rPr>
        <w:t xml:space="preserve">Section </w:t>
      </w:r>
      <w:r>
        <w:rPr>
          <w:rFonts w:ascii="Arial" w:cs="Arial" w:eastAsia="Arial" w:hAnsi="Arial"/>
          <w:sz w:val="19"/>
          <w:szCs w:val="19"/>
          <w:color w:val="auto"/>
        </w:rPr>
        <w:t>4.09</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22"/>
          <w:szCs w:val="22"/>
          <w:color w:val="auto"/>
        </w:rPr>
        <w:t>11.14</w:t>
      </w:r>
    </w:p>
    <w:p>
      <w:pPr>
        <w:spacing w:after="0" w:line="58" w:lineRule="exact"/>
        <w:rPr>
          <w:sz w:val="20"/>
          <w:szCs w:val="20"/>
          <w:color w:val="auto"/>
        </w:rPr>
      </w:pPr>
    </w:p>
    <w:p>
      <w:pPr>
        <w:ind w:left="160"/>
        <w:spacing w:after="0"/>
        <w:rPr>
          <w:sz w:val="20"/>
          <w:szCs w:val="20"/>
          <w:color w:val="auto"/>
        </w:rPr>
      </w:pPr>
      <w:r>
        <w:rPr>
          <w:rFonts w:ascii="Arial" w:cs="Arial" w:eastAsia="Arial" w:hAnsi="Arial"/>
          <w:sz w:val="22"/>
          <w:szCs w:val="22"/>
          <w:color w:val="auto"/>
        </w:rPr>
        <w:t>2.02</w:t>
      </w:r>
    </w:p>
    <w:p>
      <w:pPr>
        <w:spacing w:after="0" w:line="58" w:lineRule="exact"/>
        <w:rPr>
          <w:sz w:val="20"/>
          <w:szCs w:val="20"/>
          <w:color w:val="auto"/>
        </w:rPr>
      </w:pPr>
    </w:p>
    <w:p>
      <w:pPr>
        <w:ind w:left="160"/>
        <w:spacing w:after="0"/>
        <w:rPr>
          <w:sz w:val="20"/>
          <w:szCs w:val="20"/>
          <w:color w:val="auto"/>
        </w:rPr>
      </w:pPr>
      <w:r>
        <w:rPr>
          <w:rFonts w:ascii="Arial" w:cs="Arial" w:eastAsia="Arial" w:hAnsi="Arial"/>
          <w:sz w:val="22"/>
          <w:szCs w:val="22"/>
          <w:color w:val="auto"/>
        </w:rPr>
        <w:t>4.08</w:t>
      </w:r>
    </w:p>
    <w:p>
      <w:pPr>
        <w:spacing w:after="0" w:line="58" w:lineRule="exact"/>
        <w:rPr>
          <w:sz w:val="20"/>
          <w:szCs w:val="20"/>
          <w:color w:val="auto"/>
        </w:rPr>
      </w:pPr>
    </w:p>
    <w:p>
      <w:pPr>
        <w:ind w:left="160"/>
        <w:spacing w:after="0"/>
        <w:rPr>
          <w:sz w:val="20"/>
          <w:szCs w:val="20"/>
          <w:color w:val="auto"/>
        </w:rPr>
      </w:pPr>
      <w:r>
        <w:rPr>
          <w:rFonts w:ascii="Arial" w:cs="Arial" w:eastAsia="Arial" w:hAnsi="Arial"/>
          <w:sz w:val="22"/>
          <w:szCs w:val="22"/>
          <w:color w:val="auto"/>
        </w:rPr>
        <w:t>4.08</w:t>
      </w:r>
    </w:p>
    <w:p>
      <w:pPr>
        <w:spacing w:after="0" w:line="58" w:lineRule="exact"/>
        <w:rPr>
          <w:sz w:val="20"/>
          <w:szCs w:val="20"/>
          <w:color w:val="auto"/>
        </w:rPr>
      </w:pPr>
    </w:p>
    <w:p>
      <w:pPr>
        <w:ind w:left="160"/>
        <w:spacing w:after="0"/>
        <w:rPr>
          <w:sz w:val="20"/>
          <w:szCs w:val="20"/>
          <w:color w:val="auto"/>
        </w:rPr>
      </w:pPr>
      <w:r>
        <w:rPr>
          <w:rFonts w:ascii="Arial" w:cs="Arial" w:eastAsia="Arial" w:hAnsi="Arial"/>
          <w:sz w:val="22"/>
          <w:szCs w:val="22"/>
          <w:color w:val="auto"/>
        </w:rPr>
        <w:t>4.08</w:t>
      </w:r>
    </w:p>
    <w:p>
      <w:pPr>
        <w:spacing w:after="0" w:line="58" w:lineRule="exact"/>
        <w:rPr>
          <w:sz w:val="20"/>
          <w:szCs w:val="20"/>
          <w:color w:val="auto"/>
        </w:rPr>
      </w:pPr>
    </w:p>
    <w:p>
      <w:pPr>
        <w:ind w:left="160"/>
        <w:spacing w:after="0"/>
        <w:rPr>
          <w:sz w:val="20"/>
          <w:szCs w:val="20"/>
          <w:color w:val="auto"/>
        </w:rPr>
      </w:pPr>
      <w:r>
        <w:rPr>
          <w:rFonts w:ascii="Arial" w:cs="Arial" w:eastAsia="Arial" w:hAnsi="Arial"/>
          <w:sz w:val="22"/>
          <w:szCs w:val="22"/>
          <w:color w:val="auto"/>
        </w:rPr>
        <w:t>8.03</w:t>
      </w:r>
    </w:p>
    <w:p>
      <w:pPr>
        <w:spacing w:after="0" w:line="58" w:lineRule="exact"/>
        <w:rPr>
          <w:sz w:val="20"/>
          <w:szCs w:val="20"/>
          <w:color w:val="auto"/>
        </w:rPr>
      </w:pPr>
    </w:p>
    <w:p>
      <w:pPr>
        <w:ind w:left="160"/>
        <w:spacing w:after="0"/>
        <w:rPr>
          <w:sz w:val="20"/>
          <w:szCs w:val="20"/>
          <w:color w:val="auto"/>
        </w:rPr>
      </w:pPr>
      <w:r>
        <w:rPr>
          <w:rFonts w:ascii="Arial" w:cs="Arial" w:eastAsia="Arial" w:hAnsi="Arial"/>
          <w:sz w:val="22"/>
          <w:szCs w:val="22"/>
          <w:color w:val="auto"/>
        </w:rPr>
        <w:t>2.03</w:t>
      </w:r>
    </w:p>
    <w:p>
      <w:pPr>
        <w:spacing w:after="0" w:line="58" w:lineRule="exact"/>
        <w:rPr>
          <w:sz w:val="20"/>
          <w:szCs w:val="20"/>
          <w:color w:val="auto"/>
        </w:rPr>
      </w:pPr>
    </w:p>
    <w:p>
      <w:pPr>
        <w:ind w:left="160"/>
        <w:spacing w:after="0"/>
        <w:rPr>
          <w:sz w:val="20"/>
          <w:szCs w:val="20"/>
          <w:color w:val="auto"/>
        </w:rPr>
      </w:pPr>
      <w:r>
        <w:rPr>
          <w:rFonts w:ascii="Arial" w:cs="Arial" w:eastAsia="Arial" w:hAnsi="Arial"/>
          <w:sz w:val="22"/>
          <w:szCs w:val="22"/>
          <w:color w:val="auto"/>
        </w:rPr>
        <w:t>6.01</w:t>
      </w:r>
    </w:p>
    <w:p>
      <w:pPr>
        <w:spacing w:after="0" w:line="58" w:lineRule="exact"/>
        <w:rPr>
          <w:sz w:val="20"/>
          <w:szCs w:val="20"/>
          <w:color w:val="auto"/>
        </w:rPr>
      </w:pPr>
    </w:p>
    <w:p>
      <w:pPr>
        <w:ind w:left="160"/>
        <w:spacing w:after="0"/>
        <w:rPr>
          <w:sz w:val="20"/>
          <w:szCs w:val="20"/>
          <w:color w:val="auto"/>
        </w:rPr>
      </w:pPr>
      <w:r>
        <w:rPr>
          <w:rFonts w:ascii="Arial" w:cs="Arial" w:eastAsia="Arial" w:hAnsi="Arial"/>
          <w:sz w:val="22"/>
          <w:szCs w:val="22"/>
          <w:color w:val="auto"/>
        </w:rPr>
        <w:t>4.09</w:t>
      </w:r>
    </w:p>
    <w:p>
      <w:pPr>
        <w:spacing w:after="0" w:line="58" w:lineRule="exact"/>
        <w:rPr>
          <w:sz w:val="20"/>
          <w:szCs w:val="20"/>
          <w:color w:val="auto"/>
        </w:rPr>
      </w:pPr>
    </w:p>
    <w:p>
      <w:pPr>
        <w:ind w:left="160"/>
        <w:spacing w:after="0"/>
        <w:rPr>
          <w:sz w:val="20"/>
          <w:szCs w:val="20"/>
          <w:color w:val="auto"/>
        </w:rPr>
      </w:pPr>
      <w:r>
        <w:rPr>
          <w:rFonts w:ascii="Arial" w:cs="Arial" w:eastAsia="Arial" w:hAnsi="Arial"/>
          <w:sz w:val="22"/>
          <w:szCs w:val="22"/>
          <w:color w:val="auto"/>
        </w:rPr>
        <w:t>4.03</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22"/>
          <w:szCs w:val="22"/>
          <w:color w:val="auto"/>
        </w:rPr>
        <w:t>11.08</w:t>
      </w:r>
    </w:p>
    <w:p>
      <w:pPr>
        <w:spacing w:after="0" w:line="58" w:lineRule="exact"/>
        <w:rPr>
          <w:sz w:val="20"/>
          <w:szCs w:val="20"/>
          <w:color w:val="auto"/>
        </w:rPr>
      </w:pPr>
    </w:p>
    <w:p>
      <w:pPr>
        <w:ind w:left="160"/>
        <w:spacing w:after="0"/>
        <w:rPr>
          <w:sz w:val="20"/>
          <w:szCs w:val="20"/>
          <w:color w:val="auto"/>
        </w:rPr>
      </w:pPr>
      <w:r>
        <w:rPr>
          <w:rFonts w:ascii="Arial" w:cs="Arial" w:eastAsia="Arial" w:hAnsi="Arial"/>
          <w:sz w:val="22"/>
          <w:szCs w:val="22"/>
          <w:color w:val="auto"/>
        </w:rPr>
        <w:t>8.02</w:t>
      </w:r>
    </w:p>
    <w:p>
      <w:pPr>
        <w:spacing w:after="0" w:line="58" w:lineRule="exact"/>
        <w:rPr>
          <w:sz w:val="20"/>
          <w:szCs w:val="20"/>
          <w:color w:val="auto"/>
        </w:rPr>
      </w:pPr>
    </w:p>
    <w:p>
      <w:pPr>
        <w:ind w:left="160"/>
        <w:spacing w:after="0"/>
        <w:rPr>
          <w:sz w:val="20"/>
          <w:szCs w:val="20"/>
          <w:color w:val="auto"/>
        </w:rPr>
      </w:pPr>
      <w:r>
        <w:rPr>
          <w:rFonts w:ascii="Arial" w:cs="Arial" w:eastAsia="Arial" w:hAnsi="Arial"/>
          <w:sz w:val="22"/>
          <w:szCs w:val="22"/>
          <w:color w:val="auto"/>
        </w:rPr>
        <w:t>2.03</w:t>
      </w:r>
    </w:p>
    <w:p>
      <w:pPr>
        <w:spacing w:after="0" w:line="58" w:lineRule="exact"/>
        <w:rPr>
          <w:sz w:val="20"/>
          <w:szCs w:val="20"/>
          <w:color w:val="auto"/>
        </w:rPr>
      </w:pPr>
    </w:p>
    <w:p>
      <w:pPr>
        <w:ind w:left="160"/>
        <w:spacing w:after="0"/>
        <w:rPr>
          <w:sz w:val="20"/>
          <w:szCs w:val="20"/>
          <w:color w:val="auto"/>
        </w:rPr>
      </w:pPr>
      <w:r>
        <w:rPr>
          <w:rFonts w:ascii="Arial" w:cs="Arial" w:eastAsia="Arial" w:hAnsi="Arial"/>
          <w:sz w:val="22"/>
          <w:szCs w:val="22"/>
          <w:color w:val="auto"/>
        </w:rPr>
        <w:t>4.09</w:t>
      </w:r>
    </w:p>
    <w:p>
      <w:pPr>
        <w:spacing w:after="0" w:line="58" w:lineRule="exact"/>
        <w:rPr>
          <w:sz w:val="20"/>
          <w:szCs w:val="20"/>
          <w:color w:val="auto"/>
        </w:rPr>
      </w:pPr>
    </w:p>
    <w:p>
      <w:pPr>
        <w:ind w:left="160"/>
        <w:spacing w:after="0"/>
        <w:rPr>
          <w:sz w:val="20"/>
          <w:szCs w:val="20"/>
          <w:color w:val="auto"/>
        </w:rPr>
      </w:pPr>
      <w:r>
        <w:rPr>
          <w:rFonts w:ascii="Arial" w:cs="Arial" w:eastAsia="Arial" w:hAnsi="Arial"/>
          <w:sz w:val="22"/>
          <w:szCs w:val="22"/>
          <w:color w:val="auto"/>
        </w:rPr>
        <w:t>2.03</w:t>
      </w:r>
    </w:p>
    <w:p>
      <w:pPr>
        <w:spacing w:after="0" w:line="58" w:lineRule="exact"/>
        <w:rPr>
          <w:sz w:val="20"/>
          <w:szCs w:val="20"/>
          <w:color w:val="auto"/>
        </w:rPr>
      </w:pPr>
    </w:p>
    <w:p>
      <w:pPr>
        <w:ind w:left="160"/>
        <w:spacing w:after="0"/>
        <w:rPr>
          <w:sz w:val="20"/>
          <w:szCs w:val="20"/>
          <w:color w:val="auto"/>
        </w:rPr>
      </w:pPr>
      <w:r>
        <w:rPr>
          <w:rFonts w:ascii="Arial" w:cs="Arial" w:eastAsia="Arial" w:hAnsi="Arial"/>
          <w:sz w:val="22"/>
          <w:szCs w:val="22"/>
          <w:color w:val="auto"/>
        </w:rPr>
        <w:t>4.10</w:t>
      </w:r>
    </w:p>
    <w:p>
      <w:pPr>
        <w:spacing w:after="0" w:line="58" w:lineRule="exact"/>
        <w:rPr>
          <w:sz w:val="20"/>
          <w:szCs w:val="20"/>
          <w:color w:val="auto"/>
        </w:rPr>
      </w:pPr>
    </w:p>
    <w:p>
      <w:pPr>
        <w:ind w:left="160"/>
        <w:spacing w:after="0"/>
        <w:rPr>
          <w:sz w:val="20"/>
          <w:szCs w:val="20"/>
          <w:color w:val="auto"/>
        </w:rPr>
      </w:pPr>
      <w:r>
        <w:rPr>
          <w:rFonts w:ascii="Arial" w:cs="Arial" w:eastAsia="Arial" w:hAnsi="Arial"/>
          <w:sz w:val="22"/>
          <w:szCs w:val="22"/>
          <w:color w:val="auto"/>
        </w:rPr>
        <w:t>4.10</w:t>
      </w:r>
    </w:p>
    <w:p>
      <w:pPr>
        <w:spacing w:after="0" w:line="58" w:lineRule="exact"/>
        <w:rPr>
          <w:sz w:val="20"/>
          <w:szCs w:val="20"/>
          <w:color w:val="auto"/>
        </w:rPr>
      </w:pPr>
    </w:p>
    <w:p>
      <w:pPr>
        <w:ind w:left="160"/>
        <w:spacing w:after="0"/>
        <w:rPr>
          <w:sz w:val="20"/>
          <w:szCs w:val="20"/>
          <w:color w:val="auto"/>
        </w:rPr>
      </w:pPr>
      <w:r>
        <w:rPr>
          <w:rFonts w:ascii="Arial" w:cs="Arial" w:eastAsia="Arial" w:hAnsi="Arial"/>
          <w:sz w:val="22"/>
          <w:szCs w:val="22"/>
          <w:color w:val="auto"/>
        </w:rPr>
        <w:t>4.09</w:t>
      </w:r>
    </w:p>
    <w:p>
      <w:pPr>
        <w:spacing w:after="0" w:line="58" w:lineRule="exact"/>
        <w:rPr>
          <w:sz w:val="20"/>
          <w:szCs w:val="20"/>
          <w:color w:val="auto"/>
        </w:rPr>
      </w:pPr>
    </w:p>
    <w:p>
      <w:pPr>
        <w:ind w:left="160"/>
        <w:spacing w:after="0"/>
        <w:rPr>
          <w:sz w:val="20"/>
          <w:szCs w:val="20"/>
          <w:color w:val="auto"/>
        </w:rPr>
      </w:pPr>
      <w:r>
        <w:rPr>
          <w:rFonts w:ascii="Arial" w:cs="Arial" w:eastAsia="Arial" w:hAnsi="Arial"/>
          <w:sz w:val="22"/>
          <w:szCs w:val="22"/>
          <w:color w:val="auto"/>
        </w:rPr>
        <w:t>4.09</w:t>
      </w:r>
    </w:p>
    <w:p>
      <w:pPr>
        <w:spacing w:after="0" w:line="4832" w:lineRule="exact"/>
        <w:rPr>
          <w:sz w:val="20"/>
          <w:szCs w:val="20"/>
          <w:color w:val="auto"/>
        </w:rPr>
      </w:pPr>
    </w:p>
    <w:p>
      <w:pPr>
        <w:sectPr>
          <w:pgSz w:w="11900" w:h="16838" w:orient="portrait"/>
          <w:cols w:equalWidth="0" w:num="2">
            <w:col w:w="10100" w:space="80"/>
            <w:col w:w="700"/>
          </w:cols>
          <w:pgMar w:left="240" w:top="1440" w:right="7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
        <w:spacing w:after="0"/>
        <w:tabs>
          <w:tab w:leader="none" w:pos="5600" w:val="left"/>
        </w:tabs>
        <w:rPr>
          <w:sz w:val="20"/>
          <w:szCs w:val="20"/>
          <w:color w:val="auto"/>
        </w:rPr>
      </w:pPr>
      <w:r>
        <w:rPr>
          <w:rFonts w:ascii="Arial" w:cs="Arial" w:eastAsia="Arial" w:hAnsi="Arial"/>
          <w:sz w:val="11"/>
          <w:szCs w:val="11"/>
          <w:color w:val="auto"/>
        </w:rPr>
        <w:t>ASIA 33616188</w:t>
      </w:r>
      <w:r>
        <w:rPr>
          <w:sz w:val="20"/>
          <w:szCs w:val="20"/>
          <w:color w:val="auto"/>
        </w:rPr>
        <w:tab/>
      </w:r>
      <w:r>
        <w:rPr>
          <w:rFonts w:ascii="Arial" w:cs="Arial" w:eastAsia="Arial" w:hAnsi="Arial"/>
          <w:sz w:val="19"/>
          <w:szCs w:val="19"/>
          <w:color w:val="auto"/>
        </w:rPr>
        <w:t>15</w:t>
      </w:r>
    </w:p>
    <w:p>
      <w:pPr>
        <w:sectPr>
          <w:pgSz w:w="11900" w:h="16838" w:orient="portrait"/>
          <w:cols w:equalWidth="0" w:num="1">
            <w:col w:w="10880"/>
          </w:cols>
          <w:pgMar w:left="240" w:top="1440" w:right="779" w:bottom="1440" w:gutter="0" w:footer="0" w:header="0"/>
          <w:type w:val="continuous"/>
        </w:sectPr>
      </w:pPr>
    </w:p>
    <w:bookmarkStart w:id="166" w:name="page167"/>
    <w:bookmarkEnd w:id="166"/>
    <w:p>
      <w:pPr>
        <w:spacing w:after="0" w:line="2" w:lineRule="exact"/>
        <w:rPr>
          <w:sz w:val="20"/>
          <w:szCs w:val="20"/>
          <w:color w:val="auto"/>
        </w:rPr>
      </w:pPr>
    </w:p>
    <w:p>
      <w:pPr>
        <w:ind w:left="660" w:right="20" w:firstLine="645"/>
        <w:spacing w:after="0" w:line="302" w:lineRule="auto"/>
        <w:tabs>
          <w:tab w:leader="none" w:pos="1605" w:val="left"/>
        </w:tabs>
        <w:numPr>
          <w:ilvl w:val="0"/>
          <w:numId w:val="87"/>
        </w:numPr>
        <w:rPr>
          <w:rFonts w:ascii="Arial" w:cs="Arial" w:eastAsia="Arial" w:hAnsi="Arial"/>
          <w:sz w:val="22"/>
          <w:szCs w:val="22"/>
          <w:color w:val="auto"/>
        </w:rPr>
      </w:pPr>
      <w:r>
        <w:rPr>
          <w:rFonts w:ascii="Arial" w:cs="Arial" w:eastAsia="Arial" w:hAnsi="Arial"/>
          <w:sz w:val="22"/>
          <w:szCs w:val="22"/>
          <w:color w:val="auto"/>
        </w:rPr>
        <w:t>references to sections of or rules under the Securities Act shall be deemed to include substitute, replacement of successor sections or rules adopted by the SEC from time to time;</w:t>
      </w:r>
    </w:p>
    <w:p>
      <w:pPr>
        <w:spacing w:after="0" w:line="173" w:lineRule="exact"/>
        <w:rPr>
          <w:rFonts w:ascii="Arial" w:cs="Arial" w:eastAsia="Arial" w:hAnsi="Arial"/>
          <w:sz w:val="22"/>
          <w:szCs w:val="22"/>
          <w:color w:val="auto"/>
        </w:rPr>
      </w:pPr>
    </w:p>
    <w:p>
      <w:pPr>
        <w:ind w:left="660" w:firstLine="645"/>
        <w:spacing w:after="0" w:line="302" w:lineRule="auto"/>
        <w:tabs>
          <w:tab w:leader="none" w:pos="1632" w:val="left"/>
        </w:tabs>
        <w:numPr>
          <w:ilvl w:val="0"/>
          <w:numId w:val="87"/>
        </w:numPr>
        <w:rPr>
          <w:rFonts w:ascii="Arial" w:cs="Arial" w:eastAsia="Arial" w:hAnsi="Arial"/>
          <w:sz w:val="22"/>
          <w:szCs w:val="22"/>
          <w:color w:val="auto"/>
        </w:rPr>
      </w:pPr>
      <w:r>
        <w:rPr>
          <w:rFonts w:ascii="Arial" w:cs="Arial" w:eastAsia="Arial" w:hAnsi="Arial"/>
          <w:sz w:val="22"/>
          <w:szCs w:val="22"/>
          <w:color w:val="auto"/>
        </w:rPr>
        <w:t>references to any statute, law, rule or regulation shall be deemed to refer to the same as from time to time amended and in effect and to any successor statute, law, rule or regulation;</w:t>
      </w:r>
    </w:p>
    <w:p>
      <w:pPr>
        <w:spacing w:after="0" w:line="173" w:lineRule="exact"/>
        <w:rPr>
          <w:rFonts w:ascii="Arial" w:cs="Arial" w:eastAsia="Arial" w:hAnsi="Arial"/>
          <w:sz w:val="22"/>
          <w:szCs w:val="22"/>
          <w:color w:val="auto"/>
        </w:rPr>
      </w:pPr>
    </w:p>
    <w:p>
      <w:pPr>
        <w:jc w:val="both"/>
        <w:ind w:left="660" w:right="20" w:firstLine="645"/>
        <w:spacing w:after="0" w:line="292" w:lineRule="auto"/>
        <w:tabs>
          <w:tab w:leader="none" w:pos="1713" w:val="left"/>
        </w:tabs>
        <w:numPr>
          <w:ilvl w:val="0"/>
          <w:numId w:val="87"/>
        </w:numPr>
        <w:rPr>
          <w:rFonts w:ascii="Arial" w:cs="Arial" w:eastAsia="Arial" w:hAnsi="Arial"/>
          <w:sz w:val="22"/>
          <w:szCs w:val="22"/>
          <w:color w:val="auto"/>
        </w:rPr>
      </w:pPr>
      <w:r>
        <w:rPr>
          <w:rFonts w:ascii="Arial" w:cs="Arial" w:eastAsia="Arial" w:hAnsi="Arial"/>
          <w:sz w:val="22"/>
          <w:szCs w:val="22"/>
          <w:color w:val="auto"/>
        </w:rPr>
        <w:t>references to any contract, agreement or instrument shall mean the same as amended, modified, supplemented or amended and restated from time to time, in each case, in accordance with any applicable restrictions contained therein and in this Indenture; and</w:t>
      </w:r>
    </w:p>
    <w:p>
      <w:pPr>
        <w:spacing w:after="0" w:line="184" w:lineRule="exact"/>
        <w:rPr>
          <w:rFonts w:ascii="Arial" w:cs="Arial" w:eastAsia="Arial" w:hAnsi="Arial"/>
          <w:sz w:val="22"/>
          <w:szCs w:val="22"/>
          <w:color w:val="auto"/>
        </w:rPr>
      </w:pPr>
    </w:p>
    <w:p>
      <w:pPr>
        <w:jc w:val="both"/>
        <w:ind w:left="660" w:firstLine="645"/>
        <w:spacing w:after="0" w:line="292" w:lineRule="auto"/>
        <w:tabs>
          <w:tab w:leader="none" w:pos="1732" w:val="left"/>
        </w:tabs>
        <w:numPr>
          <w:ilvl w:val="0"/>
          <w:numId w:val="87"/>
        </w:numPr>
        <w:rPr>
          <w:rFonts w:ascii="Arial" w:cs="Arial" w:eastAsia="Arial" w:hAnsi="Arial"/>
          <w:sz w:val="22"/>
          <w:szCs w:val="22"/>
          <w:color w:val="auto"/>
        </w:rPr>
      </w:pPr>
      <w:r>
        <w:rPr>
          <w:rFonts w:ascii="Arial" w:cs="Arial" w:eastAsia="Arial" w:hAnsi="Arial"/>
          <w:sz w:val="22"/>
          <w:szCs w:val="22"/>
          <w:color w:val="auto"/>
        </w:rPr>
        <w:t>the consummation by the Issuer on the date of this Indenture of the transactions described in the Issuer’s offering memorandum, dated as of December 10, 2019, relating to the offering of the Initial Notes, shall be deemed to occur concurrently.</w:t>
      </w:r>
    </w:p>
    <w:p>
      <w:pPr>
        <w:spacing w:after="0" w:line="184"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ARTICLE 2</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NOTES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2.01 </w:t>
      </w:r>
      <w:r>
        <w:rPr>
          <w:rFonts w:ascii="Arial" w:cs="Arial" w:eastAsia="Arial" w:hAnsi="Arial"/>
          <w:sz w:val="22"/>
          <w:szCs w:val="22"/>
          <w:i w:val="1"/>
          <w:iCs w:val="1"/>
          <w:color w:val="auto"/>
        </w:rPr>
        <w:t>Form and Dating</w:t>
      </w:r>
      <w:r>
        <w:rPr>
          <w:rFonts w:ascii="Arial" w:cs="Arial" w:eastAsia="Arial" w:hAnsi="Arial"/>
          <w:sz w:val="22"/>
          <w:szCs w:val="22"/>
          <w:color w:val="auto"/>
        </w:rPr>
        <w:t>.</w:t>
      </w:r>
    </w:p>
    <w:p>
      <w:pPr>
        <w:spacing w:after="0" w:line="256" w:lineRule="exact"/>
        <w:rPr>
          <w:sz w:val="20"/>
          <w:szCs w:val="20"/>
          <w:color w:val="auto"/>
        </w:rPr>
      </w:pPr>
    </w:p>
    <w:p>
      <w:pPr>
        <w:jc w:val="both"/>
        <w:ind w:firstLine="656"/>
        <w:spacing w:after="0" w:line="288" w:lineRule="auto"/>
        <w:tabs>
          <w:tab w:leader="none" w:pos="933" w:val="left"/>
        </w:tabs>
        <w:numPr>
          <w:ilvl w:val="0"/>
          <w:numId w:val="88"/>
        </w:numPr>
        <w:rPr>
          <w:rFonts w:ascii="Arial" w:cs="Arial" w:eastAsia="Arial" w:hAnsi="Arial"/>
          <w:sz w:val="22"/>
          <w:szCs w:val="22"/>
          <w:color w:val="auto"/>
        </w:rPr>
      </w:pPr>
      <w:r>
        <w:rPr>
          <w:rFonts w:ascii="Arial" w:cs="Arial" w:eastAsia="Arial" w:hAnsi="Arial"/>
          <w:sz w:val="22"/>
          <w:szCs w:val="22"/>
          <w:i w:val="1"/>
          <w:iCs w:val="1"/>
          <w:color w:val="auto"/>
        </w:rPr>
        <w:t>General</w:t>
      </w:r>
      <w:r>
        <w:rPr>
          <w:rFonts w:ascii="Arial" w:cs="Arial" w:eastAsia="Arial" w:hAnsi="Arial"/>
          <w:sz w:val="22"/>
          <w:szCs w:val="22"/>
          <w:color w:val="auto"/>
        </w:rPr>
        <w:t>. The Notes and the Trustee’s certificate of authentication shall be substantially in the form of Exhibit A hereto.</w:t>
      </w:r>
      <w:r>
        <w:rPr>
          <w:rFonts w:ascii="Arial" w:cs="Arial" w:eastAsia="Arial" w:hAnsi="Arial"/>
          <w:sz w:val="22"/>
          <w:szCs w:val="22"/>
          <w:i w:val="1"/>
          <w:iCs w:val="1"/>
          <w:color w:val="auto"/>
        </w:rPr>
        <w:t xml:space="preserve"> </w:t>
      </w:r>
      <w:r>
        <w:rPr>
          <w:rFonts w:ascii="Arial" w:cs="Arial" w:eastAsia="Arial" w:hAnsi="Arial"/>
          <w:sz w:val="22"/>
          <w:szCs w:val="22"/>
          <w:color w:val="auto"/>
        </w:rPr>
        <w:t>The Notes may have notations, legends or endorsements required by law, stock exchange rule or usage. Each Note shall be dated the date of its authentication. The Notes shall be in denominations of US$200,000 or an integral multiple of US$1,000 in excess of US$200,000.</w:t>
      </w:r>
    </w:p>
    <w:p>
      <w:pPr>
        <w:spacing w:after="0" w:line="19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color w:val="auto"/>
        </w:rPr>
        <w:t>The terms and provisions contained in the Notes shall constitute, and are hereby expressly made, a part of this Indenture and the Issuer and the Trustee, by their execution and delivery of this Indenture, expressly agree to such terms and provisions and to be bound thereby. However, to the extent any provision of any Note conflicts with the express provisions of this Indenture, the provisions of this Indenture shall govern and be controlling.</w:t>
      </w:r>
    </w:p>
    <w:p>
      <w:pPr>
        <w:spacing w:after="0" w:line="190" w:lineRule="exact"/>
        <w:rPr>
          <w:sz w:val="20"/>
          <w:szCs w:val="20"/>
          <w:color w:val="auto"/>
        </w:rPr>
      </w:pPr>
    </w:p>
    <w:p>
      <w:pPr>
        <w:jc w:val="both"/>
        <w:ind w:firstLine="656"/>
        <w:spacing w:after="0" w:line="300" w:lineRule="auto"/>
        <w:tabs>
          <w:tab w:leader="none" w:pos="959" w:val="left"/>
        </w:tabs>
        <w:numPr>
          <w:ilvl w:val="0"/>
          <w:numId w:val="89"/>
        </w:numPr>
        <w:rPr>
          <w:rFonts w:ascii="Arial" w:cs="Arial" w:eastAsia="Arial" w:hAnsi="Arial"/>
          <w:sz w:val="21"/>
          <w:szCs w:val="21"/>
          <w:color w:val="auto"/>
        </w:rPr>
      </w:pPr>
      <w:r>
        <w:rPr>
          <w:rFonts w:ascii="Arial" w:cs="Arial" w:eastAsia="Arial" w:hAnsi="Arial"/>
          <w:sz w:val="21"/>
          <w:szCs w:val="21"/>
          <w:i w:val="1"/>
          <w:iCs w:val="1"/>
          <w:color w:val="auto"/>
        </w:rPr>
        <w:t>Global Notes</w:t>
      </w:r>
      <w:r>
        <w:rPr>
          <w:rFonts w:ascii="Arial" w:cs="Arial" w:eastAsia="Arial" w:hAnsi="Arial"/>
          <w:sz w:val="21"/>
          <w:szCs w:val="21"/>
          <w:color w:val="auto"/>
        </w:rPr>
        <w:t>. Notes issued in global form shall be substantially in the form of Exhibit A hereto (including the Global</w:t>
      </w:r>
      <w:r>
        <w:rPr>
          <w:rFonts w:ascii="Arial" w:cs="Arial" w:eastAsia="Arial" w:hAnsi="Arial"/>
          <w:sz w:val="21"/>
          <w:szCs w:val="21"/>
          <w:i w:val="1"/>
          <w:iCs w:val="1"/>
          <w:color w:val="auto"/>
        </w:rPr>
        <w:t xml:space="preserve"> </w:t>
      </w:r>
      <w:r>
        <w:rPr>
          <w:rFonts w:ascii="Arial" w:cs="Arial" w:eastAsia="Arial" w:hAnsi="Arial"/>
          <w:sz w:val="21"/>
          <w:szCs w:val="21"/>
          <w:color w:val="auto"/>
        </w:rPr>
        <w:t>Note Legend thereon and the “Schedule of Exchanges of Interests in the Global Note” attached thereto), which Notes shall be deposited on behalf of the holders of the Notes represented thereby with the Trustee, as Custodian for the Depositary, and registered in the name of the Depositary or the nominee of the Depositary. Notes issued in definitive form shall also be substantially in the form of Exhibit A attached hereto (but without the Global Note Legend thereon and without the “Schedule of Exchanges of Interests in the Global Note” attached thereto). Any Notes issued in global form and definitive form shall be duly executed by the Issuer and authenticated by the Trustee as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3160" w:type="dxa"/>
            <w:vAlign w:val="bottom"/>
          </w:tcPr>
          <w:p>
            <w:pPr>
              <w:spacing w:after="0"/>
              <w:rPr>
                <w:sz w:val="20"/>
                <w:szCs w:val="20"/>
                <w:color w:val="auto"/>
              </w:rPr>
            </w:pPr>
            <w:r>
              <w:rPr>
                <w:rFonts w:ascii="Arial" w:cs="Arial" w:eastAsia="Arial" w:hAnsi="Arial"/>
                <w:sz w:val="11"/>
                <w:szCs w:val="11"/>
                <w:color w:val="auto"/>
              </w:rPr>
              <w:t>ASIA 33616188</w:t>
            </w:r>
          </w:p>
        </w:tc>
        <w:tc>
          <w:tcPr>
            <w:tcW w:w="2660" w:type="dxa"/>
            <w:vAlign w:val="bottom"/>
          </w:tcPr>
          <w:p>
            <w:pPr>
              <w:jc w:val="right"/>
              <w:spacing w:after="0"/>
              <w:rPr>
                <w:sz w:val="20"/>
                <w:szCs w:val="20"/>
                <w:color w:val="auto"/>
              </w:rPr>
            </w:pPr>
            <w:r>
              <w:rPr>
                <w:rFonts w:ascii="Arial" w:cs="Arial" w:eastAsia="Arial" w:hAnsi="Arial"/>
                <w:sz w:val="22"/>
                <w:szCs w:val="22"/>
                <w:color w:val="auto"/>
              </w:rPr>
              <w:t>16</w:t>
            </w:r>
          </w:p>
        </w:tc>
      </w:tr>
    </w:tbl>
    <w:p>
      <w:pPr>
        <w:sectPr>
          <w:pgSz w:w="11900" w:h="16838" w:orient="portrait"/>
          <w:cols w:equalWidth="0" w:num="1">
            <w:col w:w="11420"/>
          </w:cols>
          <w:pgMar w:left="240" w:top="1440" w:right="239" w:bottom="1440" w:gutter="0" w:footer="0" w:header="0"/>
        </w:sectPr>
      </w:pPr>
    </w:p>
    <w:bookmarkStart w:id="167" w:name="page168"/>
    <w:bookmarkEnd w:id="167"/>
    <w:p>
      <w:pPr>
        <w:spacing w:after="0" w:line="2" w:lineRule="exact"/>
        <w:rPr>
          <w:sz w:val="20"/>
          <w:szCs w:val="20"/>
          <w:color w:val="auto"/>
        </w:rPr>
      </w:pPr>
    </w:p>
    <w:p>
      <w:pPr>
        <w:jc w:val="both"/>
        <w:spacing w:after="0" w:line="338" w:lineRule="auto"/>
        <w:rPr>
          <w:sz w:val="20"/>
          <w:szCs w:val="20"/>
          <w:color w:val="auto"/>
        </w:rPr>
      </w:pPr>
      <w:r>
        <w:rPr>
          <w:rFonts w:ascii="Arial" w:cs="Arial" w:eastAsia="Arial" w:hAnsi="Arial"/>
          <w:sz w:val="19"/>
          <w:szCs w:val="19"/>
          <w:color w:val="auto"/>
        </w:rPr>
        <w:t>hereinafter provided. Each Global Note shall represent such of the outstanding Notes as shall be specified therein and each shall provide that it represents the aggregate principal amount of outstanding Notes from time to time endorsed thereon and that the aggregate principal amount of outstanding Notes represented thereby may from time to time be reduced or increased, as appropriate, to reflect exchanges and redemptions. Any endorsement of a Global Note to reflect the amount of any increase or decrease in the aggregate principal amount of outstanding Notes represented thereby shall be made by the Trustee or the Custodian, at the direction of the Trustee, in accordance with instructions given by the Holder thereof as required by Section 2.06 hereof.</w:t>
      </w:r>
    </w:p>
    <w:p>
      <w:pPr>
        <w:spacing w:after="0" w:line="153" w:lineRule="exact"/>
        <w:rPr>
          <w:sz w:val="20"/>
          <w:szCs w:val="20"/>
          <w:color w:val="auto"/>
        </w:rPr>
      </w:pPr>
    </w:p>
    <w:p>
      <w:pPr>
        <w:jc w:val="both"/>
        <w:ind w:firstLine="656"/>
        <w:spacing w:after="0" w:line="288" w:lineRule="auto"/>
        <w:tabs>
          <w:tab w:leader="none" w:pos="973" w:val="left"/>
        </w:tabs>
        <w:numPr>
          <w:ilvl w:val="0"/>
          <w:numId w:val="90"/>
        </w:numPr>
        <w:rPr>
          <w:rFonts w:ascii="Arial" w:cs="Arial" w:eastAsia="Arial" w:hAnsi="Arial"/>
          <w:sz w:val="22"/>
          <w:szCs w:val="22"/>
          <w:color w:val="auto"/>
        </w:rPr>
      </w:pPr>
      <w:r>
        <w:rPr>
          <w:rFonts w:ascii="Arial" w:cs="Arial" w:eastAsia="Arial" w:hAnsi="Arial"/>
          <w:sz w:val="22"/>
          <w:szCs w:val="22"/>
          <w:i w:val="1"/>
          <w:iCs w:val="1"/>
          <w:color w:val="auto"/>
        </w:rPr>
        <w:t xml:space="preserve">Euroclear and Clearstream Procedures Applicable. </w:t>
      </w:r>
      <w:r>
        <w:rPr>
          <w:rFonts w:ascii="Arial" w:cs="Arial" w:eastAsia="Arial" w:hAnsi="Arial"/>
          <w:sz w:val="22"/>
          <w:szCs w:val="22"/>
          <w:color w:val="auto"/>
        </w:rPr>
        <w:t>The provisions of the “Operating Procedures of the Euroclear</w:t>
      </w:r>
      <w:r>
        <w:rPr>
          <w:rFonts w:ascii="Arial" w:cs="Arial" w:eastAsia="Arial" w:hAnsi="Arial"/>
          <w:sz w:val="22"/>
          <w:szCs w:val="22"/>
          <w:i w:val="1"/>
          <w:iCs w:val="1"/>
          <w:color w:val="auto"/>
        </w:rPr>
        <w:t xml:space="preserve"> </w:t>
      </w:r>
      <w:r>
        <w:rPr>
          <w:rFonts w:ascii="Arial" w:cs="Arial" w:eastAsia="Arial" w:hAnsi="Arial"/>
          <w:sz w:val="22"/>
          <w:szCs w:val="22"/>
          <w:color w:val="auto"/>
        </w:rPr>
        <w:t>System” and “Terms and Conditions Governing Use of Euroclear” and the “General Terms and Conditions of Clearstream Banking” and “Customer Handbook” of Clearstream shall be applicable to transfers of beneficial interests in the Regulation S Global Note that are held by Participants through Euroclear or Clearstream.</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2.02 </w:t>
      </w:r>
      <w:r>
        <w:rPr>
          <w:rFonts w:ascii="Arial" w:cs="Arial" w:eastAsia="Arial" w:hAnsi="Arial"/>
          <w:sz w:val="22"/>
          <w:szCs w:val="22"/>
          <w:i w:val="1"/>
          <w:iCs w:val="1"/>
          <w:color w:val="auto"/>
        </w:rPr>
        <w:t>Execution and Authentication</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 Designated Officer must sign the Notes for the Issuer by manual or facsimile signature.</w:t>
      </w:r>
    </w:p>
    <w:p>
      <w:pPr>
        <w:spacing w:after="0" w:line="260"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22"/>
          <w:szCs w:val="22"/>
          <w:color w:val="auto"/>
        </w:rPr>
        <w:t>If an Officer whose signature is on a Note no longer holds that office at the time a Note is authenticated, the Note shall nevertheless be valid.</w:t>
      </w:r>
    </w:p>
    <w:p>
      <w:pPr>
        <w:spacing w:after="0" w:line="17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A Note shall not be valid until authenticated by the manual signature of the Trustee. The signature shall be conclusive evidence that the Note has been authenticated under this Indenture.</w:t>
      </w:r>
    </w:p>
    <w:p>
      <w:pPr>
        <w:spacing w:after="0" w:line="17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22"/>
          <w:szCs w:val="22"/>
          <w:color w:val="auto"/>
        </w:rPr>
        <w:t>The Trustee shall, upon receipt of a written order of the Issuer signed by a Designated Officer of the Issuer (an “</w:t>
      </w:r>
      <w:r>
        <w:rPr>
          <w:rFonts w:ascii="Arial" w:cs="Arial" w:eastAsia="Arial" w:hAnsi="Arial"/>
          <w:sz w:val="22"/>
          <w:szCs w:val="22"/>
          <w:i w:val="1"/>
          <w:iCs w:val="1"/>
          <w:color w:val="auto"/>
        </w:rPr>
        <w:t>Authentication Order</w:t>
      </w:r>
      <w:r>
        <w:rPr>
          <w:rFonts w:ascii="Arial" w:cs="Arial" w:eastAsia="Arial" w:hAnsi="Arial"/>
          <w:sz w:val="22"/>
          <w:szCs w:val="22"/>
          <w:color w:val="auto"/>
        </w:rPr>
        <w:t>”), authenticate Notes for original issue that may be validly issued under this Indenture, including any Additional Notes (including Notes to be issued in substitution for outstanding Notes to reflect any name change of the Issuer, by succession permitted hereunder or otherwise). The aggregate principal amount of Notes outstanding at any time may not exceed the aggregate principal amount of Notes authorized for issuance by the Issuer pursuant to one or more Authentication Orders, except as provided in Section 2.07 hereof.</w:t>
      </w:r>
    </w:p>
    <w:p>
      <w:pPr>
        <w:spacing w:after="0" w:line="19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color w:val="auto"/>
        </w:rPr>
        <w:t>The Trustee may appoint an authenticating agent acceptable to the Issuer to authenticate Notes. An authenticating agent may authenticate Notes whenever the Trustee may do so. Each reference in this Indenture to authentication by the Trustee includes authentication by such agent. An authenticating agent has the same rights as an Agent to deal with Holders or an Affiliate of the Issuer.</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3160" w:type="dxa"/>
            <w:vAlign w:val="bottom"/>
          </w:tcPr>
          <w:p>
            <w:pPr>
              <w:spacing w:after="0"/>
              <w:rPr>
                <w:sz w:val="20"/>
                <w:szCs w:val="20"/>
                <w:color w:val="auto"/>
              </w:rPr>
            </w:pPr>
            <w:r>
              <w:rPr>
                <w:rFonts w:ascii="Arial" w:cs="Arial" w:eastAsia="Arial" w:hAnsi="Arial"/>
                <w:sz w:val="11"/>
                <w:szCs w:val="11"/>
                <w:color w:val="auto"/>
              </w:rPr>
              <w:t>ASIA 33616188</w:t>
            </w:r>
          </w:p>
        </w:tc>
        <w:tc>
          <w:tcPr>
            <w:tcW w:w="2660" w:type="dxa"/>
            <w:vAlign w:val="bottom"/>
          </w:tcPr>
          <w:p>
            <w:pPr>
              <w:jc w:val="right"/>
              <w:spacing w:after="0"/>
              <w:rPr>
                <w:sz w:val="20"/>
                <w:szCs w:val="20"/>
                <w:color w:val="auto"/>
              </w:rPr>
            </w:pPr>
            <w:r>
              <w:rPr>
                <w:rFonts w:ascii="Arial" w:cs="Arial" w:eastAsia="Arial" w:hAnsi="Arial"/>
                <w:sz w:val="22"/>
                <w:szCs w:val="22"/>
                <w:color w:val="auto"/>
              </w:rPr>
              <w:t>17</w:t>
            </w:r>
          </w:p>
        </w:tc>
      </w:tr>
    </w:tbl>
    <w:p>
      <w:pPr>
        <w:sectPr>
          <w:pgSz w:w="11900" w:h="16838" w:orient="portrait"/>
          <w:cols w:equalWidth="0" w:num="1">
            <w:col w:w="11420"/>
          </w:cols>
          <w:pgMar w:left="240" w:top="1440" w:right="239" w:bottom="1440" w:gutter="0" w:footer="0" w:header="0"/>
        </w:sectPr>
      </w:pPr>
    </w:p>
    <w:bookmarkStart w:id="168" w:name="page169"/>
    <w:bookmarkEnd w:id="168"/>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2.03 </w:t>
      </w:r>
      <w:r>
        <w:rPr>
          <w:rFonts w:ascii="Arial" w:cs="Arial" w:eastAsia="Arial" w:hAnsi="Arial"/>
          <w:sz w:val="22"/>
          <w:szCs w:val="22"/>
          <w:i w:val="1"/>
          <w:iCs w:val="1"/>
          <w:color w:val="auto"/>
        </w:rPr>
        <w:t>Registrar and Paying Agent</w:t>
      </w:r>
      <w:r>
        <w:rPr>
          <w:rFonts w:ascii="Arial" w:cs="Arial" w:eastAsia="Arial" w:hAnsi="Arial"/>
          <w:sz w:val="22"/>
          <w:szCs w:val="22"/>
          <w:color w:val="auto"/>
        </w:rPr>
        <w:t>.</w:t>
      </w:r>
    </w:p>
    <w:p>
      <w:pPr>
        <w:spacing w:after="0" w:line="260"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22"/>
          <w:szCs w:val="22"/>
          <w:color w:val="auto"/>
        </w:rPr>
        <w:t>The Issuer shall maintain an office or agency where Notes may be presented for registration of transfer or for exchange (“</w:t>
      </w:r>
      <w:r>
        <w:rPr>
          <w:rFonts w:ascii="Arial" w:cs="Arial" w:eastAsia="Arial" w:hAnsi="Arial"/>
          <w:sz w:val="22"/>
          <w:szCs w:val="22"/>
          <w:i w:val="1"/>
          <w:iCs w:val="1"/>
          <w:color w:val="auto"/>
        </w:rPr>
        <w:t>Registrar</w:t>
      </w:r>
      <w:r>
        <w:rPr>
          <w:rFonts w:ascii="Arial" w:cs="Arial" w:eastAsia="Arial" w:hAnsi="Arial"/>
          <w:sz w:val="22"/>
          <w:szCs w:val="22"/>
          <w:color w:val="auto"/>
        </w:rPr>
        <w:t>”) and an office or agency where Notes may be presented for payment (“</w:t>
      </w:r>
      <w:r>
        <w:rPr>
          <w:rFonts w:ascii="Arial" w:cs="Arial" w:eastAsia="Arial" w:hAnsi="Arial"/>
          <w:sz w:val="22"/>
          <w:szCs w:val="22"/>
          <w:i w:val="1"/>
          <w:iCs w:val="1"/>
          <w:color w:val="auto"/>
        </w:rPr>
        <w:t>Paying Agent</w:t>
      </w:r>
      <w:r>
        <w:rPr>
          <w:rFonts w:ascii="Arial" w:cs="Arial" w:eastAsia="Arial" w:hAnsi="Arial"/>
          <w:sz w:val="22"/>
          <w:szCs w:val="22"/>
          <w:color w:val="auto"/>
        </w:rPr>
        <w:t>”). The Registrar shall keep a register of the Notes and of their transfer and exchange. The Issuer may appoint one or more co-registrars and one or more additional paying agents. The term “Registrar” includes any co-registrar and the term “Paying Agent” includes any additional paying agent. The Issuer may change any Paying Agent or Registrar without notice to any Holder. The Issuer shall notify the Trustee in writing of the name and address of any Agent not a party to this Indenture. If the Issuer fails to appoint or maintain another entity as Registrar or Paying Agent, the Trustee shall act as such. The Issuer or any of its Subsidiaries may act as Paying Agent or Registrar.</w:t>
      </w:r>
    </w:p>
    <w:p>
      <w:pPr>
        <w:spacing w:after="0" w:line="198" w:lineRule="exact"/>
        <w:rPr>
          <w:sz w:val="20"/>
          <w:szCs w:val="20"/>
          <w:color w:val="auto"/>
        </w:rPr>
      </w:pPr>
    </w:p>
    <w:p>
      <w:pPr>
        <w:jc w:val="both"/>
        <w:ind w:firstLine="648"/>
        <w:spacing w:after="0" w:line="332" w:lineRule="auto"/>
        <w:rPr>
          <w:sz w:val="20"/>
          <w:szCs w:val="20"/>
          <w:color w:val="auto"/>
        </w:rPr>
      </w:pPr>
      <w:r>
        <w:rPr>
          <w:rFonts w:ascii="Arial" w:cs="Arial" w:eastAsia="Arial" w:hAnsi="Arial"/>
          <w:sz w:val="19"/>
          <w:szCs w:val="19"/>
          <w:color w:val="auto"/>
        </w:rPr>
        <w:t>The Issuer initially appoints The Depository Trust Company (“</w:t>
      </w:r>
      <w:r>
        <w:rPr>
          <w:rFonts w:ascii="Arial" w:cs="Arial" w:eastAsia="Arial" w:hAnsi="Arial"/>
          <w:sz w:val="19"/>
          <w:szCs w:val="19"/>
          <w:i w:val="1"/>
          <w:iCs w:val="1"/>
          <w:color w:val="auto"/>
        </w:rPr>
        <w:t>DTC</w:t>
      </w:r>
      <w:r>
        <w:rPr>
          <w:rFonts w:ascii="Arial" w:cs="Arial" w:eastAsia="Arial" w:hAnsi="Arial"/>
          <w:sz w:val="19"/>
          <w:szCs w:val="19"/>
          <w:color w:val="auto"/>
        </w:rPr>
        <w:t>”) to act as Depositary with respect to the Global Notes. None of the Trustee or Agents shall have any responsibility or obligation to any beneficial owner of an interest in a global note, any agent member or other member of, or a participant in, DTC or other person with respect to the accuracy of the records of DTC or any nominee or participant or member thereof, with respect to any ownership interest in the notes or with respect to the delivery to any agent member or other participant, member, beneficial owner or other person (other than DTC) of any notice or the payment of any amount or delivery of any notes (or other security or property) under or with respect to such notes. All notices and communications to be given to the holders and all payments to be made to holders in respect of the notes shall be given or made only to or upon the order of the registered holders (which shall be DTC or its nominee in the case of a global note). The rights of beneficial owners in any global note shall be exercised only through DTC, subject to its applicable rules and procedures. The Trustee and Agents may rely and shall be fully protected in relying upon information furnished by DTC with respect to its agent members and other members, participants and any beneficial owners.</w:t>
      </w:r>
    </w:p>
    <w:p>
      <w:pPr>
        <w:spacing w:after="0" w:line="16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The Issuer initially appoints the Trustee to act as the Registrar and Paying Agent and to act as Custodian with respect to the Global Notes.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2.04 </w:t>
      </w:r>
      <w:r>
        <w:rPr>
          <w:rFonts w:ascii="Arial" w:cs="Arial" w:eastAsia="Arial" w:hAnsi="Arial"/>
          <w:sz w:val="22"/>
          <w:szCs w:val="22"/>
          <w:i w:val="1"/>
          <w:iCs w:val="1"/>
          <w:color w:val="auto"/>
        </w:rPr>
        <w:t>Paying Agent to Hold Money in Trust</w:t>
      </w:r>
      <w:r>
        <w:rPr>
          <w:rFonts w:ascii="Arial" w:cs="Arial" w:eastAsia="Arial" w:hAnsi="Arial"/>
          <w:sz w:val="22"/>
          <w:szCs w:val="22"/>
          <w:color w:val="auto"/>
        </w:rPr>
        <w:t>.</w:t>
      </w:r>
    </w:p>
    <w:p>
      <w:pPr>
        <w:spacing w:after="0" w:line="260"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21"/>
          <w:szCs w:val="21"/>
          <w:color w:val="auto"/>
        </w:rPr>
        <w:t>The Issuer shall require each Paying Agent other than the Trustee to agree in writing that the Paying Agent shall hold in trust for the benefit of Holders or the Trustee all money held by the Paying Agent for the payment of principal, premium, if any, or interest on the Notes, and shall notify the Trustee (if the Trustee is not serving as Paying Agent) of any default by the Issuer in making any such payment. While any such default continues, the Trustee may require a Paying Agent to pay all money held by it to the Trustee. The Issuer at any time may require a Paying Agent to pay all money held by it to the Trustee. Upon payment over to the Trustee, the Paying Agent (if other than the Issuer or a Subsidiary thereof) shall have no further liability for the money. If the Issuer or a Subsidiary acts as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3160" w:type="dxa"/>
            <w:vAlign w:val="bottom"/>
          </w:tcPr>
          <w:p>
            <w:pPr>
              <w:spacing w:after="0"/>
              <w:rPr>
                <w:sz w:val="20"/>
                <w:szCs w:val="20"/>
                <w:color w:val="auto"/>
              </w:rPr>
            </w:pPr>
            <w:r>
              <w:rPr>
                <w:rFonts w:ascii="Arial" w:cs="Arial" w:eastAsia="Arial" w:hAnsi="Arial"/>
                <w:sz w:val="11"/>
                <w:szCs w:val="11"/>
                <w:color w:val="auto"/>
              </w:rPr>
              <w:t>ASIA 33616188</w:t>
            </w:r>
          </w:p>
        </w:tc>
        <w:tc>
          <w:tcPr>
            <w:tcW w:w="2660" w:type="dxa"/>
            <w:vAlign w:val="bottom"/>
          </w:tcPr>
          <w:p>
            <w:pPr>
              <w:jc w:val="right"/>
              <w:spacing w:after="0"/>
              <w:rPr>
                <w:sz w:val="20"/>
                <w:szCs w:val="20"/>
                <w:color w:val="auto"/>
              </w:rPr>
            </w:pPr>
            <w:r>
              <w:rPr>
                <w:rFonts w:ascii="Arial" w:cs="Arial" w:eastAsia="Arial" w:hAnsi="Arial"/>
                <w:sz w:val="22"/>
                <w:szCs w:val="22"/>
                <w:color w:val="auto"/>
              </w:rPr>
              <w:t>18</w:t>
            </w:r>
          </w:p>
        </w:tc>
      </w:tr>
    </w:tbl>
    <w:p>
      <w:pPr>
        <w:sectPr>
          <w:pgSz w:w="11900" w:h="16838" w:orient="portrait"/>
          <w:cols w:equalWidth="0" w:num="1">
            <w:col w:w="11420"/>
          </w:cols>
          <w:pgMar w:left="240" w:top="1440" w:right="239" w:bottom="1440" w:gutter="0" w:footer="0" w:header="0"/>
        </w:sectPr>
      </w:pPr>
    </w:p>
    <w:bookmarkStart w:id="169" w:name="page170"/>
    <w:bookmarkEnd w:id="169"/>
    <w:p>
      <w:pPr>
        <w:spacing w:after="0" w:line="2" w:lineRule="exact"/>
        <w:rPr>
          <w:sz w:val="20"/>
          <w:szCs w:val="20"/>
          <w:color w:val="auto"/>
        </w:rPr>
      </w:pPr>
    </w:p>
    <w:p>
      <w:pPr>
        <w:jc w:val="both"/>
        <w:spacing w:after="0" w:line="292" w:lineRule="auto"/>
        <w:rPr>
          <w:sz w:val="20"/>
          <w:szCs w:val="20"/>
          <w:color w:val="auto"/>
        </w:rPr>
      </w:pPr>
      <w:r>
        <w:rPr>
          <w:rFonts w:ascii="Arial" w:cs="Arial" w:eastAsia="Arial" w:hAnsi="Arial"/>
          <w:sz w:val="22"/>
          <w:szCs w:val="22"/>
          <w:color w:val="auto"/>
        </w:rPr>
        <w:t>Paying Agent, it shall segregate and hold in a separate trust fund for the benefit of the Holders all money held by it as Paying Agent. Upon any bankruptcy or reorganization proceedings relating to the Issuer, the Trustee shall serve as Paying Agent for the Notes.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2.05 </w:t>
      </w:r>
      <w:r>
        <w:rPr>
          <w:rFonts w:ascii="Arial" w:cs="Arial" w:eastAsia="Arial" w:hAnsi="Arial"/>
          <w:sz w:val="22"/>
          <w:szCs w:val="22"/>
          <w:i w:val="1"/>
          <w:iCs w:val="1"/>
          <w:color w:val="auto"/>
        </w:rPr>
        <w:t>Holder Lists</w:t>
      </w:r>
      <w:r>
        <w:rPr>
          <w:rFonts w:ascii="Arial" w:cs="Arial" w:eastAsia="Arial" w:hAnsi="Arial"/>
          <w:sz w:val="22"/>
          <w:szCs w:val="22"/>
          <w:color w:val="auto"/>
        </w:rPr>
        <w:t>.</w:t>
      </w:r>
    </w:p>
    <w:p>
      <w:pPr>
        <w:spacing w:after="0" w:line="260" w:lineRule="exact"/>
        <w:rPr>
          <w:sz w:val="20"/>
          <w:szCs w:val="20"/>
          <w:color w:val="auto"/>
        </w:rPr>
      </w:pPr>
    </w:p>
    <w:p>
      <w:pPr>
        <w:jc w:val="both"/>
        <w:ind w:firstLine="648"/>
        <w:spacing w:after="0" w:line="346" w:lineRule="auto"/>
        <w:rPr>
          <w:sz w:val="20"/>
          <w:szCs w:val="20"/>
          <w:color w:val="auto"/>
        </w:rPr>
      </w:pPr>
      <w:r>
        <w:rPr>
          <w:rFonts w:ascii="Arial" w:cs="Arial" w:eastAsia="Arial" w:hAnsi="Arial"/>
          <w:sz w:val="19"/>
          <w:szCs w:val="19"/>
          <w:color w:val="auto"/>
        </w:rPr>
        <w:t>The Trustee shall preserve in as current a form as is reasonably practicable the most recent list available to it of the names and addresses of all Holders. If the Trustee is not the Registrar, the Issuer shall furnish to the Trustee at least seven Business Days before each interest payment date and at such other times as the Trustee may request in writing, a list in such form and as of such date as the Trustee may reasonably require of the names and addresses of the Holders of Notes.</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2.06 </w:t>
      </w:r>
      <w:r>
        <w:rPr>
          <w:rFonts w:ascii="Arial" w:cs="Arial" w:eastAsia="Arial" w:hAnsi="Arial"/>
          <w:sz w:val="22"/>
          <w:szCs w:val="22"/>
          <w:i w:val="1"/>
          <w:iCs w:val="1"/>
          <w:color w:val="auto"/>
        </w:rPr>
        <w:t>Transfer and Exchange</w:t>
      </w:r>
      <w:r>
        <w:rPr>
          <w:rFonts w:ascii="Arial" w:cs="Arial" w:eastAsia="Arial" w:hAnsi="Arial"/>
          <w:sz w:val="22"/>
          <w:szCs w:val="22"/>
          <w:color w:val="auto"/>
        </w:rPr>
        <w:t>.</w:t>
      </w:r>
    </w:p>
    <w:p>
      <w:pPr>
        <w:spacing w:after="0" w:line="260" w:lineRule="exact"/>
        <w:rPr>
          <w:sz w:val="20"/>
          <w:szCs w:val="20"/>
          <w:color w:val="auto"/>
        </w:rPr>
      </w:pPr>
    </w:p>
    <w:p>
      <w:pPr>
        <w:jc w:val="both"/>
        <w:ind w:firstLine="656"/>
        <w:spacing w:after="0" w:line="288" w:lineRule="auto"/>
        <w:tabs>
          <w:tab w:leader="none" w:pos="989" w:val="left"/>
        </w:tabs>
        <w:numPr>
          <w:ilvl w:val="0"/>
          <w:numId w:val="91"/>
        </w:numPr>
        <w:rPr>
          <w:rFonts w:ascii="Arial" w:cs="Arial" w:eastAsia="Arial" w:hAnsi="Arial"/>
          <w:sz w:val="22"/>
          <w:szCs w:val="22"/>
          <w:color w:val="auto"/>
        </w:rPr>
      </w:pPr>
      <w:r>
        <w:rPr>
          <w:rFonts w:ascii="Arial" w:cs="Arial" w:eastAsia="Arial" w:hAnsi="Arial"/>
          <w:sz w:val="22"/>
          <w:szCs w:val="22"/>
          <w:i w:val="1"/>
          <w:iCs w:val="1"/>
          <w:color w:val="auto"/>
        </w:rPr>
        <w:t>Transfer and Exchange of Global Notes</w:t>
      </w:r>
      <w:r>
        <w:rPr>
          <w:rFonts w:ascii="Arial" w:cs="Arial" w:eastAsia="Arial" w:hAnsi="Arial"/>
          <w:sz w:val="22"/>
          <w:szCs w:val="22"/>
          <w:color w:val="auto"/>
        </w:rPr>
        <w:t>. A Global Note may not be transferred except as a whole by the Depositary to a</w:t>
      </w:r>
      <w:r>
        <w:rPr>
          <w:rFonts w:ascii="Arial" w:cs="Arial" w:eastAsia="Arial" w:hAnsi="Arial"/>
          <w:sz w:val="22"/>
          <w:szCs w:val="22"/>
          <w:i w:val="1"/>
          <w:iCs w:val="1"/>
          <w:color w:val="auto"/>
        </w:rPr>
        <w:t xml:space="preserve"> </w:t>
      </w:r>
      <w:r>
        <w:rPr>
          <w:rFonts w:ascii="Arial" w:cs="Arial" w:eastAsia="Arial" w:hAnsi="Arial"/>
          <w:sz w:val="22"/>
          <w:szCs w:val="22"/>
          <w:color w:val="auto"/>
        </w:rPr>
        <w:t>nominee of the Depositary, by a nominee of the Depositary to the Depositary or to another nominee of the Depositary, or by the Depositary or any such nominee to a successor Depositary or a nominee of such successor Depositary. All Global Notes shall be exchanged by the Issuer for Definitive Notes if:</w:t>
      </w:r>
    </w:p>
    <w:p>
      <w:pPr>
        <w:spacing w:after="0" w:line="190" w:lineRule="exact"/>
        <w:rPr>
          <w:rFonts w:ascii="Arial" w:cs="Arial" w:eastAsia="Arial" w:hAnsi="Arial"/>
          <w:sz w:val="22"/>
          <w:szCs w:val="22"/>
          <w:color w:val="auto"/>
        </w:rPr>
      </w:pPr>
    </w:p>
    <w:p>
      <w:pPr>
        <w:jc w:val="both"/>
        <w:ind w:left="660" w:firstLine="645"/>
        <w:spacing w:after="0" w:line="357" w:lineRule="auto"/>
        <w:tabs>
          <w:tab w:leader="none" w:pos="1605" w:val="left"/>
        </w:tabs>
        <w:numPr>
          <w:ilvl w:val="1"/>
          <w:numId w:val="91"/>
        </w:numPr>
        <w:rPr>
          <w:rFonts w:ascii="Arial" w:cs="Arial" w:eastAsia="Arial" w:hAnsi="Arial"/>
          <w:sz w:val="19"/>
          <w:szCs w:val="19"/>
          <w:color w:val="auto"/>
        </w:rPr>
      </w:pPr>
      <w:r>
        <w:rPr>
          <w:rFonts w:ascii="Arial" w:cs="Arial" w:eastAsia="Arial" w:hAnsi="Arial"/>
          <w:sz w:val="19"/>
          <w:szCs w:val="19"/>
          <w:color w:val="auto"/>
        </w:rPr>
        <w:t>the Issuer delivers to the Trustee written notice from the Depositary that it is unwilling or unable to continue to act as Depositary or that it is no longer a clearing agency registered under the Exchange Act and, in either case, a successor Depositary is not appointed by the Issuer within 120 days after the date of such notice from the Depositary;</w:t>
      </w:r>
    </w:p>
    <w:p>
      <w:pPr>
        <w:spacing w:after="0" w:line="132" w:lineRule="exact"/>
        <w:rPr>
          <w:rFonts w:ascii="Arial" w:cs="Arial" w:eastAsia="Arial" w:hAnsi="Arial"/>
          <w:sz w:val="19"/>
          <w:szCs w:val="19"/>
          <w:color w:val="auto"/>
        </w:rPr>
      </w:pPr>
    </w:p>
    <w:p>
      <w:pPr>
        <w:ind w:left="660" w:firstLine="645"/>
        <w:spacing w:after="0" w:line="302" w:lineRule="auto"/>
        <w:tabs>
          <w:tab w:leader="none" w:pos="1605" w:val="left"/>
        </w:tabs>
        <w:numPr>
          <w:ilvl w:val="1"/>
          <w:numId w:val="91"/>
        </w:numPr>
        <w:rPr>
          <w:rFonts w:ascii="Arial" w:cs="Arial" w:eastAsia="Arial" w:hAnsi="Arial"/>
          <w:sz w:val="22"/>
          <w:szCs w:val="22"/>
          <w:color w:val="auto"/>
        </w:rPr>
      </w:pPr>
      <w:r>
        <w:rPr>
          <w:rFonts w:ascii="Arial" w:cs="Arial" w:eastAsia="Arial" w:hAnsi="Arial"/>
          <w:sz w:val="22"/>
          <w:szCs w:val="22"/>
          <w:color w:val="auto"/>
        </w:rPr>
        <w:t>the Issuer in its sole discretion determines that the Global Notes (in whole but not in part) should be exchanged for Definitive Notes and delivers a written notice to such effect to the Trustee; or</w:t>
      </w:r>
    </w:p>
    <w:p>
      <w:pPr>
        <w:spacing w:after="0" w:line="173" w:lineRule="exact"/>
        <w:rPr>
          <w:rFonts w:ascii="Arial" w:cs="Arial" w:eastAsia="Arial" w:hAnsi="Arial"/>
          <w:sz w:val="22"/>
          <w:szCs w:val="22"/>
          <w:color w:val="auto"/>
        </w:rPr>
      </w:pPr>
    </w:p>
    <w:p>
      <w:pPr>
        <w:jc w:val="both"/>
        <w:ind w:left="660" w:firstLine="645"/>
        <w:spacing w:after="0" w:line="292" w:lineRule="auto"/>
        <w:tabs>
          <w:tab w:leader="none" w:pos="1632" w:val="left"/>
        </w:tabs>
        <w:numPr>
          <w:ilvl w:val="1"/>
          <w:numId w:val="91"/>
        </w:numPr>
        <w:rPr>
          <w:rFonts w:ascii="Arial" w:cs="Arial" w:eastAsia="Arial" w:hAnsi="Arial"/>
          <w:sz w:val="22"/>
          <w:szCs w:val="22"/>
          <w:color w:val="auto"/>
        </w:rPr>
      </w:pPr>
      <w:r>
        <w:rPr>
          <w:rFonts w:ascii="Arial" w:cs="Arial" w:eastAsia="Arial" w:hAnsi="Arial"/>
          <w:sz w:val="22"/>
          <w:szCs w:val="22"/>
          <w:color w:val="auto"/>
        </w:rPr>
        <w:t>following the occurrence and during the continuation of a Default or Event of Default, any Person having a beneficial interest in a Global Note requests that the Global Notes should be exchanged for Definitive Notes and delivers a written notice to such effect to the Trustee.</w:t>
      </w:r>
    </w:p>
    <w:p>
      <w:pPr>
        <w:spacing w:after="0" w:line="184" w:lineRule="exact"/>
        <w:rPr>
          <w:sz w:val="20"/>
          <w:szCs w:val="20"/>
          <w:color w:val="auto"/>
        </w:rPr>
      </w:pPr>
    </w:p>
    <w:p>
      <w:pPr>
        <w:jc w:val="both"/>
        <w:ind w:firstLine="648"/>
        <w:spacing w:after="0" w:line="341" w:lineRule="auto"/>
        <w:rPr>
          <w:sz w:val="20"/>
          <w:szCs w:val="20"/>
          <w:color w:val="auto"/>
        </w:rPr>
      </w:pPr>
      <w:r>
        <w:rPr>
          <w:rFonts w:ascii="Arial" w:cs="Arial" w:eastAsia="Arial" w:hAnsi="Arial"/>
          <w:sz w:val="19"/>
          <w:szCs w:val="19"/>
          <w:color w:val="auto"/>
        </w:rPr>
        <w:t>Upon the occurrence of either of the preceding events in (1) or (2) above, Definitive Notes shall be issued in such names as the Depositary shall instruct the Trustee. Global Notes also may be exchanged or replaced, in whole or in part, as provided in Sections 2.07 and 2.10 hereof. Every Note authenticated and delivered in exchange for, or in lieu of, a Global Note or any portion thereof, pursuant to this Section 2.06, or Section 2.07 or Section 2.10 hereof, shall be authenticated and delivered in the form of, and shall be, a Global Note. A Global Note may not be exchanged for another Note other than as provided in this Section 2.06(a).</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3160" w:type="dxa"/>
            <w:vAlign w:val="bottom"/>
          </w:tcPr>
          <w:p>
            <w:pPr>
              <w:spacing w:after="0"/>
              <w:rPr>
                <w:sz w:val="20"/>
                <w:szCs w:val="20"/>
                <w:color w:val="auto"/>
              </w:rPr>
            </w:pPr>
            <w:r>
              <w:rPr>
                <w:rFonts w:ascii="Arial" w:cs="Arial" w:eastAsia="Arial" w:hAnsi="Arial"/>
                <w:sz w:val="11"/>
                <w:szCs w:val="11"/>
                <w:color w:val="auto"/>
              </w:rPr>
              <w:t>ASIA 33616188</w:t>
            </w:r>
          </w:p>
        </w:tc>
        <w:tc>
          <w:tcPr>
            <w:tcW w:w="2660" w:type="dxa"/>
            <w:vAlign w:val="bottom"/>
          </w:tcPr>
          <w:p>
            <w:pPr>
              <w:jc w:val="right"/>
              <w:spacing w:after="0"/>
              <w:rPr>
                <w:sz w:val="20"/>
                <w:szCs w:val="20"/>
                <w:color w:val="auto"/>
              </w:rPr>
            </w:pPr>
            <w:r>
              <w:rPr>
                <w:rFonts w:ascii="Arial" w:cs="Arial" w:eastAsia="Arial" w:hAnsi="Arial"/>
                <w:sz w:val="22"/>
                <w:szCs w:val="22"/>
                <w:color w:val="auto"/>
              </w:rPr>
              <w:t>19</w:t>
            </w:r>
          </w:p>
        </w:tc>
      </w:tr>
    </w:tbl>
    <w:p>
      <w:pPr>
        <w:sectPr>
          <w:pgSz w:w="11900" w:h="16838" w:orient="portrait"/>
          <w:cols w:equalWidth="0" w:num="1">
            <w:col w:w="11420"/>
          </w:cols>
          <w:pgMar w:left="240" w:top="1440" w:right="239" w:bottom="1440" w:gutter="0" w:footer="0" w:header="0"/>
        </w:sectPr>
      </w:pPr>
    </w:p>
    <w:bookmarkStart w:id="170" w:name="page171"/>
    <w:bookmarkEnd w:id="170"/>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However, beneficial interests in a Global Note may be transferred and exchanged as provided in Section 2.06(b) or (c) hereof.</w:t>
      </w:r>
    </w:p>
    <w:p>
      <w:pPr>
        <w:spacing w:after="0" w:line="295" w:lineRule="exact"/>
        <w:rPr>
          <w:sz w:val="20"/>
          <w:szCs w:val="20"/>
          <w:color w:val="auto"/>
        </w:rPr>
      </w:pPr>
    </w:p>
    <w:p>
      <w:pPr>
        <w:jc w:val="both"/>
        <w:ind w:firstLine="656"/>
        <w:spacing w:after="0" w:line="285" w:lineRule="auto"/>
        <w:tabs>
          <w:tab w:leader="none" w:pos="945" w:val="left"/>
        </w:tabs>
        <w:numPr>
          <w:ilvl w:val="0"/>
          <w:numId w:val="92"/>
        </w:numPr>
        <w:rPr>
          <w:rFonts w:ascii="Arial" w:cs="Arial" w:eastAsia="Arial" w:hAnsi="Arial"/>
          <w:sz w:val="22"/>
          <w:szCs w:val="22"/>
          <w:color w:val="auto"/>
        </w:rPr>
      </w:pPr>
      <w:r>
        <w:rPr>
          <w:rFonts w:ascii="Arial" w:cs="Arial" w:eastAsia="Arial" w:hAnsi="Arial"/>
          <w:sz w:val="22"/>
          <w:szCs w:val="22"/>
          <w:i w:val="1"/>
          <w:iCs w:val="1"/>
          <w:color w:val="auto"/>
        </w:rPr>
        <w:t>Transfer and Exchange of Beneficial Interests in the Global Notes</w:t>
      </w:r>
      <w:r>
        <w:rPr>
          <w:rFonts w:ascii="Arial" w:cs="Arial" w:eastAsia="Arial" w:hAnsi="Arial"/>
          <w:sz w:val="22"/>
          <w:szCs w:val="22"/>
          <w:color w:val="auto"/>
        </w:rPr>
        <w:t>. The transfer and exchange of beneficial interests in</w:t>
      </w:r>
      <w:r>
        <w:rPr>
          <w:rFonts w:ascii="Arial" w:cs="Arial" w:eastAsia="Arial" w:hAnsi="Arial"/>
          <w:sz w:val="22"/>
          <w:szCs w:val="22"/>
          <w:i w:val="1"/>
          <w:iCs w:val="1"/>
          <w:color w:val="auto"/>
        </w:rPr>
        <w:t xml:space="preserve"> </w:t>
      </w:r>
      <w:r>
        <w:rPr>
          <w:rFonts w:ascii="Arial" w:cs="Arial" w:eastAsia="Arial" w:hAnsi="Arial"/>
          <w:sz w:val="22"/>
          <w:szCs w:val="22"/>
          <w:color w:val="auto"/>
        </w:rPr>
        <w:t>the Global Notes shall be effected through the Depositary, in accordance with the provisions of this Indenture and the Applicable Procedures. Beneficial interests in the Restricted Global Notes shall be subject to restrictions on transfer comparable to those set forth herein to the extent required by the Securities Act. Transfers of beneficial interests in the Global Notes also shall require compliance with either subparagraph (1) or (2) below, as applicable, as well as one or more of the other following subparagraphs, as applicable:</w:t>
      </w:r>
    </w:p>
    <w:p>
      <w:pPr>
        <w:spacing w:after="0" w:line="196" w:lineRule="exact"/>
        <w:rPr>
          <w:rFonts w:ascii="Arial" w:cs="Arial" w:eastAsia="Arial" w:hAnsi="Arial"/>
          <w:sz w:val="22"/>
          <w:szCs w:val="22"/>
          <w:color w:val="auto"/>
        </w:rPr>
      </w:pPr>
    </w:p>
    <w:p>
      <w:pPr>
        <w:jc w:val="both"/>
        <w:ind w:left="660" w:firstLine="645"/>
        <w:spacing w:after="0" w:line="335" w:lineRule="auto"/>
        <w:tabs>
          <w:tab w:leader="none" w:pos="1605" w:val="left"/>
        </w:tabs>
        <w:numPr>
          <w:ilvl w:val="1"/>
          <w:numId w:val="92"/>
        </w:numPr>
        <w:rPr>
          <w:rFonts w:ascii="Arial" w:cs="Arial" w:eastAsia="Arial" w:hAnsi="Arial"/>
          <w:sz w:val="19"/>
          <w:szCs w:val="19"/>
          <w:color w:val="auto"/>
        </w:rPr>
      </w:pPr>
      <w:r>
        <w:rPr>
          <w:rFonts w:ascii="Arial" w:cs="Arial" w:eastAsia="Arial" w:hAnsi="Arial"/>
          <w:sz w:val="19"/>
          <w:szCs w:val="19"/>
          <w:i w:val="1"/>
          <w:iCs w:val="1"/>
          <w:color w:val="auto"/>
        </w:rPr>
        <w:t>Transfer of Beneficial Interests in the Same Global Note</w:t>
      </w:r>
      <w:r>
        <w:rPr>
          <w:rFonts w:ascii="Arial" w:cs="Arial" w:eastAsia="Arial" w:hAnsi="Arial"/>
          <w:sz w:val="19"/>
          <w:szCs w:val="19"/>
          <w:color w:val="auto"/>
        </w:rPr>
        <w:t>. Beneficial interests in any Restricted Global Note may</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be transferred to Persons who take delivery thereof in the form of a beneficial interest in the same Restricted Global Note in accordance with the transfer restrictions set forth in the Private Placement Legend; </w:t>
      </w:r>
      <w:r>
        <w:rPr>
          <w:rFonts w:ascii="Arial" w:cs="Arial" w:eastAsia="Arial" w:hAnsi="Arial"/>
          <w:sz w:val="19"/>
          <w:szCs w:val="19"/>
          <w:i w:val="1"/>
          <w:iCs w:val="1"/>
          <w:color w:val="auto"/>
        </w:rPr>
        <w:t>provided, however</w:t>
      </w:r>
      <w:r>
        <w:rPr>
          <w:rFonts w:ascii="Arial" w:cs="Arial" w:eastAsia="Arial" w:hAnsi="Arial"/>
          <w:sz w:val="19"/>
          <w:szCs w:val="19"/>
          <w:color w:val="auto"/>
        </w:rPr>
        <w:t>, that prior to the expiration of the Restricted Period, transfers of beneficial interests in the Regulation S Global Note may not be made to a U.S. Person or for the account or benefit of a U.S. Person (other than by the Issuer to an Initial Purchaser). Beneficial interests in any Unrestricted Global Note may be transferred to Persons who take delivery thereof in the form of a beneficial interest in an Unrestricted Global Note. No written orders or instructions shall be required to be delivered to the Registrar to effect the transfers described in this Section 2.06(b)(1).</w:t>
      </w:r>
    </w:p>
    <w:p>
      <w:pPr>
        <w:spacing w:after="0" w:line="153" w:lineRule="exact"/>
        <w:rPr>
          <w:rFonts w:ascii="Arial" w:cs="Arial" w:eastAsia="Arial" w:hAnsi="Arial"/>
          <w:sz w:val="19"/>
          <w:szCs w:val="19"/>
          <w:color w:val="auto"/>
        </w:rPr>
      </w:pPr>
    </w:p>
    <w:p>
      <w:pPr>
        <w:jc w:val="both"/>
        <w:ind w:left="660" w:right="20" w:firstLine="645"/>
        <w:spacing w:after="0" w:line="292" w:lineRule="auto"/>
        <w:tabs>
          <w:tab w:leader="none" w:pos="1619" w:val="left"/>
        </w:tabs>
        <w:numPr>
          <w:ilvl w:val="1"/>
          <w:numId w:val="92"/>
        </w:numPr>
        <w:rPr>
          <w:rFonts w:ascii="Arial" w:cs="Arial" w:eastAsia="Arial" w:hAnsi="Arial"/>
          <w:sz w:val="22"/>
          <w:szCs w:val="22"/>
          <w:color w:val="auto"/>
        </w:rPr>
      </w:pPr>
      <w:r>
        <w:rPr>
          <w:rFonts w:ascii="Arial" w:cs="Arial" w:eastAsia="Arial" w:hAnsi="Arial"/>
          <w:sz w:val="22"/>
          <w:szCs w:val="22"/>
          <w:i w:val="1"/>
          <w:iCs w:val="1"/>
          <w:color w:val="auto"/>
        </w:rPr>
        <w:t xml:space="preserve">All Other Transfers and Exchanges of Beneficial Interests in Global Notes. </w:t>
      </w:r>
      <w:r>
        <w:rPr>
          <w:rFonts w:ascii="Arial" w:cs="Arial" w:eastAsia="Arial" w:hAnsi="Arial"/>
          <w:sz w:val="22"/>
          <w:szCs w:val="22"/>
          <w:color w:val="auto"/>
        </w:rPr>
        <w:t>In connection with all transfers and</w:t>
      </w:r>
      <w:r>
        <w:rPr>
          <w:rFonts w:ascii="Arial" w:cs="Arial" w:eastAsia="Arial" w:hAnsi="Arial"/>
          <w:sz w:val="22"/>
          <w:szCs w:val="22"/>
          <w:i w:val="1"/>
          <w:iCs w:val="1"/>
          <w:color w:val="auto"/>
        </w:rPr>
        <w:t xml:space="preserve"> </w:t>
      </w:r>
      <w:r>
        <w:rPr>
          <w:rFonts w:ascii="Arial" w:cs="Arial" w:eastAsia="Arial" w:hAnsi="Arial"/>
          <w:sz w:val="22"/>
          <w:szCs w:val="22"/>
          <w:color w:val="auto"/>
        </w:rPr>
        <w:t>exchanges of beneficial interests that are not subject to Section 2.06(b)(1) above, the transferor of such beneficial interest must deliver to the Registrar either:</w:t>
      </w:r>
    </w:p>
    <w:p>
      <w:pPr>
        <w:spacing w:after="0" w:line="184" w:lineRule="exact"/>
        <w:rPr>
          <w:rFonts w:ascii="Arial" w:cs="Arial" w:eastAsia="Arial" w:hAnsi="Arial"/>
          <w:sz w:val="22"/>
          <w:szCs w:val="22"/>
          <w:color w:val="auto"/>
        </w:rPr>
      </w:pPr>
    </w:p>
    <w:p>
      <w:pPr>
        <w:ind w:left="2300" w:hanging="347"/>
        <w:spacing w:after="0"/>
        <w:tabs>
          <w:tab w:leader="none" w:pos="2300" w:val="left"/>
        </w:tabs>
        <w:numPr>
          <w:ilvl w:val="2"/>
          <w:numId w:val="92"/>
        </w:numPr>
        <w:rPr>
          <w:rFonts w:ascii="Arial" w:cs="Arial" w:eastAsia="Arial" w:hAnsi="Arial"/>
          <w:sz w:val="22"/>
          <w:szCs w:val="22"/>
          <w:color w:val="auto"/>
        </w:rPr>
      </w:pPr>
      <w:r>
        <w:rPr>
          <w:rFonts w:ascii="Arial" w:cs="Arial" w:eastAsia="Arial" w:hAnsi="Arial"/>
          <w:sz w:val="22"/>
          <w:szCs w:val="22"/>
          <w:color w:val="auto"/>
        </w:rPr>
        <w:t>both:</w:t>
      </w:r>
    </w:p>
    <w:p>
      <w:pPr>
        <w:spacing w:after="0" w:line="260" w:lineRule="exact"/>
        <w:rPr>
          <w:rFonts w:ascii="Arial" w:cs="Arial" w:eastAsia="Arial" w:hAnsi="Arial"/>
          <w:sz w:val="22"/>
          <w:szCs w:val="22"/>
          <w:color w:val="auto"/>
        </w:rPr>
      </w:pPr>
    </w:p>
    <w:p>
      <w:pPr>
        <w:jc w:val="both"/>
        <w:ind w:left="1960" w:firstLine="641"/>
        <w:spacing w:after="0" w:line="357" w:lineRule="auto"/>
        <w:tabs>
          <w:tab w:leader="none" w:pos="2857" w:val="left"/>
        </w:tabs>
        <w:numPr>
          <w:ilvl w:val="3"/>
          <w:numId w:val="92"/>
        </w:numPr>
        <w:rPr>
          <w:rFonts w:ascii="Arial" w:cs="Arial" w:eastAsia="Arial" w:hAnsi="Arial"/>
          <w:sz w:val="19"/>
          <w:szCs w:val="19"/>
          <w:color w:val="auto"/>
        </w:rPr>
      </w:pPr>
      <w:r>
        <w:rPr>
          <w:rFonts w:ascii="Arial" w:cs="Arial" w:eastAsia="Arial" w:hAnsi="Arial"/>
          <w:sz w:val="19"/>
          <w:szCs w:val="19"/>
          <w:color w:val="auto"/>
        </w:rPr>
        <w:t>a written order from a Participant or an Indirect Participant given to the Depositary in accordance with the Applicable Procedures directing the Depositary to credit or cause to be credited a beneficial interest in another Global Note in an amount equal to the beneficial interest to be transferred or exchanged; and</w:t>
      </w:r>
    </w:p>
    <w:p>
      <w:pPr>
        <w:spacing w:after="0" w:line="132" w:lineRule="exact"/>
        <w:rPr>
          <w:rFonts w:ascii="Arial" w:cs="Arial" w:eastAsia="Arial" w:hAnsi="Arial"/>
          <w:sz w:val="19"/>
          <w:szCs w:val="19"/>
          <w:color w:val="auto"/>
        </w:rPr>
      </w:pPr>
    </w:p>
    <w:p>
      <w:pPr>
        <w:ind w:left="1960" w:right="20" w:firstLine="641"/>
        <w:spacing w:after="0" w:line="302" w:lineRule="auto"/>
        <w:tabs>
          <w:tab w:leader="none" w:pos="2917" w:val="left"/>
        </w:tabs>
        <w:numPr>
          <w:ilvl w:val="3"/>
          <w:numId w:val="92"/>
        </w:numPr>
        <w:rPr>
          <w:rFonts w:ascii="Arial" w:cs="Arial" w:eastAsia="Arial" w:hAnsi="Arial"/>
          <w:sz w:val="22"/>
          <w:szCs w:val="22"/>
          <w:color w:val="auto"/>
        </w:rPr>
      </w:pPr>
      <w:r>
        <w:rPr>
          <w:rFonts w:ascii="Arial" w:cs="Arial" w:eastAsia="Arial" w:hAnsi="Arial"/>
          <w:sz w:val="22"/>
          <w:szCs w:val="22"/>
          <w:color w:val="auto"/>
        </w:rPr>
        <w:t>instructions given in accordance with the Applicable Procedures containing information regarding the Participant account to be credited with such increase; or</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3160" w:type="dxa"/>
            <w:vAlign w:val="bottom"/>
          </w:tcPr>
          <w:p>
            <w:pPr>
              <w:spacing w:after="0"/>
              <w:rPr>
                <w:sz w:val="20"/>
                <w:szCs w:val="20"/>
                <w:color w:val="auto"/>
              </w:rPr>
            </w:pPr>
            <w:r>
              <w:rPr>
                <w:rFonts w:ascii="Arial" w:cs="Arial" w:eastAsia="Arial" w:hAnsi="Arial"/>
                <w:sz w:val="11"/>
                <w:szCs w:val="11"/>
                <w:color w:val="auto"/>
              </w:rPr>
              <w:t>ASIA 33616188</w:t>
            </w:r>
          </w:p>
        </w:tc>
        <w:tc>
          <w:tcPr>
            <w:tcW w:w="2660" w:type="dxa"/>
            <w:vAlign w:val="bottom"/>
          </w:tcPr>
          <w:p>
            <w:pPr>
              <w:jc w:val="right"/>
              <w:spacing w:after="0"/>
              <w:rPr>
                <w:sz w:val="20"/>
                <w:szCs w:val="20"/>
                <w:color w:val="auto"/>
              </w:rPr>
            </w:pPr>
            <w:r>
              <w:rPr>
                <w:rFonts w:ascii="Arial" w:cs="Arial" w:eastAsia="Arial" w:hAnsi="Arial"/>
                <w:sz w:val="22"/>
                <w:szCs w:val="22"/>
                <w:color w:val="auto"/>
              </w:rPr>
              <w:t>20</w:t>
            </w:r>
          </w:p>
        </w:tc>
      </w:tr>
    </w:tbl>
    <w:p>
      <w:pPr>
        <w:sectPr>
          <w:pgSz w:w="11900" w:h="16838" w:orient="portrait"/>
          <w:cols w:equalWidth="0" w:num="1">
            <w:col w:w="11420"/>
          </w:cols>
          <w:pgMar w:left="240" w:top="1440" w:right="239" w:bottom="1440" w:gutter="0" w:footer="0" w:header="0"/>
        </w:sectPr>
      </w:pPr>
    </w:p>
    <w:bookmarkStart w:id="171" w:name="page172"/>
    <w:bookmarkEnd w:id="171"/>
    <w:p>
      <w:pPr>
        <w:spacing w:after="0" w:line="2" w:lineRule="exact"/>
        <w:rPr>
          <w:sz w:val="20"/>
          <w:szCs w:val="20"/>
          <w:color w:val="auto"/>
        </w:rPr>
      </w:pPr>
    </w:p>
    <w:p>
      <w:pPr>
        <w:ind w:left="2280" w:hanging="327"/>
        <w:spacing w:after="0"/>
        <w:tabs>
          <w:tab w:leader="none" w:pos="2280" w:val="left"/>
        </w:tabs>
        <w:numPr>
          <w:ilvl w:val="0"/>
          <w:numId w:val="93"/>
        </w:numPr>
        <w:rPr>
          <w:rFonts w:ascii="Arial" w:cs="Arial" w:eastAsia="Arial" w:hAnsi="Arial"/>
          <w:sz w:val="22"/>
          <w:szCs w:val="22"/>
          <w:color w:val="auto"/>
        </w:rPr>
      </w:pPr>
      <w:r>
        <w:rPr>
          <w:rFonts w:ascii="Arial" w:cs="Arial" w:eastAsia="Arial" w:hAnsi="Arial"/>
          <w:sz w:val="22"/>
          <w:szCs w:val="22"/>
          <w:color w:val="auto"/>
        </w:rPr>
        <w:t>both:</w:t>
      </w:r>
    </w:p>
    <w:p>
      <w:pPr>
        <w:spacing w:after="0" w:line="260" w:lineRule="exact"/>
        <w:rPr>
          <w:rFonts w:ascii="Arial" w:cs="Arial" w:eastAsia="Arial" w:hAnsi="Arial"/>
          <w:sz w:val="22"/>
          <w:szCs w:val="22"/>
          <w:color w:val="auto"/>
        </w:rPr>
      </w:pPr>
    </w:p>
    <w:p>
      <w:pPr>
        <w:jc w:val="both"/>
        <w:ind w:left="1960" w:firstLine="641"/>
        <w:spacing w:after="0" w:line="292" w:lineRule="auto"/>
        <w:tabs>
          <w:tab w:leader="none" w:pos="2857" w:val="left"/>
        </w:tabs>
        <w:numPr>
          <w:ilvl w:val="1"/>
          <w:numId w:val="93"/>
        </w:numPr>
        <w:rPr>
          <w:rFonts w:ascii="Arial" w:cs="Arial" w:eastAsia="Arial" w:hAnsi="Arial"/>
          <w:sz w:val="22"/>
          <w:szCs w:val="22"/>
          <w:color w:val="auto"/>
        </w:rPr>
      </w:pPr>
      <w:r>
        <w:rPr>
          <w:rFonts w:ascii="Arial" w:cs="Arial" w:eastAsia="Arial" w:hAnsi="Arial"/>
          <w:sz w:val="22"/>
          <w:szCs w:val="22"/>
          <w:color w:val="auto"/>
        </w:rPr>
        <w:t>a written order from a Participant or an Indirect Participant given to the Depositary in accordance with the Applicable Procedures directing the Depositary to cause to be issued a Definitive Note in an amount equal to the beneficial interest to be transferred or exchanged; and</w:t>
      </w:r>
    </w:p>
    <w:p>
      <w:pPr>
        <w:spacing w:after="0" w:line="184" w:lineRule="exact"/>
        <w:rPr>
          <w:rFonts w:ascii="Arial" w:cs="Arial" w:eastAsia="Arial" w:hAnsi="Arial"/>
          <w:sz w:val="22"/>
          <w:szCs w:val="22"/>
          <w:color w:val="auto"/>
        </w:rPr>
      </w:pPr>
    </w:p>
    <w:p>
      <w:pPr>
        <w:jc w:val="both"/>
        <w:ind w:left="1960" w:firstLine="641"/>
        <w:spacing w:after="0" w:line="326" w:lineRule="auto"/>
        <w:tabs>
          <w:tab w:leader="none" w:pos="2917" w:val="left"/>
        </w:tabs>
        <w:numPr>
          <w:ilvl w:val="1"/>
          <w:numId w:val="93"/>
        </w:numPr>
        <w:rPr>
          <w:rFonts w:ascii="Arial" w:cs="Arial" w:eastAsia="Arial" w:hAnsi="Arial"/>
          <w:sz w:val="19"/>
          <w:szCs w:val="19"/>
          <w:color w:val="auto"/>
        </w:rPr>
      </w:pPr>
      <w:r>
        <w:rPr>
          <w:rFonts w:ascii="Arial" w:cs="Arial" w:eastAsia="Arial" w:hAnsi="Arial"/>
          <w:sz w:val="19"/>
          <w:szCs w:val="19"/>
          <w:color w:val="auto"/>
        </w:rPr>
        <w:t>instructions given by the Depositary to the Registrar containing information regarding the Person in whose name such Definitive Note shall be registered to effect the transfer or exchange referred to in</w:t>
      </w:r>
    </w:p>
    <w:p>
      <w:pPr>
        <w:ind w:left="1960"/>
        <w:spacing w:after="0"/>
        <w:rPr>
          <w:rFonts w:ascii="Arial" w:cs="Arial" w:eastAsia="Arial" w:hAnsi="Arial"/>
          <w:sz w:val="19"/>
          <w:szCs w:val="19"/>
          <w:color w:val="auto"/>
        </w:rPr>
      </w:pPr>
      <w:r>
        <w:rPr>
          <w:rFonts w:ascii="Arial" w:cs="Arial" w:eastAsia="Arial" w:hAnsi="Arial"/>
          <w:sz w:val="22"/>
          <w:szCs w:val="22"/>
          <w:color w:val="auto"/>
        </w:rPr>
        <w:t>(1) above.</w:t>
      </w:r>
    </w:p>
    <w:p>
      <w:pPr>
        <w:spacing w:after="0" w:line="260" w:lineRule="exact"/>
        <w:rPr>
          <w:sz w:val="20"/>
          <w:szCs w:val="20"/>
          <w:color w:val="auto"/>
        </w:rPr>
      </w:pPr>
    </w:p>
    <w:p>
      <w:pPr>
        <w:jc w:val="both"/>
        <w:spacing w:after="0" w:line="292" w:lineRule="auto"/>
        <w:rPr>
          <w:sz w:val="20"/>
          <w:szCs w:val="20"/>
          <w:color w:val="auto"/>
        </w:rPr>
      </w:pPr>
      <w:r>
        <w:rPr>
          <w:rFonts w:ascii="Arial" w:cs="Arial" w:eastAsia="Arial" w:hAnsi="Arial"/>
          <w:sz w:val="22"/>
          <w:szCs w:val="22"/>
          <w:color w:val="auto"/>
        </w:rPr>
        <w:t>Upon satisfaction of all of the requirements for transfer or exchange of beneficial interests in Global Notes contained in this Indenture and the Notes or otherwise applicable under the Securities Act, the Trustee shall adjust the principal amount of the relevant Global Note(s) pursuant to Section 2.06(g) hereof.</w:t>
      </w:r>
    </w:p>
    <w:p>
      <w:pPr>
        <w:spacing w:after="0" w:line="184" w:lineRule="exact"/>
        <w:rPr>
          <w:sz w:val="20"/>
          <w:szCs w:val="20"/>
          <w:color w:val="auto"/>
        </w:rPr>
      </w:pPr>
    </w:p>
    <w:p>
      <w:pPr>
        <w:jc w:val="both"/>
        <w:ind w:left="660" w:firstLine="645"/>
        <w:spacing w:after="0" w:line="288" w:lineRule="auto"/>
        <w:tabs>
          <w:tab w:leader="none" w:pos="1605" w:val="left"/>
        </w:tabs>
        <w:numPr>
          <w:ilvl w:val="0"/>
          <w:numId w:val="94"/>
        </w:numPr>
        <w:rPr>
          <w:rFonts w:ascii="Arial" w:cs="Arial" w:eastAsia="Arial" w:hAnsi="Arial"/>
          <w:sz w:val="22"/>
          <w:szCs w:val="22"/>
          <w:color w:val="auto"/>
        </w:rPr>
      </w:pPr>
      <w:r>
        <w:rPr>
          <w:rFonts w:ascii="Arial" w:cs="Arial" w:eastAsia="Arial" w:hAnsi="Arial"/>
          <w:sz w:val="22"/>
          <w:szCs w:val="22"/>
          <w:i w:val="1"/>
          <w:iCs w:val="1"/>
          <w:color w:val="auto"/>
        </w:rPr>
        <w:t xml:space="preserve">Transfer of Beneficial Interests to Another Restricted Global Note. </w:t>
      </w:r>
      <w:r>
        <w:rPr>
          <w:rFonts w:ascii="Arial" w:cs="Arial" w:eastAsia="Arial" w:hAnsi="Arial"/>
          <w:sz w:val="22"/>
          <w:szCs w:val="22"/>
          <w:color w:val="auto"/>
        </w:rPr>
        <w:t>A beneficial interest in any Restricted Global</w:t>
      </w:r>
      <w:r>
        <w:rPr>
          <w:rFonts w:ascii="Arial" w:cs="Arial" w:eastAsia="Arial" w:hAnsi="Arial"/>
          <w:sz w:val="22"/>
          <w:szCs w:val="22"/>
          <w:i w:val="1"/>
          <w:iCs w:val="1"/>
          <w:color w:val="auto"/>
        </w:rPr>
        <w:t xml:space="preserve"> </w:t>
      </w:r>
      <w:r>
        <w:rPr>
          <w:rFonts w:ascii="Arial" w:cs="Arial" w:eastAsia="Arial" w:hAnsi="Arial"/>
          <w:sz w:val="22"/>
          <w:szCs w:val="22"/>
          <w:color w:val="auto"/>
        </w:rPr>
        <w:t>Note may be transferred to a Person who takes delivery thereof in the form of a beneficial interest in another Restricted Global Note if the transfer complies with the requirements of Section 2.06(b)(2) above and the Registrar receives the following:</w:t>
      </w:r>
    </w:p>
    <w:p>
      <w:pPr>
        <w:spacing w:after="0" w:line="190" w:lineRule="exact"/>
        <w:rPr>
          <w:rFonts w:ascii="Arial" w:cs="Arial" w:eastAsia="Arial" w:hAnsi="Arial"/>
          <w:sz w:val="22"/>
          <w:szCs w:val="22"/>
          <w:color w:val="auto"/>
        </w:rPr>
      </w:pPr>
    </w:p>
    <w:p>
      <w:pPr>
        <w:jc w:val="both"/>
        <w:ind w:left="1300" w:firstLine="653"/>
        <w:spacing w:after="0" w:line="292" w:lineRule="auto"/>
        <w:tabs>
          <w:tab w:leader="none" w:pos="2293" w:val="left"/>
        </w:tabs>
        <w:numPr>
          <w:ilvl w:val="1"/>
          <w:numId w:val="94"/>
        </w:numPr>
        <w:rPr>
          <w:rFonts w:ascii="Arial" w:cs="Arial" w:eastAsia="Arial" w:hAnsi="Arial"/>
          <w:sz w:val="22"/>
          <w:szCs w:val="22"/>
          <w:color w:val="auto"/>
        </w:rPr>
      </w:pPr>
      <w:r>
        <w:rPr>
          <w:rFonts w:ascii="Arial" w:cs="Arial" w:eastAsia="Arial" w:hAnsi="Arial"/>
          <w:sz w:val="22"/>
          <w:szCs w:val="22"/>
          <w:color w:val="auto"/>
        </w:rPr>
        <w:t>if the transferee shall take delivery in the form of a beneficial interest in the 144A Global Note, then the transferor must deliver a certificate in the form of Exhibit B hereto, including the certifications in item (1) thereof; and</w:t>
      </w:r>
    </w:p>
    <w:p>
      <w:pPr>
        <w:spacing w:after="0" w:line="184" w:lineRule="exact"/>
        <w:rPr>
          <w:rFonts w:ascii="Arial" w:cs="Arial" w:eastAsia="Arial" w:hAnsi="Arial"/>
          <w:sz w:val="22"/>
          <w:szCs w:val="22"/>
          <w:color w:val="auto"/>
        </w:rPr>
      </w:pPr>
    </w:p>
    <w:p>
      <w:pPr>
        <w:jc w:val="both"/>
        <w:ind w:left="1300" w:firstLine="653"/>
        <w:spacing w:after="0" w:line="326" w:lineRule="auto"/>
        <w:tabs>
          <w:tab w:leader="none" w:pos="2295" w:val="left"/>
        </w:tabs>
        <w:numPr>
          <w:ilvl w:val="1"/>
          <w:numId w:val="94"/>
        </w:numPr>
        <w:rPr>
          <w:rFonts w:ascii="Arial" w:cs="Arial" w:eastAsia="Arial" w:hAnsi="Arial"/>
          <w:sz w:val="19"/>
          <w:szCs w:val="19"/>
          <w:color w:val="auto"/>
        </w:rPr>
      </w:pPr>
      <w:r>
        <w:rPr>
          <w:rFonts w:ascii="Arial" w:cs="Arial" w:eastAsia="Arial" w:hAnsi="Arial"/>
          <w:sz w:val="19"/>
          <w:szCs w:val="19"/>
          <w:color w:val="auto"/>
        </w:rPr>
        <w:t>if the transferee shall take delivery in the form of a beneficial interest in the Regulation S Global Note, then the transferor must deliver a certificate in the form of Exhibit B hereto, including the certifications in item</w:t>
      </w:r>
    </w:p>
    <w:p>
      <w:pPr>
        <w:ind w:left="1620" w:hanging="315"/>
        <w:spacing w:after="0"/>
        <w:tabs>
          <w:tab w:leader="none" w:pos="1620" w:val="left"/>
        </w:tabs>
        <w:numPr>
          <w:ilvl w:val="0"/>
          <w:numId w:val="95"/>
        </w:numPr>
        <w:rPr>
          <w:rFonts w:ascii="Arial" w:cs="Arial" w:eastAsia="Arial" w:hAnsi="Arial"/>
          <w:sz w:val="22"/>
          <w:szCs w:val="22"/>
          <w:color w:val="auto"/>
        </w:rPr>
      </w:pPr>
      <w:r>
        <w:rPr>
          <w:rFonts w:ascii="Arial" w:cs="Arial" w:eastAsia="Arial" w:hAnsi="Arial"/>
          <w:sz w:val="22"/>
          <w:szCs w:val="22"/>
          <w:color w:val="auto"/>
        </w:rPr>
        <w:t>thereof.</w:t>
      </w:r>
    </w:p>
    <w:p>
      <w:pPr>
        <w:spacing w:after="0" w:line="260" w:lineRule="exact"/>
        <w:rPr>
          <w:rFonts w:ascii="Arial" w:cs="Arial" w:eastAsia="Arial" w:hAnsi="Arial"/>
          <w:sz w:val="22"/>
          <w:szCs w:val="22"/>
          <w:color w:val="auto"/>
        </w:rPr>
      </w:pPr>
    </w:p>
    <w:p>
      <w:pPr>
        <w:jc w:val="both"/>
        <w:ind w:left="660" w:firstLine="645"/>
        <w:spacing w:after="0" w:line="326" w:lineRule="auto"/>
        <w:tabs>
          <w:tab w:leader="none" w:pos="1659" w:val="left"/>
        </w:tabs>
        <w:numPr>
          <w:ilvl w:val="0"/>
          <w:numId w:val="96"/>
        </w:numPr>
        <w:rPr>
          <w:rFonts w:ascii="Arial" w:cs="Arial" w:eastAsia="Arial" w:hAnsi="Arial"/>
          <w:sz w:val="19"/>
          <w:szCs w:val="19"/>
          <w:color w:val="auto"/>
        </w:rPr>
      </w:pPr>
      <w:r>
        <w:rPr>
          <w:rFonts w:ascii="Arial" w:cs="Arial" w:eastAsia="Arial" w:hAnsi="Arial"/>
          <w:sz w:val="19"/>
          <w:szCs w:val="19"/>
          <w:i w:val="1"/>
          <w:iCs w:val="1"/>
          <w:color w:val="auto"/>
        </w:rPr>
        <w:t>Transfer and Exchange of Beneficial Interests in a Restricted Global Note for Beneficial Interests in an Unrestricted Global Note</w:t>
      </w:r>
      <w:r>
        <w:rPr>
          <w:rFonts w:ascii="Arial" w:cs="Arial" w:eastAsia="Arial" w:hAnsi="Arial"/>
          <w:sz w:val="19"/>
          <w:szCs w:val="19"/>
          <w:color w:val="auto"/>
        </w:rPr>
        <w:t>. A beneficial interest in any Restricted Global Note may be exchanged by any holder thereof for a</w:t>
      </w:r>
      <w:r>
        <w:rPr>
          <w:rFonts w:ascii="Arial" w:cs="Arial" w:eastAsia="Arial" w:hAnsi="Arial"/>
          <w:sz w:val="19"/>
          <w:szCs w:val="19"/>
          <w:i w:val="1"/>
          <w:iCs w:val="1"/>
          <w:color w:val="auto"/>
        </w:rPr>
        <w:t xml:space="preserve"> </w:t>
      </w:r>
      <w:r>
        <w:rPr>
          <w:rFonts w:ascii="Arial" w:cs="Arial" w:eastAsia="Arial" w:hAnsi="Arial"/>
          <w:sz w:val="19"/>
          <w:szCs w:val="19"/>
          <w:color w:val="auto"/>
        </w:rPr>
        <w:t>beneficial interest in an Unrestricted Global Note or transferred to a Person who takes delivery thereof in the form of a beneficial interest in an Unrestricted Global Note if the exchange or transfer complies with the requirements of Section</w:t>
      </w:r>
    </w:p>
    <w:p>
      <w:pPr>
        <w:spacing w:after="0" w:line="1"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2.06(b)(2) above and the Registrar receives the following:</w:t>
      </w:r>
    </w:p>
    <w:p>
      <w:pPr>
        <w:spacing w:after="0" w:line="260" w:lineRule="exact"/>
        <w:rPr>
          <w:rFonts w:ascii="Arial" w:cs="Arial" w:eastAsia="Arial" w:hAnsi="Arial"/>
          <w:sz w:val="19"/>
          <w:szCs w:val="19"/>
          <w:color w:val="auto"/>
        </w:rPr>
      </w:pPr>
    </w:p>
    <w:p>
      <w:pPr>
        <w:ind w:left="1300" w:firstLine="653"/>
        <w:spacing w:after="0" w:line="302" w:lineRule="auto"/>
        <w:tabs>
          <w:tab w:leader="none" w:pos="2293" w:val="left"/>
        </w:tabs>
        <w:numPr>
          <w:ilvl w:val="1"/>
          <w:numId w:val="96"/>
        </w:numPr>
        <w:rPr>
          <w:rFonts w:ascii="Arial" w:cs="Arial" w:eastAsia="Arial" w:hAnsi="Arial"/>
          <w:sz w:val="22"/>
          <w:szCs w:val="22"/>
          <w:color w:val="auto"/>
        </w:rPr>
      </w:pPr>
      <w:r>
        <w:rPr>
          <w:rFonts w:ascii="Arial" w:cs="Arial" w:eastAsia="Arial" w:hAnsi="Arial"/>
          <w:sz w:val="22"/>
          <w:szCs w:val="22"/>
          <w:color w:val="auto"/>
        </w:rPr>
        <w:t>if the holder of such beneficial interest in a Restricted Global Note proposes to exchange such beneficial interest for a beneficial interest in</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3160" w:type="dxa"/>
            <w:vAlign w:val="bottom"/>
          </w:tcPr>
          <w:p>
            <w:pPr>
              <w:spacing w:after="0"/>
              <w:rPr>
                <w:sz w:val="20"/>
                <w:szCs w:val="20"/>
                <w:color w:val="auto"/>
              </w:rPr>
            </w:pPr>
            <w:r>
              <w:rPr>
                <w:rFonts w:ascii="Arial" w:cs="Arial" w:eastAsia="Arial" w:hAnsi="Arial"/>
                <w:sz w:val="11"/>
                <w:szCs w:val="11"/>
                <w:color w:val="auto"/>
              </w:rPr>
              <w:t>ASIA 33616188</w:t>
            </w:r>
          </w:p>
        </w:tc>
        <w:tc>
          <w:tcPr>
            <w:tcW w:w="2660" w:type="dxa"/>
            <w:vAlign w:val="bottom"/>
          </w:tcPr>
          <w:p>
            <w:pPr>
              <w:jc w:val="right"/>
              <w:spacing w:after="0"/>
              <w:rPr>
                <w:sz w:val="20"/>
                <w:szCs w:val="20"/>
                <w:color w:val="auto"/>
              </w:rPr>
            </w:pPr>
            <w:r>
              <w:rPr>
                <w:rFonts w:ascii="Arial" w:cs="Arial" w:eastAsia="Arial" w:hAnsi="Arial"/>
                <w:sz w:val="22"/>
                <w:szCs w:val="22"/>
                <w:color w:val="auto"/>
              </w:rPr>
              <w:t>21</w:t>
            </w:r>
          </w:p>
        </w:tc>
      </w:tr>
    </w:tbl>
    <w:p>
      <w:pPr>
        <w:sectPr>
          <w:pgSz w:w="11900" w:h="16838" w:orient="portrait"/>
          <w:cols w:equalWidth="0" w:num="1">
            <w:col w:w="11420"/>
          </w:cols>
          <w:pgMar w:left="240" w:top="1440" w:right="239" w:bottom="1440" w:gutter="0" w:footer="0" w:header="0"/>
        </w:sectPr>
      </w:pPr>
    </w:p>
    <w:bookmarkStart w:id="172" w:name="page173"/>
    <w:bookmarkEnd w:id="172"/>
    <w:p>
      <w:pPr>
        <w:spacing w:after="0" w:line="2" w:lineRule="exact"/>
        <w:rPr>
          <w:sz w:val="20"/>
          <w:szCs w:val="20"/>
          <w:color w:val="auto"/>
        </w:rPr>
      </w:pPr>
    </w:p>
    <w:p>
      <w:pPr>
        <w:ind w:left="1300"/>
        <w:spacing w:after="0" w:line="302" w:lineRule="auto"/>
        <w:rPr>
          <w:sz w:val="20"/>
          <w:szCs w:val="20"/>
          <w:color w:val="auto"/>
        </w:rPr>
      </w:pPr>
      <w:r>
        <w:rPr>
          <w:rFonts w:ascii="Arial" w:cs="Arial" w:eastAsia="Arial" w:hAnsi="Arial"/>
          <w:sz w:val="22"/>
          <w:szCs w:val="22"/>
          <w:color w:val="auto"/>
        </w:rPr>
        <w:t>an Unrestricted Global Note, a certificate from such holder in the form of Exhibit C hereto, including the certifications in item (1)(a) thereof; or</w:t>
      </w:r>
    </w:p>
    <w:p>
      <w:pPr>
        <w:spacing w:after="0" w:line="174" w:lineRule="exact"/>
        <w:rPr>
          <w:sz w:val="20"/>
          <w:szCs w:val="20"/>
          <w:color w:val="auto"/>
        </w:rPr>
      </w:pPr>
    </w:p>
    <w:p>
      <w:pPr>
        <w:jc w:val="both"/>
        <w:ind w:left="1300" w:firstLine="653"/>
        <w:spacing w:after="0" w:line="357" w:lineRule="auto"/>
        <w:tabs>
          <w:tab w:leader="none" w:pos="2295" w:val="left"/>
        </w:tabs>
        <w:numPr>
          <w:ilvl w:val="0"/>
          <w:numId w:val="97"/>
        </w:numPr>
        <w:rPr>
          <w:rFonts w:ascii="Arial" w:cs="Arial" w:eastAsia="Arial" w:hAnsi="Arial"/>
          <w:sz w:val="19"/>
          <w:szCs w:val="19"/>
          <w:color w:val="auto"/>
        </w:rPr>
      </w:pPr>
      <w:r>
        <w:rPr>
          <w:rFonts w:ascii="Arial" w:cs="Arial" w:eastAsia="Arial" w:hAnsi="Arial"/>
          <w:sz w:val="19"/>
          <w:szCs w:val="19"/>
          <w:color w:val="auto"/>
        </w:rPr>
        <w:t>if the holder of such beneficial interest in a Restricted Global Note proposes to transfer such beneficial interest to a Person who shall take delivery thereof in the form of a beneficial interest in an Unrestricted Global Note, a certificate from such holder in the form of Exhibit B hereto, including the certifications in item (4) thereof;</w:t>
      </w:r>
    </w:p>
    <w:p>
      <w:pPr>
        <w:spacing w:after="0" w:line="132" w:lineRule="exact"/>
        <w:rPr>
          <w:sz w:val="20"/>
          <w:szCs w:val="20"/>
          <w:color w:val="auto"/>
        </w:rPr>
      </w:pPr>
    </w:p>
    <w:p>
      <w:pPr>
        <w:jc w:val="both"/>
        <w:ind w:left="1300"/>
        <w:spacing w:after="0" w:line="306" w:lineRule="auto"/>
        <w:rPr>
          <w:sz w:val="20"/>
          <w:szCs w:val="20"/>
          <w:color w:val="auto"/>
        </w:rPr>
      </w:pPr>
      <w:r>
        <w:rPr>
          <w:rFonts w:ascii="Arial" w:cs="Arial" w:eastAsia="Arial" w:hAnsi="Arial"/>
          <w:sz w:val="21"/>
          <w:szCs w:val="21"/>
          <w:color w:val="auto"/>
        </w:rPr>
        <w:t>and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7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color w:val="auto"/>
        </w:rPr>
        <w:t>If any such transfer is effected pursuant to paragraph (4) above at a time when an Unrestricted Global Note has not yet been issued, the Issuer shall issue and, upon receipt of an Authentication Order in accordance with Section 2.02 hereof, the Trustee shall authenticate one or more Unrestricted Global Notes in an aggregate principal amount equal to the aggregate principal amount of beneficial interests transferred pursuant to paragraph (4) above.</w:t>
      </w:r>
    </w:p>
    <w:p>
      <w:pPr>
        <w:spacing w:after="0" w:line="19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Beneficial interests in an Unrestricted Global Note cannot be exchanged for, or transferred to Persons who take delivery thereof in the form of, a beneficial interest in a Restricted Global Note.</w:t>
      </w:r>
    </w:p>
    <w:p>
      <w:pPr>
        <w:spacing w:after="0" w:line="174" w:lineRule="exact"/>
        <w:rPr>
          <w:sz w:val="20"/>
          <w:szCs w:val="20"/>
          <w:color w:val="auto"/>
        </w:rPr>
      </w:pPr>
    </w:p>
    <w:p>
      <w:pPr>
        <w:ind w:left="940" w:hanging="284"/>
        <w:spacing w:after="0"/>
        <w:tabs>
          <w:tab w:leader="none" w:pos="940" w:val="left"/>
        </w:tabs>
        <w:numPr>
          <w:ilvl w:val="0"/>
          <w:numId w:val="98"/>
        </w:numPr>
        <w:rPr>
          <w:rFonts w:ascii="Arial" w:cs="Arial" w:eastAsia="Arial" w:hAnsi="Arial"/>
          <w:sz w:val="22"/>
          <w:szCs w:val="22"/>
          <w:color w:val="auto"/>
        </w:rPr>
      </w:pPr>
      <w:r>
        <w:rPr>
          <w:rFonts w:ascii="Arial" w:cs="Arial" w:eastAsia="Arial" w:hAnsi="Arial"/>
          <w:sz w:val="22"/>
          <w:szCs w:val="22"/>
          <w:i w:val="1"/>
          <w:iCs w:val="1"/>
          <w:color w:val="auto"/>
        </w:rPr>
        <w:t>Transfer or Exchange of Beneficial Interests for Definitive Notes</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left="660" w:firstLine="645"/>
        <w:spacing w:after="0" w:line="288" w:lineRule="auto"/>
        <w:tabs>
          <w:tab w:leader="none" w:pos="1646" w:val="left"/>
        </w:tabs>
        <w:numPr>
          <w:ilvl w:val="1"/>
          <w:numId w:val="98"/>
        </w:numPr>
        <w:rPr>
          <w:rFonts w:ascii="Arial" w:cs="Arial" w:eastAsia="Arial" w:hAnsi="Arial"/>
          <w:sz w:val="22"/>
          <w:szCs w:val="22"/>
          <w:color w:val="auto"/>
        </w:rPr>
      </w:pPr>
      <w:r>
        <w:rPr>
          <w:rFonts w:ascii="Arial" w:cs="Arial" w:eastAsia="Arial" w:hAnsi="Arial"/>
          <w:sz w:val="22"/>
          <w:szCs w:val="22"/>
          <w:i w:val="1"/>
          <w:iCs w:val="1"/>
          <w:color w:val="auto"/>
        </w:rPr>
        <w:t xml:space="preserve">Beneficial Interests in Restricted Global Notes to Restricted Definitive Notes. </w:t>
      </w:r>
      <w:r>
        <w:rPr>
          <w:rFonts w:ascii="Arial" w:cs="Arial" w:eastAsia="Arial" w:hAnsi="Arial"/>
          <w:sz w:val="22"/>
          <w:szCs w:val="22"/>
          <w:color w:val="auto"/>
        </w:rPr>
        <w:t>If any holder of a beneficial</w:t>
      </w:r>
      <w:r>
        <w:rPr>
          <w:rFonts w:ascii="Arial" w:cs="Arial" w:eastAsia="Arial" w:hAnsi="Arial"/>
          <w:sz w:val="22"/>
          <w:szCs w:val="22"/>
          <w:i w:val="1"/>
          <w:iCs w:val="1"/>
          <w:color w:val="auto"/>
        </w:rPr>
        <w:t xml:space="preserve"> </w:t>
      </w:r>
      <w:r>
        <w:rPr>
          <w:rFonts w:ascii="Arial" w:cs="Arial" w:eastAsia="Arial" w:hAnsi="Arial"/>
          <w:sz w:val="22"/>
          <w:szCs w:val="22"/>
          <w:color w:val="auto"/>
        </w:rPr>
        <w:t>interest in a Restricted Global Note proposes to exchange such beneficial interest for a Restricted Definitive Note or to transfer such beneficial interest to a Person who takes delivery thereof in the form of a Restricted Definitive Note, then, upon receipt by the Registrar of the following documentation:</w:t>
      </w:r>
    </w:p>
    <w:p>
      <w:pPr>
        <w:spacing w:after="0" w:line="190" w:lineRule="exact"/>
        <w:rPr>
          <w:rFonts w:ascii="Arial" w:cs="Arial" w:eastAsia="Arial" w:hAnsi="Arial"/>
          <w:sz w:val="22"/>
          <w:szCs w:val="22"/>
          <w:color w:val="auto"/>
        </w:rPr>
      </w:pPr>
    </w:p>
    <w:p>
      <w:pPr>
        <w:jc w:val="both"/>
        <w:ind w:left="1300" w:firstLine="653"/>
        <w:spacing w:after="0" w:line="292" w:lineRule="auto"/>
        <w:tabs>
          <w:tab w:leader="none" w:pos="2293" w:val="left"/>
        </w:tabs>
        <w:numPr>
          <w:ilvl w:val="2"/>
          <w:numId w:val="98"/>
        </w:numPr>
        <w:rPr>
          <w:rFonts w:ascii="Arial" w:cs="Arial" w:eastAsia="Arial" w:hAnsi="Arial"/>
          <w:sz w:val="22"/>
          <w:szCs w:val="22"/>
          <w:color w:val="auto"/>
        </w:rPr>
      </w:pPr>
      <w:r>
        <w:rPr>
          <w:rFonts w:ascii="Arial" w:cs="Arial" w:eastAsia="Arial" w:hAnsi="Arial"/>
          <w:sz w:val="22"/>
          <w:szCs w:val="22"/>
          <w:color w:val="auto"/>
        </w:rPr>
        <w:t>if the holder of such beneficial interest in a Restricted Global Note proposes to exchange such beneficial interest for a Restricted Definitive Note, a certificate from such holder in the form of Exhibit C hereto, including the certifications in item (2)(a) thereof;</w:t>
      </w:r>
    </w:p>
    <w:p>
      <w:pPr>
        <w:spacing w:after="0" w:line="184" w:lineRule="exact"/>
        <w:rPr>
          <w:rFonts w:ascii="Arial" w:cs="Arial" w:eastAsia="Arial" w:hAnsi="Arial"/>
          <w:sz w:val="22"/>
          <w:szCs w:val="22"/>
          <w:color w:val="auto"/>
        </w:rPr>
      </w:pPr>
    </w:p>
    <w:p>
      <w:pPr>
        <w:ind w:left="1300" w:right="20" w:firstLine="653"/>
        <w:spacing w:after="0" w:line="302" w:lineRule="auto"/>
        <w:tabs>
          <w:tab w:leader="none" w:pos="2281" w:val="left"/>
        </w:tabs>
        <w:numPr>
          <w:ilvl w:val="2"/>
          <w:numId w:val="98"/>
        </w:numPr>
        <w:rPr>
          <w:rFonts w:ascii="Arial" w:cs="Arial" w:eastAsia="Arial" w:hAnsi="Arial"/>
          <w:sz w:val="22"/>
          <w:szCs w:val="22"/>
          <w:color w:val="auto"/>
        </w:rPr>
      </w:pPr>
      <w:r>
        <w:rPr>
          <w:rFonts w:ascii="Arial" w:cs="Arial" w:eastAsia="Arial" w:hAnsi="Arial"/>
          <w:sz w:val="22"/>
          <w:szCs w:val="22"/>
          <w:color w:val="auto"/>
        </w:rPr>
        <w:t>if such beneficial interest is being transferred to a QIB in accordance with Rule 144A, a certificate to the effect set forth in Exhibit B hereto, including the certifications in item (1) thereof;</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3160" w:type="dxa"/>
            <w:vAlign w:val="bottom"/>
          </w:tcPr>
          <w:p>
            <w:pPr>
              <w:spacing w:after="0"/>
              <w:rPr>
                <w:sz w:val="20"/>
                <w:szCs w:val="20"/>
                <w:color w:val="auto"/>
              </w:rPr>
            </w:pPr>
            <w:r>
              <w:rPr>
                <w:rFonts w:ascii="Arial" w:cs="Arial" w:eastAsia="Arial" w:hAnsi="Arial"/>
                <w:sz w:val="11"/>
                <w:szCs w:val="11"/>
                <w:color w:val="auto"/>
              </w:rPr>
              <w:t>ASIA 33616188</w:t>
            </w:r>
          </w:p>
        </w:tc>
        <w:tc>
          <w:tcPr>
            <w:tcW w:w="2660" w:type="dxa"/>
            <w:vAlign w:val="bottom"/>
          </w:tcPr>
          <w:p>
            <w:pPr>
              <w:jc w:val="right"/>
              <w:spacing w:after="0"/>
              <w:rPr>
                <w:sz w:val="20"/>
                <w:szCs w:val="20"/>
                <w:color w:val="auto"/>
              </w:rPr>
            </w:pPr>
            <w:r>
              <w:rPr>
                <w:rFonts w:ascii="Arial" w:cs="Arial" w:eastAsia="Arial" w:hAnsi="Arial"/>
                <w:sz w:val="22"/>
                <w:szCs w:val="22"/>
                <w:color w:val="auto"/>
              </w:rPr>
              <w:t>22</w:t>
            </w:r>
          </w:p>
        </w:tc>
      </w:tr>
    </w:tbl>
    <w:p>
      <w:pPr>
        <w:sectPr>
          <w:pgSz w:w="11900" w:h="16838" w:orient="portrait"/>
          <w:cols w:equalWidth="0" w:num="1">
            <w:col w:w="11420"/>
          </w:cols>
          <w:pgMar w:left="240" w:top="1440" w:right="239" w:bottom="1440" w:gutter="0" w:footer="0" w:header="0"/>
        </w:sectPr>
      </w:pPr>
    </w:p>
    <w:bookmarkStart w:id="173" w:name="page174"/>
    <w:bookmarkEnd w:id="173"/>
    <w:p>
      <w:pPr>
        <w:spacing w:after="0" w:line="2" w:lineRule="exact"/>
        <w:rPr>
          <w:sz w:val="20"/>
          <w:szCs w:val="20"/>
          <w:color w:val="auto"/>
        </w:rPr>
      </w:pPr>
    </w:p>
    <w:p>
      <w:pPr>
        <w:jc w:val="both"/>
        <w:ind w:left="1300" w:firstLine="653"/>
        <w:spacing w:after="0" w:line="292" w:lineRule="auto"/>
        <w:tabs>
          <w:tab w:leader="none" w:pos="2322" w:val="left"/>
        </w:tabs>
        <w:numPr>
          <w:ilvl w:val="0"/>
          <w:numId w:val="99"/>
        </w:numPr>
        <w:rPr>
          <w:rFonts w:ascii="Arial" w:cs="Arial" w:eastAsia="Arial" w:hAnsi="Arial"/>
          <w:sz w:val="22"/>
          <w:szCs w:val="22"/>
          <w:color w:val="auto"/>
        </w:rPr>
      </w:pPr>
      <w:r>
        <w:rPr>
          <w:rFonts w:ascii="Arial" w:cs="Arial" w:eastAsia="Arial" w:hAnsi="Arial"/>
          <w:sz w:val="22"/>
          <w:szCs w:val="22"/>
          <w:color w:val="auto"/>
        </w:rPr>
        <w:t>if such beneficial interest is being transferred to a Non-U.S. Person in an offshore transaction in accordance with Rule 903 or Rule 904, a certificate to the effect set forth in Exhibit B hereto, including the certifications in item (2) thereof;</w:t>
      </w:r>
    </w:p>
    <w:p>
      <w:pPr>
        <w:spacing w:after="0" w:line="184" w:lineRule="exact"/>
        <w:rPr>
          <w:rFonts w:ascii="Arial" w:cs="Arial" w:eastAsia="Arial" w:hAnsi="Arial"/>
          <w:sz w:val="22"/>
          <w:szCs w:val="22"/>
          <w:color w:val="auto"/>
        </w:rPr>
      </w:pPr>
    </w:p>
    <w:p>
      <w:pPr>
        <w:jc w:val="both"/>
        <w:ind w:left="1300" w:firstLine="653"/>
        <w:spacing w:after="0" w:line="292" w:lineRule="auto"/>
        <w:tabs>
          <w:tab w:leader="none" w:pos="2374" w:val="left"/>
        </w:tabs>
        <w:numPr>
          <w:ilvl w:val="0"/>
          <w:numId w:val="99"/>
        </w:numPr>
        <w:rPr>
          <w:rFonts w:ascii="Arial" w:cs="Arial" w:eastAsia="Arial" w:hAnsi="Arial"/>
          <w:sz w:val="22"/>
          <w:szCs w:val="22"/>
          <w:color w:val="auto"/>
        </w:rPr>
      </w:pPr>
      <w:r>
        <w:rPr>
          <w:rFonts w:ascii="Arial" w:cs="Arial" w:eastAsia="Arial" w:hAnsi="Arial"/>
          <w:sz w:val="22"/>
          <w:szCs w:val="22"/>
          <w:color w:val="auto"/>
        </w:rPr>
        <w:t>if such beneficial interest is being transferred pursuant to an exemption from the registration requirements of the Securities Act in accordance with Rule 144, a certificate to the effect set forth in Exhibit B hereto, including the certifications in item (3)(a) thereof;</w:t>
      </w:r>
    </w:p>
    <w:p>
      <w:pPr>
        <w:spacing w:after="0" w:line="184" w:lineRule="exact"/>
        <w:rPr>
          <w:rFonts w:ascii="Arial" w:cs="Arial" w:eastAsia="Arial" w:hAnsi="Arial"/>
          <w:sz w:val="22"/>
          <w:szCs w:val="22"/>
          <w:color w:val="auto"/>
        </w:rPr>
      </w:pPr>
    </w:p>
    <w:p>
      <w:pPr>
        <w:ind w:left="1300" w:firstLine="653"/>
        <w:spacing w:after="0" w:line="302" w:lineRule="auto"/>
        <w:tabs>
          <w:tab w:leader="none" w:pos="2282" w:val="left"/>
        </w:tabs>
        <w:numPr>
          <w:ilvl w:val="0"/>
          <w:numId w:val="99"/>
        </w:numPr>
        <w:rPr>
          <w:rFonts w:ascii="Arial" w:cs="Arial" w:eastAsia="Arial" w:hAnsi="Arial"/>
          <w:sz w:val="22"/>
          <w:szCs w:val="22"/>
          <w:color w:val="auto"/>
        </w:rPr>
      </w:pPr>
      <w:r>
        <w:rPr>
          <w:rFonts w:ascii="Arial" w:cs="Arial" w:eastAsia="Arial" w:hAnsi="Arial"/>
          <w:sz w:val="22"/>
          <w:szCs w:val="22"/>
          <w:color w:val="auto"/>
        </w:rPr>
        <w:t>if such beneficial interest is being transferred to the Issuer or any of its Subsidiaries, a certificate to the effect set forth in Exhibit B hereto, including the certifications in item (3)(b) thereof; or</w:t>
      </w:r>
    </w:p>
    <w:p>
      <w:pPr>
        <w:spacing w:after="0" w:line="173" w:lineRule="exact"/>
        <w:rPr>
          <w:rFonts w:ascii="Arial" w:cs="Arial" w:eastAsia="Arial" w:hAnsi="Arial"/>
          <w:sz w:val="22"/>
          <w:szCs w:val="22"/>
          <w:color w:val="auto"/>
        </w:rPr>
      </w:pPr>
    </w:p>
    <w:p>
      <w:pPr>
        <w:jc w:val="both"/>
        <w:ind w:left="1300" w:right="20" w:firstLine="653"/>
        <w:spacing w:after="0" w:line="292" w:lineRule="auto"/>
        <w:tabs>
          <w:tab w:leader="none" w:pos="2271" w:val="left"/>
        </w:tabs>
        <w:numPr>
          <w:ilvl w:val="0"/>
          <w:numId w:val="99"/>
        </w:numPr>
        <w:rPr>
          <w:rFonts w:ascii="Arial" w:cs="Arial" w:eastAsia="Arial" w:hAnsi="Arial"/>
          <w:sz w:val="22"/>
          <w:szCs w:val="22"/>
          <w:color w:val="auto"/>
        </w:rPr>
      </w:pPr>
      <w:r>
        <w:rPr>
          <w:rFonts w:ascii="Arial" w:cs="Arial" w:eastAsia="Arial" w:hAnsi="Arial"/>
          <w:sz w:val="22"/>
          <w:szCs w:val="22"/>
          <w:color w:val="auto"/>
        </w:rPr>
        <w:t>if such beneficial interest is being transferred pursuant to an effective registration statement under the Securities Act, a certificate to the effect set forth in Exhibit B hereto, including the certifications in item (3)(c) thereof,</w:t>
      </w:r>
    </w:p>
    <w:p>
      <w:pPr>
        <w:spacing w:after="0" w:line="184" w:lineRule="exact"/>
        <w:rPr>
          <w:sz w:val="20"/>
          <w:szCs w:val="20"/>
          <w:color w:val="auto"/>
        </w:rPr>
      </w:pPr>
    </w:p>
    <w:p>
      <w:pPr>
        <w:jc w:val="both"/>
        <w:spacing w:after="0" w:line="299" w:lineRule="auto"/>
        <w:rPr>
          <w:sz w:val="20"/>
          <w:szCs w:val="20"/>
          <w:color w:val="auto"/>
        </w:rPr>
      </w:pPr>
      <w:r>
        <w:rPr>
          <w:rFonts w:ascii="Arial" w:cs="Arial" w:eastAsia="Arial" w:hAnsi="Arial"/>
          <w:sz w:val="21"/>
          <w:szCs w:val="21"/>
          <w:color w:val="auto"/>
        </w:rPr>
        <w:t>the Trustee shall cause the aggregate principal amount of the applicable Global Note to be reduced accordingly pursuant to Section 2.06(g) hereof, and the Issuer shall execute and the Trustee shall authenticate and deliver to the Person designated in the instructions a Definitive Note in the appropriate principal amount. Any Definitive Note issued in exchange for a beneficial interest in a Restricted Global Note pursuant to this Section 2.06(c) shall be registered in such name or names and in such authorized denomination or denominations as the holder of such beneficial interest shall instruct the Registrar through instructions from the Depositary and the Participant or Indirect Participant. The Trustee shall deliver such Definitive Notes to the Persons in whose names such Notes are so registered. Any Definitive Note issued in exchange for a beneficial interest in a Restricted Global Note pursuant to this Section 2.06(c)(1) shall bear the Private Placement Legend and shall be subject to all restrictions on transfer contained therein.</w:t>
      </w:r>
    </w:p>
    <w:p>
      <w:pPr>
        <w:spacing w:after="0" w:line="183" w:lineRule="exact"/>
        <w:rPr>
          <w:sz w:val="20"/>
          <w:szCs w:val="20"/>
          <w:color w:val="auto"/>
        </w:rPr>
      </w:pPr>
    </w:p>
    <w:p>
      <w:pPr>
        <w:jc w:val="both"/>
        <w:ind w:left="660" w:firstLine="645"/>
        <w:spacing w:after="0" w:line="288" w:lineRule="auto"/>
        <w:tabs>
          <w:tab w:leader="none" w:pos="1605" w:val="left"/>
        </w:tabs>
        <w:numPr>
          <w:ilvl w:val="0"/>
          <w:numId w:val="100"/>
        </w:numPr>
        <w:rPr>
          <w:rFonts w:ascii="Arial" w:cs="Arial" w:eastAsia="Arial" w:hAnsi="Arial"/>
          <w:sz w:val="22"/>
          <w:szCs w:val="22"/>
          <w:color w:val="auto"/>
        </w:rPr>
      </w:pPr>
      <w:r>
        <w:rPr>
          <w:rFonts w:ascii="Arial" w:cs="Arial" w:eastAsia="Arial" w:hAnsi="Arial"/>
          <w:sz w:val="22"/>
          <w:szCs w:val="22"/>
          <w:i w:val="1"/>
          <w:iCs w:val="1"/>
          <w:color w:val="auto"/>
        </w:rPr>
        <w:t xml:space="preserve">Beneficial Interests in Restricted Global Notes to Unrestricted Definitive Notes. </w:t>
      </w:r>
      <w:r>
        <w:rPr>
          <w:rFonts w:ascii="Arial" w:cs="Arial" w:eastAsia="Arial" w:hAnsi="Arial"/>
          <w:sz w:val="22"/>
          <w:szCs w:val="22"/>
          <w:color w:val="auto"/>
        </w:rPr>
        <w:t>A holder of a beneficial interest</w:t>
      </w:r>
      <w:r>
        <w:rPr>
          <w:rFonts w:ascii="Arial" w:cs="Arial" w:eastAsia="Arial" w:hAnsi="Arial"/>
          <w:sz w:val="22"/>
          <w:szCs w:val="22"/>
          <w:i w:val="1"/>
          <w:iCs w:val="1"/>
          <w:color w:val="auto"/>
        </w:rPr>
        <w:t xml:space="preserve"> </w:t>
      </w:r>
      <w:r>
        <w:rPr>
          <w:rFonts w:ascii="Arial" w:cs="Arial" w:eastAsia="Arial" w:hAnsi="Arial"/>
          <w:sz w:val="22"/>
          <w:szCs w:val="22"/>
          <w:color w:val="auto"/>
        </w:rPr>
        <w:t>in a Restricted Global Note may exchange such beneficial interest for an Unrestricted Definitive Note or may transfer such beneficial interest to a Person who takes delivery thereof in the form of an Unrestricted Definitive Note only if the Registrar receives the following:</w:t>
      </w:r>
    </w:p>
    <w:p>
      <w:pPr>
        <w:spacing w:after="0" w:line="190" w:lineRule="exact"/>
        <w:rPr>
          <w:rFonts w:ascii="Arial" w:cs="Arial" w:eastAsia="Arial" w:hAnsi="Arial"/>
          <w:sz w:val="22"/>
          <w:szCs w:val="22"/>
          <w:color w:val="auto"/>
        </w:rPr>
      </w:pPr>
    </w:p>
    <w:p>
      <w:pPr>
        <w:jc w:val="both"/>
        <w:ind w:left="1300" w:firstLine="653"/>
        <w:spacing w:after="0" w:line="292" w:lineRule="auto"/>
        <w:tabs>
          <w:tab w:leader="none" w:pos="2293" w:val="left"/>
        </w:tabs>
        <w:numPr>
          <w:ilvl w:val="1"/>
          <w:numId w:val="100"/>
        </w:numPr>
        <w:rPr>
          <w:rFonts w:ascii="Arial" w:cs="Arial" w:eastAsia="Arial" w:hAnsi="Arial"/>
          <w:sz w:val="22"/>
          <w:szCs w:val="22"/>
          <w:color w:val="auto"/>
        </w:rPr>
      </w:pPr>
      <w:r>
        <w:rPr>
          <w:rFonts w:ascii="Arial" w:cs="Arial" w:eastAsia="Arial" w:hAnsi="Arial"/>
          <w:sz w:val="22"/>
          <w:szCs w:val="22"/>
          <w:color w:val="auto"/>
        </w:rPr>
        <w:t>if the holder of such beneficial interest in a Restricted Global Note proposes to exchange such beneficial interest for an Unrestricted Definitive Note, a certificate from such holder in the form of Exhibit C hereto, including the certifications in item (1)(b) thereof; or</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3160" w:type="dxa"/>
            <w:vAlign w:val="bottom"/>
          </w:tcPr>
          <w:p>
            <w:pPr>
              <w:spacing w:after="0"/>
              <w:rPr>
                <w:sz w:val="20"/>
                <w:szCs w:val="20"/>
                <w:color w:val="auto"/>
              </w:rPr>
            </w:pPr>
            <w:r>
              <w:rPr>
                <w:rFonts w:ascii="Arial" w:cs="Arial" w:eastAsia="Arial" w:hAnsi="Arial"/>
                <w:sz w:val="11"/>
                <w:szCs w:val="11"/>
                <w:color w:val="auto"/>
              </w:rPr>
              <w:t>ASIA 33616188</w:t>
            </w:r>
          </w:p>
        </w:tc>
        <w:tc>
          <w:tcPr>
            <w:tcW w:w="2660" w:type="dxa"/>
            <w:vAlign w:val="bottom"/>
          </w:tcPr>
          <w:p>
            <w:pPr>
              <w:jc w:val="right"/>
              <w:spacing w:after="0"/>
              <w:rPr>
                <w:sz w:val="20"/>
                <w:szCs w:val="20"/>
                <w:color w:val="auto"/>
              </w:rPr>
            </w:pPr>
            <w:r>
              <w:rPr>
                <w:rFonts w:ascii="Arial" w:cs="Arial" w:eastAsia="Arial" w:hAnsi="Arial"/>
                <w:sz w:val="22"/>
                <w:szCs w:val="22"/>
                <w:color w:val="auto"/>
              </w:rPr>
              <w:t>23</w:t>
            </w:r>
          </w:p>
        </w:tc>
      </w:tr>
    </w:tbl>
    <w:p>
      <w:pPr>
        <w:sectPr>
          <w:pgSz w:w="11900" w:h="16838" w:orient="portrait"/>
          <w:cols w:equalWidth="0" w:num="1">
            <w:col w:w="11420"/>
          </w:cols>
          <w:pgMar w:left="240" w:top="1440" w:right="239" w:bottom="1440" w:gutter="0" w:footer="0" w:header="0"/>
        </w:sectPr>
      </w:pPr>
    </w:p>
    <w:bookmarkStart w:id="174" w:name="page175"/>
    <w:bookmarkEnd w:id="174"/>
    <w:p>
      <w:pPr>
        <w:spacing w:after="0" w:line="2" w:lineRule="exact"/>
        <w:rPr>
          <w:sz w:val="20"/>
          <w:szCs w:val="20"/>
          <w:color w:val="auto"/>
        </w:rPr>
      </w:pPr>
    </w:p>
    <w:p>
      <w:pPr>
        <w:jc w:val="both"/>
        <w:ind w:left="1280" w:firstLine="653"/>
        <w:spacing w:after="0" w:line="311" w:lineRule="auto"/>
        <w:tabs>
          <w:tab w:leader="none" w:pos="2275" w:val="left"/>
        </w:tabs>
        <w:numPr>
          <w:ilvl w:val="0"/>
          <w:numId w:val="101"/>
        </w:numPr>
        <w:rPr>
          <w:rFonts w:ascii="Arial" w:cs="Arial" w:eastAsia="Arial" w:hAnsi="Arial"/>
          <w:sz w:val="21"/>
          <w:szCs w:val="21"/>
          <w:color w:val="auto"/>
        </w:rPr>
      </w:pPr>
      <w:r>
        <w:rPr>
          <w:rFonts w:ascii="Arial" w:cs="Arial" w:eastAsia="Arial" w:hAnsi="Arial"/>
          <w:sz w:val="21"/>
          <w:szCs w:val="21"/>
          <w:color w:val="auto"/>
        </w:rPr>
        <w:t>if the holder of such beneficial interest in a Restricted Global Note proposes to transfer such beneficial interest to a Person who shall take delivery thereof in the form of an Unrestricted Definitive Note, a certificate from such holder in the form of Exhibit B hereto, including the certifications in item (4) thereof;</w:t>
      </w:r>
    </w:p>
    <w:p>
      <w:pPr>
        <w:spacing w:after="0" w:line="169" w:lineRule="exact"/>
        <w:rPr>
          <w:sz w:val="20"/>
          <w:szCs w:val="20"/>
          <w:color w:val="auto"/>
        </w:rPr>
      </w:pPr>
    </w:p>
    <w:p>
      <w:pPr>
        <w:jc w:val="both"/>
        <w:ind w:left="1280"/>
        <w:spacing w:after="0" w:line="306" w:lineRule="auto"/>
        <w:rPr>
          <w:sz w:val="20"/>
          <w:szCs w:val="20"/>
          <w:color w:val="auto"/>
        </w:rPr>
      </w:pPr>
      <w:r>
        <w:rPr>
          <w:rFonts w:ascii="Arial" w:cs="Arial" w:eastAsia="Arial" w:hAnsi="Arial"/>
          <w:sz w:val="21"/>
          <w:szCs w:val="21"/>
          <w:color w:val="auto"/>
        </w:rPr>
        <w:t>and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73" w:lineRule="exact"/>
        <w:rPr>
          <w:sz w:val="20"/>
          <w:szCs w:val="20"/>
          <w:color w:val="auto"/>
        </w:rPr>
      </w:pPr>
    </w:p>
    <w:p>
      <w:pPr>
        <w:jc w:val="both"/>
        <w:ind w:left="640" w:firstLine="645"/>
        <w:spacing w:after="0" w:line="332" w:lineRule="auto"/>
        <w:tabs>
          <w:tab w:leader="none" w:pos="1599" w:val="left"/>
        </w:tabs>
        <w:numPr>
          <w:ilvl w:val="1"/>
          <w:numId w:val="102"/>
        </w:numPr>
        <w:rPr>
          <w:rFonts w:ascii="Arial" w:cs="Arial" w:eastAsia="Arial" w:hAnsi="Arial"/>
          <w:sz w:val="19"/>
          <w:szCs w:val="19"/>
          <w:color w:val="auto"/>
        </w:rPr>
      </w:pPr>
      <w:r>
        <w:rPr>
          <w:rFonts w:ascii="Arial" w:cs="Arial" w:eastAsia="Arial" w:hAnsi="Arial"/>
          <w:sz w:val="19"/>
          <w:szCs w:val="19"/>
          <w:i w:val="1"/>
          <w:iCs w:val="1"/>
          <w:color w:val="auto"/>
        </w:rPr>
        <w:t xml:space="preserve">Beneficial Interests in Unrestricted Global Notes to Unrestricted Definitive Notes. </w:t>
      </w:r>
      <w:r>
        <w:rPr>
          <w:rFonts w:ascii="Arial" w:cs="Arial" w:eastAsia="Arial" w:hAnsi="Arial"/>
          <w:sz w:val="19"/>
          <w:szCs w:val="19"/>
          <w:color w:val="auto"/>
        </w:rPr>
        <w:t>If any holder of a beneficial</w:t>
      </w:r>
      <w:r>
        <w:rPr>
          <w:rFonts w:ascii="Arial" w:cs="Arial" w:eastAsia="Arial" w:hAnsi="Arial"/>
          <w:sz w:val="19"/>
          <w:szCs w:val="19"/>
          <w:i w:val="1"/>
          <w:iCs w:val="1"/>
          <w:color w:val="auto"/>
        </w:rPr>
        <w:t xml:space="preserve"> </w:t>
      </w:r>
      <w:r>
        <w:rPr>
          <w:rFonts w:ascii="Arial" w:cs="Arial" w:eastAsia="Arial" w:hAnsi="Arial"/>
          <w:sz w:val="19"/>
          <w:szCs w:val="19"/>
          <w:color w:val="auto"/>
        </w:rPr>
        <w:t>interest in an Unrestricted Global Note proposes to exchange such beneficial interest for a Definitive Note or to transfer such beneficial interest to a Person who takes delivery thereof in the form of a Definitive Note, then, upon satisfaction of the conditions set forth in Section 2.06(b)(2) hereof, the Trustee shall cause the aggregate principal amount of the applicable Global Note to be reduced accordingly pursuant to Section 2.06(g) hereof, and the Issuer shall execute and the Trustee shall authenticate and deliver to the Person designated in the instructions a Definitive Note in the appropriate principal amount. Any Definitive Note issued in exchange for a beneficial interest pursuant to this Section 2.06(c)(3) shall be registered in such name or names and in such authorized denomination or denominations as the holder of such beneficial interest requests through instructions to the Registrar from or through the Depositary and the Participant or Indirect Participant. The Trustee shall deliver such Definitive Notes to the Persons in whose names such Notes are so registered. Any Definitive Note issued in exchange for a beneficial interest pursuant to this Section 2.06(c)(3) shall not bear the Private Placement Legend.</w:t>
      </w:r>
    </w:p>
    <w:p>
      <w:pPr>
        <w:spacing w:after="0" w:line="159" w:lineRule="exact"/>
        <w:rPr>
          <w:rFonts w:ascii="Arial" w:cs="Arial" w:eastAsia="Arial" w:hAnsi="Arial"/>
          <w:sz w:val="19"/>
          <w:szCs w:val="19"/>
          <w:color w:val="auto"/>
        </w:rPr>
      </w:pPr>
    </w:p>
    <w:p>
      <w:pPr>
        <w:ind w:left="940" w:hanging="304"/>
        <w:spacing w:after="0"/>
        <w:tabs>
          <w:tab w:leader="none" w:pos="940" w:val="left"/>
        </w:tabs>
        <w:numPr>
          <w:ilvl w:val="0"/>
          <w:numId w:val="103"/>
        </w:numPr>
        <w:rPr>
          <w:rFonts w:ascii="Arial" w:cs="Arial" w:eastAsia="Arial" w:hAnsi="Arial"/>
          <w:sz w:val="22"/>
          <w:szCs w:val="22"/>
          <w:color w:val="auto"/>
        </w:rPr>
      </w:pPr>
      <w:r>
        <w:rPr>
          <w:rFonts w:ascii="Arial" w:cs="Arial" w:eastAsia="Arial" w:hAnsi="Arial"/>
          <w:sz w:val="22"/>
          <w:szCs w:val="22"/>
          <w:i w:val="1"/>
          <w:iCs w:val="1"/>
          <w:color w:val="auto"/>
        </w:rPr>
        <w:t>Transfer and Exchange of Definitive Notes for Beneficial Interests</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left="640" w:firstLine="645"/>
        <w:spacing w:after="0" w:line="288" w:lineRule="auto"/>
        <w:tabs>
          <w:tab w:leader="none" w:pos="1612" w:val="left"/>
        </w:tabs>
        <w:numPr>
          <w:ilvl w:val="1"/>
          <w:numId w:val="103"/>
        </w:numPr>
        <w:rPr>
          <w:rFonts w:ascii="Arial" w:cs="Arial" w:eastAsia="Arial" w:hAnsi="Arial"/>
          <w:sz w:val="22"/>
          <w:szCs w:val="22"/>
          <w:color w:val="auto"/>
        </w:rPr>
      </w:pPr>
      <w:r>
        <w:rPr>
          <w:rFonts w:ascii="Arial" w:cs="Arial" w:eastAsia="Arial" w:hAnsi="Arial"/>
          <w:sz w:val="22"/>
          <w:szCs w:val="22"/>
          <w:i w:val="1"/>
          <w:iCs w:val="1"/>
          <w:color w:val="auto"/>
        </w:rPr>
        <w:t xml:space="preserve">Restricted Definitive Notes to Beneficial Interests in Restricted Global Notes. </w:t>
      </w:r>
      <w:r>
        <w:rPr>
          <w:rFonts w:ascii="Arial" w:cs="Arial" w:eastAsia="Arial" w:hAnsi="Arial"/>
          <w:sz w:val="22"/>
          <w:szCs w:val="22"/>
          <w:color w:val="auto"/>
        </w:rPr>
        <w:t>If any Holder of a Restricted</w:t>
      </w:r>
      <w:r>
        <w:rPr>
          <w:rFonts w:ascii="Arial" w:cs="Arial" w:eastAsia="Arial" w:hAnsi="Arial"/>
          <w:sz w:val="22"/>
          <w:szCs w:val="22"/>
          <w:i w:val="1"/>
          <w:iCs w:val="1"/>
          <w:color w:val="auto"/>
        </w:rPr>
        <w:t xml:space="preserve"> </w:t>
      </w:r>
      <w:r>
        <w:rPr>
          <w:rFonts w:ascii="Arial" w:cs="Arial" w:eastAsia="Arial" w:hAnsi="Arial"/>
          <w:sz w:val="22"/>
          <w:szCs w:val="22"/>
          <w:color w:val="auto"/>
        </w:rPr>
        <w:t>Definitive Note proposes to exchange such Note for a beneficial interest in a Restricted Global Note or to transfer such Restricted Definitive Notes to a Person who takes delivery thereof in the form of a beneficial interest in a Restricted Global Note, then, upon receipt by the Registrar of the following documentation:</w:t>
      </w:r>
    </w:p>
    <w:p>
      <w:pPr>
        <w:spacing w:after="0" w:line="190" w:lineRule="exact"/>
        <w:rPr>
          <w:rFonts w:ascii="Arial" w:cs="Arial" w:eastAsia="Arial" w:hAnsi="Arial"/>
          <w:sz w:val="22"/>
          <w:szCs w:val="22"/>
          <w:color w:val="auto"/>
        </w:rPr>
      </w:pPr>
    </w:p>
    <w:p>
      <w:pPr>
        <w:ind w:left="1280" w:firstLine="653"/>
        <w:spacing w:after="0" w:line="302" w:lineRule="auto"/>
        <w:tabs>
          <w:tab w:leader="none" w:pos="2273" w:val="left"/>
        </w:tabs>
        <w:numPr>
          <w:ilvl w:val="2"/>
          <w:numId w:val="103"/>
        </w:numPr>
        <w:rPr>
          <w:rFonts w:ascii="Arial" w:cs="Arial" w:eastAsia="Arial" w:hAnsi="Arial"/>
          <w:sz w:val="22"/>
          <w:szCs w:val="22"/>
          <w:color w:val="auto"/>
        </w:rPr>
      </w:pPr>
      <w:r>
        <w:rPr>
          <w:rFonts w:ascii="Arial" w:cs="Arial" w:eastAsia="Arial" w:hAnsi="Arial"/>
          <w:sz w:val="22"/>
          <w:szCs w:val="22"/>
          <w:color w:val="auto"/>
        </w:rPr>
        <w:t>if the Holder of such Restricted Definitive Note proposes to exchange such Note for a beneficial interest in a Restricted Global Note, a</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160" w:type="dxa"/>
            <w:vAlign w:val="bottom"/>
          </w:tcPr>
          <w:p>
            <w:pPr>
              <w:spacing w:after="0"/>
              <w:rPr>
                <w:sz w:val="20"/>
                <w:szCs w:val="20"/>
                <w:color w:val="auto"/>
              </w:rPr>
            </w:pPr>
            <w:r>
              <w:rPr>
                <w:rFonts w:ascii="Arial" w:cs="Arial" w:eastAsia="Arial" w:hAnsi="Arial"/>
                <w:sz w:val="11"/>
                <w:szCs w:val="11"/>
                <w:color w:val="auto"/>
              </w:rPr>
              <w:t>ASIA 33616188</w:t>
            </w:r>
          </w:p>
        </w:tc>
        <w:tc>
          <w:tcPr>
            <w:tcW w:w="2660" w:type="dxa"/>
            <w:vAlign w:val="bottom"/>
          </w:tcPr>
          <w:p>
            <w:pPr>
              <w:jc w:val="right"/>
              <w:spacing w:after="0"/>
              <w:rPr>
                <w:sz w:val="20"/>
                <w:szCs w:val="20"/>
                <w:color w:val="auto"/>
              </w:rPr>
            </w:pPr>
            <w:r>
              <w:rPr>
                <w:rFonts w:ascii="Arial" w:cs="Arial" w:eastAsia="Arial" w:hAnsi="Arial"/>
                <w:sz w:val="22"/>
                <w:szCs w:val="22"/>
                <w:color w:val="auto"/>
              </w:rPr>
              <w:t>24</w:t>
            </w:r>
          </w:p>
        </w:tc>
      </w:tr>
    </w:tbl>
    <w:p>
      <w:pPr>
        <w:sectPr>
          <w:pgSz w:w="11900" w:h="16838" w:orient="portrait"/>
          <w:cols w:equalWidth="0" w:num="1">
            <w:col w:w="11400"/>
          </w:cols>
          <w:pgMar w:left="260" w:top="1440" w:right="239" w:bottom="1440" w:gutter="0" w:footer="0" w:header="0"/>
        </w:sectPr>
      </w:pPr>
    </w:p>
    <w:bookmarkStart w:id="175" w:name="page176"/>
    <w:bookmarkEnd w:id="175"/>
    <w:p>
      <w:pPr>
        <w:spacing w:after="0" w:line="2"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certificate from such Holder in the form of Exhibit C hereto, including the certifications in item (2)(b) thereof;</w:t>
      </w:r>
    </w:p>
    <w:p>
      <w:pPr>
        <w:spacing w:after="0" w:line="272" w:lineRule="exact"/>
        <w:rPr>
          <w:sz w:val="20"/>
          <w:szCs w:val="20"/>
          <w:color w:val="auto"/>
        </w:rPr>
      </w:pPr>
    </w:p>
    <w:p>
      <w:pPr>
        <w:ind w:left="1280" w:firstLine="653"/>
        <w:spacing w:after="0" w:line="302" w:lineRule="auto"/>
        <w:tabs>
          <w:tab w:leader="none" w:pos="2302" w:val="left"/>
        </w:tabs>
        <w:numPr>
          <w:ilvl w:val="0"/>
          <w:numId w:val="104"/>
        </w:numPr>
        <w:rPr>
          <w:rFonts w:ascii="Arial" w:cs="Arial" w:eastAsia="Arial" w:hAnsi="Arial"/>
          <w:sz w:val="22"/>
          <w:szCs w:val="22"/>
          <w:color w:val="auto"/>
        </w:rPr>
      </w:pPr>
      <w:r>
        <w:rPr>
          <w:rFonts w:ascii="Arial" w:cs="Arial" w:eastAsia="Arial" w:hAnsi="Arial"/>
          <w:sz w:val="22"/>
          <w:szCs w:val="22"/>
          <w:color w:val="auto"/>
        </w:rPr>
        <w:t>if such Restricted Definitive Note is being transferred to a QIB in accordance with Rule 144A, a certificate to the effect set forth in Exhibit B hereto, including the certifications in item (1) thereof;</w:t>
      </w:r>
    </w:p>
    <w:p>
      <w:pPr>
        <w:spacing w:after="0" w:line="173" w:lineRule="exact"/>
        <w:rPr>
          <w:rFonts w:ascii="Arial" w:cs="Arial" w:eastAsia="Arial" w:hAnsi="Arial"/>
          <w:sz w:val="22"/>
          <w:szCs w:val="22"/>
          <w:color w:val="auto"/>
        </w:rPr>
      </w:pPr>
    </w:p>
    <w:p>
      <w:pPr>
        <w:jc w:val="both"/>
        <w:ind w:left="1280" w:firstLine="653"/>
        <w:spacing w:after="0" w:line="292" w:lineRule="auto"/>
        <w:tabs>
          <w:tab w:leader="none" w:pos="2261" w:val="left"/>
        </w:tabs>
        <w:numPr>
          <w:ilvl w:val="0"/>
          <w:numId w:val="104"/>
        </w:numPr>
        <w:rPr>
          <w:rFonts w:ascii="Arial" w:cs="Arial" w:eastAsia="Arial" w:hAnsi="Arial"/>
          <w:sz w:val="22"/>
          <w:szCs w:val="22"/>
          <w:color w:val="auto"/>
        </w:rPr>
      </w:pPr>
      <w:r>
        <w:rPr>
          <w:rFonts w:ascii="Arial" w:cs="Arial" w:eastAsia="Arial" w:hAnsi="Arial"/>
          <w:sz w:val="22"/>
          <w:szCs w:val="22"/>
          <w:color w:val="auto"/>
        </w:rPr>
        <w:t>if such Restricted Definitive Note is being transferred to a Non-U.S. Person in an offshore transaction in accordance with Rule 903 or Rule 904, a certificate to the effect set forth in Exhibit B hereto, including the certifications in item (2) thereof;</w:t>
      </w:r>
    </w:p>
    <w:p>
      <w:pPr>
        <w:spacing w:after="0" w:line="184" w:lineRule="exact"/>
        <w:rPr>
          <w:rFonts w:ascii="Arial" w:cs="Arial" w:eastAsia="Arial" w:hAnsi="Arial"/>
          <w:sz w:val="22"/>
          <w:szCs w:val="22"/>
          <w:color w:val="auto"/>
        </w:rPr>
      </w:pPr>
    </w:p>
    <w:p>
      <w:pPr>
        <w:jc w:val="both"/>
        <w:ind w:left="1280" w:firstLine="653"/>
        <w:spacing w:after="0" w:line="292" w:lineRule="auto"/>
        <w:tabs>
          <w:tab w:leader="none" w:pos="230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if such Restricted Definitive Note is being transferred pursuant to an exemption from the registration requirements of the Securities Act in accordance with Rule 144, a certificate to the effect set forth in Exhibit B hereto, including the certifications in item (3)(a) thereof;</w:t>
      </w:r>
    </w:p>
    <w:p>
      <w:pPr>
        <w:spacing w:after="0" w:line="184" w:lineRule="exact"/>
        <w:rPr>
          <w:rFonts w:ascii="Arial" w:cs="Arial" w:eastAsia="Arial" w:hAnsi="Arial"/>
          <w:sz w:val="22"/>
          <w:szCs w:val="22"/>
          <w:color w:val="auto"/>
        </w:rPr>
      </w:pPr>
    </w:p>
    <w:p>
      <w:pPr>
        <w:ind w:left="1280" w:firstLine="653"/>
        <w:spacing w:after="0" w:line="302" w:lineRule="auto"/>
        <w:tabs>
          <w:tab w:leader="none" w:pos="2249" w:val="left"/>
        </w:tabs>
        <w:numPr>
          <w:ilvl w:val="0"/>
          <w:numId w:val="104"/>
        </w:numPr>
        <w:rPr>
          <w:rFonts w:ascii="Arial" w:cs="Arial" w:eastAsia="Arial" w:hAnsi="Arial"/>
          <w:sz w:val="22"/>
          <w:szCs w:val="22"/>
          <w:color w:val="auto"/>
        </w:rPr>
      </w:pPr>
      <w:r>
        <w:rPr>
          <w:rFonts w:ascii="Arial" w:cs="Arial" w:eastAsia="Arial" w:hAnsi="Arial"/>
          <w:sz w:val="22"/>
          <w:szCs w:val="22"/>
          <w:color w:val="auto"/>
        </w:rPr>
        <w:t>if such Restricted Definitive Note is being transferred to the Issuer or any of its Subsidiaries, a certificate to the effect set forth in Exhibit B hereto, including the certifications in item (3)(b) thereof; or</w:t>
      </w:r>
    </w:p>
    <w:p>
      <w:pPr>
        <w:spacing w:after="0" w:line="173" w:lineRule="exact"/>
        <w:rPr>
          <w:rFonts w:ascii="Arial" w:cs="Arial" w:eastAsia="Arial" w:hAnsi="Arial"/>
          <w:sz w:val="22"/>
          <w:szCs w:val="22"/>
          <w:color w:val="auto"/>
        </w:rPr>
      </w:pPr>
    </w:p>
    <w:p>
      <w:pPr>
        <w:jc w:val="both"/>
        <w:ind w:left="1280" w:firstLine="653"/>
        <w:spacing w:after="0" w:line="326" w:lineRule="auto"/>
        <w:tabs>
          <w:tab w:leader="none" w:pos="2264" w:val="left"/>
        </w:tabs>
        <w:numPr>
          <w:ilvl w:val="0"/>
          <w:numId w:val="104"/>
        </w:numPr>
        <w:rPr>
          <w:rFonts w:ascii="Arial" w:cs="Arial" w:eastAsia="Arial" w:hAnsi="Arial"/>
          <w:sz w:val="19"/>
          <w:szCs w:val="19"/>
          <w:color w:val="auto"/>
        </w:rPr>
      </w:pPr>
      <w:r>
        <w:rPr>
          <w:rFonts w:ascii="Arial" w:cs="Arial" w:eastAsia="Arial" w:hAnsi="Arial"/>
          <w:sz w:val="19"/>
          <w:szCs w:val="19"/>
          <w:color w:val="auto"/>
        </w:rPr>
        <w:t>if such Restricted Definitive Note is being transferred pursuant to an effective registration statement under the Securities Act, a certificate to the effect set forth in Exhibit B hereto, including the certifications in item</w:t>
      </w:r>
    </w:p>
    <w:p>
      <w:pPr>
        <w:ind w:left="1280"/>
        <w:spacing w:after="0"/>
        <w:rPr>
          <w:rFonts w:ascii="Arial" w:cs="Arial" w:eastAsia="Arial" w:hAnsi="Arial"/>
          <w:sz w:val="19"/>
          <w:szCs w:val="19"/>
          <w:color w:val="auto"/>
        </w:rPr>
      </w:pPr>
      <w:r>
        <w:rPr>
          <w:rFonts w:ascii="Arial" w:cs="Arial" w:eastAsia="Arial" w:hAnsi="Arial"/>
          <w:sz w:val="22"/>
          <w:szCs w:val="22"/>
          <w:color w:val="auto"/>
        </w:rPr>
        <w:t>(3)(c) thereof,</w:t>
      </w:r>
    </w:p>
    <w:p>
      <w:pPr>
        <w:spacing w:after="0" w:line="260" w:lineRule="exact"/>
        <w:rPr>
          <w:sz w:val="20"/>
          <w:szCs w:val="20"/>
          <w:color w:val="auto"/>
        </w:rPr>
      </w:pPr>
    </w:p>
    <w:p>
      <w:pPr>
        <w:jc w:val="both"/>
        <w:ind w:left="1280"/>
        <w:spacing w:after="0" w:line="311" w:lineRule="auto"/>
        <w:rPr>
          <w:sz w:val="20"/>
          <w:szCs w:val="20"/>
          <w:color w:val="auto"/>
        </w:rPr>
      </w:pPr>
      <w:r>
        <w:rPr>
          <w:rFonts w:ascii="Arial" w:cs="Arial" w:eastAsia="Arial" w:hAnsi="Arial"/>
          <w:sz w:val="21"/>
          <w:szCs w:val="21"/>
          <w:color w:val="auto"/>
        </w:rPr>
        <w:t>the Trustee shall cancel the Restricted Definitive Note, increase or cause to be increased the aggregate principal amount of, in the case of clause (A) above, the appropriate Restricted Global Note, in the case of clause (B) above, the 144A Global Note, and in the case of clause (C) above, the Regulation S Global Note.</w:t>
      </w:r>
    </w:p>
    <w:p>
      <w:pPr>
        <w:spacing w:after="0" w:line="169" w:lineRule="exact"/>
        <w:rPr>
          <w:sz w:val="20"/>
          <w:szCs w:val="20"/>
          <w:color w:val="auto"/>
        </w:rPr>
      </w:pPr>
    </w:p>
    <w:p>
      <w:pPr>
        <w:jc w:val="both"/>
        <w:ind w:left="640" w:firstLine="645"/>
        <w:spacing w:after="0" w:line="288" w:lineRule="auto"/>
        <w:tabs>
          <w:tab w:leader="none" w:pos="1626" w:val="left"/>
        </w:tabs>
        <w:numPr>
          <w:ilvl w:val="0"/>
          <w:numId w:val="105"/>
        </w:numPr>
        <w:rPr>
          <w:rFonts w:ascii="Arial" w:cs="Arial" w:eastAsia="Arial" w:hAnsi="Arial"/>
          <w:sz w:val="22"/>
          <w:szCs w:val="22"/>
          <w:color w:val="auto"/>
        </w:rPr>
      </w:pPr>
      <w:r>
        <w:rPr>
          <w:rFonts w:ascii="Arial" w:cs="Arial" w:eastAsia="Arial" w:hAnsi="Arial"/>
          <w:sz w:val="22"/>
          <w:szCs w:val="22"/>
          <w:i w:val="1"/>
          <w:iCs w:val="1"/>
          <w:color w:val="auto"/>
        </w:rPr>
        <w:t xml:space="preserve">Restricted Definitive Notes to Beneficial Interests in Unrestricted Global Notes. </w:t>
      </w:r>
      <w:r>
        <w:rPr>
          <w:rFonts w:ascii="Arial" w:cs="Arial" w:eastAsia="Arial" w:hAnsi="Arial"/>
          <w:sz w:val="22"/>
          <w:szCs w:val="22"/>
          <w:color w:val="auto"/>
        </w:rPr>
        <w:t>A Holder of a Restricted</w:t>
      </w:r>
      <w:r>
        <w:rPr>
          <w:rFonts w:ascii="Arial" w:cs="Arial" w:eastAsia="Arial" w:hAnsi="Arial"/>
          <w:sz w:val="22"/>
          <w:szCs w:val="22"/>
          <w:i w:val="1"/>
          <w:iCs w:val="1"/>
          <w:color w:val="auto"/>
        </w:rPr>
        <w:t xml:space="preserve"> </w:t>
      </w:r>
      <w:r>
        <w:rPr>
          <w:rFonts w:ascii="Arial" w:cs="Arial" w:eastAsia="Arial" w:hAnsi="Arial"/>
          <w:sz w:val="22"/>
          <w:szCs w:val="22"/>
          <w:color w:val="auto"/>
        </w:rPr>
        <w:t>Definitive Note may exchange such Note for a beneficial interest in an Unrestricted Global Note or transfer such Restricted Definitive Note to a Person who takes delivery thereof in the form of a beneficial interest in an Unrestricted Global Note only if the Registrar receives the following:</w:t>
      </w:r>
    </w:p>
    <w:p>
      <w:pPr>
        <w:spacing w:after="0" w:line="190" w:lineRule="exact"/>
        <w:rPr>
          <w:rFonts w:ascii="Arial" w:cs="Arial" w:eastAsia="Arial" w:hAnsi="Arial"/>
          <w:sz w:val="22"/>
          <w:szCs w:val="22"/>
          <w:color w:val="auto"/>
        </w:rPr>
      </w:pPr>
    </w:p>
    <w:p>
      <w:pPr>
        <w:jc w:val="both"/>
        <w:ind w:left="1280" w:firstLine="653"/>
        <w:spacing w:after="0" w:line="292" w:lineRule="auto"/>
        <w:tabs>
          <w:tab w:leader="none" w:pos="2287" w:val="left"/>
        </w:tabs>
        <w:numPr>
          <w:ilvl w:val="1"/>
          <w:numId w:val="105"/>
        </w:numPr>
        <w:rPr>
          <w:rFonts w:ascii="Arial" w:cs="Arial" w:eastAsia="Arial" w:hAnsi="Arial"/>
          <w:sz w:val="22"/>
          <w:szCs w:val="22"/>
          <w:color w:val="auto"/>
        </w:rPr>
      </w:pPr>
      <w:r>
        <w:rPr>
          <w:rFonts w:ascii="Arial" w:cs="Arial" w:eastAsia="Arial" w:hAnsi="Arial"/>
          <w:sz w:val="22"/>
          <w:szCs w:val="22"/>
          <w:color w:val="auto"/>
        </w:rPr>
        <w:t>if the Holder of such Definitive Notes proposes to exchange such Notes for a beneficial interest in the Unrestricted Global Note, a certificate from such Holder in the form of Exhibit C hereto, including the certifications in item (1)(c) thereof; or</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160" w:type="dxa"/>
            <w:vAlign w:val="bottom"/>
          </w:tcPr>
          <w:p>
            <w:pPr>
              <w:spacing w:after="0"/>
              <w:rPr>
                <w:sz w:val="20"/>
                <w:szCs w:val="20"/>
                <w:color w:val="auto"/>
              </w:rPr>
            </w:pPr>
            <w:r>
              <w:rPr>
                <w:rFonts w:ascii="Arial" w:cs="Arial" w:eastAsia="Arial" w:hAnsi="Arial"/>
                <w:sz w:val="11"/>
                <w:szCs w:val="11"/>
                <w:color w:val="auto"/>
              </w:rPr>
              <w:t>ASIA 33616188</w:t>
            </w:r>
          </w:p>
        </w:tc>
        <w:tc>
          <w:tcPr>
            <w:tcW w:w="2660" w:type="dxa"/>
            <w:vAlign w:val="bottom"/>
          </w:tcPr>
          <w:p>
            <w:pPr>
              <w:jc w:val="right"/>
              <w:spacing w:after="0"/>
              <w:rPr>
                <w:sz w:val="20"/>
                <w:szCs w:val="20"/>
                <w:color w:val="auto"/>
              </w:rPr>
            </w:pPr>
            <w:r>
              <w:rPr>
                <w:rFonts w:ascii="Arial" w:cs="Arial" w:eastAsia="Arial" w:hAnsi="Arial"/>
                <w:sz w:val="22"/>
                <w:szCs w:val="22"/>
                <w:color w:val="auto"/>
              </w:rPr>
              <w:t>25</w:t>
            </w:r>
          </w:p>
        </w:tc>
      </w:tr>
    </w:tbl>
    <w:p>
      <w:pPr>
        <w:sectPr>
          <w:pgSz w:w="11900" w:h="16838" w:orient="portrait"/>
          <w:cols w:equalWidth="0" w:num="1">
            <w:col w:w="11400"/>
          </w:cols>
          <w:pgMar w:left="260" w:top="1440" w:right="239" w:bottom="1440" w:gutter="0" w:footer="0" w:header="0"/>
        </w:sectPr>
      </w:pPr>
    </w:p>
    <w:bookmarkStart w:id="176" w:name="page177"/>
    <w:bookmarkEnd w:id="176"/>
    <w:p>
      <w:pPr>
        <w:spacing w:after="0" w:line="2" w:lineRule="exact"/>
        <w:rPr>
          <w:sz w:val="20"/>
          <w:szCs w:val="20"/>
          <w:color w:val="auto"/>
        </w:rPr>
      </w:pPr>
    </w:p>
    <w:p>
      <w:pPr>
        <w:jc w:val="both"/>
        <w:ind w:left="1280" w:firstLine="653"/>
        <w:spacing w:after="0" w:line="292" w:lineRule="auto"/>
        <w:tabs>
          <w:tab w:leader="none" w:pos="2261" w:val="left"/>
        </w:tabs>
        <w:numPr>
          <w:ilvl w:val="0"/>
          <w:numId w:val="106"/>
        </w:numPr>
        <w:rPr>
          <w:rFonts w:ascii="Arial" w:cs="Arial" w:eastAsia="Arial" w:hAnsi="Arial"/>
          <w:sz w:val="22"/>
          <w:szCs w:val="22"/>
          <w:color w:val="auto"/>
        </w:rPr>
      </w:pPr>
      <w:r>
        <w:rPr>
          <w:rFonts w:ascii="Arial" w:cs="Arial" w:eastAsia="Arial" w:hAnsi="Arial"/>
          <w:sz w:val="22"/>
          <w:szCs w:val="22"/>
          <w:color w:val="auto"/>
        </w:rPr>
        <w:t>if the Holder of such Definitive Notes proposes to transfer such Notes to a Person who shall take delivery thereof in the form of a beneficial interest in the Unrestricted Global Note, a certificate from such Holder in the form of Exhibit B hereto, including the certifications in item (4) thereof;</w:t>
      </w:r>
    </w:p>
    <w:p>
      <w:pPr>
        <w:spacing w:after="0" w:line="184" w:lineRule="exact"/>
        <w:rPr>
          <w:sz w:val="20"/>
          <w:szCs w:val="20"/>
          <w:color w:val="auto"/>
        </w:rPr>
      </w:pPr>
    </w:p>
    <w:p>
      <w:pPr>
        <w:jc w:val="both"/>
        <w:ind w:left="1280"/>
        <w:spacing w:after="0" w:line="306" w:lineRule="auto"/>
        <w:rPr>
          <w:sz w:val="20"/>
          <w:szCs w:val="20"/>
          <w:color w:val="auto"/>
        </w:rPr>
      </w:pPr>
      <w:r>
        <w:rPr>
          <w:rFonts w:ascii="Arial" w:cs="Arial" w:eastAsia="Arial" w:hAnsi="Arial"/>
          <w:sz w:val="21"/>
          <w:szCs w:val="21"/>
          <w:color w:val="auto"/>
        </w:rPr>
        <w:t>and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73" w:lineRule="exact"/>
        <w:rPr>
          <w:sz w:val="20"/>
          <w:szCs w:val="20"/>
          <w:color w:val="auto"/>
        </w:rPr>
      </w:pPr>
    </w:p>
    <w:p>
      <w:pPr>
        <w:ind w:left="640" w:firstLine="648"/>
        <w:spacing w:after="0" w:line="387" w:lineRule="auto"/>
        <w:rPr>
          <w:sz w:val="20"/>
          <w:szCs w:val="20"/>
          <w:color w:val="auto"/>
        </w:rPr>
      </w:pPr>
      <w:r>
        <w:rPr>
          <w:rFonts w:ascii="Arial" w:cs="Arial" w:eastAsia="Arial" w:hAnsi="Arial"/>
          <w:sz w:val="19"/>
          <w:szCs w:val="19"/>
          <w:color w:val="auto"/>
        </w:rPr>
        <w:t>Upon satisfaction of the conditions of any of the subparagraphs in this Section 2.06(d)(2), the Trustee shall cancel the Definitive Notes and increase or cause to be increased the aggregate principal amount of the Unrestricted Global Note.</w:t>
      </w:r>
    </w:p>
    <w:p>
      <w:pPr>
        <w:spacing w:after="0" w:line="106" w:lineRule="exact"/>
        <w:rPr>
          <w:sz w:val="20"/>
          <w:szCs w:val="20"/>
          <w:color w:val="auto"/>
        </w:rPr>
      </w:pPr>
    </w:p>
    <w:p>
      <w:pPr>
        <w:jc w:val="both"/>
        <w:ind w:left="640" w:firstLine="645"/>
        <w:spacing w:after="0" w:line="341" w:lineRule="auto"/>
        <w:tabs>
          <w:tab w:leader="none" w:pos="1599" w:val="left"/>
        </w:tabs>
        <w:numPr>
          <w:ilvl w:val="0"/>
          <w:numId w:val="107"/>
        </w:numPr>
        <w:rPr>
          <w:rFonts w:ascii="Arial" w:cs="Arial" w:eastAsia="Arial" w:hAnsi="Arial"/>
          <w:sz w:val="19"/>
          <w:szCs w:val="19"/>
          <w:color w:val="auto"/>
        </w:rPr>
      </w:pPr>
      <w:r>
        <w:rPr>
          <w:rFonts w:ascii="Arial" w:cs="Arial" w:eastAsia="Arial" w:hAnsi="Arial"/>
          <w:sz w:val="19"/>
          <w:szCs w:val="19"/>
          <w:i w:val="1"/>
          <w:iCs w:val="1"/>
          <w:color w:val="auto"/>
        </w:rPr>
        <w:t xml:space="preserve">Unrestricted Definitive Notes to Beneficial Interests in Unrestricted Global Notes. </w:t>
      </w:r>
      <w:r>
        <w:rPr>
          <w:rFonts w:ascii="Arial" w:cs="Arial" w:eastAsia="Arial" w:hAnsi="Arial"/>
          <w:sz w:val="19"/>
          <w:szCs w:val="19"/>
          <w:color w:val="auto"/>
        </w:rPr>
        <w:t>A Holder of an Unrestricted</w:t>
      </w:r>
      <w:r>
        <w:rPr>
          <w:rFonts w:ascii="Arial" w:cs="Arial" w:eastAsia="Arial" w:hAnsi="Arial"/>
          <w:sz w:val="19"/>
          <w:szCs w:val="19"/>
          <w:i w:val="1"/>
          <w:iCs w:val="1"/>
          <w:color w:val="auto"/>
        </w:rPr>
        <w:t xml:space="preserve"> </w:t>
      </w:r>
      <w:r>
        <w:rPr>
          <w:rFonts w:ascii="Arial" w:cs="Arial" w:eastAsia="Arial" w:hAnsi="Arial"/>
          <w:sz w:val="19"/>
          <w:szCs w:val="19"/>
          <w:color w:val="auto"/>
        </w:rPr>
        <w:t>Definitive Note may exchange such Note for a beneficial interest in an Unrestricted Global Note or transfer such Definitive Notes to a Person who takes delivery thereof in the form of a beneficial interest in an Unrestricted Global Note at any time. Upon receipt of a request for such an exchange or transfer, the Trustee shall cancel the applicable Unrestricted Definitive Note and increase or cause to be increased the aggregate principal amount of one of the Unrestricted Global Notes.</w:t>
      </w:r>
    </w:p>
    <w:p>
      <w:pPr>
        <w:spacing w:after="0" w:line="149" w:lineRule="exact"/>
        <w:rPr>
          <w:sz w:val="20"/>
          <w:szCs w:val="20"/>
          <w:color w:val="auto"/>
        </w:rPr>
      </w:pPr>
    </w:p>
    <w:p>
      <w:pPr>
        <w:jc w:val="both"/>
        <w:ind w:left="640" w:firstLine="648"/>
        <w:spacing w:after="0" w:line="287" w:lineRule="auto"/>
        <w:rPr>
          <w:sz w:val="20"/>
          <w:szCs w:val="20"/>
          <w:color w:val="auto"/>
        </w:rPr>
      </w:pPr>
      <w:r>
        <w:rPr>
          <w:rFonts w:ascii="Arial" w:cs="Arial" w:eastAsia="Arial" w:hAnsi="Arial"/>
          <w:sz w:val="22"/>
          <w:szCs w:val="22"/>
          <w:color w:val="auto"/>
        </w:rPr>
        <w:t>If any such exchange or transfer from a Definitive Note to a beneficial interest is effected pursuant to subparagraphs (2) or (3) above at a time when an Unrestricted Global Note has not yet been issued, the Issuer shall issue and, upon receipt of an Authentication Order in accordance with Section 2.02 hereof, the Trustee shall authenticate one or more Unrestricted Global Notes in an aggregate principal amount equal to the principal amount of Definitive Notes so transferred.</w:t>
      </w:r>
    </w:p>
    <w:p>
      <w:pPr>
        <w:spacing w:after="0" w:line="189" w:lineRule="exact"/>
        <w:rPr>
          <w:sz w:val="20"/>
          <w:szCs w:val="20"/>
          <w:color w:val="auto"/>
        </w:rPr>
      </w:pPr>
    </w:p>
    <w:p>
      <w:pPr>
        <w:jc w:val="both"/>
        <w:ind w:left="-20" w:firstLine="656"/>
        <w:spacing w:after="0" w:line="285" w:lineRule="auto"/>
        <w:tabs>
          <w:tab w:leader="none" w:pos="913" w:val="left"/>
        </w:tabs>
        <w:numPr>
          <w:ilvl w:val="0"/>
          <w:numId w:val="108"/>
        </w:numPr>
        <w:rPr>
          <w:rFonts w:ascii="Arial" w:cs="Arial" w:eastAsia="Arial" w:hAnsi="Arial"/>
          <w:sz w:val="22"/>
          <w:szCs w:val="22"/>
          <w:color w:val="auto"/>
        </w:rPr>
      </w:pPr>
      <w:r>
        <w:rPr>
          <w:rFonts w:ascii="Arial" w:cs="Arial" w:eastAsia="Arial" w:hAnsi="Arial"/>
          <w:sz w:val="22"/>
          <w:szCs w:val="22"/>
          <w:i w:val="1"/>
          <w:iCs w:val="1"/>
          <w:color w:val="auto"/>
        </w:rPr>
        <w:t xml:space="preserve">Transfer and Exchange of Definitive Notes for Definitive Notes. </w:t>
      </w:r>
      <w:r>
        <w:rPr>
          <w:rFonts w:ascii="Arial" w:cs="Arial" w:eastAsia="Arial" w:hAnsi="Arial"/>
          <w:sz w:val="22"/>
          <w:szCs w:val="22"/>
          <w:color w:val="auto"/>
        </w:rPr>
        <w:t>Upon request by a Holder of Definitive Notes and such</w:t>
      </w:r>
      <w:r>
        <w:rPr>
          <w:rFonts w:ascii="Arial" w:cs="Arial" w:eastAsia="Arial" w:hAnsi="Arial"/>
          <w:sz w:val="22"/>
          <w:szCs w:val="22"/>
          <w:i w:val="1"/>
          <w:iCs w:val="1"/>
          <w:color w:val="auto"/>
        </w:rPr>
        <w:t xml:space="preserve"> </w:t>
      </w:r>
      <w:r>
        <w:rPr>
          <w:rFonts w:ascii="Arial" w:cs="Arial" w:eastAsia="Arial" w:hAnsi="Arial"/>
          <w:sz w:val="22"/>
          <w:szCs w:val="22"/>
          <w:color w:val="auto"/>
        </w:rPr>
        <w:t>Holder’s compliance with the provisions of this Section 2.06(e), the Registrar shall register the transfer or exchange of Definitive Notes. Prior to such registration of transfer or exchange, the requesting Holder must present or surrender to the Registrar the Definitive Notes duly endorsed or accompanied by a written instruction of transfer in form satisfactory to the Registrar duly executed by such Holder or by its attorney, duly authorized in writing. In addition, the requesting Holder must provide any additional certifications, documents and information, as applicable, required pursuant to the following provisions of this Section 2.06(e).</w:t>
      </w:r>
    </w:p>
    <w:p>
      <w:pPr>
        <w:spacing w:after="0" w:line="193" w:lineRule="exact"/>
        <w:rPr>
          <w:rFonts w:ascii="Arial" w:cs="Arial" w:eastAsia="Arial" w:hAnsi="Arial"/>
          <w:sz w:val="22"/>
          <w:szCs w:val="22"/>
          <w:color w:val="auto"/>
        </w:rPr>
      </w:pPr>
    </w:p>
    <w:p>
      <w:pPr>
        <w:ind w:left="640" w:firstLine="645"/>
        <w:spacing w:after="0" w:line="302" w:lineRule="auto"/>
        <w:tabs>
          <w:tab w:leader="none" w:pos="1585" w:val="left"/>
        </w:tabs>
        <w:numPr>
          <w:ilvl w:val="1"/>
          <w:numId w:val="108"/>
        </w:numPr>
        <w:rPr>
          <w:rFonts w:ascii="Arial" w:cs="Arial" w:eastAsia="Arial" w:hAnsi="Arial"/>
          <w:sz w:val="22"/>
          <w:szCs w:val="22"/>
          <w:color w:val="auto"/>
        </w:rPr>
      </w:pPr>
      <w:r>
        <w:rPr>
          <w:rFonts w:ascii="Arial" w:cs="Arial" w:eastAsia="Arial" w:hAnsi="Arial"/>
          <w:sz w:val="22"/>
          <w:szCs w:val="22"/>
          <w:i w:val="1"/>
          <w:iCs w:val="1"/>
          <w:color w:val="auto"/>
        </w:rPr>
        <w:t xml:space="preserve">Restricted Definitive Notes to Restricted Definitive Notes. </w:t>
      </w:r>
      <w:r>
        <w:rPr>
          <w:rFonts w:ascii="Arial" w:cs="Arial" w:eastAsia="Arial" w:hAnsi="Arial"/>
          <w:sz w:val="22"/>
          <w:szCs w:val="22"/>
          <w:color w:val="auto"/>
        </w:rPr>
        <w:t>Any Restricted Definitive Note may be transferred to</w:t>
      </w:r>
      <w:r>
        <w:rPr>
          <w:rFonts w:ascii="Arial" w:cs="Arial" w:eastAsia="Arial" w:hAnsi="Arial"/>
          <w:sz w:val="22"/>
          <w:szCs w:val="22"/>
          <w:i w:val="1"/>
          <w:iCs w:val="1"/>
          <w:color w:val="auto"/>
        </w:rPr>
        <w:t xml:space="preserve"> </w:t>
      </w:r>
      <w:r>
        <w:rPr>
          <w:rFonts w:ascii="Arial" w:cs="Arial" w:eastAsia="Arial" w:hAnsi="Arial"/>
          <w:sz w:val="22"/>
          <w:szCs w:val="22"/>
          <w:color w:val="auto"/>
        </w:rPr>
        <w:t>and registered in the name of Persons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160" w:type="dxa"/>
            <w:vAlign w:val="bottom"/>
          </w:tcPr>
          <w:p>
            <w:pPr>
              <w:spacing w:after="0"/>
              <w:rPr>
                <w:sz w:val="20"/>
                <w:szCs w:val="20"/>
                <w:color w:val="auto"/>
              </w:rPr>
            </w:pPr>
            <w:r>
              <w:rPr>
                <w:rFonts w:ascii="Arial" w:cs="Arial" w:eastAsia="Arial" w:hAnsi="Arial"/>
                <w:sz w:val="11"/>
                <w:szCs w:val="11"/>
                <w:color w:val="auto"/>
              </w:rPr>
              <w:t>ASIA 33616188</w:t>
            </w:r>
          </w:p>
        </w:tc>
        <w:tc>
          <w:tcPr>
            <w:tcW w:w="2660" w:type="dxa"/>
            <w:vAlign w:val="bottom"/>
          </w:tcPr>
          <w:p>
            <w:pPr>
              <w:jc w:val="right"/>
              <w:spacing w:after="0"/>
              <w:rPr>
                <w:sz w:val="20"/>
                <w:szCs w:val="20"/>
                <w:color w:val="auto"/>
              </w:rPr>
            </w:pPr>
            <w:r>
              <w:rPr>
                <w:rFonts w:ascii="Arial" w:cs="Arial" w:eastAsia="Arial" w:hAnsi="Arial"/>
                <w:sz w:val="22"/>
                <w:szCs w:val="22"/>
                <w:color w:val="auto"/>
              </w:rPr>
              <w:t>26</w:t>
            </w:r>
          </w:p>
        </w:tc>
      </w:tr>
    </w:tbl>
    <w:p>
      <w:pPr>
        <w:sectPr>
          <w:pgSz w:w="11900" w:h="16838" w:orient="portrait"/>
          <w:cols w:equalWidth="0" w:num="1">
            <w:col w:w="11400"/>
          </w:cols>
          <w:pgMar w:left="260" w:top="1440" w:right="239" w:bottom="1440" w:gutter="0" w:footer="0" w:header="0"/>
        </w:sectPr>
      </w:pPr>
    </w:p>
    <w:bookmarkStart w:id="177" w:name="page178"/>
    <w:bookmarkEnd w:id="177"/>
    <w:p>
      <w:pPr>
        <w:spacing w:after="0" w:line="2"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who take delivery thereof in the form of a Restricted Definitive Note if the Registrar receives the following:</w:t>
      </w:r>
    </w:p>
    <w:p>
      <w:pPr>
        <w:spacing w:after="0" w:line="260" w:lineRule="exact"/>
        <w:rPr>
          <w:sz w:val="20"/>
          <w:szCs w:val="20"/>
          <w:color w:val="auto"/>
        </w:rPr>
      </w:pPr>
    </w:p>
    <w:p>
      <w:pPr>
        <w:ind w:left="1280" w:firstLine="653"/>
        <w:spacing w:after="0" w:line="302" w:lineRule="auto"/>
        <w:tabs>
          <w:tab w:leader="none" w:pos="2287" w:val="left"/>
        </w:tabs>
        <w:numPr>
          <w:ilvl w:val="1"/>
          <w:numId w:val="109"/>
        </w:numPr>
        <w:rPr>
          <w:rFonts w:ascii="Arial" w:cs="Arial" w:eastAsia="Arial" w:hAnsi="Arial"/>
          <w:sz w:val="22"/>
          <w:szCs w:val="22"/>
          <w:color w:val="auto"/>
        </w:rPr>
      </w:pPr>
      <w:r>
        <w:rPr>
          <w:rFonts w:ascii="Arial" w:cs="Arial" w:eastAsia="Arial" w:hAnsi="Arial"/>
          <w:sz w:val="22"/>
          <w:szCs w:val="22"/>
          <w:color w:val="auto"/>
        </w:rPr>
        <w:t>if the transfer shall be made pursuant to Rule 144A, then the transferor must deliver a certificate in the form of Exhibit B hereto, including the certifications in item (1) thereof;</w:t>
      </w:r>
    </w:p>
    <w:p>
      <w:pPr>
        <w:spacing w:after="0" w:line="173" w:lineRule="exact"/>
        <w:rPr>
          <w:rFonts w:ascii="Arial" w:cs="Arial" w:eastAsia="Arial" w:hAnsi="Arial"/>
          <w:sz w:val="22"/>
          <w:szCs w:val="22"/>
          <w:color w:val="auto"/>
        </w:rPr>
      </w:pPr>
    </w:p>
    <w:p>
      <w:pPr>
        <w:ind w:left="1280" w:right="20" w:firstLine="653"/>
        <w:spacing w:after="0" w:line="302" w:lineRule="auto"/>
        <w:tabs>
          <w:tab w:leader="none" w:pos="2302" w:val="left"/>
        </w:tabs>
        <w:numPr>
          <w:ilvl w:val="1"/>
          <w:numId w:val="109"/>
        </w:numPr>
        <w:rPr>
          <w:rFonts w:ascii="Arial" w:cs="Arial" w:eastAsia="Arial" w:hAnsi="Arial"/>
          <w:sz w:val="22"/>
          <w:szCs w:val="22"/>
          <w:color w:val="auto"/>
        </w:rPr>
      </w:pPr>
      <w:r>
        <w:rPr>
          <w:rFonts w:ascii="Arial" w:cs="Arial" w:eastAsia="Arial" w:hAnsi="Arial"/>
          <w:sz w:val="22"/>
          <w:szCs w:val="22"/>
          <w:color w:val="auto"/>
        </w:rPr>
        <w:t>if the transfer shall be made pursuant to Rule 903 or Rule 904, then the transferor must deliver a certificate in the form of Exhibit B hereto, including the certifications in item (2) thereof; and</w:t>
      </w:r>
    </w:p>
    <w:p>
      <w:pPr>
        <w:spacing w:after="0" w:line="173" w:lineRule="exact"/>
        <w:rPr>
          <w:rFonts w:ascii="Arial" w:cs="Arial" w:eastAsia="Arial" w:hAnsi="Arial"/>
          <w:sz w:val="22"/>
          <w:szCs w:val="22"/>
          <w:color w:val="auto"/>
        </w:rPr>
      </w:pPr>
    </w:p>
    <w:p>
      <w:pPr>
        <w:jc w:val="both"/>
        <w:ind w:left="1280" w:firstLine="653"/>
        <w:spacing w:after="0" w:line="311" w:lineRule="auto"/>
        <w:tabs>
          <w:tab w:leader="none" w:pos="2275" w:val="left"/>
        </w:tabs>
        <w:numPr>
          <w:ilvl w:val="1"/>
          <w:numId w:val="109"/>
        </w:numPr>
        <w:rPr>
          <w:rFonts w:ascii="Arial" w:cs="Arial" w:eastAsia="Arial" w:hAnsi="Arial"/>
          <w:sz w:val="21"/>
          <w:szCs w:val="21"/>
          <w:color w:val="auto"/>
        </w:rPr>
      </w:pPr>
      <w:r>
        <w:rPr>
          <w:rFonts w:ascii="Arial" w:cs="Arial" w:eastAsia="Arial" w:hAnsi="Arial"/>
          <w:sz w:val="21"/>
          <w:szCs w:val="21"/>
          <w:color w:val="auto"/>
        </w:rPr>
        <w:t>if the transfer shall be made pursuant to any other exemption from the registration requirements of the Securities Act, then the transferor must deliver a certificate in the form of Exhibit B hereto, including the certifications, certificates and Opinion of Counsel required by item (3) thereof, if applicable.</w:t>
      </w:r>
    </w:p>
    <w:p>
      <w:pPr>
        <w:spacing w:after="0" w:line="168" w:lineRule="exact"/>
        <w:rPr>
          <w:rFonts w:ascii="Arial" w:cs="Arial" w:eastAsia="Arial" w:hAnsi="Arial"/>
          <w:sz w:val="21"/>
          <w:szCs w:val="21"/>
          <w:color w:val="auto"/>
        </w:rPr>
      </w:pPr>
    </w:p>
    <w:p>
      <w:pPr>
        <w:jc w:val="both"/>
        <w:ind w:left="640" w:firstLine="645"/>
        <w:spacing w:after="0" w:line="292" w:lineRule="auto"/>
        <w:tabs>
          <w:tab w:leader="none" w:pos="1599" w:val="left"/>
        </w:tabs>
        <w:numPr>
          <w:ilvl w:val="0"/>
          <w:numId w:val="110"/>
        </w:numPr>
        <w:rPr>
          <w:rFonts w:ascii="Arial" w:cs="Arial" w:eastAsia="Arial" w:hAnsi="Arial"/>
          <w:sz w:val="22"/>
          <w:szCs w:val="22"/>
          <w:color w:val="auto"/>
        </w:rPr>
      </w:pPr>
      <w:r>
        <w:rPr>
          <w:rFonts w:ascii="Arial" w:cs="Arial" w:eastAsia="Arial" w:hAnsi="Arial"/>
          <w:sz w:val="22"/>
          <w:szCs w:val="22"/>
          <w:i w:val="1"/>
          <w:iCs w:val="1"/>
          <w:color w:val="auto"/>
        </w:rPr>
        <w:t xml:space="preserve">Restricted Definitive Notes to Unrestricted Definitive Notes. </w:t>
      </w:r>
      <w:r>
        <w:rPr>
          <w:rFonts w:ascii="Arial" w:cs="Arial" w:eastAsia="Arial" w:hAnsi="Arial"/>
          <w:sz w:val="22"/>
          <w:szCs w:val="22"/>
          <w:color w:val="auto"/>
        </w:rPr>
        <w:t>Any Restricted Definitive Note may be exchanged</w:t>
      </w:r>
      <w:r>
        <w:rPr>
          <w:rFonts w:ascii="Arial" w:cs="Arial" w:eastAsia="Arial" w:hAnsi="Arial"/>
          <w:sz w:val="22"/>
          <w:szCs w:val="22"/>
          <w:i w:val="1"/>
          <w:iCs w:val="1"/>
          <w:color w:val="auto"/>
        </w:rPr>
        <w:t xml:space="preserve"> </w:t>
      </w:r>
      <w:r>
        <w:rPr>
          <w:rFonts w:ascii="Arial" w:cs="Arial" w:eastAsia="Arial" w:hAnsi="Arial"/>
          <w:sz w:val="22"/>
          <w:szCs w:val="22"/>
          <w:color w:val="auto"/>
        </w:rPr>
        <w:t>by the Holder thereof for an Unrestricted Definitive Note or transferred to a Person or Persons who take delivery thereof in the form of an Unrestricted Definitive Note if the Registrar receives the following:</w:t>
      </w:r>
    </w:p>
    <w:p>
      <w:pPr>
        <w:spacing w:after="0" w:line="184" w:lineRule="exact"/>
        <w:rPr>
          <w:rFonts w:ascii="Arial" w:cs="Arial" w:eastAsia="Arial" w:hAnsi="Arial"/>
          <w:sz w:val="22"/>
          <w:szCs w:val="22"/>
          <w:color w:val="auto"/>
        </w:rPr>
      </w:pPr>
    </w:p>
    <w:p>
      <w:pPr>
        <w:jc w:val="both"/>
        <w:ind w:left="1280" w:firstLine="653"/>
        <w:spacing w:after="0" w:line="326" w:lineRule="auto"/>
        <w:tabs>
          <w:tab w:leader="none" w:pos="2287" w:val="left"/>
        </w:tabs>
        <w:numPr>
          <w:ilvl w:val="1"/>
          <w:numId w:val="110"/>
        </w:numPr>
        <w:rPr>
          <w:rFonts w:ascii="Arial" w:cs="Arial" w:eastAsia="Arial" w:hAnsi="Arial"/>
          <w:sz w:val="19"/>
          <w:szCs w:val="19"/>
          <w:color w:val="auto"/>
        </w:rPr>
      </w:pPr>
      <w:r>
        <w:rPr>
          <w:rFonts w:ascii="Arial" w:cs="Arial" w:eastAsia="Arial" w:hAnsi="Arial"/>
          <w:sz w:val="19"/>
          <w:szCs w:val="19"/>
          <w:color w:val="auto"/>
        </w:rPr>
        <w:t>if the Holder of such Restricted Definitive Notes proposes to exchange such Notes for an Unrestricted Definitive Note, a certificate from such Holder in the form of Exhibit C hereto, including the certifications in item</w:t>
      </w:r>
    </w:p>
    <w:p>
      <w:pPr>
        <w:ind w:left="1280"/>
        <w:spacing w:after="0"/>
        <w:rPr>
          <w:rFonts w:ascii="Arial" w:cs="Arial" w:eastAsia="Arial" w:hAnsi="Arial"/>
          <w:sz w:val="19"/>
          <w:szCs w:val="19"/>
          <w:color w:val="auto"/>
        </w:rPr>
      </w:pPr>
      <w:r>
        <w:rPr>
          <w:rFonts w:ascii="Arial" w:cs="Arial" w:eastAsia="Arial" w:hAnsi="Arial"/>
          <w:sz w:val="22"/>
          <w:szCs w:val="22"/>
          <w:color w:val="auto"/>
        </w:rPr>
        <w:t>(1)(d) thereof; or</w:t>
      </w:r>
    </w:p>
    <w:p>
      <w:pPr>
        <w:spacing w:after="0" w:line="260" w:lineRule="exact"/>
        <w:rPr>
          <w:rFonts w:ascii="Arial" w:cs="Arial" w:eastAsia="Arial" w:hAnsi="Arial"/>
          <w:sz w:val="19"/>
          <w:szCs w:val="19"/>
          <w:color w:val="auto"/>
        </w:rPr>
      </w:pPr>
    </w:p>
    <w:p>
      <w:pPr>
        <w:jc w:val="both"/>
        <w:ind w:left="1280" w:firstLine="653"/>
        <w:spacing w:after="0" w:line="292" w:lineRule="auto"/>
        <w:tabs>
          <w:tab w:leader="none" w:pos="2275" w:val="left"/>
        </w:tabs>
        <w:numPr>
          <w:ilvl w:val="1"/>
          <w:numId w:val="110"/>
        </w:numPr>
        <w:rPr>
          <w:rFonts w:ascii="Arial" w:cs="Arial" w:eastAsia="Arial" w:hAnsi="Arial"/>
          <w:sz w:val="22"/>
          <w:szCs w:val="22"/>
          <w:color w:val="auto"/>
        </w:rPr>
      </w:pPr>
      <w:r>
        <w:rPr>
          <w:rFonts w:ascii="Arial" w:cs="Arial" w:eastAsia="Arial" w:hAnsi="Arial"/>
          <w:sz w:val="22"/>
          <w:szCs w:val="22"/>
          <w:color w:val="auto"/>
        </w:rPr>
        <w:t>if the Holder of such Restricted Definitive Notes proposes to transfer such Notes to a Person who shall take delivery thereof in the form of an Unrestricted Definitive Note, a certificate from such Holder in the form of Exhibit B hereto, including the certifications in item (4) thereof;</w:t>
      </w:r>
    </w:p>
    <w:p>
      <w:pPr>
        <w:spacing w:after="0" w:line="184" w:lineRule="exact"/>
        <w:rPr>
          <w:sz w:val="20"/>
          <w:szCs w:val="20"/>
          <w:color w:val="auto"/>
        </w:rPr>
      </w:pPr>
    </w:p>
    <w:p>
      <w:pPr>
        <w:jc w:val="both"/>
        <w:ind w:left="1280"/>
        <w:spacing w:after="0" w:line="288" w:lineRule="auto"/>
        <w:rPr>
          <w:sz w:val="20"/>
          <w:szCs w:val="20"/>
          <w:color w:val="auto"/>
        </w:rPr>
      </w:pPr>
      <w:r>
        <w:rPr>
          <w:rFonts w:ascii="Arial" w:cs="Arial" w:eastAsia="Arial" w:hAnsi="Arial"/>
          <w:sz w:val="22"/>
          <w:szCs w:val="22"/>
          <w:color w:val="auto"/>
        </w:rPr>
        <w:t>and if the Registrar so requests,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90" w:lineRule="exact"/>
        <w:rPr>
          <w:sz w:val="20"/>
          <w:szCs w:val="20"/>
          <w:color w:val="auto"/>
        </w:rPr>
      </w:pPr>
    </w:p>
    <w:p>
      <w:pPr>
        <w:jc w:val="both"/>
        <w:ind w:left="640" w:firstLine="645"/>
        <w:spacing w:after="0" w:line="288" w:lineRule="auto"/>
        <w:tabs>
          <w:tab w:leader="none" w:pos="1599" w:val="left"/>
        </w:tabs>
        <w:numPr>
          <w:ilvl w:val="0"/>
          <w:numId w:val="111"/>
        </w:numPr>
        <w:rPr>
          <w:rFonts w:ascii="Arial" w:cs="Arial" w:eastAsia="Arial" w:hAnsi="Arial"/>
          <w:sz w:val="22"/>
          <w:szCs w:val="22"/>
          <w:color w:val="auto"/>
        </w:rPr>
      </w:pPr>
      <w:r>
        <w:rPr>
          <w:rFonts w:ascii="Arial" w:cs="Arial" w:eastAsia="Arial" w:hAnsi="Arial"/>
          <w:sz w:val="22"/>
          <w:szCs w:val="22"/>
          <w:i w:val="1"/>
          <w:iCs w:val="1"/>
          <w:color w:val="auto"/>
        </w:rPr>
        <w:t xml:space="preserve">Unrestricted Definitive Notes to Unrestricted Definitive Notes. </w:t>
      </w:r>
      <w:r>
        <w:rPr>
          <w:rFonts w:ascii="Arial" w:cs="Arial" w:eastAsia="Arial" w:hAnsi="Arial"/>
          <w:sz w:val="22"/>
          <w:szCs w:val="22"/>
          <w:color w:val="auto"/>
        </w:rPr>
        <w:t>A Holder of Unrestricted Definitive Notes may</w:t>
      </w:r>
      <w:r>
        <w:rPr>
          <w:rFonts w:ascii="Arial" w:cs="Arial" w:eastAsia="Arial" w:hAnsi="Arial"/>
          <w:sz w:val="22"/>
          <w:szCs w:val="22"/>
          <w:i w:val="1"/>
          <w:iCs w:val="1"/>
          <w:color w:val="auto"/>
        </w:rPr>
        <w:t xml:space="preserve"> </w:t>
      </w:r>
      <w:r>
        <w:rPr>
          <w:rFonts w:ascii="Arial" w:cs="Arial" w:eastAsia="Arial" w:hAnsi="Arial"/>
          <w:sz w:val="22"/>
          <w:szCs w:val="22"/>
          <w:color w:val="auto"/>
        </w:rPr>
        <w:t>transfer such Notes to a Person who takes delivery thereof in the form of an Unrestricted Definitive Note. Upon receipt of a request to register such a transfer, the Registrar shall register the Unrestricted Definitive Notes pursuant to the instructions from the Holder thereof.</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160" w:type="dxa"/>
            <w:vAlign w:val="bottom"/>
          </w:tcPr>
          <w:p>
            <w:pPr>
              <w:spacing w:after="0"/>
              <w:rPr>
                <w:sz w:val="20"/>
                <w:szCs w:val="20"/>
                <w:color w:val="auto"/>
              </w:rPr>
            </w:pPr>
            <w:r>
              <w:rPr>
                <w:rFonts w:ascii="Arial" w:cs="Arial" w:eastAsia="Arial" w:hAnsi="Arial"/>
                <w:sz w:val="11"/>
                <w:szCs w:val="11"/>
                <w:color w:val="auto"/>
              </w:rPr>
              <w:t>ASIA 33616188</w:t>
            </w:r>
          </w:p>
        </w:tc>
        <w:tc>
          <w:tcPr>
            <w:tcW w:w="2660" w:type="dxa"/>
            <w:vAlign w:val="bottom"/>
          </w:tcPr>
          <w:p>
            <w:pPr>
              <w:jc w:val="right"/>
              <w:spacing w:after="0"/>
              <w:rPr>
                <w:sz w:val="20"/>
                <w:szCs w:val="20"/>
                <w:color w:val="auto"/>
              </w:rPr>
            </w:pPr>
            <w:r>
              <w:rPr>
                <w:rFonts w:ascii="Arial" w:cs="Arial" w:eastAsia="Arial" w:hAnsi="Arial"/>
                <w:sz w:val="22"/>
                <w:szCs w:val="22"/>
                <w:color w:val="auto"/>
              </w:rPr>
              <w:t>27</w:t>
            </w:r>
          </w:p>
        </w:tc>
      </w:tr>
    </w:tbl>
    <w:p>
      <w:pPr>
        <w:sectPr>
          <w:pgSz w:w="11900" w:h="16838" w:orient="portrait"/>
          <w:cols w:equalWidth="0" w:num="1">
            <w:col w:w="11400"/>
          </w:cols>
          <w:pgMar w:left="260" w:top="1440" w:right="239" w:bottom="1440" w:gutter="0" w:footer="0" w:header="0"/>
        </w:sectPr>
      </w:pPr>
    </w:p>
    <w:bookmarkStart w:id="178" w:name="page179"/>
    <w:bookmarkEnd w:id="178"/>
    <w:p>
      <w:pPr>
        <w:spacing w:after="0" w:line="2" w:lineRule="exact"/>
        <w:rPr>
          <w:sz w:val="20"/>
          <w:szCs w:val="20"/>
          <w:color w:val="auto"/>
        </w:rPr>
      </w:pPr>
    </w:p>
    <w:p>
      <w:pPr>
        <w:ind w:firstLine="656"/>
        <w:spacing w:after="0" w:line="302" w:lineRule="auto"/>
        <w:tabs>
          <w:tab w:leader="none" w:pos="936" w:val="left"/>
        </w:tabs>
        <w:numPr>
          <w:ilvl w:val="0"/>
          <w:numId w:val="112"/>
        </w:numPr>
        <w:rPr>
          <w:rFonts w:ascii="Arial" w:cs="Arial" w:eastAsia="Arial" w:hAnsi="Arial"/>
          <w:sz w:val="22"/>
          <w:szCs w:val="22"/>
          <w:color w:val="auto"/>
        </w:rPr>
      </w:pPr>
      <w:r>
        <w:rPr>
          <w:rFonts w:ascii="Arial" w:cs="Arial" w:eastAsia="Arial" w:hAnsi="Arial"/>
          <w:sz w:val="22"/>
          <w:szCs w:val="22"/>
          <w:i w:val="1"/>
          <w:iCs w:val="1"/>
          <w:color w:val="auto"/>
        </w:rPr>
        <w:t xml:space="preserve">Legends. </w:t>
      </w:r>
      <w:r>
        <w:rPr>
          <w:rFonts w:ascii="Arial" w:cs="Arial" w:eastAsia="Arial" w:hAnsi="Arial"/>
          <w:sz w:val="22"/>
          <w:szCs w:val="22"/>
          <w:color w:val="auto"/>
        </w:rPr>
        <w:t>The following legends shall appear on the face of all Global Notes and Definitive Notes issued under this</w:t>
      </w:r>
      <w:r>
        <w:rPr>
          <w:rFonts w:ascii="Arial" w:cs="Arial" w:eastAsia="Arial" w:hAnsi="Arial"/>
          <w:sz w:val="22"/>
          <w:szCs w:val="22"/>
          <w:i w:val="1"/>
          <w:iCs w:val="1"/>
          <w:color w:val="auto"/>
        </w:rPr>
        <w:t xml:space="preserve"> </w:t>
      </w:r>
      <w:r>
        <w:rPr>
          <w:rFonts w:ascii="Arial" w:cs="Arial" w:eastAsia="Arial" w:hAnsi="Arial"/>
          <w:sz w:val="22"/>
          <w:szCs w:val="22"/>
          <w:color w:val="auto"/>
        </w:rPr>
        <w:t>Indenture unless specifically stated otherwise in the applicable provisions of this Indenture.</w:t>
      </w:r>
    </w:p>
    <w:p>
      <w:pPr>
        <w:spacing w:after="0" w:line="173" w:lineRule="exact"/>
        <w:rPr>
          <w:rFonts w:ascii="Arial" w:cs="Arial" w:eastAsia="Arial" w:hAnsi="Arial"/>
          <w:sz w:val="22"/>
          <w:szCs w:val="22"/>
          <w:color w:val="auto"/>
        </w:rPr>
      </w:pPr>
    </w:p>
    <w:p>
      <w:pPr>
        <w:ind w:left="1600" w:hanging="295"/>
        <w:spacing w:after="0"/>
        <w:tabs>
          <w:tab w:leader="none" w:pos="1600" w:val="left"/>
        </w:tabs>
        <w:numPr>
          <w:ilvl w:val="1"/>
          <w:numId w:val="112"/>
        </w:numPr>
        <w:rPr>
          <w:rFonts w:ascii="Arial" w:cs="Arial" w:eastAsia="Arial" w:hAnsi="Arial"/>
          <w:sz w:val="22"/>
          <w:szCs w:val="22"/>
          <w:color w:val="auto"/>
        </w:rPr>
      </w:pPr>
      <w:r>
        <w:rPr>
          <w:rFonts w:ascii="Arial" w:cs="Arial" w:eastAsia="Arial" w:hAnsi="Arial"/>
          <w:sz w:val="22"/>
          <w:szCs w:val="22"/>
          <w:i w:val="1"/>
          <w:iCs w:val="1"/>
          <w:color w:val="auto"/>
        </w:rPr>
        <w:t>Private Placement Legend</w:t>
      </w:r>
      <w:r>
        <w:rPr>
          <w:rFonts w:ascii="Arial" w:cs="Arial" w:eastAsia="Arial" w:hAnsi="Arial"/>
          <w:sz w:val="22"/>
          <w:szCs w:val="22"/>
          <w:color w:val="auto"/>
        </w:rPr>
        <w:t>.</w:t>
      </w:r>
    </w:p>
    <w:p>
      <w:pPr>
        <w:spacing w:after="0" w:line="260" w:lineRule="exact"/>
        <w:rPr>
          <w:sz w:val="20"/>
          <w:szCs w:val="20"/>
          <w:color w:val="auto"/>
        </w:rPr>
      </w:pPr>
    </w:p>
    <w:p>
      <w:pPr>
        <w:ind w:left="1300" w:firstLine="653"/>
        <w:spacing w:after="0" w:line="387" w:lineRule="auto"/>
        <w:tabs>
          <w:tab w:leader="none" w:pos="2320" w:val="left"/>
        </w:tabs>
        <w:numPr>
          <w:ilvl w:val="0"/>
          <w:numId w:val="113"/>
        </w:numPr>
        <w:rPr>
          <w:rFonts w:ascii="Arial" w:cs="Arial" w:eastAsia="Arial" w:hAnsi="Arial"/>
          <w:sz w:val="19"/>
          <w:szCs w:val="19"/>
          <w:color w:val="auto"/>
        </w:rPr>
      </w:pPr>
      <w:r>
        <w:rPr>
          <w:rFonts w:ascii="Arial" w:cs="Arial" w:eastAsia="Arial" w:hAnsi="Arial"/>
          <w:sz w:val="19"/>
          <w:szCs w:val="19"/>
          <w:color w:val="auto"/>
        </w:rPr>
        <w:t>Except as permitted by subparagraph (B) below, each Global Note and each Definitive Note (and all Notes issued in exchange therefor or substitution thereof) shall bear the legend in substantially the following form:</w:t>
      </w:r>
    </w:p>
    <w:p>
      <w:pPr>
        <w:spacing w:after="0" w:line="106" w:lineRule="exact"/>
        <w:rPr>
          <w:sz w:val="20"/>
          <w:szCs w:val="20"/>
          <w:color w:val="auto"/>
        </w:rPr>
      </w:pPr>
    </w:p>
    <w:p>
      <w:pPr>
        <w:jc w:val="both"/>
        <w:spacing w:after="0" w:line="296" w:lineRule="auto"/>
        <w:rPr>
          <w:sz w:val="20"/>
          <w:szCs w:val="20"/>
          <w:color w:val="auto"/>
        </w:rPr>
      </w:pPr>
      <w:r>
        <w:rPr>
          <w:rFonts w:ascii="Arial" w:cs="Arial" w:eastAsia="Arial" w:hAnsi="Arial"/>
          <w:sz w:val="21"/>
          <w:szCs w:val="21"/>
          <w:color w:val="auto"/>
        </w:rPr>
        <w:t>“THIS NOTE HAS NOT BEEN REGISTERED UNDER THE U.S. SECURITIES ACT OF 1933, AS AMENDED (THE “SECURITIES ACT”) AND, ACCORDINGLY, MAY NOT BE OFFERED, SOLD, PLEDGED OR OTHERWISE TRANSFERRED WITHIN THE UNITED STATES OR TO, OR FOR THE ACCOUNT OR BENEFIT OF, U.S. PERSONS, EXCEPT AS SET FORTH IN THE FOLLOWING SENTENCE. BY ITS ACQUISITION HEREOF OR OF A BENEFICIAL INTEREST HEREIN, THE HOLDER (1) REPRESENTS THAT (A) IT IS A “QUALIFIED INSTITUTIONAL BUYER” (AS DEFINED IN RULE 144A UNDER THE SECURITIES ACT) (A “QIB”) OR (B) IT IS NOT A U.S. PERSON, IS NOT ACQUIRING THIS NOTE FOR THE ACCOUNT OR BENEFIT OF A U.S. PERSON AND IS ACQUIRING THIS NOTE IN AN OFFSHORE TRANSACTION IN COMPLIANCE WITH REGULATION S UNDER THE SECURITIES ACT, (2) AGREES THAT IT WILL NOT, PRIOR TO THE DATE [IN THE CASE OF RULE 144A NOTES: ON WHICH THE ISSUER INSTRUCTS THE TRUSTEE THAT THIS RESTRICTIVE LEGEND SHALL BE DEEMED REMOVED (WHICH INSTRUCTION IS EXPECTED TO BE GIVEN ON OR ABOUT THE ONE-YEAR ANNIVERSARY OF THE ISSUANCE OF THIS NOTE)] [IN THE CASE OF REGULATION S NOTES: 40 DAYS AFTER THE LATER OF THE ORIGINAL ISSUE DATE HEREOF AND THE LAST DATE ON WHICH THE ISSUER OR ANY AFFILIATE OF THE ISSUER WAS THE OWNER OF THIS NOTE (OR ANY PREDECESSOR OF SUCH NOTE)] RESELL OR OTHERWISE TRANSFER THIS NOTE EXCEPT (A) TO THE ISSUER OR ANY SUBSIDIARY THEREOF, (B) TO A PERSON WHOM THE HOLDER REASONABLY BELIEVES IS A QIB PURCHASING FOR ITS OWN ACCOUNT OR FOR THE ACCOUNT OF A QIB IN COMPLIANCE WITH RULE 144A UNDER THE SECURITIES ACT, (C) OUTSIDE THE UNITED STATES IN AN OFFSHORE TRANSACTION IN COMPLIANCE WITH RULE 904 UNDER THE SECURITIES ACT, (D) PURSUANT TO THE EXEMPTION FROM REGISTRATION PROVIDED BY RULE 144 UNDER THE SECURITIES ACT (IF AVAILABLE) OR (E) PURSUANT TO AN EFFECTIVE REGISTRATION STATEMENT UNDER THE SECURITIES ACT AND, IN EACH CASE, IN ACCORDANCE WITH APPLICABLE STATE SECURITIES LAWS, AND (3) AGREES THAT IT WILL DELIVER TO EACH PERSON TO WHOM THIS NOTE OR AN INTEREST HEREIN IS TRANSFERRED A NOTICE SUBSTANTIALLY TO THE EFFECT OF THIS LEGEND. IN CONNECTION WITH ANY TRANSFER OF THIS NOTE OR ANY INTEREST HEREIN WITHIN THE TIME PERIOD REFERRED TO ABOVE, THE HOLDER MUST</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3160" w:type="dxa"/>
            <w:vAlign w:val="bottom"/>
          </w:tcPr>
          <w:p>
            <w:pPr>
              <w:spacing w:after="0"/>
              <w:rPr>
                <w:sz w:val="20"/>
                <w:szCs w:val="20"/>
                <w:color w:val="auto"/>
              </w:rPr>
            </w:pPr>
            <w:r>
              <w:rPr>
                <w:rFonts w:ascii="Arial" w:cs="Arial" w:eastAsia="Arial" w:hAnsi="Arial"/>
                <w:sz w:val="11"/>
                <w:szCs w:val="11"/>
                <w:color w:val="auto"/>
              </w:rPr>
              <w:t>ASIA 33616188</w:t>
            </w:r>
          </w:p>
        </w:tc>
        <w:tc>
          <w:tcPr>
            <w:tcW w:w="2660" w:type="dxa"/>
            <w:vAlign w:val="bottom"/>
          </w:tcPr>
          <w:p>
            <w:pPr>
              <w:jc w:val="right"/>
              <w:spacing w:after="0"/>
              <w:rPr>
                <w:sz w:val="20"/>
                <w:szCs w:val="20"/>
                <w:color w:val="auto"/>
              </w:rPr>
            </w:pPr>
            <w:r>
              <w:rPr>
                <w:rFonts w:ascii="Arial" w:cs="Arial" w:eastAsia="Arial" w:hAnsi="Arial"/>
                <w:sz w:val="22"/>
                <w:szCs w:val="22"/>
                <w:color w:val="auto"/>
              </w:rPr>
              <w:t>28</w:t>
            </w:r>
          </w:p>
        </w:tc>
      </w:tr>
    </w:tbl>
    <w:p>
      <w:pPr>
        <w:sectPr>
          <w:pgSz w:w="11900" w:h="16838" w:orient="portrait"/>
          <w:cols w:equalWidth="0" w:num="1">
            <w:col w:w="11420"/>
          </w:cols>
          <w:pgMar w:left="240" w:top="1440" w:right="239" w:bottom="1440" w:gutter="0" w:footer="0" w:header="0"/>
        </w:sectPr>
      </w:pPr>
    </w:p>
    <w:bookmarkStart w:id="179" w:name="page180"/>
    <w:bookmarkEnd w:id="179"/>
    <w:p>
      <w:pPr>
        <w:spacing w:after="0" w:line="2" w:lineRule="exact"/>
        <w:rPr>
          <w:sz w:val="20"/>
          <w:szCs w:val="20"/>
          <w:color w:val="auto"/>
        </w:rPr>
      </w:pPr>
    </w:p>
    <w:p>
      <w:pPr>
        <w:jc w:val="both"/>
        <w:spacing w:after="0" w:line="285" w:lineRule="auto"/>
        <w:rPr>
          <w:sz w:val="20"/>
          <w:szCs w:val="20"/>
          <w:color w:val="auto"/>
        </w:rPr>
      </w:pPr>
      <w:r>
        <w:rPr>
          <w:rFonts w:ascii="Arial" w:cs="Arial" w:eastAsia="Arial" w:hAnsi="Arial"/>
          <w:sz w:val="22"/>
          <w:szCs w:val="22"/>
          <w:color w:val="auto"/>
        </w:rPr>
        <w:t>CHECK THE APPROPRIATE BOX SET FORTH ON THE REVERSE HEREOF RELATING TO THE MANNER OF SUCH TRANSFER AND SUBMIT THIS CERTIFICATE TO THE TRUSTEE. AS USED HEREIN, THE TERMS “OFFSHORE TRANSACTION,” “UNITED STATES” AND “U.S. PERSON” HAVE THE MEANINGS GIVEN TO THEM BY RULE 902 OF REGULATION S UNDER THE SECURITIES ACT. THE INDENTURE CONTAINS A PROVISION REQUIRING THE TRUSTEE TO REFUSE TO REGISTER ANY TRANSFER OF THIS NOTE IN VIOLATION OF THE FOREGOING RESTRICTIONS.”</w:t>
      </w:r>
    </w:p>
    <w:p>
      <w:pPr>
        <w:spacing w:after="0" w:line="196" w:lineRule="exact"/>
        <w:rPr>
          <w:sz w:val="20"/>
          <w:szCs w:val="20"/>
          <w:color w:val="auto"/>
        </w:rPr>
      </w:pPr>
    </w:p>
    <w:p>
      <w:pPr>
        <w:ind w:left="2280" w:hanging="327"/>
        <w:spacing w:after="0"/>
        <w:tabs>
          <w:tab w:leader="none" w:pos="2280" w:val="left"/>
        </w:tabs>
        <w:numPr>
          <w:ilvl w:val="1"/>
          <w:numId w:val="114"/>
        </w:numPr>
        <w:rPr>
          <w:rFonts w:ascii="Arial" w:cs="Arial" w:eastAsia="Arial" w:hAnsi="Arial"/>
          <w:sz w:val="19"/>
          <w:szCs w:val="19"/>
          <w:color w:val="auto"/>
        </w:rPr>
      </w:pPr>
      <w:r>
        <w:rPr>
          <w:rFonts w:ascii="Arial" w:cs="Arial" w:eastAsia="Arial" w:hAnsi="Arial"/>
          <w:sz w:val="19"/>
          <w:szCs w:val="19"/>
          <w:color w:val="auto"/>
        </w:rPr>
        <w:t>Notwithstanding the foregoing, any Global Note or Definitive Note issued pursuant to subparagraphs (b)</w:t>
      </w:r>
    </w:p>
    <w:p>
      <w:pPr>
        <w:spacing w:after="0" w:line="78" w:lineRule="exact"/>
        <w:rPr>
          <w:rFonts w:ascii="Arial" w:cs="Arial" w:eastAsia="Arial" w:hAnsi="Arial"/>
          <w:sz w:val="19"/>
          <w:szCs w:val="19"/>
          <w:color w:val="auto"/>
        </w:rPr>
      </w:pPr>
    </w:p>
    <w:p>
      <w:pPr>
        <w:ind w:left="1300"/>
        <w:spacing w:after="0" w:line="302" w:lineRule="auto"/>
        <w:rPr>
          <w:rFonts w:ascii="Arial" w:cs="Arial" w:eastAsia="Arial" w:hAnsi="Arial"/>
          <w:sz w:val="19"/>
          <w:szCs w:val="19"/>
          <w:color w:val="auto"/>
        </w:rPr>
      </w:pPr>
      <w:r>
        <w:rPr>
          <w:rFonts w:ascii="Arial" w:cs="Arial" w:eastAsia="Arial" w:hAnsi="Arial"/>
          <w:sz w:val="22"/>
          <w:szCs w:val="22"/>
          <w:color w:val="auto"/>
        </w:rPr>
        <w:t>(4), (c)(2), (c)(3), (d)(2), (d)(3), (e)(2) or (e)(3) of this Section 2.06 (and all Notes issued in exchange therefor or substitution thereof) shall not bear the Private Placement Legend.</w:t>
      </w:r>
    </w:p>
    <w:p>
      <w:pPr>
        <w:spacing w:after="0" w:line="173" w:lineRule="exact"/>
        <w:rPr>
          <w:rFonts w:ascii="Arial" w:cs="Arial" w:eastAsia="Arial" w:hAnsi="Arial"/>
          <w:sz w:val="19"/>
          <w:szCs w:val="19"/>
          <w:color w:val="auto"/>
        </w:rPr>
      </w:pPr>
    </w:p>
    <w:p>
      <w:pPr>
        <w:ind w:left="1600" w:hanging="295"/>
        <w:spacing w:after="0"/>
        <w:tabs>
          <w:tab w:leader="none" w:pos="1600" w:val="left"/>
        </w:tabs>
        <w:numPr>
          <w:ilvl w:val="0"/>
          <w:numId w:val="115"/>
        </w:numPr>
        <w:rPr>
          <w:rFonts w:ascii="Arial" w:cs="Arial" w:eastAsia="Arial" w:hAnsi="Arial"/>
          <w:sz w:val="22"/>
          <w:szCs w:val="22"/>
          <w:color w:val="auto"/>
        </w:rPr>
      </w:pPr>
      <w:r>
        <w:rPr>
          <w:rFonts w:ascii="Arial" w:cs="Arial" w:eastAsia="Arial" w:hAnsi="Arial"/>
          <w:sz w:val="22"/>
          <w:szCs w:val="22"/>
          <w:i w:val="1"/>
          <w:iCs w:val="1"/>
          <w:color w:val="auto"/>
        </w:rPr>
        <w:t>Global Note Legend</w:t>
      </w:r>
      <w:r>
        <w:rPr>
          <w:rFonts w:ascii="Arial" w:cs="Arial" w:eastAsia="Arial" w:hAnsi="Arial"/>
          <w:sz w:val="22"/>
          <w:szCs w:val="22"/>
          <w:color w:val="auto"/>
        </w:rPr>
        <w:t>. Each Global Note shall bear a legend in substantially the following form:</w:t>
      </w:r>
    </w:p>
    <w:p>
      <w:pPr>
        <w:spacing w:after="0" w:line="260" w:lineRule="exact"/>
        <w:rPr>
          <w:sz w:val="20"/>
          <w:szCs w:val="20"/>
          <w:color w:val="auto"/>
        </w:rPr>
      </w:pPr>
    </w:p>
    <w:p>
      <w:pPr>
        <w:jc w:val="both"/>
        <w:spacing w:after="0" w:line="284" w:lineRule="auto"/>
        <w:rPr>
          <w:sz w:val="20"/>
          <w:szCs w:val="20"/>
          <w:color w:val="auto"/>
        </w:rPr>
      </w:pPr>
      <w:r>
        <w:rPr>
          <w:rFonts w:ascii="Arial" w:cs="Arial" w:eastAsia="Arial" w:hAnsi="Arial"/>
          <w:sz w:val="22"/>
          <w:szCs w:val="22"/>
          <w:color w:val="auto"/>
        </w:rPr>
        <w:t>“THIS GLOBAL NOTE IS HELD BY THE DEPOSITARY (AS DEFINED IN THE INDENTURE GOVERNING THIS NOTE) OR ITS NOMINEE IN CUSTODY FOR THE BENEFIT OF THE BENEFICIAL OWNERS HEREOF, AND IS NOT TRANSFERABLE TO ANY PERSON UNDER ANY CIRCUMSTANCES EXCEPT THAT (1) THE TRUSTEE MAY MAKE SUCH NOTATIONS HEREON AS MAY BE REQUIRED PURSUANT TO SECTION 2.06 OF THE INDENTURE, (2) THIS GLOBAL NOTE MAY BE EXCHANGED IN WHOLE BUT NOT IN PART PURSUANT TO SECTION 2.06(a) OF THE INDENTURE, (3) THIS GLOBAL NOTE MAY BE DELIVERED TO THE TRUSTEE FOR CANCELATION PURSUANT TO SECTION 2.11 OF THE INDENTURE AND (4) THIS GLOBAL NOTE MAY BE TRANSFERRED TO A SUCCESSOR DEPOSITARY WITH THE PRIOR WRITTEN CONSENT OF THE ISSUER.</w:t>
      </w:r>
    </w:p>
    <w:p>
      <w:pPr>
        <w:spacing w:after="0" w:line="198" w:lineRule="exact"/>
        <w:rPr>
          <w:sz w:val="20"/>
          <w:szCs w:val="20"/>
          <w:color w:val="auto"/>
        </w:rPr>
      </w:pPr>
    </w:p>
    <w:p>
      <w:pPr>
        <w:jc w:val="both"/>
        <w:spacing w:after="0" w:line="298" w:lineRule="auto"/>
        <w:rPr>
          <w:sz w:val="20"/>
          <w:szCs w:val="20"/>
          <w:color w:val="auto"/>
        </w:rPr>
      </w:pPr>
      <w:r>
        <w:rPr>
          <w:rFonts w:ascii="Arial" w:cs="Arial" w:eastAsia="Arial" w:hAnsi="Arial"/>
          <w:sz w:val="21"/>
          <w:szCs w:val="21"/>
          <w:color w:val="auto"/>
        </w:rPr>
        <w:t>UNLESS AND UNTIL IT IS EXCHANGED IN WHOLE OR IN PART FOR NOTES IN DEFINITIVE FORM, THIS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(55 WATER STREET, NEW YORK, NEW YORK) (“DTC”), TO THE ISSUER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3160" w:type="dxa"/>
            <w:vAlign w:val="bottom"/>
          </w:tcPr>
          <w:p>
            <w:pPr>
              <w:spacing w:after="0"/>
              <w:rPr>
                <w:sz w:val="20"/>
                <w:szCs w:val="20"/>
                <w:color w:val="auto"/>
              </w:rPr>
            </w:pPr>
            <w:r>
              <w:rPr>
                <w:rFonts w:ascii="Arial" w:cs="Arial" w:eastAsia="Arial" w:hAnsi="Arial"/>
                <w:sz w:val="11"/>
                <w:szCs w:val="11"/>
                <w:color w:val="auto"/>
              </w:rPr>
              <w:t>ASIA 33616188</w:t>
            </w:r>
          </w:p>
        </w:tc>
        <w:tc>
          <w:tcPr>
            <w:tcW w:w="2660" w:type="dxa"/>
            <w:vAlign w:val="bottom"/>
          </w:tcPr>
          <w:p>
            <w:pPr>
              <w:jc w:val="right"/>
              <w:spacing w:after="0"/>
              <w:rPr>
                <w:sz w:val="20"/>
                <w:szCs w:val="20"/>
                <w:color w:val="auto"/>
              </w:rPr>
            </w:pPr>
            <w:r>
              <w:rPr>
                <w:rFonts w:ascii="Arial" w:cs="Arial" w:eastAsia="Arial" w:hAnsi="Arial"/>
                <w:sz w:val="22"/>
                <w:szCs w:val="22"/>
                <w:color w:val="auto"/>
              </w:rPr>
              <w:t>29</w:t>
            </w:r>
          </w:p>
        </w:tc>
      </w:tr>
    </w:tbl>
    <w:p>
      <w:pPr>
        <w:sectPr>
          <w:pgSz w:w="11900" w:h="16838" w:orient="portrait"/>
          <w:cols w:equalWidth="0" w:num="1">
            <w:col w:w="11420"/>
          </w:cols>
          <w:pgMar w:left="240" w:top="1440" w:right="239" w:bottom="1440" w:gutter="0" w:footer="0" w:header="0"/>
        </w:sectPr>
      </w:pPr>
    </w:p>
    <w:bookmarkStart w:id="180" w:name="page181"/>
    <w:bookmarkEnd w:id="180"/>
    <w:p>
      <w:pPr>
        <w:spacing w:after="0" w:line="2" w:lineRule="exact"/>
        <w:rPr>
          <w:sz w:val="20"/>
          <w:szCs w:val="20"/>
          <w:color w:val="auto"/>
        </w:rPr>
      </w:pPr>
    </w:p>
    <w:p>
      <w:pPr>
        <w:spacing w:after="0" w:line="302" w:lineRule="auto"/>
        <w:rPr>
          <w:sz w:val="20"/>
          <w:szCs w:val="20"/>
          <w:color w:val="auto"/>
        </w:rPr>
      </w:pPr>
      <w:r>
        <w:rPr>
          <w:rFonts w:ascii="Arial" w:cs="Arial" w:eastAsia="Arial" w:hAnsi="Arial"/>
          <w:sz w:val="22"/>
          <w:szCs w:val="22"/>
          <w:color w:val="auto"/>
        </w:rPr>
        <w:t>TRANSFER, PLEDGE OR OTHER USE HEREOF FOR VALUE OR OTHERWISE BY OR TO ANY PERSON IS WRONGFUL INASMUCH AS THE REGISTERED OWNER HEREOF, CEDE &amp; CO., HAS AN INTEREST HEREIN.”</w:t>
      </w:r>
    </w:p>
    <w:p>
      <w:pPr>
        <w:spacing w:after="0" w:line="174" w:lineRule="exact"/>
        <w:rPr>
          <w:sz w:val="20"/>
          <w:szCs w:val="20"/>
          <w:color w:val="auto"/>
        </w:rPr>
      </w:pPr>
    </w:p>
    <w:p>
      <w:pPr>
        <w:jc w:val="both"/>
        <w:ind w:firstLine="656"/>
        <w:spacing w:after="0" w:line="333" w:lineRule="auto"/>
        <w:tabs>
          <w:tab w:leader="none" w:pos="945" w:val="left"/>
        </w:tabs>
        <w:numPr>
          <w:ilvl w:val="0"/>
          <w:numId w:val="116"/>
        </w:numPr>
        <w:rPr>
          <w:rFonts w:ascii="Arial" w:cs="Arial" w:eastAsia="Arial" w:hAnsi="Arial"/>
          <w:sz w:val="19"/>
          <w:szCs w:val="19"/>
          <w:color w:val="auto"/>
        </w:rPr>
      </w:pPr>
      <w:r>
        <w:rPr>
          <w:rFonts w:ascii="Arial" w:cs="Arial" w:eastAsia="Arial" w:hAnsi="Arial"/>
          <w:sz w:val="19"/>
          <w:szCs w:val="19"/>
          <w:i w:val="1"/>
          <w:iCs w:val="1"/>
          <w:color w:val="auto"/>
        </w:rPr>
        <w:t xml:space="preserve">Cancelation and/or Adjustment of Global Notes. </w:t>
      </w:r>
      <w:r>
        <w:rPr>
          <w:rFonts w:ascii="Arial" w:cs="Arial" w:eastAsia="Arial" w:hAnsi="Arial"/>
          <w:sz w:val="19"/>
          <w:szCs w:val="19"/>
          <w:color w:val="auto"/>
        </w:rPr>
        <w:t>At such time as all beneficial interests in a particular Global Note have</w:t>
      </w:r>
      <w:r>
        <w:rPr>
          <w:rFonts w:ascii="Arial" w:cs="Arial" w:eastAsia="Arial" w:hAnsi="Arial"/>
          <w:sz w:val="19"/>
          <w:szCs w:val="19"/>
          <w:i w:val="1"/>
          <w:iCs w:val="1"/>
          <w:color w:val="auto"/>
        </w:rPr>
        <w:t xml:space="preserve"> </w:t>
      </w:r>
      <w:r>
        <w:rPr>
          <w:rFonts w:ascii="Arial" w:cs="Arial" w:eastAsia="Arial" w:hAnsi="Arial"/>
          <w:sz w:val="19"/>
          <w:szCs w:val="19"/>
          <w:color w:val="auto"/>
        </w:rPr>
        <w:t>been exchanged for Definitive Notes or a particular Global Note has been redeemed, repurchased or canceled in whole and not in part, each such Global Note shall be returned to or retained and canceled by the Trustee in accordance with Section 2.11 hereof. At any time prior to such cancelation, if any beneficial interest in a Global Note is exchanged for or transferred to a Person who shall take delivery thereof in the form of a beneficial interest in another Global Note or for Definitive Notes, the principal amount of Notes represented by such Global Note shall be reduced accordingly and an endorsement shall be made on such Global Note by the Trustee or by the Depositary at the direction of the Trustee to reflect such reduction; and if the beneficial interest is being exchanged for or transferred to a Person who shall take delivery thereof in the form of a beneficial interest in another Global Note, such other Global Note shall be increased accordingly and an endorsement shall be made on such Global Note by the Trustee or by the Depositary at the direction of the Trustee to reflect such increase.</w:t>
      </w:r>
    </w:p>
    <w:p>
      <w:pPr>
        <w:spacing w:after="0" w:line="155" w:lineRule="exact"/>
        <w:rPr>
          <w:rFonts w:ascii="Arial" w:cs="Arial" w:eastAsia="Arial" w:hAnsi="Arial"/>
          <w:sz w:val="19"/>
          <w:szCs w:val="19"/>
          <w:color w:val="auto"/>
        </w:rPr>
      </w:pPr>
    </w:p>
    <w:p>
      <w:pPr>
        <w:ind w:left="960" w:hanging="304"/>
        <w:spacing w:after="0"/>
        <w:tabs>
          <w:tab w:leader="none" w:pos="960" w:val="left"/>
        </w:tabs>
        <w:numPr>
          <w:ilvl w:val="0"/>
          <w:numId w:val="116"/>
        </w:numPr>
        <w:rPr>
          <w:rFonts w:ascii="Arial" w:cs="Arial" w:eastAsia="Arial" w:hAnsi="Arial"/>
          <w:sz w:val="22"/>
          <w:szCs w:val="22"/>
          <w:color w:val="auto"/>
        </w:rPr>
      </w:pPr>
      <w:r>
        <w:rPr>
          <w:rFonts w:ascii="Arial" w:cs="Arial" w:eastAsia="Arial" w:hAnsi="Arial"/>
          <w:sz w:val="22"/>
          <w:szCs w:val="22"/>
          <w:i w:val="1"/>
          <w:iCs w:val="1"/>
          <w:color w:val="auto"/>
        </w:rPr>
        <w:t>General Provisions Relating to Transfers and Exchanges</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left="660" w:firstLine="645"/>
        <w:spacing w:after="0" w:line="292" w:lineRule="auto"/>
        <w:tabs>
          <w:tab w:leader="none" w:pos="1632" w:val="left"/>
        </w:tabs>
        <w:numPr>
          <w:ilvl w:val="1"/>
          <w:numId w:val="116"/>
        </w:numPr>
        <w:rPr>
          <w:rFonts w:ascii="Arial" w:cs="Arial" w:eastAsia="Arial" w:hAnsi="Arial"/>
          <w:sz w:val="22"/>
          <w:szCs w:val="22"/>
          <w:color w:val="auto"/>
        </w:rPr>
      </w:pPr>
      <w:r>
        <w:rPr>
          <w:rFonts w:ascii="Arial" w:cs="Arial" w:eastAsia="Arial" w:hAnsi="Arial"/>
          <w:sz w:val="22"/>
          <w:szCs w:val="22"/>
          <w:color w:val="auto"/>
        </w:rPr>
        <w:t>To permit registrations of transfers and exchanges, the Issuer shall execute and the Trustee shall authenticate Global Notes and Definitive Notes upon receipt of an Authentication Order in accordance with Section 2.02 hereof or at the Registrar’s request.</w:t>
      </w:r>
    </w:p>
    <w:p>
      <w:pPr>
        <w:spacing w:after="0" w:line="184" w:lineRule="exact"/>
        <w:rPr>
          <w:rFonts w:ascii="Arial" w:cs="Arial" w:eastAsia="Arial" w:hAnsi="Arial"/>
          <w:sz w:val="22"/>
          <w:szCs w:val="22"/>
          <w:color w:val="auto"/>
        </w:rPr>
      </w:pPr>
    </w:p>
    <w:p>
      <w:pPr>
        <w:jc w:val="both"/>
        <w:ind w:left="660" w:firstLine="645"/>
        <w:spacing w:after="0" w:line="287" w:lineRule="auto"/>
        <w:tabs>
          <w:tab w:leader="none" w:pos="1632" w:val="left"/>
        </w:tabs>
        <w:numPr>
          <w:ilvl w:val="1"/>
          <w:numId w:val="116"/>
        </w:numPr>
        <w:rPr>
          <w:rFonts w:ascii="Arial" w:cs="Arial" w:eastAsia="Arial" w:hAnsi="Arial"/>
          <w:sz w:val="22"/>
          <w:szCs w:val="22"/>
          <w:color w:val="auto"/>
        </w:rPr>
      </w:pPr>
      <w:r>
        <w:rPr>
          <w:rFonts w:ascii="Arial" w:cs="Arial" w:eastAsia="Arial" w:hAnsi="Arial"/>
          <w:sz w:val="22"/>
          <w:szCs w:val="22"/>
          <w:color w:val="auto"/>
        </w:rPr>
        <w:t>No service charge shall be made to a Holder of, or a Beneficial Owner of an interest in, a Global Note or Definitive Note for any registration of transfer or exchange, but the Issuer and the Trustee may require payment of a sum sufficient to cover any transfer tax or similar governmental charge payable in connection therewith (other than any such transfer taxes or similar governmental charge payable upon exchange or transfer pursuant to Sections 2.10, 3.06, 4.08 and 9.04 hereof).</w:t>
      </w:r>
    </w:p>
    <w:p>
      <w:pPr>
        <w:spacing w:after="0" w:line="189" w:lineRule="exact"/>
        <w:rPr>
          <w:rFonts w:ascii="Arial" w:cs="Arial" w:eastAsia="Arial" w:hAnsi="Arial"/>
          <w:sz w:val="22"/>
          <w:szCs w:val="22"/>
          <w:color w:val="auto"/>
        </w:rPr>
      </w:pPr>
    </w:p>
    <w:p>
      <w:pPr>
        <w:ind w:left="660" w:firstLine="645"/>
        <w:spacing w:after="0" w:line="302" w:lineRule="auto"/>
        <w:tabs>
          <w:tab w:leader="none" w:pos="1605" w:val="left"/>
        </w:tabs>
        <w:numPr>
          <w:ilvl w:val="1"/>
          <w:numId w:val="116"/>
        </w:numPr>
        <w:rPr>
          <w:rFonts w:ascii="Arial" w:cs="Arial" w:eastAsia="Arial" w:hAnsi="Arial"/>
          <w:sz w:val="22"/>
          <w:szCs w:val="22"/>
          <w:color w:val="auto"/>
        </w:rPr>
      </w:pPr>
      <w:r>
        <w:rPr>
          <w:rFonts w:ascii="Arial" w:cs="Arial" w:eastAsia="Arial" w:hAnsi="Arial"/>
          <w:sz w:val="22"/>
          <w:szCs w:val="22"/>
          <w:color w:val="auto"/>
        </w:rPr>
        <w:t>The Registrar shall not be required to register the transfer of or exchange of any Note selected for redemption in whole or in part, except the unredeemed portion of any Note being redeemed in part.</w:t>
      </w:r>
    </w:p>
    <w:p>
      <w:pPr>
        <w:spacing w:after="0" w:line="173" w:lineRule="exact"/>
        <w:rPr>
          <w:rFonts w:ascii="Arial" w:cs="Arial" w:eastAsia="Arial" w:hAnsi="Arial"/>
          <w:sz w:val="22"/>
          <w:szCs w:val="22"/>
          <w:color w:val="auto"/>
        </w:rPr>
      </w:pPr>
    </w:p>
    <w:p>
      <w:pPr>
        <w:jc w:val="both"/>
        <w:ind w:left="660" w:firstLine="645"/>
        <w:spacing w:after="0" w:line="357" w:lineRule="auto"/>
        <w:tabs>
          <w:tab w:leader="none" w:pos="1619" w:val="left"/>
        </w:tabs>
        <w:numPr>
          <w:ilvl w:val="1"/>
          <w:numId w:val="116"/>
        </w:numPr>
        <w:rPr>
          <w:rFonts w:ascii="Arial" w:cs="Arial" w:eastAsia="Arial" w:hAnsi="Arial"/>
          <w:sz w:val="19"/>
          <w:szCs w:val="19"/>
          <w:color w:val="auto"/>
        </w:rPr>
      </w:pPr>
      <w:r>
        <w:rPr>
          <w:rFonts w:ascii="Arial" w:cs="Arial" w:eastAsia="Arial" w:hAnsi="Arial"/>
          <w:sz w:val="19"/>
          <w:szCs w:val="19"/>
          <w:color w:val="auto"/>
        </w:rPr>
        <w:t>All Global Notes and Definitive Notes issued upon any registration of transfer or exchange of Global Notes or Definitive Notes shall be the valid obligations of the Issuer, evidencing the same debt, and entitled to the same benefits under this Indenture, as the Global Notes or Definitive Notes surrendered upon such registration of transfer or exchange.</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3160" w:type="dxa"/>
            <w:vAlign w:val="bottom"/>
          </w:tcPr>
          <w:p>
            <w:pPr>
              <w:spacing w:after="0"/>
              <w:rPr>
                <w:sz w:val="20"/>
                <w:szCs w:val="20"/>
                <w:color w:val="auto"/>
              </w:rPr>
            </w:pPr>
            <w:r>
              <w:rPr>
                <w:rFonts w:ascii="Arial" w:cs="Arial" w:eastAsia="Arial" w:hAnsi="Arial"/>
                <w:sz w:val="11"/>
                <w:szCs w:val="11"/>
                <w:color w:val="auto"/>
              </w:rPr>
              <w:t>ASIA 33616188</w:t>
            </w:r>
          </w:p>
        </w:tc>
        <w:tc>
          <w:tcPr>
            <w:tcW w:w="2660" w:type="dxa"/>
            <w:vAlign w:val="bottom"/>
          </w:tcPr>
          <w:p>
            <w:pPr>
              <w:jc w:val="right"/>
              <w:spacing w:after="0"/>
              <w:rPr>
                <w:sz w:val="20"/>
                <w:szCs w:val="20"/>
                <w:color w:val="auto"/>
              </w:rPr>
            </w:pPr>
            <w:r>
              <w:rPr>
                <w:rFonts w:ascii="Arial" w:cs="Arial" w:eastAsia="Arial" w:hAnsi="Arial"/>
                <w:sz w:val="22"/>
                <w:szCs w:val="22"/>
                <w:color w:val="auto"/>
              </w:rPr>
              <w:t>30</w:t>
            </w:r>
          </w:p>
        </w:tc>
      </w:tr>
    </w:tbl>
    <w:p>
      <w:pPr>
        <w:sectPr>
          <w:pgSz w:w="11900" w:h="16838" w:orient="portrait"/>
          <w:cols w:equalWidth="0" w:num="1">
            <w:col w:w="11420"/>
          </w:cols>
          <w:pgMar w:left="240" w:top="1440" w:right="239" w:bottom="1440" w:gutter="0" w:footer="0" w:header="0"/>
        </w:sectPr>
      </w:pPr>
    </w:p>
    <w:bookmarkStart w:id="181" w:name="page182"/>
    <w:bookmarkEnd w:id="181"/>
    <w:p>
      <w:pPr>
        <w:spacing w:after="0" w:line="2" w:lineRule="exact"/>
        <w:rPr>
          <w:sz w:val="20"/>
          <w:szCs w:val="20"/>
          <w:color w:val="auto"/>
        </w:rPr>
      </w:pPr>
    </w:p>
    <w:p>
      <w:pPr>
        <w:ind w:left="1600" w:hanging="295"/>
        <w:spacing w:after="0"/>
        <w:tabs>
          <w:tab w:leader="none" w:pos="1600" w:val="left"/>
        </w:tabs>
        <w:numPr>
          <w:ilvl w:val="0"/>
          <w:numId w:val="117"/>
        </w:numPr>
        <w:rPr>
          <w:rFonts w:ascii="Arial" w:cs="Arial" w:eastAsia="Arial" w:hAnsi="Arial"/>
          <w:sz w:val="22"/>
          <w:szCs w:val="22"/>
          <w:color w:val="auto"/>
        </w:rPr>
      </w:pPr>
      <w:r>
        <w:rPr>
          <w:rFonts w:ascii="Arial" w:cs="Arial" w:eastAsia="Arial" w:hAnsi="Arial"/>
          <w:sz w:val="22"/>
          <w:szCs w:val="22"/>
          <w:color w:val="auto"/>
        </w:rPr>
        <w:t>Neither the Registrar nor the Issuer shall be required:</w:t>
      </w:r>
    </w:p>
    <w:p>
      <w:pPr>
        <w:spacing w:after="0" w:line="260" w:lineRule="exact"/>
        <w:rPr>
          <w:rFonts w:ascii="Arial" w:cs="Arial" w:eastAsia="Arial" w:hAnsi="Arial"/>
          <w:sz w:val="22"/>
          <w:szCs w:val="22"/>
          <w:color w:val="auto"/>
        </w:rPr>
      </w:pPr>
    </w:p>
    <w:p>
      <w:pPr>
        <w:ind w:left="1300" w:firstLine="653"/>
        <w:spacing w:after="0" w:line="387" w:lineRule="auto"/>
        <w:tabs>
          <w:tab w:leader="none" w:pos="2293" w:val="left"/>
        </w:tabs>
        <w:numPr>
          <w:ilvl w:val="1"/>
          <w:numId w:val="117"/>
        </w:numPr>
        <w:rPr>
          <w:rFonts w:ascii="Arial" w:cs="Arial" w:eastAsia="Arial" w:hAnsi="Arial"/>
          <w:sz w:val="19"/>
          <w:szCs w:val="19"/>
          <w:color w:val="auto"/>
        </w:rPr>
      </w:pPr>
      <w:r>
        <w:rPr>
          <w:rFonts w:ascii="Arial" w:cs="Arial" w:eastAsia="Arial" w:hAnsi="Arial"/>
          <w:sz w:val="19"/>
          <w:szCs w:val="19"/>
          <w:color w:val="auto"/>
        </w:rPr>
        <w:t>to issue, to register the transfer of or to exchange any Notes during a period beginning at the opening of business 15 days before the delivery of a notice of redemption for Notes under Section 3.02 hereof;</w:t>
      </w:r>
    </w:p>
    <w:p>
      <w:pPr>
        <w:spacing w:after="0" w:line="105" w:lineRule="exact"/>
        <w:rPr>
          <w:rFonts w:ascii="Arial" w:cs="Arial" w:eastAsia="Arial" w:hAnsi="Arial"/>
          <w:sz w:val="19"/>
          <w:szCs w:val="19"/>
          <w:color w:val="auto"/>
        </w:rPr>
      </w:pPr>
    </w:p>
    <w:p>
      <w:pPr>
        <w:ind w:left="1300" w:firstLine="653"/>
        <w:spacing w:after="0" w:line="302" w:lineRule="auto"/>
        <w:tabs>
          <w:tab w:leader="none" w:pos="2281" w:val="left"/>
        </w:tabs>
        <w:numPr>
          <w:ilvl w:val="1"/>
          <w:numId w:val="117"/>
        </w:numPr>
        <w:rPr>
          <w:rFonts w:ascii="Arial" w:cs="Arial" w:eastAsia="Arial" w:hAnsi="Arial"/>
          <w:sz w:val="22"/>
          <w:szCs w:val="22"/>
          <w:color w:val="auto"/>
        </w:rPr>
      </w:pPr>
      <w:r>
        <w:rPr>
          <w:rFonts w:ascii="Arial" w:cs="Arial" w:eastAsia="Arial" w:hAnsi="Arial"/>
          <w:sz w:val="22"/>
          <w:szCs w:val="22"/>
          <w:color w:val="auto"/>
        </w:rPr>
        <w:t>to register the transfer of or to exchange any Note selected for redemption in whole or in part, except the unredeemed portion of any Note being redeemed in part; or</w:t>
      </w:r>
    </w:p>
    <w:p>
      <w:pPr>
        <w:spacing w:after="0" w:line="173" w:lineRule="exact"/>
        <w:rPr>
          <w:rFonts w:ascii="Arial" w:cs="Arial" w:eastAsia="Arial" w:hAnsi="Arial"/>
          <w:sz w:val="22"/>
          <w:szCs w:val="22"/>
          <w:color w:val="auto"/>
        </w:rPr>
      </w:pPr>
    </w:p>
    <w:p>
      <w:pPr>
        <w:ind w:left="1300" w:firstLine="653"/>
        <w:spacing w:after="0" w:line="302" w:lineRule="auto"/>
        <w:tabs>
          <w:tab w:leader="none" w:pos="2295" w:val="left"/>
        </w:tabs>
        <w:numPr>
          <w:ilvl w:val="1"/>
          <w:numId w:val="117"/>
        </w:numPr>
        <w:rPr>
          <w:rFonts w:ascii="Arial" w:cs="Arial" w:eastAsia="Arial" w:hAnsi="Arial"/>
          <w:sz w:val="22"/>
          <w:szCs w:val="22"/>
          <w:color w:val="auto"/>
        </w:rPr>
      </w:pPr>
      <w:r>
        <w:rPr>
          <w:rFonts w:ascii="Arial" w:cs="Arial" w:eastAsia="Arial" w:hAnsi="Arial"/>
          <w:sz w:val="22"/>
          <w:szCs w:val="22"/>
          <w:color w:val="auto"/>
        </w:rPr>
        <w:t>to register the transfer of or to exchange a Note between a record date and the next succeeding interest payment date.</w:t>
      </w:r>
    </w:p>
    <w:p>
      <w:pPr>
        <w:spacing w:after="0" w:line="173" w:lineRule="exact"/>
        <w:rPr>
          <w:rFonts w:ascii="Arial" w:cs="Arial" w:eastAsia="Arial" w:hAnsi="Arial"/>
          <w:sz w:val="22"/>
          <w:szCs w:val="22"/>
          <w:color w:val="auto"/>
        </w:rPr>
      </w:pPr>
    </w:p>
    <w:p>
      <w:pPr>
        <w:jc w:val="both"/>
        <w:ind w:left="660" w:firstLine="645"/>
        <w:spacing w:after="0" w:line="288" w:lineRule="auto"/>
        <w:tabs>
          <w:tab w:leader="none" w:pos="1605" w:val="left"/>
        </w:tabs>
        <w:numPr>
          <w:ilvl w:val="0"/>
          <w:numId w:val="117"/>
        </w:numPr>
        <w:rPr>
          <w:rFonts w:ascii="Arial" w:cs="Arial" w:eastAsia="Arial" w:hAnsi="Arial"/>
          <w:sz w:val="22"/>
          <w:szCs w:val="22"/>
          <w:color w:val="auto"/>
        </w:rPr>
      </w:pPr>
      <w:r>
        <w:rPr>
          <w:rFonts w:ascii="Arial" w:cs="Arial" w:eastAsia="Arial" w:hAnsi="Arial"/>
          <w:sz w:val="22"/>
          <w:szCs w:val="22"/>
          <w:color w:val="auto"/>
        </w:rPr>
        <w:t>Prior to due presentment for the registration of a transfer of any Note, the Trustee, any Agent and the Issuer may deem and treat the Person in whose name any Note is registered as the absolute owner of such Note for the purpose of receiving payment of principal of and interest on such Notes and for all other purposes, and none of the Trustee, any Agent or the Issuer shall be affected by notice to the contrary.</w:t>
      </w:r>
    </w:p>
    <w:p>
      <w:pPr>
        <w:spacing w:after="0" w:line="190" w:lineRule="exact"/>
        <w:rPr>
          <w:rFonts w:ascii="Arial" w:cs="Arial" w:eastAsia="Arial" w:hAnsi="Arial"/>
          <w:sz w:val="22"/>
          <w:szCs w:val="22"/>
          <w:color w:val="auto"/>
        </w:rPr>
      </w:pPr>
    </w:p>
    <w:p>
      <w:pPr>
        <w:ind w:left="660" w:firstLine="645"/>
        <w:spacing w:after="0" w:line="302" w:lineRule="auto"/>
        <w:tabs>
          <w:tab w:leader="none" w:pos="1619" w:val="left"/>
        </w:tabs>
        <w:numPr>
          <w:ilvl w:val="0"/>
          <w:numId w:val="117"/>
        </w:numPr>
        <w:rPr>
          <w:rFonts w:ascii="Arial" w:cs="Arial" w:eastAsia="Arial" w:hAnsi="Arial"/>
          <w:sz w:val="22"/>
          <w:szCs w:val="22"/>
          <w:color w:val="auto"/>
        </w:rPr>
      </w:pPr>
      <w:r>
        <w:rPr>
          <w:rFonts w:ascii="Arial" w:cs="Arial" w:eastAsia="Arial" w:hAnsi="Arial"/>
          <w:sz w:val="22"/>
          <w:szCs w:val="22"/>
          <w:color w:val="auto"/>
        </w:rPr>
        <w:t>The Trustee shall authenticate Global Notes and Definitive Notes in accordance with the provisions of Section 2.02 hereof.</w:t>
      </w:r>
    </w:p>
    <w:p>
      <w:pPr>
        <w:spacing w:after="0" w:line="173" w:lineRule="exact"/>
        <w:rPr>
          <w:rFonts w:ascii="Arial" w:cs="Arial" w:eastAsia="Arial" w:hAnsi="Arial"/>
          <w:sz w:val="22"/>
          <w:szCs w:val="22"/>
          <w:color w:val="auto"/>
        </w:rPr>
      </w:pPr>
    </w:p>
    <w:p>
      <w:pPr>
        <w:ind w:left="660" w:firstLine="645"/>
        <w:spacing w:after="0" w:line="302" w:lineRule="auto"/>
        <w:tabs>
          <w:tab w:leader="none" w:pos="1605" w:val="left"/>
        </w:tabs>
        <w:numPr>
          <w:ilvl w:val="0"/>
          <w:numId w:val="117"/>
        </w:numPr>
        <w:rPr>
          <w:rFonts w:ascii="Arial" w:cs="Arial" w:eastAsia="Arial" w:hAnsi="Arial"/>
          <w:sz w:val="22"/>
          <w:szCs w:val="22"/>
          <w:color w:val="auto"/>
        </w:rPr>
      </w:pPr>
      <w:r>
        <w:rPr>
          <w:rFonts w:ascii="Arial" w:cs="Arial" w:eastAsia="Arial" w:hAnsi="Arial"/>
          <w:sz w:val="22"/>
          <w:szCs w:val="22"/>
          <w:color w:val="auto"/>
        </w:rPr>
        <w:t>All certifications, certificates and Opinions of Counsel required to be submitted to the Registrar pursuant to this Section 2.06 to effect a registration of transfer or exchange may be submitted by facsimile.</w:t>
      </w:r>
    </w:p>
    <w:p>
      <w:pPr>
        <w:spacing w:after="0" w:line="173" w:lineRule="exact"/>
        <w:rPr>
          <w:rFonts w:ascii="Arial" w:cs="Arial" w:eastAsia="Arial" w:hAnsi="Arial"/>
          <w:sz w:val="22"/>
          <w:szCs w:val="22"/>
          <w:color w:val="auto"/>
        </w:rPr>
      </w:pPr>
    </w:p>
    <w:p>
      <w:pPr>
        <w:jc w:val="both"/>
        <w:ind w:left="660" w:firstLine="645"/>
        <w:spacing w:after="0" w:line="301" w:lineRule="auto"/>
        <w:tabs>
          <w:tab w:leader="none" w:pos="1646" w:val="left"/>
        </w:tabs>
        <w:numPr>
          <w:ilvl w:val="0"/>
          <w:numId w:val="117"/>
        </w:numPr>
        <w:rPr>
          <w:rFonts w:ascii="Arial" w:cs="Arial" w:eastAsia="Arial" w:hAnsi="Arial"/>
          <w:sz w:val="21"/>
          <w:szCs w:val="21"/>
          <w:color w:val="auto"/>
        </w:rPr>
      </w:pPr>
      <w:r>
        <w:rPr>
          <w:rFonts w:ascii="Arial" w:cs="Arial" w:eastAsia="Arial" w:hAnsi="Arial"/>
          <w:sz w:val="21"/>
          <w:szCs w:val="21"/>
          <w:color w:val="auto"/>
        </w:rPr>
        <w:t>The Trustee shall have no obligation or duty to monitor, determine or inquire as to compliance with any restrictions on transfer imposed under this Indenture or under applicable law with respect to any transfer of any interest in any Global Notes (including any transfers between or among depositary participants or beneficial owners of interests in any Global Notes)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81" w:lineRule="exact"/>
        <w:rPr>
          <w:rFonts w:ascii="Arial" w:cs="Arial" w:eastAsia="Arial" w:hAnsi="Arial"/>
          <w:sz w:val="21"/>
          <w:szCs w:val="21"/>
          <w:color w:val="auto"/>
        </w:rPr>
      </w:pPr>
    </w:p>
    <w:p>
      <w:pPr>
        <w:ind w:left="660" w:firstLine="645"/>
        <w:spacing w:after="0" w:line="302" w:lineRule="auto"/>
        <w:tabs>
          <w:tab w:leader="none" w:pos="1713" w:val="left"/>
        </w:tabs>
        <w:numPr>
          <w:ilvl w:val="0"/>
          <w:numId w:val="117"/>
        </w:numPr>
        <w:rPr>
          <w:rFonts w:ascii="Arial" w:cs="Arial" w:eastAsia="Arial" w:hAnsi="Arial"/>
          <w:sz w:val="22"/>
          <w:szCs w:val="22"/>
          <w:color w:val="auto"/>
        </w:rPr>
      </w:pPr>
      <w:r>
        <w:rPr>
          <w:rFonts w:ascii="Arial" w:cs="Arial" w:eastAsia="Arial" w:hAnsi="Arial"/>
          <w:sz w:val="22"/>
          <w:szCs w:val="22"/>
          <w:color w:val="auto"/>
        </w:rPr>
        <w:t>Neither the Trustee nor any Agent shall have any responsibility or liability for any actions taken or not taken by the Depositary.</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2.07 </w:t>
      </w:r>
      <w:r>
        <w:rPr>
          <w:rFonts w:ascii="Arial" w:cs="Arial" w:eastAsia="Arial" w:hAnsi="Arial"/>
          <w:sz w:val="22"/>
          <w:szCs w:val="22"/>
          <w:i w:val="1"/>
          <w:iCs w:val="1"/>
          <w:color w:val="auto"/>
        </w:rPr>
        <w:t>Replacement Notes</w:t>
      </w:r>
      <w:r>
        <w:rPr>
          <w:rFonts w:ascii="Arial" w:cs="Arial" w:eastAsia="Arial" w:hAnsi="Arial"/>
          <w:sz w:val="22"/>
          <w:szCs w:val="22"/>
          <w:color w:val="auto"/>
        </w:rPr>
        <w:t>.</w:t>
      </w:r>
    </w:p>
    <w:p>
      <w:pPr>
        <w:spacing w:after="0" w:line="26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If any mutilated Note is surrendered to the Trustee or the Issuer and the Trustee receives evidence to its satisfaction of the destruction, loss or theft of any Note, the Issuer shall issue and the Trustee, upon receipt of an Authentication Order, shall authenticate a</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3160" w:type="dxa"/>
            <w:vAlign w:val="bottom"/>
          </w:tcPr>
          <w:p>
            <w:pPr>
              <w:spacing w:after="0"/>
              <w:rPr>
                <w:sz w:val="20"/>
                <w:szCs w:val="20"/>
                <w:color w:val="auto"/>
              </w:rPr>
            </w:pPr>
            <w:r>
              <w:rPr>
                <w:rFonts w:ascii="Arial" w:cs="Arial" w:eastAsia="Arial" w:hAnsi="Arial"/>
                <w:sz w:val="11"/>
                <w:szCs w:val="11"/>
                <w:color w:val="auto"/>
              </w:rPr>
              <w:t>ASIA 33616188</w:t>
            </w:r>
          </w:p>
        </w:tc>
        <w:tc>
          <w:tcPr>
            <w:tcW w:w="2660" w:type="dxa"/>
            <w:vAlign w:val="bottom"/>
          </w:tcPr>
          <w:p>
            <w:pPr>
              <w:jc w:val="right"/>
              <w:spacing w:after="0"/>
              <w:rPr>
                <w:sz w:val="20"/>
                <w:szCs w:val="20"/>
                <w:color w:val="auto"/>
              </w:rPr>
            </w:pPr>
            <w:r>
              <w:rPr>
                <w:rFonts w:ascii="Arial" w:cs="Arial" w:eastAsia="Arial" w:hAnsi="Arial"/>
                <w:sz w:val="22"/>
                <w:szCs w:val="22"/>
                <w:color w:val="auto"/>
              </w:rPr>
              <w:t>31</w:t>
            </w:r>
          </w:p>
        </w:tc>
      </w:tr>
    </w:tbl>
    <w:p>
      <w:pPr>
        <w:sectPr>
          <w:pgSz w:w="11900" w:h="16838" w:orient="portrait"/>
          <w:cols w:equalWidth="0" w:num="1">
            <w:col w:w="11420"/>
          </w:cols>
          <w:pgMar w:left="240" w:top="1440" w:right="239" w:bottom="1440" w:gutter="0" w:footer="0" w:header="0"/>
        </w:sectPr>
      </w:pPr>
    </w:p>
    <w:bookmarkStart w:id="182" w:name="page183"/>
    <w:bookmarkEnd w:id="182"/>
    <w:p>
      <w:pPr>
        <w:spacing w:after="0" w:line="2" w:lineRule="exact"/>
        <w:rPr>
          <w:sz w:val="20"/>
          <w:szCs w:val="20"/>
          <w:color w:val="auto"/>
        </w:rPr>
      </w:pPr>
    </w:p>
    <w:p>
      <w:pPr>
        <w:jc w:val="both"/>
        <w:spacing w:after="0" w:line="288" w:lineRule="auto"/>
        <w:rPr>
          <w:sz w:val="20"/>
          <w:szCs w:val="20"/>
          <w:color w:val="auto"/>
        </w:rPr>
      </w:pPr>
      <w:r>
        <w:rPr>
          <w:rFonts w:ascii="Arial" w:cs="Arial" w:eastAsia="Arial" w:hAnsi="Arial"/>
          <w:sz w:val="22"/>
          <w:szCs w:val="22"/>
          <w:color w:val="auto"/>
        </w:rPr>
        <w:t>replacement Note if the Trustee’s requirements are met. An indemnity bond must be supplied by the Holder that is sufficient in the judgment of the Trustee and the Issuer to protect the Issuer, the Trustee, any Agent and any authenticating agent from any loss that any of them may suffer if a Note is replaced. The Issuer may charge for its expenses (including the Trustee’s expenses) in replacing a Note.</w:t>
      </w:r>
    </w:p>
    <w:p>
      <w:pPr>
        <w:spacing w:after="0" w:line="19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Every replacement Note is an additional obligation of the Issuer and shall be entitled to all of the benefits of this Indenture equally and proportionately with all other Notes duly issued hereunder.</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2.08 </w:t>
      </w:r>
      <w:r>
        <w:rPr>
          <w:rFonts w:ascii="Arial" w:cs="Arial" w:eastAsia="Arial" w:hAnsi="Arial"/>
          <w:sz w:val="22"/>
          <w:szCs w:val="22"/>
          <w:i w:val="1"/>
          <w:iCs w:val="1"/>
          <w:color w:val="auto"/>
        </w:rPr>
        <w:t>Outstanding Notes</w:t>
      </w:r>
      <w:r>
        <w:rPr>
          <w:rFonts w:ascii="Arial" w:cs="Arial" w:eastAsia="Arial" w:hAnsi="Arial"/>
          <w:sz w:val="22"/>
          <w:szCs w:val="22"/>
          <w:color w:val="auto"/>
        </w:rPr>
        <w:t>.</w:t>
      </w:r>
    </w:p>
    <w:p>
      <w:pPr>
        <w:spacing w:after="0" w:line="260"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21"/>
          <w:szCs w:val="21"/>
          <w:color w:val="auto"/>
        </w:rPr>
        <w:t>The Notes outstanding at any time are all the Notes authenticated by the Trustee except for those canceled by it, those delivered to it for cancelation, those reductions in the interest in a Global Note effected by the Trustee in accordance with the provisions hereof, and those described in this Section 2.08 as not outstanding. Except as set forth in Section 2.09 hereof, a Note does not cease to be outstanding because the Issuer or an Affiliate of the Issuer holds the Note.</w:t>
      </w:r>
    </w:p>
    <w:p>
      <w:pPr>
        <w:spacing w:after="0" w:line="173"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22"/>
          <w:szCs w:val="22"/>
          <w:color w:val="auto"/>
        </w:rPr>
        <w:t>If a Note is replaced pursuant to Section 2.07 hereof, it ceases to be outstanding unless the Trustee receives proof satisfactory to it that the replaced Note is held by a protected purchaser.</w:t>
      </w:r>
    </w:p>
    <w:p>
      <w:pPr>
        <w:spacing w:after="0" w:line="17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If the principal amount of any Note is considered paid under Section 4.01 hereof, it ceases to be outstanding and interest on it ceases to accrue.</w:t>
      </w:r>
    </w:p>
    <w:p>
      <w:pPr>
        <w:spacing w:after="0" w:line="174"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If the Paying Agent (other than the Issuer, a Subsidiary of the Issuer or an Affiliate of any thereof) holds, on a redemption date or maturity date, money sufficient to pay Notes payable on that date, then on and after that date such Notes shall be deemed to be no longer outstanding and shall cease to accrue interest.</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2.09 </w:t>
      </w:r>
      <w:r>
        <w:rPr>
          <w:rFonts w:ascii="Arial" w:cs="Arial" w:eastAsia="Arial" w:hAnsi="Arial"/>
          <w:sz w:val="22"/>
          <w:szCs w:val="22"/>
          <w:i w:val="1"/>
          <w:iCs w:val="1"/>
          <w:color w:val="auto"/>
        </w:rPr>
        <w:t>Treasury Notes</w:t>
      </w:r>
      <w:r>
        <w:rPr>
          <w:rFonts w:ascii="Arial" w:cs="Arial" w:eastAsia="Arial" w:hAnsi="Arial"/>
          <w:sz w:val="22"/>
          <w:szCs w:val="22"/>
          <w:color w:val="auto"/>
        </w:rPr>
        <w:t>.</w:t>
      </w:r>
    </w:p>
    <w:p>
      <w:pPr>
        <w:spacing w:after="0" w:line="26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color w:val="auto"/>
        </w:rPr>
        <w:t>In determining whether the Holders of the required principal amount of Notes have concurred in any direction, waiver or consent, Notes owned by the Issuer or any of its Affiliates shall be considered as though not outstanding, except that for the purposes of determining whether the Trustee shall be protected in relying on any such direction, waiver or consent, only Notes that the Trustee knows are so owned shall be so disregarded.</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2.10 </w:t>
      </w:r>
      <w:r>
        <w:rPr>
          <w:rFonts w:ascii="Arial" w:cs="Arial" w:eastAsia="Arial" w:hAnsi="Arial"/>
          <w:sz w:val="22"/>
          <w:szCs w:val="22"/>
          <w:i w:val="1"/>
          <w:iCs w:val="1"/>
          <w:color w:val="auto"/>
        </w:rPr>
        <w:t>Temporary Notes</w:t>
      </w:r>
      <w:r>
        <w:rPr>
          <w:rFonts w:ascii="Arial" w:cs="Arial" w:eastAsia="Arial" w:hAnsi="Arial"/>
          <w:sz w:val="22"/>
          <w:szCs w:val="22"/>
          <w:color w:val="auto"/>
        </w:rPr>
        <w:t>.</w:t>
      </w:r>
    </w:p>
    <w:p>
      <w:pPr>
        <w:spacing w:after="0" w:line="260" w:lineRule="exact"/>
        <w:rPr>
          <w:sz w:val="20"/>
          <w:szCs w:val="20"/>
          <w:color w:val="auto"/>
        </w:rPr>
      </w:pPr>
    </w:p>
    <w:p>
      <w:pPr>
        <w:jc w:val="both"/>
        <w:ind w:firstLine="648"/>
        <w:spacing w:after="0" w:line="357" w:lineRule="auto"/>
        <w:rPr>
          <w:sz w:val="20"/>
          <w:szCs w:val="20"/>
          <w:color w:val="auto"/>
        </w:rPr>
      </w:pPr>
      <w:r>
        <w:rPr>
          <w:rFonts w:ascii="Arial" w:cs="Arial" w:eastAsia="Arial" w:hAnsi="Arial"/>
          <w:sz w:val="19"/>
          <w:szCs w:val="19"/>
          <w:color w:val="auto"/>
        </w:rPr>
        <w:t>Until certificates representing Notes are ready for delivery, the Issuer may prepare and the Trustee, upon receipt of an Authentication Order, shall authenticate temporary Notes. Temporary Notes shall be substantially in the form of certificated Notes but may have variations that the Issuer considers appropriate for temporary Notes and as may be reasonably</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3160" w:type="dxa"/>
            <w:vAlign w:val="bottom"/>
          </w:tcPr>
          <w:p>
            <w:pPr>
              <w:spacing w:after="0"/>
              <w:rPr>
                <w:sz w:val="20"/>
                <w:szCs w:val="20"/>
                <w:color w:val="auto"/>
              </w:rPr>
            </w:pPr>
            <w:r>
              <w:rPr>
                <w:rFonts w:ascii="Arial" w:cs="Arial" w:eastAsia="Arial" w:hAnsi="Arial"/>
                <w:sz w:val="11"/>
                <w:szCs w:val="11"/>
                <w:color w:val="auto"/>
              </w:rPr>
              <w:t>ASIA 33616188</w:t>
            </w:r>
          </w:p>
        </w:tc>
        <w:tc>
          <w:tcPr>
            <w:tcW w:w="2660" w:type="dxa"/>
            <w:vAlign w:val="bottom"/>
          </w:tcPr>
          <w:p>
            <w:pPr>
              <w:jc w:val="right"/>
              <w:spacing w:after="0"/>
              <w:rPr>
                <w:sz w:val="20"/>
                <w:szCs w:val="20"/>
                <w:color w:val="auto"/>
              </w:rPr>
            </w:pPr>
            <w:r>
              <w:rPr>
                <w:rFonts w:ascii="Arial" w:cs="Arial" w:eastAsia="Arial" w:hAnsi="Arial"/>
                <w:sz w:val="22"/>
                <w:szCs w:val="22"/>
                <w:color w:val="auto"/>
              </w:rPr>
              <w:t>32</w:t>
            </w:r>
          </w:p>
        </w:tc>
      </w:tr>
    </w:tbl>
    <w:p>
      <w:pPr>
        <w:sectPr>
          <w:pgSz w:w="11900" w:h="16838" w:orient="portrait"/>
          <w:cols w:equalWidth="0" w:num="1">
            <w:col w:w="11420"/>
          </w:cols>
          <w:pgMar w:left="240" w:top="1440" w:right="239" w:bottom="1440" w:gutter="0" w:footer="0" w:header="0"/>
        </w:sectPr>
      </w:pPr>
    </w:p>
    <w:bookmarkStart w:id="183" w:name="page184"/>
    <w:bookmarkEnd w:id="183"/>
    <w:p>
      <w:pPr>
        <w:spacing w:after="0" w:line="2" w:lineRule="exact"/>
        <w:rPr>
          <w:sz w:val="20"/>
          <w:szCs w:val="20"/>
          <w:color w:val="auto"/>
        </w:rPr>
      </w:pPr>
    </w:p>
    <w:p>
      <w:pPr>
        <w:jc w:val="both"/>
        <w:spacing w:after="0" w:line="302" w:lineRule="auto"/>
        <w:rPr>
          <w:sz w:val="20"/>
          <w:szCs w:val="20"/>
          <w:color w:val="auto"/>
        </w:rPr>
      </w:pPr>
      <w:r>
        <w:rPr>
          <w:rFonts w:ascii="Arial" w:cs="Arial" w:eastAsia="Arial" w:hAnsi="Arial"/>
          <w:sz w:val="22"/>
          <w:szCs w:val="22"/>
          <w:color w:val="auto"/>
        </w:rPr>
        <w:t>acceptable to the Trustee. Without unreasonable delay, the Issuer shall prepare and the Trustee shall authenticate Definitive Notes in exchange for temporary Notes.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Holders of temporary Notes shall be entitled to all of the benefits of this Indenture.</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2.11 </w:t>
      </w:r>
      <w:r>
        <w:rPr>
          <w:rFonts w:ascii="Arial" w:cs="Arial" w:eastAsia="Arial" w:hAnsi="Arial"/>
          <w:sz w:val="22"/>
          <w:szCs w:val="22"/>
          <w:i w:val="1"/>
          <w:iCs w:val="1"/>
          <w:color w:val="auto"/>
        </w:rPr>
        <w:t>Cancelation.</w:t>
      </w:r>
    </w:p>
    <w:p>
      <w:pPr>
        <w:spacing w:after="0" w:line="26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22"/>
          <w:szCs w:val="22"/>
          <w:color w:val="auto"/>
        </w:rPr>
        <w:t>The Issuer at any time may deliver Notes to the Trustee for cancelation. The Registrar and Paying Agent shall forward to the Trustee any Notes surrendered to them for registration of transfer, exchange or payment. The Trustee and no one else shall cancel all Notes surrendered for registration of transfer, exchange, payment, replacement or cancelation and shall dispose of such canceled Notes in its customary manner. Upon the written request of the Issuer, the Trustee will provide evidence of the destruction of all canceled Notes to the Issuer. The Issuer may not issue new Notes to replace Notes that it has paid or that have been delivered to the Trustee for cancelation.</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2.12 </w:t>
      </w:r>
      <w:r>
        <w:rPr>
          <w:rFonts w:ascii="Arial" w:cs="Arial" w:eastAsia="Arial" w:hAnsi="Arial"/>
          <w:sz w:val="22"/>
          <w:szCs w:val="22"/>
          <w:i w:val="1"/>
          <w:iCs w:val="1"/>
          <w:color w:val="auto"/>
        </w:rPr>
        <w:t>Defaulted Interest</w:t>
      </w:r>
      <w:r>
        <w:rPr>
          <w:rFonts w:ascii="Arial" w:cs="Arial" w:eastAsia="Arial" w:hAnsi="Arial"/>
          <w:sz w:val="22"/>
          <w:szCs w:val="22"/>
          <w:color w:val="auto"/>
        </w:rPr>
        <w:t>.</w:t>
      </w:r>
    </w:p>
    <w:p>
      <w:pPr>
        <w:spacing w:after="0" w:line="260"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19"/>
          <w:szCs w:val="19"/>
          <w:color w:val="auto"/>
        </w:rPr>
        <w:t xml:space="preserve">If the Issuer defaults in a payment of interest on the Notes, it shall pay the defaulted interest in any lawful manner plus, to the extent lawful, interest payable on the defaulted interest, to the Persons who are Holders on a subsequent special record date, in each case, at the rate provided in the Notes and in Section 4.01 hereof. The Issuer shall notify the Trustee in writing of the amount of defaulted interest proposed to be paid on each Note and the date of the proposed payment. The Issuer shall fix or cause to be fixed each such special record date and payment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such special record date may be less than 10 days prior to the related payment date for such defaulted interest. At least 15 days before the special record date, the Issuer (or, upon the written request of the Issuer, the Trustee in the name and at the expense of the Issuer) shall mail or cause to be mailed to Holders a notice that states the special record date, the related payment date and the amount of such interest to be paid.</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2.13 </w:t>
      </w:r>
      <w:r>
        <w:rPr>
          <w:rFonts w:ascii="Arial" w:cs="Arial" w:eastAsia="Arial" w:hAnsi="Arial"/>
          <w:sz w:val="22"/>
          <w:szCs w:val="22"/>
          <w:i w:val="1"/>
          <w:iCs w:val="1"/>
          <w:color w:val="auto"/>
        </w:rPr>
        <w:t>Issuance of Additional Notes</w:t>
      </w:r>
      <w:r>
        <w:rPr>
          <w:rFonts w:ascii="Arial" w:cs="Arial" w:eastAsia="Arial" w:hAnsi="Arial"/>
          <w:sz w:val="22"/>
          <w:szCs w:val="22"/>
          <w:color w:val="auto"/>
        </w:rPr>
        <w:t>.</w:t>
      </w:r>
    </w:p>
    <w:p>
      <w:pPr>
        <w:spacing w:after="0" w:line="26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22"/>
          <w:szCs w:val="22"/>
          <w:color w:val="auto"/>
        </w:rPr>
        <w:t>The Issuer will be entitled, upon delivery of an Officer’s Certificate, Opinion of Counsel and Authentication Order, subject to compliance with Section 2.02 hereof, to issue Additional Notes under this Indenture, which shall have identical terms as the Initial Notes issued on the date of this Indenture, other than with respect to the date of issuance, the initial date from which interest shall accrue on such Additional Notes and issue price. Without the consent of any Holder of Notes, the Issuer will be entitled to make any amendments to this Indenture as it reasonably determines appropriate in good faith to facilitate the issuance of such Additional Notes.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3160" w:type="dxa"/>
            <w:vAlign w:val="bottom"/>
          </w:tcPr>
          <w:p>
            <w:pPr>
              <w:spacing w:after="0"/>
              <w:rPr>
                <w:sz w:val="20"/>
                <w:szCs w:val="20"/>
                <w:color w:val="auto"/>
              </w:rPr>
            </w:pPr>
            <w:r>
              <w:rPr>
                <w:rFonts w:ascii="Arial" w:cs="Arial" w:eastAsia="Arial" w:hAnsi="Arial"/>
                <w:sz w:val="11"/>
                <w:szCs w:val="11"/>
                <w:color w:val="auto"/>
              </w:rPr>
              <w:t>ASIA 33616188</w:t>
            </w:r>
          </w:p>
        </w:tc>
        <w:tc>
          <w:tcPr>
            <w:tcW w:w="2660" w:type="dxa"/>
            <w:vAlign w:val="bottom"/>
          </w:tcPr>
          <w:p>
            <w:pPr>
              <w:jc w:val="right"/>
              <w:spacing w:after="0"/>
              <w:rPr>
                <w:sz w:val="20"/>
                <w:szCs w:val="20"/>
                <w:color w:val="auto"/>
              </w:rPr>
            </w:pPr>
            <w:r>
              <w:rPr>
                <w:rFonts w:ascii="Arial" w:cs="Arial" w:eastAsia="Arial" w:hAnsi="Arial"/>
                <w:sz w:val="22"/>
                <w:szCs w:val="22"/>
                <w:color w:val="auto"/>
              </w:rPr>
              <w:t>33</w:t>
            </w:r>
          </w:p>
        </w:tc>
      </w:tr>
    </w:tbl>
    <w:p>
      <w:pPr>
        <w:sectPr>
          <w:pgSz w:w="11900" w:h="16838" w:orient="portrait"/>
          <w:cols w:equalWidth="0" w:num="1">
            <w:col w:w="11420"/>
          </w:cols>
          <w:pgMar w:left="240" w:top="1440" w:right="239" w:bottom="1440" w:gutter="0" w:footer="0" w:header="0"/>
        </w:sectPr>
      </w:pPr>
    </w:p>
    <w:bookmarkStart w:id="184" w:name="page185"/>
    <w:bookmarkEnd w:id="184"/>
    <w:p>
      <w:pPr>
        <w:spacing w:after="0" w:line="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With respect to any Additional Notes, the Issuer will set forth in a resolution of the Board of Directors of the Issuer and an</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color w:val="auto"/>
        </w:rPr>
        <w:t>Officer’s Certificate, a copy of each which shall be delivered to the Trustee, the following information:</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 the aggregate principal amount of such Additional Notes to be authenticated and delivered pursuant to this Indenture;</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260" w:lineRule="exact"/>
        <w:rPr>
          <w:sz w:val="20"/>
          <w:szCs w:val="20"/>
          <w:color w:val="auto"/>
        </w:rPr>
      </w:pPr>
    </w:p>
    <w:p>
      <w:pPr>
        <w:jc w:val="both"/>
        <w:ind w:firstLine="656"/>
        <w:spacing w:after="0" w:line="292" w:lineRule="auto"/>
        <w:tabs>
          <w:tab w:leader="none" w:pos="972" w:val="left"/>
        </w:tabs>
        <w:numPr>
          <w:ilvl w:val="0"/>
          <w:numId w:val="118"/>
        </w:numPr>
        <w:rPr>
          <w:rFonts w:ascii="Arial" w:cs="Arial" w:eastAsia="Arial" w:hAnsi="Arial"/>
          <w:sz w:val="22"/>
          <w:szCs w:val="22"/>
          <w:color w:val="auto"/>
        </w:rPr>
      </w:pPr>
      <w:r>
        <w:rPr>
          <w:rFonts w:ascii="Arial" w:cs="Arial" w:eastAsia="Arial" w:hAnsi="Arial"/>
          <w:sz w:val="22"/>
          <w:szCs w:val="22"/>
          <w:color w:val="auto"/>
        </w:rPr>
        <w:t>which such Additional Notes shall be Notes issued in the form of Restricted Global Notes or Restricted Definitive Notes, as the case may be, or shall be Notes issued in the form of Unrestricted Global Notes or Unrestricted Definitive Notes, as the case may be.</w:t>
      </w:r>
    </w:p>
    <w:p>
      <w:pPr>
        <w:spacing w:after="0" w:line="18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In order for any Additional Notes to have the same CUSIP, Common Code or ISIN, as applicable, as the Notes, such Additional Notes must be fungible with the Notes for United States federal income tax purposes.</w:t>
      </w:r>
    </w:p>
    <w:p>
      <w:pPr>
        <w:spacing w:after="0" w:line="17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ARTICLE 3</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REDEMPTION AND PREPAYMENT</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3.01 </w:t>
      </w:r>
      <w:r>
        <w:rPr>
          <w:rFonts w:ascii="Arial" w:cs="Arial" w:eastAsia="Arial" w:hAnsi="Arial"/>
          <w:sz w:val="22"/>
          <w:szCs w:val="22"/>
          <w:i w:val="1"/>
          <w:iCs w:val="1"/>
          <w:color w:val="auto"/>
        </w:rPr>
        <w:t>Notices to Trustee</w:t>
      </w:r>
      <w:r>
        <w:rPr>
          <w:rFonts w:ascii="Arial" w:cs="Arial" w:eastAsia="Arial" w:hAnsi="Arial"/>
          <w:sz w:val="22"/>
          <w:szCs w:val="22"/>
          <w:color w:val="auto"/>
        </w:rPr>
        <w:t>.</w:t>
      </w:r>
    </w:p>
    <w:p>
      <w:pPr>
        <w:spacing w:after="0" w:line="25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21"/>
          <w:szCs w:val="21"/>
          <w:color w:val="auto"/>
        </w:rPr>
        <w:t>If the Issuer elects to redeem Notes pursuant to the redemption provisions of Sections 3.07, 3.09 or 3.10 hereof, it must furnish to the Trustee, at least 10 days (or, in the case of a redemption pursuant to Section 3.09 hereof, as soon as reasonably practicable) but not more than 60 days before a redemption date, an Officer’s Certificate setting forth:</w:t>
      </w:r>
    </w:p>
    <w:p>
      <w:pPr>
        <w:spacing w:after="0" w:line="169" w:lineRule="exact"/>
        <w:rPr>
          <w:sz w:val="20"/>
          <w:szCs w:val="20"/>
          <w:color w:val="auto"/>
        </w:rPr>
      </w:pPr>
    </w:p>
    <w:p>
      <w:pPr>
        <w:ind w:left="940" w:hanging="284"/>
        <w:spacing w:after="0"/>
        <w:tabs>
          <w:tab w:leader="none" w:pos="94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the clause of this Indenture pursuant to which the redemption shall occur;</w:t>
      </w:r>
    </w:p>
    <w:p>
      <w:pPr>
        <w:spacing w:after="0" w:line="260" w:lineRule="exact"/>
        <w:rPr>
          <w:rFonts w:ascii="Arial" w:cs="Arial" w:eastAsia="Arial" w:hAnsi="Arial"/>
          <w:sz w:val="22"/>
          <w:szCs w:val="22"/>
          <w:color w:val="auto"/>
        </w:rPr>
      </w:pPr>
    </w:p>
    <w:p>
      <w:pPr>
        <w:ind w:left="960" w:hanging="304"/>
        <w:spacing w:after="0"/>
        <w:tabs>
          <w:tab w:leader="none" w:pos="96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the redemption date;</w:t>
      </w:r>
    </w:p>
    <w:p>
      <w:pPr>
        <w:spacing w:after="0" w:line="260" w:lineRule="exact"/>
        <w:rPr>
          <w:rFonts w:ascii="Arial" w:cs="Arial" w:eastAsia="Arial" w:hAnsi="Arial"/>
          <w:sz w:val="22"/>
          <w:szCs w:val="22"/>
          <w:color w:val="auto"/>
        </w:rPr>
      </w:pPr>
    </w:p>
    <w:p>
      <w:pPr>
        <w:ind w:left="940" w:hanging="284"/>
        <w:spacing w:after="0"/>
        <w:tabs>
          <w:tab w:leader="none" w:pos="94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the principal amount of Notes to be redeemed; and</w:t>
      </w:r>
    </w:p>
    <w:p>
      <w:pPr>
        <w:spacing w:after="0" w:line="260" w:lineRule="exact"/>
        <w:rPr>
          <w:rFonts w:ascii="Arial" w:cs="Arial" w:eastAsia="Arial" w:hAnsi="Arial"/>
          <w:sz w:val="22"/>
          <w:szCs w:val="22"/>
          <w:color w:val="auto"/>
        </w:rPr>
      </w:pPr>
    </w:p>
    <w:p>
      <w:pPr>
        <w:ind w:left="960" w:hanging="304"/>
        <w:spacing w:after="0"/>
        <w:tabs>
          <w:tab w:leader="none" w:pos="96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the redemption price.</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3.02 </w:t>
      </w:r>
      <w:r>
        <w:rPr>
          <w:rFonts w:ascii="Arial" w:cs="Arial" w:eastAsia="Arial" w:hAnsi="Arial"/>
          <w:sz w:val="22"/>
          <w:szCs w:val="22"/>
          <w:i w:val="1"/>
          <w:iCs w:val="1"/>
          <w:color w:val="auto"/>
        </w:rPr>
        <w:t>Selection of Notes to Be Redeemed or Purchased</w:t>
      </w:r>
      <w:r>
        <w:rPr>
          <w:rFonts w:ascii="Arial" w:cs="Arial" w:eastAsia="Arial" w:hAnsi="Arial"/>
          <w:sz w:val="22"/>
          <w:szCs w:val="22"/>
          <w:color w:val="auto"/>
        </w:rPr>
        <w:t>.</w:t>
      </w:r>
    </w:p>
    <w:p>
      <w:pPr>
        <w:spacing w:after="0" w:line="260" w:lineRule="exact"/>
        <w:rPr>
          <w:sz w:val="20"/>
          <w:szCs w:val="20"/>
          <w:color w:val="auto"/>
        </w:rPr>
      </w:pPr>
    </w:p>
    <w:p>
      <w:pPr>
        <w:ind w:right="20" w:firstLine="648"/>
        <w:spacing w:after="0" w:line="302" w:lineRule="auto"/>
        <w:rPr>
          <w:sz w:val="20"/>
          <w:szCs w:val="20"/>
          <w:color w:val="auto"/>
        </w:rPr>
      </w:pPr>
      <w:r>
        <w:rPr>
          <w:rFonts w:ascii="Arial" w:cs="Arial" w:eastAsia="Arial" w:hAnsi="Arial"/>
          <w:sz w:val="22"/>
          <w:szCs w:val="22"/>
          <w:color w:val="auto"/>
        </w:rPr>
        <w:t>If less than all of the Notes are to be redeemed (other than pursuant to Section 3.09 hereof) or purchased in an offer to purchase at any time, the Trustee shall select Notes for redemption or purchase as follows:</w:t>
      </w:r>
    </w:p>
    <w:p>
      <w:pPr>
        <w:spacing w:after="0" w:line="174" w:lineRule="exact"/>
        <w:rPr>
          <w:sz w:val="20"/>
          <w:szCs w:val="20"/>
          <w:color w:val="auto"/>
        </w:rPr>
      </w:pPr>
    </w:p>
    <w:p>
      <w:pPr>
        <w:ind w:firstLine="656"/>
        <w:spacing w:after="0" w:line="302" w:lineRule="auto"/>
        <w:tabs>
          <w:tab w:leader="none" w:pos="933" w:val="left"/>
        </w:tabs>
        <w:numPr>
          <w:ilvl w:val="0"/>
          <w:numId w:val="120"/>
        </w:numPr>
        <w:rPr>
          <w:rFonts w:ascii="Arial" w:cs="Arial" w:eastAsia="Arial" w:hAnsi="Arial"/>
          <w:sz w:val="22"/>
          <w:szCs w:val="22"/>
          <w:color w:val="auto"/>
        </w:rPr>
      </w:pPr>
      <w:r>
        <w:rPr>
          <w:rFonts w:ascii="Arial" w:cs="Arial" w:eastAsia="Arial" w:hAnsi="Arial"/>
          <w:sz w:val="22"/>
          <w:szCs w:val="22"/>
          <w:color w:val="auto"/>
        </w:rPr>
        <w:t>if the Notes are listed on any internationally recognized securities exchange, in compliance with the requirements of the principal internationally recognized securities exchange on which the Notes are listed; or</w:t>
      </w:r>
    </w:p>
    <w:p>
      <w:pPr>
        <w:spacing w:after="0" w:line="173" w:lineRule="exact"/>
        <w:rPr>
          <w:rFonts w:ascii="Arial" w:cs="Arial" w:eastAsia="Arial" w:hAnsi="Arial"/>
          <w:sz w:val="22"/>
          <w:szCs w:val="22"/>
          <w:color w:val="auto"/>
        </w:rPr>
      </w:pPr>
    </w:p>
    <w:p>
      <w:pPr>
        <w:ind w:right="20" w:firstLine="656"/>
        <w:spacing w:after="0" w:line="302" w:lineRule="auto"/>
        <w:tabs>
          <w:tab w:leader="none" w:pos="945" w:val="left"/>
        </w:tabs>
        <w:numPr>
          <w:ilvl w:val="0"/>
          <w:numId w:val="120"/>
        </w:numPr>
        <w:rPr>
          <w:rFonts w:ascii="Arial" w:cs="Arial" w:eastAsia="Arial" w:hAnsi="Arial"/>
          <w:sz w:val="22"/>
          <w:szCs w:val="22"/>
          <w:color w:val="auto"/>
        </w:rPr>
      </w:pPr>
      <w:r>
        <w:rPr>
          <w:rFonts w:ascii="Arial" w:cs="Arial" w:eastAsia="Arial" w:hAnsi="Arial"/>
          <w:sz w:val="22"/>
          <w:szCs w:val="22"/>
          <w:color w:val="auto"/>
        </w:rPr>
        <w:t xml:space="preserve">if the Notes are not listed on any internationally recognized securities exchange, on a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basis, by lot or, in the case of Notes issued in global form, in accordance with the applicable procedures of the Depositary.</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3160" w:type="dxa"/>
            <w:vAlign w:val="bottom"/>
          </w:tcPr>
          <w:p>
            <w:pPr>
              <w:spacing w:after="0"/>
              <w:rPr>
                <w:sz w:val="20"/>
                <w:szCs w:val="20"/>
                <w:color w:val="auto"/>
              </w:rPr>
            </w:pPr>
            <w:r>
              <w:rPr>
                <w:rFonts w:ascii="Arial" w:cs="Arial" w:eastAsia="Arial" w:hAnsi="Arial"/>
                <w:sz w:val="11"/>
                <w:szCs w:val="11"/>
                <w:color w:val="auto"/>
              </w:rPr>
              <w:t>ASIA 33616188</w:t>
            </w:r>
          </w:p>
        </w:tc>
        <w:tc>
          <w:tcPr>
            <w:tcW w:w="2660" w:type="dxa"/>
            <w:vAlign w:val="bottom"/>
          </w:tcPr>
          <w:p>
            <w:pPr>
              <w:jc w:val="right"/>
              <w:spacing w:after="0"/>
              <w:rPr>
                <w:sz w:val="20"/>
                <w:szCs w:val="20"/>
                <w:color w:val="auto"/>
              </w:rPr>
            </w:pPr>
            <w:r>
              <w:rPr>
                <w:rFonts w:ascii="Arial" w:cs="Arial" w:eastAsia="Arial" w:hAnsi="Arial"/>
                <w:sz w:val="22"/>
                <w:szCs w:val="22"/>
                <w:color w:val="auto"/>
              </w:rPr>
              <w:t>34</w:t>
            </w:r>
          </w:p>
        </w:tc>
      </w:tr>
    </w:tbl>
    <w:p>
      <w:pPr>
        <w:sectPr>
          <w:pgSz w:w="11900" w:h="16838" w:orient="portrait"/>
          <w:cols w:equalWidth="0" w:num="1">
            <w:col w:w="11420"/>
          </w:cols>
          <w:pgMar w:left="240" w:top="1440" w:right="239" w:bottom="1440" w:gutter="0" w:footer="0" w:header="0"/>
        </w:sectPr>
      </w:pPr>
    </w:p>
    <w:bookmarkStart w:id="185" w:name="page186"/>
    <w:bookmarkEnd w:id="185"/>
    <w:p>
      <w:pPr>
        <w:spacing w:after="0" w:line="2"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In the event of partial redemption or purchase by lot, the particular Notes to be redeemed or purchased shall be selected, unless otherwise provided herein, not less than 30 nor more than 60 days prior to the redemption or purchase date by the Trustee from the outstanding Notes not previously called for redemption or purchase.</w:t>
      </w:r>
    </w:p>
    <w:p>
      <w:pPr>
        <w:spacing w:after="0" w:line="184"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21"/>
          <w:szCs w:val="21"/>
          <w:color w:val="auto"/>
        </w:rPr>
        <w:t>The Trustee shall promptly notify the Issuer in writing of the Notes selected for redemption or purchase and, in the case of any Note selected for partial redemption or purchase, the principal amount thereof to be redeemed or purchased. Notes and portions of Notes selected shall be in amounts of US$200,000 or integral multiples of US$1,000 in excess of US$200,000; provided, however, that if all of the Notes of a Holder are to be redeemed or purchased, the entire outstanding amount of Notes held by such Holder, even if less than $200,000 or not a multiple of US$1,000, shall be redeemed or purchased. Except as provided in the preceding sentence, provisions of this Indenture that apply to Notes called for redemption or purchase also apply to portions of Notes called for redemption or purchase.</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3.03 </w:t>
      </w:r>
      <w:r>
        <w:rPr>
          <w:rFonts w:ascii="Arial" w:cs="Arial" w:eastAsia="Arial" w:hAnsi="Arial"/>
          <w:sz w:val="22"/>
          <w:szCs w:val="22"/>
          <w:i w:val="1"/>
          <w:iCs w:val="1"/>
          <w:color w:val="auto"/>
        </w:rPr>
        <w:t>Notice of Redemption</w:t>
      </w:r>
      <w:r>
        <w:rPr>
          <w:rFonts w:ascii="Arial" w:cs="Arial" w:eastAsia="Arial" w:hAnsi="Arial"/>
          <w:sz w:val="22"/>
          <w:szCs w:val="22"/>
          <w:color w:val="auto"/>
        </w:rPr>
        <w:t>.</w:t>
      </w:r>
    </w:p>
    <w:p>
      <w:pPr>
        <w:spacing w:after="0" w:line="26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2"/>
          <w:szCs w:val="22"/>
          <w:color w:val="auto"/>
        </w:rPr>
        <w:t>At least 10 days but not more than 60 days before a redemption date, the Issuer shall deliver or cause to be delivered a notice of redemption to each Holder whose Notes are to be redeemed at its registered address, except that (i) redemption notices may be delivered more than 60 days prior to a redemption date if the notice is issued in connection with a defeasance of the Notes or a satisfaction and discharge of this Indenture pursuant to Articles 8 or 10 of this Indenture and (ii) no minimum notice period is required for a redemption pursuant to Section 3.09 hereof.</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notice shall identify the Notes (including the CUSIP number) to be redeemed and shall state:</w:t>
      </w:r>
    </w:p>
    <w:p>
      <w:pPr>
        <w:spacing w:after="0" w:line="260" w:lineRule="exact"/>
        <w:rPr>
          <w:sz w:val="20"/>
          <w:szCs w:val="20"/>
          <w:color w:val="auto"/>
        </w:rPr>
      </w:pPr>
    </w:p>
    <w:p>
      <w:pPr>
        <w:ind w:left="940" w:hanging="284"/>
        <w:spacing w:after="0"/>
        <w:tabs>
          <w:tab w:leader="none" w:pos="94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the redemption date;</w:t>
      </w:r>
    </w:p>
    <w:p>
      <w:pPr>
        <w:spacing w:after="0" w:line="260" w:lineRule="exact"/>
        <w:rPr>
          <w:rFonts w:ascii="Arial" w:cs="Arial" w:eastAsia="Arial" w:hAnsi="Arial"/>
          <w:sz w:val="22"/>
          <w:szCs w:val="22"/>
          <w:color w:val="auto"/>
        </w:rPr>
      </w:pPr>
    </w:p>
    <w:p>
      <w:pPr>
        <w:ind w:left="960" w:hanging="304"/>
        <w:spacing w:after="0"/>
        <w:tabs>
          <w:tab w:leader="none" w:pos="96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the redemption price;</w:t>
      </w:r>
    </w:p>
    <w:p>
      <w:pPr>
        <w:spacing w:after="0" w:line="260" w:lineRule="exact"/>
        <w:rPr>
          <w:rFonts w:ascii="Arial" w:cs="Arial" w:eastAsia="Arial" w:hAnsi="Arial"/>
          <w:sz w:val="22"/>
          <w:szCs w:val="22"/>
          <w:color w:val="auto"/>
        </w:rPr>
      </w:pPr>
    </w:p>
    <w:p>
      <w:pPr>
        <w:jc w:val="both"/>
        <w:ind w:firstLine="656"/>
        <w:spacing w:after="0" w:line="292" w:lineRule="auto"/>
        <w:tabs>
          <w:tab w:leader="none" w:pos="933" w:val="left"/>
        </w:tabs>
        <w:numPr>
          <w:ilvl w:val="0"/>
          <w:numId w:val="121"/>
        </w:numPr>
        <w:rPr>
          <w:rFonts w:ascii="Arial" w:cs="Arial" w:eastAsia="Arial" w:hAnsi="Arial"/>
          <w:sz w:val="22"/>
          <w:szCs w:val="22"/>
          <w:color w:val="auto"/>
        </w:rPr>
      </w:pPr>
      <w:r>
        <w:rPr>
          <w:rFonts w:ascii="Arial" w:cs="Arial" w:eastAsia="Arial" w:hAnsi="Arial"/>
          <w:sz w:val="22"/>
          <w:szCs w:val="22"/>
          <w:color w:val="auto"/>
        </w:rPr>
        <w:t>if any Note is being redeemed in part, the portion of the principal amount of such Note to be redeemed and that, after the redemption date upon surrender of such Note, a new Note or Notes in principal amount equal to the unredeemed portion shall be issued upon cancelation of the original Note;</w:t>
      </w:r>
    </w:p>
    <w:p>
      <w:pPr>
        <w:spacing w:after="0" w:line="184" w:lineRule="exact"/>
        <w:rPr>
          <w:rFonts w:ascii="Arial" w:cs="Arial" w:eastAsia="Arial" w:hAnsi="Arial"/>
          <w:sz w:val="22"/>
          <w:szCs w:val="22"/>
          <w:color w:val="auto"/>
        </w:rPr>
      </w:pPr>
    </w:p>
    <w:p>
      <w:pPr>
        <w:ind w:left="960" w:hanging="304"/>
        <w:spacing w:after="0"/>
        <w:tabs>
          <w:tab w:leader="none" w:pos="96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the name and address of the Paying Agent;</w:t>
      </w:r>
    </w:p>
    <w:p>
      <w:pPr>
        <w:spacing w:after="0" w:line="260" w:lineRule="exact"/>
        <w:rPr>
          <w:rFonts w:ascii="Arial" w:cs="Arial" w:eastAsia="Arial" w:hAnsi="Arial"/>
          <w:sz w:val="22"/>
          <w:szCs w:val="22"/>
          <w:color w:val="auto"/>
        </w:rPr>
      </w:pPr>
    </w:p>
    <w:p>
      <w:pPr>
        <w:ind w:left="940" w:hanging="284"/>
        <w:spacing w:after="0"/>
        <w:tabs>
          <w:tab w:leader="none" w:pos="94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that Notes called for redemption must be surrendered to the Paying Agent to collect the redemption price;</w:t>
      </w:r>
    </w:p>
    <w:p>
      <w:pPr>
        <w:spacing w:after="0" w:line="260" w:lineRule="exact"/>
        <w:rPr>
          <w:rFonts w:ascii="Arial" w:cs="Arial" w:eastAsia="Arial" w:hAnsi="Arial"/>
          <w:sz w:val="22"/>
          <w:szCs w:val="22"/>
          <w:color w:val="auto"/>
        </w:rPr>
      </w:pPr>
    </w:p>
    <w:p>
      <w:pPr>
        <w:ind w:firstLine="656"/>
        <w:spacing w:after="0" w:line="302" w:lineRule="auto"/>
        <w:tabs>
          <w:tab w:leader="none" w:pos="923" w:val="left"/>
        </w:tabs>
        <w:numPr>
          <w:ilvl w:val="0"/>
          <w:numId w:val="121"/>
        </w:numPr>
        <w:rPr>
          <w:rFonts w:ascii="Arial" w:cs="Arial" w:eastAsia="Arial" w:hAnsi="Arial"/>
          <w:sz w:val="22"/>
          <w:szCs w:val="22"/>
          <w:color w:val="auto"/>
        </w:rPr>
      </w:pPr>
      <w:r>
        <w:rPr>
          <w:rFonts w:ascii="Arial" w:cs="Arial" w:eastAsia="Arial" w:hAnsi="Arial"/>
          <w:sz w:val="22"/>
          <w:szCs w:val="22"/>
          <w:color w:val="auto"/>
        </w:rPr>
        <w:t>that, unless the Issuer defaults in making such redemption payment, interest on Notes called for redemption ceases to accrue on and after the redemption date;</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3160" w:type="dxa"/>
            <w:vAlign w:val="bottom"/>
          </w:tcPr>
          <w:p>
            <w:pPr>
              <w:spacing w:after="0"/>
              <w:rPr>
                <w:sz w:val="20"/>
                <w:szCs w:val="20"/>
                <w:color w:val="auto"/>
              </w:rPr>
            </w:pPr>
            <w:r>
              <w:rPr>
                <w:rFonts w:ascii="Arial" w:cs="Arial" w:eastAsia="Arial" w:hAnsi="Arial"/>
                <w:sz w:val="11"/>
                <w:szCs w:val="11"/>
                <w:color w:val="auto"/>
              </w:rPr>
              <w:t>ASIA 33616188</w:t>
            </w:r>
          </w:p>
        </w:tc>
        <w:tc>
          <w:tcPr>
            <w:tcW w:w="2660" w:type="dxa"/>
            <w:vAlign w:val="bottom"/>
          </w:tcPr>
          <w:p>
            <w:pPr>
              <w:jc w:val="right"/>
              <w:spacing w:after="0"/>
              <w:rPr>
                <w:sz w:val="20"/>
                <w:szCs w:val="20"/>
                <w:color w:val="auto"/>
              </w:rPr>
            </w:pPr>
            <w:r>
              <w:rPr>
                <w:rFonts w:ascii="Arial" w:cs="Arial" w:eastAsia="Arial" w:hAnsi="Arial"/>
                <w:sz w:val="22"/>
                <w:szCs w:val="22"/>
                <w:color w:val="auto"/>
              </w:rPr>
              <w:t>35</w:t>
            </w:r>
          </w:p>
        </w:tc>
      </w:tr>
    </w:tbl>
    <w:p>
      <w:pPr>
        <w:sectPr>
          <w:pgSz w:w="11900" w:h="16838" w:orient="portrait"/>
          <w:cols w:equalWidth="0" w:num="1">
            <w:col w:w="11420"/>
          </w:cols>
          <w:pgMar w:left="240" w:top="1440" w:right="239" w:bottom="1440" w:gutter="0" w:footer="0" w:header="0"/>
        </w:sectPr>
      </w:pPr>
    </w:p>
    <w:bookmarkStart w:id="186" w:name="page187"/>
    <w:bookmarkEnd w:id="186"/>
    <w:p>
      <w:pPr>
        <w:spacing w:after="0" w:line="2" w:lineRule="exact"/>
        <w:rPr>
          <w:sz w:val="20"/>
          <w:szCs w:val="20"/>
          <w:color w:val="auto"/>
        </w:rPr>
      </w:pPr>
    </w:p>
    <w:p>
      <w:pPr>
        <w:ind w:firstLine="656"/>
        <w:spacing w:after="0" w:line="302" w:lineRule="auto"/>
        <w:tabs>
          <w:tab w:leader="none" w:pos="945" w:val="left"/>
        </w:tabs>
        <w:numPr>
          <w:ilvl w:val="0"/>
          <w:numId w:val="122"/>
        </w:numPr>
        <w:rPr>
          <w:rFonts w:ascii="Arial" w:cs="Arial" w:eastAsia="Arial" w:hAnsi="Arial"/>
          <w:sz w:val="22"/>
          <w:szCs w:val="22"/>
          <w:color w:val="auto"/>
        </w:rPr>
      </w:pPr>
      <w:r>
        <w:rPr>
          <w:rFonts w:ascii="Arial" w:cs="Arial" w:eastAsia="Arial" w:hAnsi="Arial"/>
          <w:sz w:val="22"/>
          <w:szCs w:val="22"/>
          <w:color w:val="auto"/>
        </w:rPr>
        <w:t>the paragraph of the Notes and/or Section of this Indenture pursuant to which the Notes called for redemption are being redeemed; and</w:t>
      </w:r>
    </w:p>
    <w:p>
      <w:pPr>
        <w:spacing w:after="0" w:line="173" w:lineRule="exact"/>
        <w:rPr>
          <w:rFonts w:ascii="Arial" w:cs="Arial" w:eastAsia="Arial" w:hAnsi="Arial"/>
          <w:sz w:val="22"/>
          <w:szCs w:val="22"/>
          <w:color w:val="auto"/>
        </w:rPr>
      </w:pPr>
    </w:p>
    <w:p>
      <w:pPr>
        <w:ind w:firstLine="656"/>
        <w:spacing w:after="0" w:line="302" w:lineRule="auto"/>
        <w:tabs>
          <w:tab w:leader="none" w:pos="959" w:val="left"/>
        </w:tabs>
        <w:numPr>
          <w:ilvl w:val="0"/>
          <w:numId w:val="122"/>
        </w:numPr>
        <w:rPr>
          <w:rFonts w:ascii="Arial" w:cs="Arial" w:eastAsia="Arial" w:hAnsi="Arial"/>
          <w:sz w:val="22"/>
          <w:szCs w:val="22"/>
          <w:color w:val="auto"/>
        </w:rPr>
      </w:pPr>
      <w:r>
        <w:rPr>
          <w:rFonts w:ascii="Arial" w:cs="Arial" w:eastAsia="Arial" w:hAnsi="Arial"/>
          <w:sz w:val="22"/>
          <w:szCs w:val="22"/>
          <w:color w:val="auto"/>
        </w:rPr>
        <w:t>that no representation is made as to the correctness or accuracy of the CUSIP number, if any, listed in such notice or printed on the Notes.</w:t>
      </w:r>
    </w:p>
    <w:p>
      <w:pPr>
        <w:spacing w:after="0" w:line="17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color w:val="auto"/>
        </w:rPr>
        <w:t xml:space="preserve">At the Issuer’s request, the Trustee shall give the notice of redemption in the Issuer’s name and at its expense;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the Issuer has delivered to the Trustee, at least 45 days prior to the redemption date (unless a shorter notice is agreed</w:t>
      </w:r>
      <w:r>
        <w:rPr>
          <w:rFonts w:ascii="Arial" w:cs="Arial" w:eastAsia="Arial" w:hAnsi="Arial"/>
          <w:sz w:val="22"/>
          <w:szCs w:val="22"/>
          <w:i w:val="1"/>
          <w:iCs w:val="1"/>
          <w:color w:val="auto"/>
        </w:rPr>
        <w:t xml:space="preserve"> </w:t>
      </w:r>
      <w:r>
        <w:rPr>
          <w:rFonts w:ascii="Arial" w:cs="Arial" w:eastAsia="Arial" w:hAnsi="Arial"/>
          <w:sz w:val="22"/>
          <w:szCs w:val="22"/>
          <w:color w:val="auto"/>
        </w:rPr>
        <w:t>to by the Trustee), an Officer’s Certificate requesting that the Trustee give such notice and setting forth the information to be stated in such notice as provided in the preceding paragraph.</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3.04 </w:t>
      </w:r>
      <w:r>
        <w:rPr>
          <w:rFonts w:ascii="Arial" w:cs="Arial" w:eastAsia="Arial" w:hAnsi="Arial"/>
          <w:sz w:val="22"/>
          <w:szCs w:val="22"/>
          <w:i w:val="1"/>
          <w:iCs w:val="1"/>
          <w:color w:val="auto"/>
        </w:rPr>
        <w:t>Effect of Notice of Redemption</w:t>
      </w:r>
      <w:r>
        <w:rPr>
          <w:rFonts w:ascii="Arial" w:cs="Arial" w:eastAsia="Arial" w:hAnsi="Arial"/>
          <w:sz w:val="22"/>
          <w:szCs w:val="22"/>
          <w:color w:val="auto"/>
        </w:rPr>
        <w:t>.</w:t>
      </w:r>
    </w:p>
    <w:p>
      <w:pPr>
        <w:spacing w:after="0" w:line="260" w:lineRule="exact"/>
        <w:rPr>
          <w:sz w:val="20"/>
          <w:szCs w:val="20"/>
          <w:color w:val="auto"/>
        </w:rPr>
      </w:pPr>
    </w:p>
    <w:p>
      <w:pPr>
        <w:jc w:val="both"/>
        <w:ind w:firstLine="648"/>
        <w:spacing w:after="0" w:line="357" w:lineRule="auto"/>
        <w:rPr>
          <w:sz w:val="20"/>
          <w:szCs w:val="20"/>
          <w:color w:val="auto"/>
        </w:rPr>
      </w:pPr>
      <w:r>
        <w:rPr>
          <w:rFonts w:ascii="Arial" w:cs="Arial" w:eastAsia="Arial" w:hAnsi="Arial"/>
          <w:sz w:val="19"/>
          <w:szCs w:val="19"/>
          <w:color w:val="auto"/>
        </w:rPr>
        <w:t>Once notice of redemption is mailed in accordance with Section 3.03 hereof, Notes called for redemption become irrevocably due and payable on the redemption date at the redemption price. If mailed in the manner provided in Section 3.03 hereof, the notice of redemption shall be conclusively presumed to have been given whether or not the Holder receives such notice.</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3.05 </w:t>
      </w:r>
      <w:r>
        <w:rPr>
          <w:rFonts w:ascii="Arial" w:cs="Arial" w:eastAsia="Arial" w:hAnsi="Arial"/>
          <w:sz w:val="22"/>
          <w:szCs w:val="22"/>
          <w:i w:val="1"/>
          <w:iCs w:val="1"/>
          <w:color w:val="auto"/>
        </w:rPr>
        <w:t>Deposit of Redemption or Purchase Price</w:t>
      </w:r>
      <w:r>
        <w:rPr>
          <w:rFonts w:ascii="Arial" w:cs="Arial" w:eastAsia="Arial" w:hAnsi="Arial"/>
          <w:sz w:val="22"/>
          <w:szCs w:val="22"/>
          <w:color w:val="auto"/>
        </w:rPr>
        <w:t>.</w:t>
      </w:r>
    </w:p>
    <w:p>
      <w:pPr>
        <w:spacing w:after="0" w:line="260"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21"/>
          <w:szCs w:val="21"/>
          <w:color w:val="auto"/>
        </w:rPr>
        <w:t>One Business Day prior to the redemption or purchase date, the Issuer shall deposit with the Trustee or with the Paying Agent money sufficient to pay the redemption or purchase price of and accrued interest and premium, if any, on all Notes to be redeemed or purchased on that date. The Trustee or the Paying Agent shall promptly return to the Issuer any money deposited with the Trustee or the Paying Agent by the Issuer in excess of the amounts necessary to pay the redemption or purchase price of, and accrued interest and premium, if any, on all Notes to be redeemed or purchased.</w:t>
      </w:r>
    </w:p>
    <w:p>
      <w:pPr>
        <w:spacing w:after="0" w:line="177"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21"/>
          <w:szCs w:val="21"/>
          <w:color w:val="auto"/>
        </w:rPr>
        <w:t>If the Issuer complies with the provisions of the preceding paragraph, on and after the redemption or purchase date, interest shall cease to accrue on the Notes or the portions of Notes called for redemption or purchase. If a Note is redeemed or purchased on or after an interest record date but on or prior to the related interest payment date, then any accrued and unpaid interest shall be paid to the Person in whose name such Note was registered at the close of business on such record date. If any Note called for redemption or purchase is not so paid upon surrender for redemption or purchase because of the failure of the Issuer to comply with the preceding paragraph, interest shall be paid on the unpaid principal, from the redemption or purchase date until such principal is paid, and to the extent lawful on any interest not paid on such unpaid principal, in each case at the rate provided in the Notes and in Section 4.01 hereof.</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3160" w:type="dxa"/>
            <w:vAlign w:val="bottom"/>
          </w:tcPr>
          <w:p>
            <w:pPr>
              <w:spacing w:after="0"/>
              <w:rPr>
                <w:sz w:val="20"/>
                <w:szCs w:val="20"/>
                <w:color w:val="auto"/>
              </w:rPr>
            </w:pPr>
            <w:r>
              <w:rPr>
                <w:rFonts w:ascii="Arial" w:cs="Arial" w:eastAsia="Arial" w:hAnsi="Arial"/>
                <w:sz w:val="11"/>
                <w:szCs w:val="11"/>
                <w:color w:val="auto"/>
              </w:rPr>
              <w:t>ASIA 33616188</w:t>
            </w:r>
          </w:p>
        </w:tc>
        <w:tc>
          <w:tcPr>
            <w:tcW w:w="2660" w:type="dxa"/>
            <w:vAlign w:val="bottom"/>
          </w:tcPr>
          <w:p>
            <w:pPr>
              <w:jc w:val="right"/>
              <w:spacing w:after="0"/>
              <w:rPr>
                <w:sz w:val="20"/>
                <w:szCs w:val="20"/>
                <w:color w:val="auto"/>
              </w:rPr>
            </w:pPr>
            <w:r>
              <w:rPr>
                <w:rFonts w:ascii="Arial" w:cs="Arial" w:eastAsia="Arial" w:hAnsi="Arial"/>
                <w:sz w:val="22"/>
                <w:szCs w:val="22"/>
                <w:color w:val="auto"/>
              </w:rPr>
              <w:t>36</w:t>
            </w:r>
          </w:p>
        </w:tc>
      </w:tr>
    </w:tbl>
    <w:p>
      <w:pPr>
        <w:sectPr>
          <w:pgSz w:w="11900" w:h="16838" w:orient="portrait"/>
          <w:cols w:equalWidth="0" w:num="1">
            <w:col w:w="11420"/>
          </w:cols>
          <w:pgMar w:left="240" w:top="1440" w:right="239" w:bottom="1440" w:gutter="0" w:footer="0" w:header="0"/>
        </w:sectPr>
      </w:pPr>
    </w:p>
    <w:bookmarkStart w:id="187" w:name="page188"/>
    <w:bookmarkEnd w:id="187"/>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3.06 </w:t>
      </w:r>
      <w:r>
        <w:rPr>
          <w:rFonts w:ascii="Arial" w:cs="Arial" w:eastAsia="Arial" w:hAnsi="Arial"/>
          <w:sz w:val="22"/>
          <w:szCs w:val="22"/>
          <w:i w:val="1"/>
          <w:iCs w:val="1"/>
          <w:color w:val="auto"/>
        </w:rPr>
        <w:t>Notes Redeemed or Purchased in Part</w:t>
      </w:r>
      <w:r>
        <w:rPr>
          <w:rFonts w:ascii="Arial" w:cs="Arial" w:eastAsia="Arial" w:hAnsi="Arial"/>
          <w:sz w:val="22"/>
          <w:szCs w:val="22"/>
          <w:color w:val="auto"/>
        </w:rPr>
        <w:t>.</w:t>
      </w:r>
    </w:p>
    <w:p>
      <w:pPr>
        <w:spacing w:after="0" w:line="26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Upon surrender of a Note that is redeemed or purchased in part, the Issuer shall issue and, upon receipt of an Authentication Order, the Trustee shall authenticate for the Holder at the expense of the Issuer a new Note equal in principal amount to the unredeemed or unpurchased portion of the Note surrendered.</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3.07 </w:t>
      </w:r>
      <w:r>
        <w:rPr>
          <w:rFonts w:ascii="Arial" w:cs="Arial" w:eastAsia="Arial" w:hAnsi="Arial"/>
          <w:sz w:val="22"/>
          <w:szCs w:val="22"/>
          <w:i w:val="1"/>
          <w:iCs w:val="1"/>
          <w:color w:val="auto"/>
        </w:rPr>
        <w:t>Optional Redemption</w:t>
      </w:r>
      <w:r>
        <w:rPr>
          <w:rFonts w:ascii="Arial" w:cs="Arial" w:eastAsia="Arial" w:hAnsi="Arial"/>
          <w:sz w:val="22"/>
          <w:szCs w:val="22"/>
          <w:color w:val="auto"/>
        </w:rPr>
        <w:t>.</w:t>
      </w:r>
    </w:p>
    <w:p>
      <w:pPr>
        <w:spacing w:after="0" w:line="260" w:lineRule="exact"/>
        <w:rPr>
          <w:sz w:val="20"/>
          <w:szCs w:val="20"/>
          <w:color w:val="auto"/>
        </w:rPr>
      </w:pPr>
    </w:p>
    <w:p>
      <w:pPr>
        <w:jc w:val="both"/>
        <w:ind w:firstLine="656"/>
        <w:spacing w:after="0" w:line="288" w:lineRule="auto"/>
        <w:tabs>
          <w:tab w:leader="none" w:pos="960" w:val="left"/>
        </w:tabs>
        <w:numPr>
          <w:ilvl w:val="0"/>
          <w:numId w:val="123"/>
        </w:numPr>
        <w:rPr>
          <w:rFonts w:ascii="Arial" w:cs="Arial" w:eastAsia="Arial" w:hAnsi="Arial"/>
          <w:sz w:val="22"/>
          <w:szCs w:val="22"/>
          <w:color w:val="auto"/>
        </w:rPr>
      </w:pPr>
      <w:r>
        <w:rPr>
          <w:rFonts w:ascii="Arial" w:cs="Arial" w:eastAsia="Arial" w:hAnsi="Arial"/>
          <w:sz w:val="22"/>
          <w:szCs w:val="22"/>
          <w:color w:val="auto"/>
        </w:rPr>
        <w:t>At any time prior to December 15, 2022, the Issuer may, on any one or more occasions, redeem up to 35% of the aggregate principal amount of the Notes issued under this Indenture (including Additional Notes) at a redemption price of 105.125% of the principal amount, plus accrued and unpaid interest, if any, to (but excluding) the redemption date, with the net cash proceeds of one or more Equity Offerings; provided that:</w:t>
      </w:r>
    </w:p>
    <w:p>
      <w:pPr>
        <w:spacing w:after="0" w:line="190" w:lineRule="exact"/>
        <w:rPr>
          <w:rFonts w:ascii="Arial" w:cs="Arial" w:eastAsia="Arial" w:hAnsi="Arial"/>
          <w:sz w:val="22"/>
          <w:szCs w:val="22"/>
          <w:color w:val="auto"/>
        </w:rPr>
      </w:pPr>
    </w:p>
    <w:p>
      <w:pPr>
        <w:jc w:val="both"/>
        <w:ind w:left="660" w:firstLine="645"/>
        <w:spacing w:after="0" w:line="387" w:lineRule="auto"/>
        <w:tabs>
          <w:tab w:leader="none" w:pos="1605" w:val="left"/>
        </w:tabs>
        <w:numPr>
          <w:ilvl w:val="1"/>
          <w:numId w:val="123"/>
        </w:numPr>
        <w:rPr>
          <w:rFonts w:ascii="Arial" w:cs="Arial" w:eastAsia="Arial" w:hAnsi="Arial"/>
          <w:sz w:val="19"/>
          <w:szCs w:val="19"/>
          <w:color w:val="auto"/>
        </w:rPr>
      </w:pPr>
      <w:r>
        <w:rPr>
          <w:rFonts w:ascii="Arial" w:cs="Arial" w:eastAsia="Arial" w:hAnsi="Arial"/>
          <w:sz w:val="19"/>
          <w:szCs w:val="19"/>
          <w:color w:val="auto"/>
        </w:rPr>
        <w:t>at least 65% of the aggregate principal amount of the Notes originally issued under this Indenture (excluding the Notes held by the Issuer and its Subsidiaries) remains outstanding immediately after the occurrence of such redemption; and</w:t>
      </w:r>
    </w:p>
    <w:p>
      <w:pPr>
        <w:spacing w:after="0" w:line="105" w:lineRule="exact"/>
        <w:rPr>
          <w:rFonts w:ascii="Arial" w:cs="Arial" w:eastAsia="Arial" w:hAnsi="Arial"/>
          <w:sz w:val="19"/>
          <w:szCs w:val="19"/>
          <w:color w:val="auto"/>
        </w:rPr>
      </w:pPr>
    </w:p>
    <w:p>
      <w:pPr>
        <w:ind w:left="1600" w:hanging="295"/>
        <w:spacing w:after="0"/>
        <w:tabs>
          <w:tab w:leader="none" w:pos="1600" w:val="left"/>
        </w:tabs>
        <w:numPr>
          <w:ilvl w:val="1"/>
          <w:numId w:val="123"/>
        </w:numPr>
        <w:rPr>
          <w:rFonts w:ascii="Arial" w:cs="Arial" w:eastAsia="Arial" w:hAnsi="Arial"/>
          <w:sz w:val="22"/>
          <w:szCs w:val="22"/>
          <w:color w:val="auto"/>
        </w:rPr>
      </w:pPr>
      <w:r>
        <w:rPr>
          <w:rFonts w:ascii="Arial" w:cs="Arial" w:eastAsia="Arial" w:hAnsi="Arial"/>
          <w:sz w:val="22"/>
          <w:szCs w:val="22"/>
          <w:color w:val="auto"/>
        </w:rPr>
        <w:t>the redemption occurs within 60 days of the date of the closing of such Equity Offering.</w:t>
      </w:r>
    </w:p>
    <w:p>
      <w:pPr>
        <w:spacing w:after="0" w:line="260" w:lineRule="exact"/>
        <w:rPr>
          <w:rFonts w:ascii="Arial" w:cs="Arial" w:eastAsia="Arial" w:hAnsi="Arial"/>
          <w:sz w:val="22"/>
          <w:szCs w:val="22"/>
          <w:color w:val="auto"/>
        </w:rPr>
      </w:pPr>
    </w:p>
    <w:p>
      <w:pPr>
        <w:ind w:right="20" w:firstLine="656"/>
        <w:spacing w:after="0" w:line="302" w:lineRule="auto"/>
        <w:tabs>
          <w:tab w:leader="none" w:pos="945" w:val="left"/>
        </w:tabs>
        <w:numPr>
          <w:ilvl w:val="0"/>
          <w:numId w:val="123"/>
        </w:numPr>
        <w:rPr>
          <w:rFonts w:ascii="Arial" w:cs="Arial" w:eastAsia="Arial" w:hAnsi="Arial"/>
          <w:sz w:val="22"/>
          <w:szCs w:val="22"/>
          <w:color w:val="auto"/>
        </w:rPr>
      </w:pPr>
      <w:r>
        <w:rPr>
          <w:rFonts w:ascii="Arial" w:cs="Arial" w:eastAsia="Arial" w:hAnsi="Arial"/>
          <w:sz w:val="22"/>
          <w:szCs w:val="22"/>
          <w:color w:val="auto"/>
        </w:rPr>
        <w:t>At any time prior to December 15, 2024, the Issuer may on any one or more occasions redeem all or part of the Notes, upon not less than 10 nor more than 60 days’ notice, at a redemption price equal to the greater of:</w:t>
      </w:r>
    </w:p>
    <w:p>
      <w:pPr>
        <w:spacing w:after="0" w:line="173" w:lineRule="exact"/>
        <w:rPr>
          <w:rFonts w:ascii="Arial" w:cs="Arial" w:eastAsia="Arial" w:hAnsi="Arial"/>
          <w:sz w:val="22"/>
          <w:szCs w:val="22"/>
          <w:color w:val="auto"/>
        </w:rPr>
      </w:pPr>
    </w:p>
    <w:p>
      <w:pPr>
        <w:ind w:left="1600" w:hanging="295"/>
        <w:spacing w:after="0"/>
        <w:tabs>
          <w:tab w:leader="none" w:pos="1600" w:val="left"/>
        </w:tabs>
        <w:numPr>
          <w:ilvl w:val="1"/>
          <w:numId w:val="123"/>
        </w:numPr>
        <w:rPr>
          <w:rFonts w:ascii="Arial" w:cs="Arial" w:eastAsia="Arial" w:hAnsi="Arial"/>
          <w:sz w:val="22"/>
          <w:szCs w:val="22"/>
          <w:color w:val="auto"/>
        </w:rPr>
      </w:pPr>
      <w:r>
        <w:rPr>
          <w:rFonts w:ascii="Arial" w:cs="Arial" w:eastAsia="Arial" w:hAnsi="Arial"/>
          <w:sz w:val="22"/>
          <w:szCs w:val="22"/>
          <w:color w:val="auto"/>
        </w:rPr>
        <w:t>100% of the principal amount of the Notes to be redeemed; or</w:t>
      </w:r>
    </w:p>
    <w:p>
      <w:pPr>
        <w:spacing w:after="0" w:line="260" w:lineRule="exact"/>
        <w:rPr>
          <w:rFonts w:ascii="Arial" w:cs="Arial" w:eastAsia="Arial" w:hAnsi="Arial"/>
          <w:sz w:val="22"/>
          <w:szCs w:val="22"/>
          <w:color w:val="auto"/>
        </w:rPr>
      </w:pPr>
    </w:p>
    <w:p>
      <w:pPr>
        <w:jc w:val="both"/>
        <w:ind w:left="660" w:firstLine="645"/>
        <w:spacing w:after="0" w:line="346" w:lineRule="auto"/>
        <w:tabs>
          <w:tab w:leader="none" w:pos="1619" w:val="left"/>
        </w:tabs>
        <w:numPr>
          <w:ilvl w:val="1"/>
          <w:numId w:val="123"/>
        </w:numPr>
        <w:rPr>
          <w:rFonts w:ascii="Arial" w:cs="Arial" w:eastAsia="Arial" w:hAnsi="Arial"/>
          <w:sz w:val="19"/>
          <w:szCs w:val="19"/>
          <w:color w:val="auto"/>
        </w:rPr>
      </w:pPr>
      <w:r>
        <w:rPr>
          <w:rFonts w:ascii="Arial" w:cs="Arial" w:eastAsia="Arial" w:hAnsi="Arial"/>
          <w:sz w:val="19"/>
          <w:szCs w:val="19"/>
          <w:color w:val="auto"/>
        </w:rPr>
        <w:t>as determined by an Independent Investment Banker, the sum of the present values of the remaining scheduled payments of principal and interest on the Notes to be redeemed (not including any portion of such payments of interest accrued to (but excluding) the date of redemption) discounted to the redemption date on a semi-annual basis (assuming a 360-day year consisting of twelve 30-day months) at the Adjusted Treasury Rate, plus 50 basis points,</w:t>
      </w:r>
    </w:p>
    <w:p>
      <w:pPr>
        <w:spacing w:after="0" w:line="145" w:lineRule="exact"/>
        <w:rPr>
          <w:sz w:val="20"/>
          <w:szCs w:val="20"/>
          <w:color w:val="auto"/>
        </w:rPr>
      </w:pPr>
    </w:p>
    <w:p>
      <w:pPr>
        <w:ind w:left="660"/>
        <w:spacing w:after="0" w:line="302" w:lineRule="auto"/>
        <w:rPr>
          <w:sz w:val="20"/>
          <w:szCs w:val="20"/>
          <w:color w:val="auto"/>
        </w:rPr>
      </w:pPr>
      <w:r>
        <w:rPr>
          <w:rFonts w:ascii="Arial" w:cs="Arial" w:eastAsia="Arial" w:hAnsi="Arial"/>
          <w:sz w:val="22"/>
          <w:szCs w:val="22"/>
          <w:color w:val="auto"/>
        </w:rPr>
        <w:t>plus, in either of the above cases, accrued and unpaid interest to (but excluding) the date of redemption on the Notes to be redeemed.</w:t>
      </w:r>
    </w:p>
    <w:p>
      <w:pPr>
        <w:spacing w:after="0" w:line="174" w:lineRule="exact"/>
        <w:rPr>
          <w:sz w:val="20"/>
          <w:szCs w:val="20"/>
          <w:color w:val="auto"/>
        </w:rPr>
      </w:pPr>
    </w:p>
    <w:p>
      <w:pPr>
        <w:ind w:firstLine="656"/>
        <w:spacing w:after="0" w:line="302" w:lineRule="auto"/>
        <w:tabs>
          <w:tab w:leader="none" w:pos="933" w:val="left"/>
        </w:tabs>
        <w:numPr>
          <w:ilvl w:val="0"/>
          <w:numId w:val="124"/>
        </w:numPr>
        <w:rPr>
          <w:rFonts w:ascii="Arial" w:cs="Arial" w:eastAsia="Arial" w:hAnsi="Arial"/>
          <w:sz w:val="22"/>
          <w:szCs w:val="22"/>
          <w:color w:val="auto"/>
        </w:rPr>
      </w:pPr>
      <w:r>
        <w:rPr>
          <w:rFonts w:ascii="Arial" w:cs="Arial" w:eastAsia="Arial" w:hAnsi="Arial"/>
          <w:sz w:val="22"/>
          <w:szCs w:val="22"/>
          <w:color w:val="auto"/>
        </w:rPr>
        <w:t>Except pursuant to Sections 3.07(a), 3.07(b), 3.09, 3.10 and 4.10 hereof, the Notes shall not be redeemable at the Issuer’s option prior to December 15, 2024.</w:t>
      </w:r>
    </w:p>
    <w:p>
      <w:pPr>
        <w:spacing w:after="0" w:line="173" w:lineRule="exact"/>
        <w:rPr>
          <w:rFonts w:ascii="Arial" w:cs="Arial" w:eastAsia="Arial" w:hAnsi="Arial"/>
          <w:sz w:val="22"/>
          <w:szCs w:val="22"/>
          <w:color w:val="auto"/>
        </w:rPr>
      </w:pPr>
    </w:p>
    <w:p>
      <w:pPr>
        <w:jc w:val="both"/>
        <w:ind w:firstLine="656"/>
        <w:spacing w:after="0" w:line="292" w:lineRule="auto"/>
        <w:tabs>
          <w:tab w:leader="none" w:pos="945" w:val="left"/>
        </w:tabs>
        <w:numPr>
          <w:ilvl w:val="0"/>
          <w:numId w:val="124"/>
        </w:numPr>
        <w:rPr>
          <w:rFonts w:ascii="Arial" w:cs="Arial" w:eastAsia="Arial" w:hAnsi="Arial"/>
          <w:sz w:val="22"/>
          <w:szCs w:val="22"/>
          <w:color w:val="auto"/>
        </w:rPr>
      </w:pPr>
      <w:r>
        <w:rPr>
          <w:rFonts w:ascii="Arial" w:cs="Arial" w:eastAsia="Arial" w:hAnsi="Arial"/>
          <w:sz w:val="22"/>
          <w:szCs w:val="22"/>
          <w:color w:val="auto"/>
        </w:rPr>
        <w:t>On or after December 15, 2024, the Issuer may on any one or more occasions redeem all or a part of the Notes, upon not less than 10 nor more than 60 days’ notice, at the redemption prices (expressed as percentages of principal amount) set forth below, plus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3160" w:type="dxa"/>
            <w:vAlign w:val="bottom"/>
          </w:tcPr>
          <w:p>
            <w:pPr>
              <w:spacing w:after="0"/>
              <w:rPr>
                <w:sz w:val="20"/>
                <w:szCs w:val="20"/>
                <w:color w:val="auto"/>
              </w:rPr>
            </w:pPr>
            <w:r>
              <w:rPr>
                <w:rFonts w:ascii="Arial" w:cs="Arial" w:eastAsia="Arial" w:hAnsi="Arial"/>
                <w:sz w:val="11"/>
                <w:szCs w:val="11"/>
                <w:color w:val="auto"/>
              </w:rPr>
              <w:t>ASIA 33616188</w:t>
            </w:r>
          </w:p>
        </w:tc>
        <w:tc>
          <w:tcPr>
            <w:tcW w:w="2660" w:type="dxa"/>
            <w:vAlign w:val="bottom"/>
          </w:tcPr>
          <w:p>
            <w:pPr>
              <w:jc w:val="right"/>
              <w:spacing w:after="0"/>
              <w:rPr>
                <w:sz w:val="20"/>
                <w:szCs w:val="20"/>
                <w:color w:val="auto"/>
              </w:rPr>
            </w:pPr>
            <w:r>
              <w:rPr>
                <w:rFonts w:ascii="Arial" w:cs="Arial" w:eastAsia="Arial" w:hAnsi="Arial"/>
                <w:sz w:val="22"/>
                <w:szCs w:val="22"/>
                <w:color w:val="auto"/>
              </w:rPr>
              <w:t>37</w:t>
            </w:r>
          </w:p>
        </w:tc>
      </w:tr>
    </w:tbl>
    <w:p>
      <w:pPr>
        <w:sectPr>
          <w:pgSz w:w="11900" w:h="16838" w:orient="portrait"/>
          <w:cols w:equalWidth="0" w:num="1">
            <w:col w:w="11420"/>
          </w:cols>
          <w:pgMar w:left="240" w:top="1440" w:right="239" w:bottom="1440" w:gutter="0" w:footer="0" w:header="0"/>
        </w:sectPr>
      </w:pPr>
    </w:p>
    <w:bookmarkStart w:id="188" w:name="page189"/>
    <w:bookmarkEnd w:id="188"/>
    <w:p>
      <w:pPr>
        <w:spacing w:after="0" w:line="2" w:lineRule="exact"/>
        <w:rPr>
          <w:sz w:val="20"/>
          <w:szCs w:val="20"/>
          <w:color w:val="auto"/>
        </w:rPr>
      </w:pPr>
    </w:p>
    <w:p>
      <w:pPr>
        <w:jc w:val="both"/>
        <w:spacing w:after="0" w:line="292" w:lineRule="auto"/>
        <w:rPr>
          <w:sz w:val="20"/>
          <w:szCs w:val="20"/>
          <w:color w:val="auto"/>
        </w:rPr>
      </w:pPr>
      <w:r>
        <w:rPr>
          <w:rFonts w:ascii="Arial" w:cs="Arial" w:eastAsia="Arial" w:hAnsi="Arial"/>
          <w:sz w:val="22"/>
          <w:szCs w:val="22"/>
          <w:color w:val="auto"/>
        </w:rPr>
        <w:t>accrued and unpaid interest, if any, on the Notes redeemed, to (but excluding) the applicable date of redemption, if redeemed during the twelve-month period beginning on December 15 of the years indicated below, subject to the rights of Holders on the relevant record date to receive interest on the relevant interest payment date:</w:t>
      </w:r>
    </w:p>
    <w:p>
      <w:pPr>
        <w:spacing w:after="0" w:line="205" w:lineRule="exact"/>
        <w:rPr>
          <w:sz w:val="20"/>
          <w:szCs w:val="20"/>
          <w:color w:val="auto"/>
        </w:rPr>
      </w:pPr>
    </w:p>
    <w:tbl>
      <w:tblPr>
        <w:tblLayout w:type="fixed"/>
        <w:tblInd w:w="3840" w:type="dxa"/>
        <w:tblCellMar>
          <w:top w:w="0" w:type="dxa"/>
          <w:left w:w="0" w:type="dxa"/>
          <w:bottom w:w="0" w:type="dxa"/>
          <w:right w:w="0" w:type="dxa"/>
        </w:tblCellMar>
      </w:tblPr>
      <w:tr>
        <w:trPr>
          <w:trHeight w:val="281"/>
        </w:trPr>
        <w:tc>
          <w:tcPr>
            <w:tcW w:w="3060" w:type="dxa"/>
            <w:vAlign w:val="bottom"/>
          </w:tcPr>
          <w:p>
            <w:pPr>
              <w:jc w:val="center"/>
              <w:ind w:right="1252"/>
              <w:spacing w:after="0"/>
              <w:rPr>
                <w:sz w:val="20"/>
                <w:szCs w:val="20"/>
                <w:color w:val="auto"/>
              </w:rPr>
            </w:pPr>
            <w:r>
              <w:rPr>
                <w:rFonts w:ascii="Arial" w:cs="Arial" w:eastAsia="Arial" w:hAnsi="Arial"/>
                <w:sz w:val="22"/>
                <w:szCs w:val="22"/>
                <w:b w:val="1"/>
                <w:bCs w:val="1"/>
                <w:color w:val="auto"/>
                <w:w w:val="87"/>
              </w:rPr>
              <w:t>Year</w:t>
            </w:r>
          </w:p>
        </w:tc>
        <w:tc>
          <w:tcPr>
            <w:tcW w:w="2400" w:type="dxa"/>
            <w:vAlign w:val="bottom"/>
          </w:tcPr>
          <w:p>
            <w:pPr>
              <w:ind w:left="1380"/>
              <w:spacing w:after="0"/>
              <w:rPr>
                <w:sz w:val="20"/>
                <w:szCs w:val="20"/>
                <w:color w:val="auto"/>
              </w:rPr>
            </w:pPr>
            <w:r>
              <w:rPr>
                <w:rFonts w:ascii="Arial" w:cs="Arial" w:eastAsia="Arial" w:hAnsi="Arial"/>
                <w:sz w:val="22"/>
                <w:szCs w:val="22"/>
                <w:b w:val="1"/>
                <w:bCs w:val="1"/>
                <w:color w:val="auto"/>
                <w:w w:val="84"/>
              </w:rPr>
              <w:t>Percentage</w:t>
            </w:r>
          </w:p>
        </w:tc>
      </w:tr>
      <w:tr>
        <w:trPr>
          <w:trHeight w:val="297"/>
        </w:trPr>
        <w:tc>
          <w:tcPr>
            <w:tcW w:w="3060" w:type="dxa"/>
            <w:vAlign w:val="bottom"/>
          </w:tcPr>
          <w:p>
            <w:pPr>
              <w:jc w:val="center"/>
              <w:ind w:right="1252"/>
              <w:spacing w:after="0"/>
              <w:rPr>
                <w:sz w:val="20"/>
                <w:szCs w:val="20"/>
                <w:color w:val="auto"/>
              </w:rPr>
            </w:pPr>
            <w:r>
              <w:rPr>
                <w:rFonts w:ascii="Arial" w:cs="Arial" w:eastAsia="Arial" w:hAnsi="Arial"/>
                <w:sz w:val="22"/>
                <w:szCs w:val="22"/>
                <w:color w:val="auto"/>
                <w:w w:val="85"/>
              </w:rPr>
              <w:t>2024</w:t>
            </w:r>
          </w:p>
        </w:tc>
        <w:tc>
          <w:tcPr>
            <w:tcW w:w="2400" w:type="dxa"/>
            <w:vAlign w:val="bottom"/>
          </w:tcPr>
          <w:p>
            <w:pPr>
              <w:ind w:left="1380"/>
              <w:spacing w:after="0"/>
              <w:rPr>
                <w:sz w:val="20"/>
                <w:szCs w:val="20"/>
                <w:color w:val="auto"/>
              </w:rPr>
            </w:pPr>
            <w:r>
              <w:rPr>
                <w:rFonts w:ascii="Arial" w:cs="Arial" w:eastAsia="Arial" w:hAnsi="Arial"/>
                <w:sz w:val="22"/>
                <w:szCs w:val="22"/>
                <w:color w:val="auto"/>
              </w:rPr>
              <w:t>102.563%</w:t>
            </w:r>
          </w:p>
        </w:tc>
      </w:tr>
      <w:tr>
        <w:trPr>
          <w:trHeight w:val="297"/>
        </w:trPr>
        <w:tc>
          <w:tcPr>
            <w:tcW w:w="3060" w:type="dxa"/>
            <w:vAlign w:val="bottom"/>
          </w:tcPr>
          <w:p>
            <w:pPr>
              <w:jc w:val="center"/>
              <w:ind w:right="1252"/>
              <w:spacing w:after="0"/>
              <w:rPr>
                <w:sz w:val="20"/>
                <w:szCs w:val="20"/>
                <w:color w:val="auto"/>
              </w:rPr>
            </w:pPr>
            <w:r>
              <w:rPr>
                <w:rFonts w:ascii="Arial" w:cs="Arial" w:eastAsia="Arial" w:hAnsi="Arial"/>
                <w:sz w:val="22"/>
                <w:szCs w:val="22"/>
                <w:color w:val="auto"/>
                <w:w w:val="85"/>
              </w:rPr>
              <w:t>2025</w:t>
            </w:r>
          </w:p>
        </w:tc>
        <w:tc>
          <w:tcPr>
            <w:tcW w:w="2400" w:type="dxa"/>
            <w:vAlign w:val="bottom"/>
          </w:tcPr>
          <w:p>
            <w:pPr>
              <w:ind w:left="1380"/>
              <w:spacing w:after="0"/>
              <w:rPr>
                <w:sz w:val="20"/>
                <w:szCs w:val="20"/>
                <w:color w:val="auto"/>
              </w:rPr>
            </w:pPr>
            <w:r>
              <w:rPr>
                <w:rFonts w:ascii="Arial" w:cs="Arial" w:eastAsia="Arial" w:hAnsi="Arial"/>
                <w:sz w:val="22"/>
                <w:szCs w:val="22"/>
                <w:color w:val="auto"/>
              </w:rPr>
              <w:t>101.708%</w:t>
            </w:r>
          </w:p>
        </w:tc>
      </w:tr>
      <w:tr>
        <w:trPr>
          <w:trHeight w:val="297"/>
        </w:trPr>
        <w:tc>
          <w:tcPr>
            <w:tcW w:w="3060" w:type="dxa"/>
            <w:vAlign w:val="bottom"/>
          </w:tcPr>
          <w:p>
            <w:pPr>
              <w:jc w:val="center"/>
              <w:ind w:right="1252"/>
              <w:spacing w:after="0"/>
              <w:rPr>
                <w:sz w:val="20"/>
                <w:szCs w:val="20"/>
                <w:color w:val="auto"/>
              </w:rPr>
            </w:pPr>
            <w:r>
              <w:rPr>
                <w:rFonts w:ascii="Arial" w:cs="Arial" w:eastAsia="Arial" w:hAnsi="Arial"/>
                <w:sz w:val="22"/>
                <w:szCs w:val="22"/>
                <w:color w:val="auto"/>
                <w:w w:val="85"/>
              </w:rPr>
              <w:t>2026</w:t>
            </w:r>
          </w:p>
        </w:tc>
        <w:tc>
          <w:tcPr>
            <w:tcW w:w="2400" w:type="dxa"/>
            <w:vAlign w:val="bottom"/>
          </w:tcPr>
          <w:p>
            <w:pPr>
              <w:ind w:left="1380"/>
              <w:spacing w:after="0"/>
              <w:rPr>
                <w:sz w:val="20"/>
                <w:szCs w:val="20"/>
                <w:color w:val="auto"/>
              </w:rPr>
            </w:pPr>
            <w:r>
              <w:rPr>
                <w:rFonts w:ascii="Arial" w:cs="Arial" w:eastAsia="Arial" w:hAnsi="Arial"/>
                <w:sz w:val="22"/>
                <w:szCs w:val="22"/>
                <w:color w:val="auto"/>
              </w:rPr>
              <w:t>100.854%</w:t>
            </w:r>
          </w:p>
        </w:tc>
      </w:tr>
      <w:tr>
        <w:trPr>
          <w:trHeight w:val="311"/>
        </w:trPr>
        <w:tc>
          <w:tcPr>
            <w:tcW w:w="3060" w:type="dxa"/>
            <w:vAlign w:val="bottom"/>
          </w:tcPr>
          <w:p>
            <w:pPr>
              <w:jc w:val="center"/>
              <w:ind w:right="1272"/>
              <w:spacing w:after="0"/>
              <w:rPr>
                <w:sz w:val="20"/>
                <w:szCs w:val="20"/>
                <w:color w:val="auto"/>
              </w:rPr>
            </w:pPr>
            <w:r>
              <w:rPr>
                <w:rFonts w:ascii="Arial" w:cs="Arial" w:eastAsia="Arial" w:hAnsi="Arial"/>
                <w:sz w:val="22"/>
                <w:szCs w:val="22"/>
                <w:color w:val="auto"/>
                <w:w w:val="87"/>
              </w:rPr>
              <w:t>2027 and thereafter</w:t>
            </w:r>
          </w:p>
        </w:tc>
        <w:tc>
          <w:tcPr>
            <w:tcW w:w="2400" w:type="dxa"/>
            <w:vAlign w:val="bottom"/>
          </w:tcPr>
          <w:p>
            <w:pPr>
              <w:ind w:left="1380"/>
              <w:spacing w:after="0"/>
              <w:rPr>
                <w:sz w:val="20"/>
                <w:szCs w:val="20"/>
                <w:color w:val="auto"/>
              </w:rPr>
            </w:pPr>
            <w:r>
              <w:rPr>
                <w:rFonts w:ascii="Arial" w:cs="Arial" w:eastAsia="Arial" w:hAnsi="Arial"/>
                <w:sz w:val="22"/>
                <w:szCs w:val="22"/>
                <w:color w:val="auto"/>
              </w:rPr>
              <w:t>100.000%</w:t>
            </w:r>
          </w:p>
        </w:tc>
      </w:tr>
    </w:tbl>
    <w:p>
      <w:pPr>
        <w:spacing w:after="0" w:line="239" w:lineRule="exact"/>
        <w:rPr>
          <w:sz w:val="20"/>
          <w:szCs w:val="20"/>
          <w:color w:val="auto"/>
        </w:rPr>
      </w:pPr>
    </w:p>
    <w:p>
      <w:pPr>
        <w:spacing w:after="0" w:line="302" w:lineRule="auto"/>
        <w:rPr>
          <w:sz w:val="20"/>
          <w:szCs w:val="20"/>
          <w:color w:val="auto"/>
        </w:rPr>
      </w:pPr>
      <w:r>
        <w:rPr>
          <w:rFonts w:ascii="Arial" w:cs="Arial" w:eastAsia="Arial" w:hAnsi="Arial"/>
          <w:sz w:val="22"/>
          <w:szCs w:val="22"/>
          <w:color w:val="auto"/>
        </w:rPr>
        <w:t>Unless the Issuer defaults in the payment of the redemption price, interest shall cease to accrue on the Notes or portions thereof called for redemption on the applicable redemption date.</w:t>
      </w:r>
    </w:p>
    <w:p>
      <w:pPr>
        <w:spacing w:after="0" w:line="174" w:lineRule="exact"/>
        <w:rPr>
          <w:sz w:val="20"/>
          <w:szCs w:val="20"/>
          <w:color w:val="auto"/>
        </w:rPr>
      </w:pPr>
    </w:p>
    <w:p>
      <w:pPr>
        <w:jc w:val="both"/>
        <w:ind w:firstLine="656"/>
        <w:spacing w:after="0" w:line="299" w:lineRule="auto"/>
        <w:tabs>
          <w:tab w:leader="none" w:pos="946" w:val="left"/>
        </w:tabs>
        <w:numPr>
          <w:ilvl w:val="0"/>
          <w:numId w:val="125"/>
        </w:numPr>
        <w:rPr>
          <w:rFonts w:ascii="Arial" w:cs="Arial" w:eastAsia="Arial" w:hAnsi="Arial"/>
          <w:sz w:val="21"/>
          <w:szCs w:val="21"/>
          <w:color w:val="auto"/>
        </w:rPr>
      </w:pPr>
      <w:r>
        <w:rPr>
          <w:rFonts w:ascii="Arial" w:cs="Arial" w:eastAsia="Arial" w:hAnsi="Arial"/>
          <w:sz w:val="21"/>
          <w:szCs w:val="21"/>
          <w:color w:val="auto"/>
        </w:rPr>
        <w:t>Any redemption set forth under Section 3.07(a), (b) or (d) hereof may, at the discretion of the Issuer, be subject to the satisfaction of one or more conditions precedent. If such redemption is so subject to satisfaction of one or more conditions precedent, such notice shall describe each such condition, and if applicable, shall state that, in the Issuer’s discretion, the redemption date may be delayed until such time (provided, however, that any delayed redemption date shall not be more than 60 days after the date the relevant notice of redemption was sent) as any or all such conditions shall be satisfied, or such redemption or purchase may not occur and such notice may be rescinded in the event that any or all such conditions shall not have been satisfied by the redemption date or by the redemption date as so delayed. In addition, the Issuer may provide in such notice that payment of the redemption price and performance of the Issuer’s obligations with respect to such redemption may be performed by another Person.</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3.08 </w:t>
      </w:r>
      <w:r>
        <w:rPr>
          <w:rFonts w:ascii="Arial" w:cs="Arial" w:eastAsia="Arial" w:hAnsi="Arial"/>
          <w:sz w:val="22"/>
          <w:szCs w:val="22"/>
          <w:i w:val="1"/>
          <w:iCs w:val="1"/>
          <w:color w:val="auto"/>
        </w:rPr>
        <w:t>Mandatory Redemption</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Issuer is not required to make mandatory redemption or sinking fund payments with respect to the Notes.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3.09 </w:t>
      </w:r>
      <w:r>
        <w:rPr>
          <w:rFonts w:ascii="Arial" w:cs="Arial" w:eastAsia="Arial" w:hAnsi="Arial"/>
          <w:sz w:val="22"/>
          <w:szCs w:val="22"/>
          <w:i w:val="1"/>
          <w:iCs w:val="1"/>
          <w:color w:val="auto"/>
        </w:rPr>
        <w:t>Mandatory Disposition or Redemption Pursuant to Gaming Laws</w:t>
      </w:r>
      <w:r>
        <w:rPr>
          <w:rFonts w:ascii="Arial" w:cs="Arial" w:eastAsia="Arial" w:hAnsi="Arial"/>
          <w:sz w:val="22"/>
          <w:szCs w:val="22"/>
          <w:color w:val="auto"/>
        </w:rPr>
        <w:t>.</w:t>
      </w:r>
    </w:p>
    <w:p>
      <w:pPr>
        <w:spacing w:after="0" w:line="26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color w:val="auto"/>
        </w:rPr>
        <w:t>Notwithstanding any other provision hereof, if any Gaming Authority requires a Holder or Beneficial Owner of Notes to be licensed, qualified or found suitable under any applicable Gaming Law and the Holder or Beneficial Owner (1) fails to apply for a license, qualification or finding of suitability within 30 days after being requested to do so (or such lesser period as required by the Gaming Authority) or (2) is notified by a Gaming Authority</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3160" w:type="dxa"/>
            <w:vAlign w:val="bottom"/>
          </w:tcPr>
          <w:p>
            <w:pPr>
              <w:spacing w:after="0"/>
              <w:rPr>
                <w:sz w:val="20"/>
                <w:szCs w:val="20"/>
                <w:color w:val="auto"/>
              </w:rPr>
            </w:pPr>
            <w:r>
              <w:rPr>
                <w:rFonts w:ascii="Arial" w:cs="Arial" w:eastAsia="Arial" w:hAnsi="Arial"/>
                <w:sz w:val="11"/>
                <w:szCs w:val="11"/>
                <w:color w:val="auto"/>
              </w:rPr>
              <w:t>ASIA 33616188</w:t>
            </w:r>
          </w:p>
        </w:tc>
        <w:tc>
          <w:tcPr>
            <w:tcW w:w="2660" w:type="dxa"/>
            <w:vAlign w:val="bottom"/>
          </w:tcPr>
          <w:p>
            <w:pPr>
              <w:jc w:val="right"/>
              <w:spacing w:after="0"/>
              <w:rPr>
                <w:sz w:val="20"/>
                <w:szCs w:val="20"/>
                <w:color w:val="auto"/>
              </w:rPr>
            </w:pPr>
            <w:r>
              <w:rPr>
                <w:rFonts w:ascii="Arial" w:cs="Arial" w:eastAsia="Arial" w:hAnsi="Arial"/>
                <w:sz w:val="22"/>
                <w:szCs w:val="22"/>
                <w:color w:val="auto"/>
              </w:rPr>
              <w:t>38</w:t>
            </w:r>
          </w:p>
        </w:tc>
      </w:tr>
    </w:tbl>
    <w:p>
      <w:pPr>
        <w:sectPr>
          <w:pgSz w:w="11900" w:h="16838" w:orient="portrait"/>
          <w:cols w:equalWidth="0" w:num="1">
            <w:col w:w="11420"/>
          </w:cols>
          <w:pgMar w:left="240" w:top="1440" w:right="239" w:bottom="1440" w:gutter="0" w:footer="0" w:header="0"/>
        </w:sectPr>
      </w:pPr>
    </w:p>
    <w:bookmarkStart w:id="189" w:name="page190"/>
    <w:bookmarkEnd w:id="189"/>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that it shall not be licensed, qualified or found suitable, the Issuer shall have the right, at its option, to:</w:t>
      </w:r>
    </w:p>
    <w:p>
      <w:pPr>
        <w:spacing w:after="0" w:line="260" w:lineRule="exact"/>
        <w:rPr>
          <w:sz w:val="20"/>
          <w:szCs w:val="20"/>
          <w:color w:val="auto"/>
        </w:rPr>
      </w:pPr>
    </w:p>
    <w:p>
      <w:pPr>
        <w:ind w:firstLine="656"/>
        <w:spacing w:after="0" w:line="302" w:lineRule="auto"/>
        <w:tabs>
          <w:tab w:leader="none" w:pos="933" w:val="left"/>
        </w:tabs>
        <w:numPr>
          <w:ilvl w:val="0"/>
          <w:numId w:val="126"/>
        </w:numPr>
        <w:rPr>
          <w:rFonts w:ascii="Arial" w:cs="Arial" w:eastAsia="Arial" w:hAnsi="Arial"/>
          <w:sz w:val="22"/>
          <w:szCs w:val="22"/>
          <w:color w:val="auto"/>
        </w:rPr>
      </w:pPr>
      <w:r>
        <w:rPr>
          <w:rFonts w:ascii="Arial" w:cs="Arial" w:eastAsia="Arial" w:hAnsi="Arial"/>
          <w:sz w:val="22"/>
          <w:szCs w:val="22"/>
          <w:color w:val="auto"/>
        </w:rPr>
        <w:t>require the Holder or Beneficial Owner to dispose of its Notes within 30 days (or such lesser period as required by the Gaming Authority) following the earlier of:</w:t>
      </w:r>
    </w:p>
    <w:p>
      <w:pPr>
        <w:spacing w:after="0" w:line="173" w:lineRule="exact"/>
        <w:rPr>
          <w:rFonts w:ascii="Arial" w:cs="Arial" w:eastAsia="Arial" w:hAnsi="Arial"/>
          <w:sz w:val="22"/>
          <w:szCs w:val="22"/>
          <w:color w:val="auto"/>
        </w:rPr>
      </w:pPr>
    </w:p>
    <w:p>
      <w:pPr>
        <w:jc w:val="both"/>
        <w:ind w:left="660" w:firstLine="645"/>
        <w:spacing w:after="0" w:line="292" w:lineRule="auto"/>
        <w:tabs>
          <w:tab w:leader="none" w:pos="1646" w:val="left"/>
        </w:tabs>
        <w:numPr>
          <w:ilvl w:val="1"/>
          <w:numId w:val="126"/>
        </w:numPr>
        <w:rPr>
          <w:rFonts w:ascii="Arial" w:cs="Arial" w:eastAsia="Arial" w:hAnsi="Arial"/>
          <w:sz w:val="22"/>
          <w:szCs w:val="22"/>
          <w:color w:val="auto"/>
        </w:rPr>
      </w:pPr>
      <w:r>
        <w:rPr>
          <w:rFonts w:ascii="Arial" w:cs="Arial" w:eastAsia="Arial" w:hAnsi="Arial"/>
          <w:sz w:val="22"/>
          <w:szCs w:val="22"/>
          <w:color w:val="auto"/>
        </w:rPr>
        <w:t>the termination of the period described above for the Holder or Beneficial Owner to apply for a license, qualification or finding of suitability if the Holder fails to apply for a license, qualification or finding of suitability during such period; or</w:t>
      </w:r>
    </w:p>
    <w:p>
      <w:pPr>
        <w:spacing w:after="0" w:line="184" w:lineRule="exact"/>
        <w:rPr>
          <w:rFonts w:ascii="Arial" w:cs="Arial" w:eastAsia="Arial" w:hAnsi="Arial"/>
          <w:sz w:val="22"/>
          <w:szCs w:val="22"/>
          <w:color w:val="auto"/>
        </w:rPr>
      </w:pPr>
    </w:p>
    <w:p>
      <w:pPr>
        <w:ind w:left="660" w:right="20" w:firstLine="645"/>
        <w:spacing w:after="0" w:line="302" w:lineRule="auto"/>
        <w:tabs>
          <w:tab w:leader="none" w:pos="1619" w:val="left"/>
        </w:tabs>
        <w:numPr>
          <w:ilvl w:val="1"/>
          <w:numId w:val="126"/>
        </w:numPr>
        <w:rPr>
          <w:rFonts w:ascii="Arial" w:cs="Arial" w:eastAsia="Arial" w:hAnsi="Arial"/>
          <w:sz w:val="22"/>
          <w:szCs w:val="22"/>
          <w:color w:val="auto"/>
        </w:rPr>
      </w:pPr>
      <w:r>
        <w:rPr>
          <w:rFonts w:ascii="Arial" w:cs="Arial" w:eastAsia="Arial" w:hAnsi="Arial"/>
          <w:sz w:val="22"/>
          <w:szCs w:val="22"/>
          <w:color w:val="auto"/>
        </w:rPr>
        <w:t>the receipt of the notice from the Gaming Authority that the Holder or Beneficial Owner shall not be licensed, qualified or found suitable by the Gaming Authority; or</w:t>
      </w:r>
    </w:p>
    <w:p>
      <w:pPr>
        <w:spacing w:after="0" w:line="173" w:lineRule="exact"/>
        <w:rPr>
          <w:rFonts w:ascii="Arial" w:cs="Arial" w:eastAsia="Arial" w:hAnsi="Arial"/>
          <w:sz w:val="22"/>
          <w:szCs w:val="22"/>
          <w:color w:val="auto"/>
        </w:rPr>
      </w:pPr>
    </w:p>
    <w:p>
      <w:pPr>
        <w:ind w:left="960" w:hanging="304"/>
        <w:spacing w:after="0"/>
        <w:tabs>
          <w:tab w:leader="none" w:pos="960" w:val="left"/>
        </w:tabs>
        <w:numPr>
          <w:ilvl w:val="0"/>
          <w:numId w:val="126"/>
        </w:numPr>
        <w:rPr>
          <w:rFonts w:ascii="Arial" w:cs="Arial" w:eastAsia="Arial" w:hAnsi="Arial"/>
          <w:sz w:val="22"/>
          <w:szCs w:val="22"/>
          <w:color w:val="auto"/>
        </w:rPr>
      </w:pPr>
      <w:r>
        <w:rPr>
          <w:rFonts w:ascii="Arial" w:cs="Arial" w:eastAsia="Arial" w:hAnsi="Arial"/>
          <w:sz w:val="22"/>
          <w:szCs w:val="22"/>
          <w:color w:val="auto"/>
        </w:rPr>
        <w:t>redeem the Notes of the Holder or Beneficial Owner at a redemption price equal to:</w:t>
      </w:r>
    </w:p>
    <w:p>
      <w:pPr>
        <w:spacing w:after="0" w:line="260" w:lineRule="exact"/>
        <w:rPr>
          <w:rFonts w:ascii="Arial" w:cs="Arial" w:eastAsia="Arial" w:hAnsi="Arial"/>
          <w:sz w:val="22"/>
          <w:szCs w:val="22"/>
          <w:color w:val="auto"/>
        </w:rPr>
      </w:pPr>
    </w:p>
    <w:p>
      <w:pPr>
        <w:ind w:left="1600" w:hanging="295"/>
        <w:spacing w:after="0"/>
        <w:tabs>
          <w:tab w:leader="none" w:pos="1600" w:val="left"/>
        </w:tabs>
        <w:numPr>
          <w:ilvl w:val="1"/>
          <w:numId w:val="126"/>
        </w:numPr>
        <w:rPr>
          <w:rFonts w:ascii="Arial" w:cs="Arial" w:eastAsia="Arial" w:hAnsi="Arial"/>
          <w:sz w:val="22"/>
          <w:szCs w:val="22"/>
          <w:color w:val="auto"/>
        </w:rPr>
      </w:pPr>
      <w:r>
        <w:rPr>
          <w:rFonts w:ascii="Arial" w:cs="Arial" w:eastAsia="Arial" w:hAnsi="Arial"/>
          <w:sz w:val="22"/>
          <w:szCs w:val="22"/>
          <w:color w:val="auto"/>
        </w:rPr>
        <w:t>the price required by applicable law or by order of any Gaming Authority; or</w:t>
      </w:r>
    </w:p>
    <w:p>
      <w:pPr>
        <w:spacing w:after="0" w:line="260" w:lineRule="exact"/>
        <w:rPr>
          <w:rFonts w:ascii="Arial" w:cs="Arial" w:eastAsia="Arial" w:hAnsi="Arial"/>
          <w:sz w:val="22"/>
          <w:szCs w:val="22"/>
          <w:color w:val="auto"/>
        </w:rPr>
      </w:pPr>
    </w:p>
    <w:p>
      <w:pPr>
        <w:ind w:left="1600" w:hanging="295"/>
        <w:spacing w:after="0"/>
        <w:tabs>
          <w:tab w:leader="none" w:pos="1600" w:val="left"/>
        </w:tabs>
        <w:numPr>
          <w:ilvl w:val="1"/>
          <w:numId w:val="126"/>
        </w:numPr>
        <w:rPr>
          <w:rFonts w:ascii="Arial" w:cs="Arial" w:eastAsia="Arial" w:hAnsi="Arial"/>
          <w:sz w:val="22"/>
          <w:szCs w:val="22"/>
          <w:color w:val="auto"/>
        </w:rPr>
      </w:pPr>
      <w:r>
        <w:rPr>
          <w:rFonts w:ascii="Arial" w:cs="Arial" w:eastAsia="Arial" w:hAnsi="Arial"/>
          <w:sz w:val="22"/>
          <w:szCs w:val="22"/>
          <w:color w:val="auto"/>
        </w:rPr>
        <w:t>the lesser of:</w:t>
      </w:r>
    </w:p>
    <w:p>
      <w:pPr>
        <w:spacing w:after="0" w:line="260" w:lineRule="exact"/>
        <w:rPr>
          <w:rFonts w:ascii="Arial" w:cs="Arial" w:eastAsia="Arial" w:hAnsi="Arial"/>
          <w:sz w:val="22"/>
          <w:szCs w:val="22"/>
          <w:color w:val="auto"/>
        </w:rPr>
      </w:pPr>
    </w:p>
    <w:p>
      <w:pPr>
        <w:ind w:left="2300" w:hanging="347"/>
        <w:spacing w:after="0"/>
        <w:tabs>
          <w:tab w:leader="none" w:pos="2300" w:val="left"/>
        </w:tabs>
        <w:numPr>
          <w:ilvl w:val="2"/>
          <w:numId w:val="126"/>
        </w:numPr>
        <w:rPr>
          <w:rFonts w:ascii="Arial" w:cs="Arial" w:eastAsia="Arial" w:hAnsi="Arial"/>
          <w:sz w:val="22"/>
          <w:szCs w:val="22"/>
          <w:color w:val="auto"/>
        </w:rPr>
      </w:pPr>
      <w:r>
        <w:rPr>
          <w:rFonts w:ascii="Arial" w:cs="Arial" w:eastAsia="Arial" w:hAnsi="Arial"/>
          <w:sz w:val="22"/>
          <w:szCs w:val="22"/>
          <w:color w:val="auto"/>
        </w:rPr>
        <w:t>the principal amount of the Notes; and</w:t>
      </w:r>
    </w:p>
    <w:p>
      <w:pPr>
        <w:spacing w:after="0" w:line="260" w:lineRule="exact"/>
        <w:rPr>
          <w:rFonts w:ascii="Arial" w:cs="Arial" w:eastAsia="Arial" w:hAnsi="Arial"/>
          <w:sz w:val="22"/>
          <w:szCs w:val="22"/>
          <w:color w:val="auto"/>
        </w:rPr>
      </w:pPr>
    </w:p>
    <w:p>
      <w:pPr>
        <w:ind w:left="2280" w:hanging="327"/>
        <w:spacing w:after="0"/>
        <w:tabs>
          <w:tab w:leader="none" w:pos="2280" w:val="left"/>
        </w:tabs>
        <w:numPr>
          <w:ilvl w:val="2"/>
          <w:numId w:val="126"/>
        </w:numPr>
        <w:rPr>
          <w:rFonts w:ascii="Arial" w:cs="Arial" w:eastAsia="Arial" w:hAnsi="Arial"/>
          <w:sz w:val="22"/>
          <w:szCs w:val="22"/>
          <w:color w:val="auto"/>
        </w:rPr>
      </w:pPr>
      <w:r>
        <w:rPr>
          <w:rFonts w:ascii="Arial" w:cs="Arial" w:eastAsia="Arial" w:hAnsi="Arial"/>
          <w:sz w:val="22"/>
          <w:szCs w:val="22"/>
          <w:color w:val="auto"/>
        </w:rPr>
        <w:t>the price that the Holder or Beneficial Owner paid for the Notes,</w:t>
      </w:r>
    </w:p>
    <w:p>
      <w:pPr>
        <w:spacing w:after="0" w:line="260" w:lineRule="exact"/>
        <w:rPr>
          <w:sz w:val="20"/>
          <w:szCs w:val="20"/>
          <w:color w:val="auto"/>
        </w:rPr>
      </w:pPr>
    </w:p>
    <w:p>
      <w:pPr>
        <w:ind w:left="1960"/>
        <w:spacing w:after="0"/>
        <w:rPr>
          <w:sz w:val="20"/>
          <w:szCs w:val="20"/>
          <w:color w:val="auto"/>
        </w:rPr>
      </w:pPr>
      <w:r>
        <w:rPr>
          <w:rFonts w:ascii="Arial" w:cs="Arial" w:eastAsia="Arial" w:hAnsi="Arial"/>
          <w:sz w:val="19"/>
          <w:szCs w:val="19"/>
          <w:color w:val="auto"/>
        </w:rPr>
        <w:t>in either case, together with accrued and unpaid interest, if any, on the Notes to (but excluding) the earlier of</w:t>
      </w:r>
    </w:p>
    <w:p>
      <w:pPr>
        <w:spacing w:after="0" w:line="79" w:lineRule="exact"/>
        <w:rPr>
          <w:sz w:val="20"/>
          <w:szCs w:val="20"/>
          <w:color w:val="auto"/>
        </w:rPr>
      </w:pPr>
    </w:p>
    <w:p>
      <w:pPr>
        <w:jc w:val="both"/>
        <w:ind w:left="1300" w:firstLine="5"/>
        <w:spacing w:after="0" w:line="288" w:lineRule="auto"/>
        <w:tabs>
          <w:tab w:leader="none" w:pos="1559" w:val="left"/>
        </w:tabs>
        <w:numPr>
          <w:ilvl w:val="0"/>
          <w:numId w:val="127"/>
        </w:numPr>
        <w:rPr>
          <w:rFonts w:ascii="Arial" w:cs="Arial" w:eastAsia="Arial" w:hAnsi="Arial"/>
          <w:sz w:val="22"/>
          <w:szCs w:val="22"/>
          <w:color w:val="auto"/>
        </w:rPr>
      </w:pPr>
      <w:r>
        <w:rPr>
          <w:rFonts w:ascii="Arial" w:cs="Arial" w:eastAsia="Arial" w:hAnsi="Arial"/>
          <w:sz w:val="22"/>
          <w:szCs w:val="22"/>
          <w:color w:val="auto"/>
        </w:rPr>
        <w:t>the date of redemption or such earlier date as is required by the Gaming Authority or (ii) the date of the finding of unsuitability by the Gaming Authority, which may be less than 30 days following the notice of redemption. The Issuer shall notify the Trustee in writing of any redemption pursuant to this Section 3.09 as soon as reasonably practicable.</w:t>
      </w:r>
    </w:p>
    <w:p>
      <w:pPr>
        <w:spacing w:after="0" w:line="190" w:lineRule="exact"/>
        <w:rPr>
          <w:sz w:val="20"/>
          <w:szCs w:val="20"/>
          <w:color w:val="auto"/>
        </w:rPr>
      </w:pPr>
    </w:p>
    <w:p>
      <w:pPr>
        <w:ind w:firstLine="648"/>
        <w:spacing w:after="0" w:line="387" w:lineRule="auto"/>
        <w:rPr>
          <w:sz w:val="20"/>
          <w:szCs w:val="20"/>
          <w:color w:val="auto"/>
        </w:rPr>
      </w:pPr>
      <w:r>
        <w:rPr>
          <w:rFonts w:ascii="Arial" w:cs="Arial" w:eastAsia="Arial" w:hAnsi="Arial"/>
          <w:sz w:val="19"/>
          <w:szCs w:val="19"/>
          <w:color w:val="auto"/>
        </w:rPr>
        <w:t>Immediately upon a determination by a Gaming Authority that a Holder or Beneficial Owner of Notes shall not be licensed, qualified or found suitable, the Holder or Beneficial Owner shall not have any further rights with respect to the Notes to:</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 exercise, directly or indirectly, through any Person, any right conferred by the Notes;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3160" w:type="dxa"/>
            <w:vAlign w:val="bottom"/>
          </w:tcPr>
          <w:p>
            <w:pPr>
              <w:spacing w:after="0"/>
              <w:rPr>
                <w:sz w:val="20"/>
                <w:szCs w:val="20"/>
                <w:color w:val="auto"/>
              </w:rPr>
            </w:pPr>
            <w:r>
              <w:rPr>
                <w:rFonts w:ascii="Arial" w:cs="Arial" w:eastAsia="Arial" w:hAnsi="Arial"/>
                <w:sz w:val="11"/>
                <w:szCs w:val="11"/>
                <w:color w:val="auto"/>
              </w:rPr>
              <w:t>ASIA 33616188</w:t>
            </w:r>
          </w:p>
        </w:tc>
        <w:tc>
          <w:tcPr>
            <w:tcW w:w="2660" w:type="dxa"/>
            <w:vAlign w:val="bottom"/>
          </w:tcPr>
          <w:p>
            <w:pPr>
              <w:jc w:val="right"/>
              <w:spacing w:after="0"/>
              <w:rPr>
                <w:sz w:val="20"/>
                <w:szCs w:val="20"/>
                <w:color w:val="auto"/>
              </w:rPr>
            </w:pPr>
            <w:r>
              <w:rPr>
                <w:rFonts w:ascii="Arial" w:cs="Arial" w:eastAsia="Arial" w:hAnsi="Arial"/>
                <w:sz w:val="22"/>
                <w:szCs w:val="22"/>
                <w:color w:val="auto"/>
              </w:rPr>
              <w:t>39</w:t>
            </w:r>
          </w:p>
        </w:tc>
      </w:tr>
    </w:tbl>
    <w:p>
      <w:pPr>
        <w:sectPr>
          <w:pgSz w:w="11900" w:h="16838" w:orient="portrait"/>
          <w:cols w:equalWidth="0" w:num="1">
            <w:col w:w="11420"/>
          </w:cols>
          <w:pgMar w:left="240" w:top="1440" w:right="239" w:bottom="1440" w:gutter="0" w:footer="0" w:header="0"/>
        </w:sectPr>
      </w:pPr>
    </w:p>
    <w:bookmarkStart w:id="190" w:name="page191"/>
    <w:bookmarkEnd w:id="190"/>
    <w:p>
      <w:pPr>
        <w:spacing w:after="0" w:line="2" w:lineRule="exact"/>
        <w:rPr>
          <w:sz w:val="20"/>
          <w:szCs w:val="20"/>
          <w:color w:val="auto"/>
        </w:rPr>
      </w:pPr>
    </w:p>
    <w:p>
      <w:pPr>
        <w:ind w:firstLine="656"/>
        <w:spacing w:after="0" w:line="302" w:lineRule="auto"/>
        <w:tabs>
          <w:tab w:leader="none" w:pos="945" w:val="left"/>
        </w:tabs>
        <w:numPr>
          <w:ilvl w:val="0"/>
          <w:numId w:val="128"/>
        </w:numPr>
        <w:rPr>
          <w:rFonts w:ascii="Arial" w:cs="Arial" w:eastAsia="Arial" w:hAnsi="Arial"/>
          <w:sz w:val="22"/>
          <w:szCs w:val="22"/>
          <w:color w:val="auto"/>
        </w:rPr>
      </w:pPr>
      <w:r>
        <w:rPr>
          <w:rFonts w:ascii="Arial" w:cs="Arial" w:eastAsia="Arial" w:hAnsi="Arial"/>
          <w:sz w:val="22"/>
          <w:szCs w:val="22"/>
          <w:color w:val="auto"/>
        </w:rPr>
        <w:t>receive any interest or any other distribution or payment with respect to the Notes, or any remuneration in any form from the Issuer for services rendered or otherwise, except the redemption price of the Notes.</w:t>
      </w:r>
    </w:p>
    <w:p>
      <w:pPr>
        <w:spacing w:after="0" w:line="174"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The Issuer is not required to pay or reimburse any Holder or Beneficial Owner of Notes who is required to apply for such license, qualification or finding of suitability for the costs relating thereto. Those expenses shall be the obligation of the Holder or Beneficial Owner.</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3.10 </w:t>
      </w:r>
      <w:r>
        <w:rPr>
          <w:rFonts w:ascii="Arial" w:cs="Arial" w:eastAsia="Arial" w:hAnsi="Arial"/>
          <w:sz w:val="22"/>
          <w:szCs w:val="22"/>
          <w:i w:val="1"/>
          <w:iCs w:val="1"/>
          <w:color w:val="auto"/>
        </w:rPr>
        <w:t>Redemption Upon Changes in Withholding Taxes</w:t>
      </w:r>
    </w:p>
    <w:p>
      <w:pPr>
        <w:spacing w:after="0" w:line="260" w:lineRule="exact"/>
        <w:rPr>
          <w:sz w:val="20"/>
          <w:szCs w:val="20"/>
          <w:color w:val="auto"/>
        </w:rPr>
      </w:pPr>
    </w:p>
    <w:p>
      <w:pPr>
        <w:jc w:val="both"/>
        <w:ind w:firstLine="656"/>
        <w:spacing w:after="0" w:line="288" w:lineRule="auto"/>
        <w:tabs>
          <w:tab w:leader="none" w:pos="946" w:val="left"/>
        </w:tabs>
        <w:numPr>
          <w:ilvl w:val="0"/>
          <w:numId w:val="129"/>
        </w:numPr>
        <w:rPr>
          <w:rFonts w:ascii="Arial" w:cs="Arial" w:eastAsia="Arial" w:hAnsi="Arial"/>
          <w:sz w:val="22"/>
          <w:szCs w:val="22"/>
          <w:color w:val="auto"/>
        </w:rPr>
      </w:pPr>
      <w:r>
        <w:rPr>
          <w:rFonts w:ascii="Arial" w:cs="Arial" w:eastAsia="Arial" w:hAnsi="Arial"/>
          <w:sz w:val="22"/>
          <w:szCs w:val="22"/>
          <w:color w:val="auto"/>
        </w:rPr>
        <w:t>The Notes may be redeemed, at the option of the Issuer, as a whole but not in part, upon giving not less than 10 days’ nor more than 60 days’ notice to the Holders (which notice shall be irrevocable), at a redemption price equal to 100% of the principal amount thereof, together with accrued and unpaid interest, if any, to (but excluding) the date fixed by the Issuer or the Surviving Person, as the case may be, for redemption if, as a result of:</w:t>
      </w:r>
    </w:p>
    <w:p>
      <w:pPr>
        <w:spacing w:after="0" w:line="190" w:lineRule="exact"/>
        <w:rPr>
          <w:rFonts w:ascii="Arial" w:cs="Arial" w:eastAsia="Arial" w:hAnsi="Arial"/>
          <w:sz w:val="22"/>
          <w:szCs w:val="22"/>
          <w:color w:val="auto"/>
        </w:rPr>
      </w:pPr>
    </w:p>
    <w:p>
      <w:pPr>
        <w:ind w:left="660" w:firstLine="645"/>
        <w:spacing w:after="0" w:line="302" w:lineRule="auto"/>
        <w:tabs>
          <w:tab w:leader="none" w:pos="1619" w:val="left"/>
        </w:tabs>
        <w:numPr>
          <w:ilvl w:val="1"/>
          <w:numId w:val="129"/>
        </w:numPr>
        <w:rPr>
          <w:rFonts w:ascii="Arial" w:cs="Arial" w:eastAsia="Arial" w:hAnsi="Arial"/>
          <w:sz w:val="22"/>
          <w:szCs w:val="22"/>
          <w:color w:val="auto"/>
        </w:rPr>
      </w:pPr>
      <w:r>
        <w:rPr>
          <w:rFonts w:ascii="Arial" w:cs="Arial" w:eastAsia="Arial" w:hAnsi="Arial"/>
          <w:sz w:val="22"/>
          <w:szCs w:val="22"/>
          <w:color w:val="auto"/>
        </w:rPr>
        <w:t>any change in, or amendment to, the laws (or any regulations or rulings promulgated thereunder) of a Relevant Jurisdiction affecting taxation; or</w:t>
      </w:r>
    </w:p>
    <w:p>
      <w:pPr>
        <w:spacing w:after="0" w:line="173" w:lineRule="exact"/>
        <w:rPr>
          <w:rFonts w:ascii="Arial" w:cs="Arial" w:eastAsia="Arial" w:hAnsi="Arial"/>
          <w:sz w:val="22"/>
          <w:szCs w:val="22"/>
          <w:color w:val="auto"/>
        </w:rPr>
      </w:pPr>
    </w:p>
    <w:p>
      <w:pPr>
        <w:jc w:val="both"/>
        <w:ind w:left="660" w:firstLine="645"/>
        <w:spacing w:after="0" w:line="292" w:lineRule="auto"/>
        <w:tabs>
          <w:tab w:leader="none" w:pos="1605" w:val="left"/>
        </w:tabs>
        <w:numPr>
          <w:ilvl w:val="1"/>
          <w:numId w:val="129"/>
        </w:numPr>
        <w:rPr>
          <w:rFonts w:ascii="Arial" w:cs="Arial" w:eastAsia="Arial" w:hAnsi="Arial"/>
          <w:sz w:val="22"/>
          <w:szCs w:val="22"/>
          <w:color w:val="auto"/>
        </w:rPr>
      </w:pPr>
      <w:r>
        <w:rPr>
          <w:rFonts w:ascii="Arial" w:cs="Arial" w:eastAsia="Arial" w:hAnsi="Arial"/>
          <w:sz w:val="22"/>
          <w:szCs w:val="22"/>
          <w:color w:val="auto"/>
        </w:rPr>
        <w:t>any change in, or amendment to, an existing official position, or the stating of an official position, regarding the application, administration or interpretation of such laws, regulations or rulings (including a holding, judgment or order by a court of competent jurisdiction),</w:t>
      </w:r>
    </w:p>
    <w:p>
      <w:pPr>
        <w:spacing w:after="0" w:line="184" w:lineRule="exact"/>
        <w:rPr>
          <w:sz w:val="20"/>
          <w:szCs w:val="20"/>
          <w:color w:val="auto"/>
        </w:rPr>
      </w:pPr>
    </w:p>
    <w:p>
      <w:pPr>
        <w:jc w:val="both"/>
        <w:ind w:left="660"/>
        <w:spacing w:after="0" w:line="333" w:lineRule="auto"/>
        <w:rPr>
          <w:sz w:val="20"/>
          <w:szCs w:val="20"/>
          <w:color w:val="auto"/>
        </w:rPr>
      </w:pPr>
      <w:r>
        <w:rPr>
          <w:rFonts w:ascii="Arial" w:cs="Arial" w:eastAsia="Arial" w:hAnsi="Arial"/>
          <w:sz w:val="19"/>
          <w:szCs w:val="19"/>
          <w:color w:val="auto"/>
        </w:rPr>
        <w:t>which change, amendment, application or interpretation is proposed and becomes effective or, in the case of an official positions, is announced, on or after (i) with respect to the Issuer, the date of this Indenture or (ii) with respect to any Surviving Person, the date such Surviving Person becomes a Surviving Person with respect to any payment due or to become due under the Notes or this Indenture, the Issuer or the Surviving Person, as the case may be, is, or on the next interest payment date would be, required to pay Additional Amounts, and such requirement cannot be avoided by the Issuer or the Surviving Person, as the case may be, taking reasonable measures available to it; provided that changing the jurisdiction of incorporation of the Issuer or any Subsidiary shall not be considered a reasonable measure; and provided, further, that no such notice of redemption shall be given earlier than 90 days prior to the earliest date on which the Issuer or the Surviving Person, as the case may be, would be obligated to pay such Additional Amounts if a payment in respect of the Notes were then due and unless at the time such notice is given, the obligation to pay Additional Amounts remains in effect.</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3160" w:type="dxa"/>
            <w:vAlign w:val="bottom"/>
          </w:tcPr>
          <w:p>
            <w:pPr>
              <w:spacing w:after="0"/>
              <w:rPr>
                <w:sz w:val="20"/>
                <w:szCs w:val="20"/>
                <w:color w:val="auto"/>
              </w:rPr>
            </w:pPr>
            <w:r>
              <w:rPr>
                <w:rFonts w:ascii="Arial" w:cs="Arial" w:eastAsia="Arial" w:hAnsi="Arial"/>
                <w:sz w:val="11"/>
                <w:szCs w:val="11"/>
                <w:color w:val="auto"/>
              </w:rPr>
              <w:t>ASIA 33616188</w:t>
            </w:r>
          </w:p>
        </w:tc>
        <w:tc>
          <w:tcPr>
            <w:tcW w:w="2660" w:type="dxa"/>
            <w:vAlign w:val="bottom"/>
          </w:tcPr>
          <w:p>
            <w:pPr>
              <w:jc w:val="right"/>
              <w:spacing w:after="0"/>
              <w:rPr>
                <w:sz w:val="20"/>
                <w:szCs w:val="20"/>
                <w:color w:val="auto"/>
              </w:rPr>
            </w:pPr>
            <w:r>
              <w:rPr>
                <w:rFonts w:ascii="Arial" w:cs="Arial" w:eastAsia="Arial" w:hAnsi="Arial"/>
                <w:sz w:val="22"/>
                <w:szCs w:val="22"/>
                <w:color w:val="auto"/>
              </w:rPr>
              <w:t>40</w:t>
            </w:r>
          </w:p>
        </w:tc>
      </w:tr>
    </w:tbl>
    <w:p>
      <w:pPr>
        <w:sectPr>
          <w:pgSz w:w="11900" w:h="16838" w:orient="portrait"/>
          <w:cols w:equalWidth="0" w:num="1">
            <w:col w:w="11420"/>
          </w:cols>
          <w:pgMar w:left="240" w:top="1440" w:right="239" w:bottom="1440" w:gutter="0" w:footer="0" w:header="0"/>
        </w:sectPr>
      </w:pPr>
    </w:p>
    <w:bookmarkStart w:id="191" w:name="page192"/>
    <w:bookmarkEnd w:id="191"/>
    <w:p>
      <w:pPr>
        <w:spacing w:after="0" w:line="2" w:lineRule="exact"/>
        <w:rPr>
          <w:sz w:val="20"/>
          <w:szCs w:val="20"/>
          <w:color w:val="auto"/>
        </w:rPr>
      </w:pPr>
    </w:p>
    <w:p>
      <w:pPr>
        <w:ind w:firstLine="656"/>
        <w:spacing w:after="0" w:line="302" w:lineRule="auto"/>
        <w:tabs>
          <w:tab w:leader="none" w:pos="959" w:val="left"/>
        </w:tabs>
        <w:numPr>
          <w:ilvl w:val="0"/>
          <w:numId w:val="130"/>
        </w:numPr>
        <w:rPr>
          <w:rFonts w:ascii="Arial" w:cs="Arial" w:eastAsia="Arial" w:hAnsi="Arial"/>
          <w:sz w:val="22"/>
          <w:szCs w:val="22"/>
          <w:color w:val="auto"/>
        </w:rPr>
      </w:pPr>
      <w:r>
        <w:rPr>
          <w:rFonts w:ascii="Arial" w:cs="Arial" w:eastAsia="Arial" w:hAnsi="Arial"/>
          <w:sz w:val="22"/>
          <w:szCs w:val="22"/>
          <w:color w:val="auto"/>
        </w:rPr>
        <w:t>Prior to the delivery of any notice of redemption of the Notes pursuant to the foregoing, the Issuer or the Surviving Person, as the case may be, shall deliver to the Trustee:</w:t>
      </w:r>
    </w:p>
    <w:p>
      <w:pPr>
        <w:spacing w:after="0" w:line="173" w:lineRule="exact"/>
        <w:rPr>
          <w:rFonts w:ascii="Arial" w:cs="Arial" w:eastAsia="Arial" w:hAnsi="Arial"/>
          <w:sz w:val="22"/>
          <w:szCs w:val="22"/>
          <w:color w:val="auto"/>
        </w:rPr>
      </w:pPr>
    </w:p>
    <w:p>
      <w:pPr>
        <w:jc w:val="both"/>
        <w:ind w:left="660" w:firstLine="645"/>
        <w:spacing w:after="0" w:line="292" w:lineRule="auto"/>
        <w:tabs>
          <w:tab w:leader="none" w:pos="1619" w:val="left"/>
        </w:tabs>
        <w:numPr>
          <w:ilvl w:val="1"/>
          <w:numId w:val="130"/>
        </w:numPr>
        <w:rPr>
          <w:rFonts w:ascii="Arial" w:cs="Arial" w:eastAsia="Arial" w:hAnsi="Arial"/>
          <w:sz w:val="22"/>
          <w:szCs w:val="22"/>
          <w:color w:val="auto"/>
        </w:rPr>
      </w:pPr>
      <w:r>
        <w:rPr>
          <w:rFonts w:ascii="Arial" w:cs="Arial" w:eastAsia="Arial" w:hAnsi="Arial"/>
          <w:sz w:val="22"/>
          <w:szCs w:val="22"/>
          <w:color w:val="auto"/>
        </w:rPr>
        <w:t>an Officer’s Certificate stating that such change or amendment referred to in the prior paragraph has occurred, describing the facts related thereto and stating that such requirement cannot be avoided by the Issuer or the Surviving Person, as the case may be, taking reasonable measures available to it; and</w:t>
      </w:r>
    </w:p>
    <w:p>
      <w:pPr>
        <w:spacing w:after="0" w:line="184" w:lineRule="exact"/>
        <w:rPr>
          <w:rFonts w:ascii="Arial" w:cs="Arial" w:eastAsia="Arial" w:hAnsi="Arial"/>
          <w:sz w:val="22"/>
          <w:szCs w:val="22"/>
          <w:color w:val="auto"/>
        </w:rPr>
      </w:pPr>
    </w:p>
    <w:p>
      <w:pPr>
        <w:ind w:left="660" w:firstLine="645"/>
        <w:spacing w:after="0" w:line="302" w:lineRule="auto"/>
        <w:tabs>
          <w:tab w:leader="none" w:pos="1646" w:val="left"/>
        </w:tabs>
        <w:numPr>
          <w:ilvl w:val="1"/>
          <w:numId w:val="130"/>
        </w:numPr>
        <w:rPr>
          <w:rFonts w:ascii="Arial" w:cs="Arial" w:eastAsia="Arial" w:hAnsi="Arial"/>
          <w:sz w:val="22"/>
          <w:szCs w:val="22"/>
          <w:color w:val="auto"/>
        </w:rPr>
      </w:pPr>
      <w:r>
        <w:rPr>
          <w:rFonts w:ascii="Arial" w:cs="Arial" w:eastAsia="Arial" w:hAnsi="Arial"/>
          <w:sz w:val="22"/>
          <w:szCs w:val="22"/>
          <w:color w:val="auto"/>
        </w:rPr>
        <w:t>an Opinion of Counsel of recognized international standing to the effect that the requirement to pay such Additional Amounts results from the circumstances referred to in the prior paragraph.</w:t>
      </w:r>
    </w:p>
    <w:p>
      <w:pPr>
        <w:spacing w:after="0" w:line="173" w:lineRule="exact"/>
        <w:rPr>
          <w:rFonts w:ascii="Arial" w:cs="Arial" w:eastAsia="Arial" w:hAnsi="Arial"/>
          <w:sz w:val="22"/>
          <w:szCs w:val="22"/>
          <w:color w:val="auto"/>
        </w:rPr>
      </w:pPr>
    </w:p>
    <w:p>
      <w:pPr>
        <w:ind w:firstLine="656"/>
        <w:spacing w:after="0" w:line="302" w:lineRule="auto"/>
        <w:tabs>
          <w:tab w:leader="none" w:pos="933" w:val="left"/>
        </w:tabs>
        <w:numPr>
          <w:ilvl w:val="0"/>
          <w:numId w:val="130"/>
        </w:numPr>
        <w:rPr>
          <w:rFonts w:ascii="Arial" w:cs="Arial" w:eastAsia="Arial" w:hAnsi="Arial"/>
          <w:sz w:val="22"/>
          <w:szCs w:val="22"/>
          <w:color w:val="auto"/>
        </w:rPr>
      </w:pPr>
      <w:r>
        <w:rPr>
          <w:rFonts w:ascii="Arial" w:cs="Arial" w:eastAsia="Arial" w:hAnsi="Arial"/>
          <w:sz w:val="22"/>
          <w:szCs w:val="22"/>
          <w:color w:val="auto"/>
        </w:rPr>
        <w:t>The Trustee shall accept such certificate and opinion as sufficient evidence of the satisfaction of the conditions precedent described above, in which event it shall be conclusive and binding on the Holders.</w:t>
      </w:r>
    </w:p>
    <w:p>
      <w:pPr>
        <w:spacing w:after="0" w:line="17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ARTICLE 4</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COVENANTS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4.01 </w:t>
      </w:r>
      <w:r>
        <w:rPr>
          <w:rFonts w:ascii="Arial" w:cs="Arial" w:eastAsia="Arial" w:hAnsi="Arial"/>
          <w:sz w:val="22"/>
          <w:szCs w:val="22"/>
          <w:i w:val="1"/>
          <w:iCs w:val="1"/>
          <w:color w:val="auto"/>
        </w:rPr>
        <w:t>Payment of Notes.</w:t>
      </w:r>
    </w:p>
    <w:p>
      <w:pPr>
        <w:spacing w:after="0" w:line="256" w:lineRule="exact"/>
        <w:rPr>
          <w:sz w:val="20"/>
          <w:szCs w:val="20"/>
          <w:color w:val="auto"/>
        </w:rPr>
      </w:pPr>
    </w:p>
    <w:p>
      <w:pPr>
        <w:jc w:val="both"/>
        <w:ind w:firstLine="648"/>
        <w:spacing w:after="0" w:line="346" w:lineRule="auto"/>
        <w:rPr>
          <w:sz w:val="20"/>
          <w:szCs w:val="20"/>
          <w:color w:val="auto"/>
        </w:rPr>
      </w:pPr>
      <w:r>
        <w:rPr>
          <w:rFonts w:ascii="Arial" w:cs="Arial" w:eastAsia="Arial" w:hAnsi="Arial"/>
          <w:sz w:val="19"/>
          <w:szCs w:val="19"/>
          <w:color w:val="auto"/>
        </w:rPr>
        <w:t>The Issuer shall pay or cause to be paid the principal of, premium, if any, and interest on the Notes on the dates and in the manner provided in the Notes. Principal, premium, if any, and interest shall be considered paid on the date due if the Paying Agent, if other than the Issuer or a Subsidiary thereof, holds as of 10:00 a.m. New York City Time on the due date money deposited by the Issuer in immediately available funds and designated for and sufficient to pay all principal, premium, if any, and interest then due.</w:t>
      </w:r>
    </w:p>
    <w:p>
      <w:pPr>
        <w:spacing w:after="0" w:line="14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color w:val="auto"/>
        </w:rPr>
        <w:t>The Issuer shall pay interest (including post-petition interest in any proceeding under any Bankruptcy Law) on overdue principal at the rate equal to 1% per annum in excess of the then applicable interest rate on the Notes to the extent lawful; it shall pay interest (including post-petition interest in any proceeding under any Bankruptcy Law) on overdue installments of interest (without regard to any applicable grace period) at the same rate to the extent lawful.</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4.02 </w:t>
      </w:r>
      <w:r>
        <w:rPr>
          <w:rFonts w:ascii="Arial" w:cs="Arial" w:eastAsia="Arial" w:hAnsi="Arial"/>
          <w:sz w:val="22"/>
          <w:szCs w:val="22"/>
          <w:i w:val="1"/>
          <w:iCs w:val="1"/>
          <w:color w:val="auto"/>
        </w:rPr>
        <w:t>Maintenance of Office or Agency</w:t>
      </w:r>
      <w:r>
        <w:rPr>
          <w:rFonts w:ascii="Arial" w:cs="Arial" w:eastAsia="Arial" w:hAnsi="Arial"/>
          <w:sz w:val="22"/>
          <w:szCs w:val="22"/>
          <w:color w:val="auto"/>
        </w:rPr>
        <w:t>.</w:t>
      </w:r>
    </w:p>
    <w:p>
      <w:pPr>
        <w:spacing w:after="0" w:line="260" w:lineRule="exact"/>
        <w:rPr>
          <w:sz w:val="20"/>
          <w:szCs w:val="20"/>
          <w:color w:val="auto"/>
        </w:rPr>
      </w:pPr>
    </w:p>
    <w:p>
      <w:pPr>
        <w:jc w:val="both"/>
        <w:ind w:firstLine="648"/>
        <w:spacing w:after="0" w:line="341" w:lineRule="auto"/>
        <w:rPr>
          <w:sz w:val="20"/>
          <w:szCs w:val="20"/>
          <w:color w:val="auto"/>
        </w:rPr>
      </w:pPr>
      <w:r>
        <w:rPr>
          <w:rFonts w:ascii="Arial" w:cs="Arial" w:eastAsia="Arial" w:hAnsi="Arial"/>
          <w:sz w:val="19"/>
          <w:szCs w:val="19"/>
          <w:color w:val="auto"/>
        </w:rPr>
        <w:t>The Issuer shall maintain in the Borough of Manhattan, the City of New York, an office or agency (which may be an office of the Trustee or an affiliate of the Trustee, Registrar or co-registrar) where Notes may be surrendered for registration of transfer or for exchange and where notices and demands to or upon the Issuer in respect of the Notes and this Indenture may be served. The Issuer shall give prompt written notice to the Trustee of the location, and any change in the location, of such office or agency. If at any time the Issuer fails to maintain any such required office or agency or fails to furnish the Trustee with the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3160" w:type="dxa"/>
            <w:vAlign w:val="bottom"/>
          </w:tcPr>
          <w:p>
            <w:pPr>
              <w:spacing w:after="0"/>
              <w:rPr>
                <w:sz w:val="20"/>
                <w:szCs w:val="20"/>
                <w:color w:val="auto"/>
              </w:rPr>
            </w:pPr>
            <w:r>
              <w:rPr>
                <w:rFonts w:ascii="Arial" w:cs="Arial" w:eastAsia="Arial" w:hAnsi="Arial"/>
                <w:sz w:val="11"/>
                <w:szCs w:val="11"/>
                <w:color w:val="auto"/>
              </w:rPr>
              <w:t>ASIA 33616188</w:t>
            </w:r>
          </w:p>
        </w:tc>
        <w:tc>
          <w:tcPr>
            <w:tcW w:w="2660" w:type="dxa"/>
            <w:vAlign w:val="bottom"/>
          </w:tcPr>
          <w:p>
            <w:pPr>
              <w:jc w:val="right"/>
              <w:spacing w:after="0"/>
              <w:rPr>
                <w:sz w:val="20"/>
                <w:szCs w:val="20"/>
                <w:color w:val="auto"/>
              </w:rPr>
            </w:pPr>
            <w:r>
              <w:rPr>
                <w:rFonts w:ascii="Arial" w:cs="Arial" w:eastAsia="Arial" w:hAnsi="Arial"/>
                <w:sz w:val="22"/>
                <w:szCs w:val="22"/>
                <w:color w:val="auto"/>
              </w:rPr>
              <w:t>41</w:t>
            </w:r>
          </w:p>
        </w:tc>
      </w:tr>
    </w:tbl>
    <w:p>
      <w:pPr>
        <w:sectPr>
          <w:pgSz w:w="11900" w:h="16838" w:orient="portrait"/>
          <w:cols w:equalWidth="0" w:num="1">
            <w:col w:w="11420"/>
          </w:cols>
          <w:pgMar w:left="240" w:top="1440" w:right="239" w:bottom="1440" w:gutter="0" w:footer="0" w:header="0"/>
        </w:sectPr>
      </w:pPr>
    </w:p>
    <w:bookmarkStart w:id="192" w:name="page193"/>
    <w:bookmarkEnd w:id="192"/>
    <w:p>
      <w:pPr>
        <w:spacing w:after="0" w:line="2" w:lineRule="exact"/>
        <w:rPr>
          <w:sz w:val="20"/>
          <w:szCs w:val="20"/>
          <w:color w:val="auto"/>
        </w:rPr>
      </w:pPr>
    </w:p>
    <w:p>
      <w:pPr>
        <w:jc w:val="both"/>
        <w:ind w:right="20"/>
        <w:spacing w:after="0" w:line="302" w:lineRule="auto"/>
        <w:rPr>
          <w:sz w:val="20"/>
          <w:szCs w:val="20"/>
          <w:color w:val="auto"/>
        </w:rPr>
      </w:pPr>
      <w:r>
        <w:rPr>
          <w:rFonts w:ascii="Arial" w:cs="Arial" w:eastAsia="Arial" w:hAnsi="Arial"/>
          <w:sz w:val="22"/>
          <w:szCs w:val="22"/>
          <w:color w:val="auto"/>
        </w:rPr>
        <w:t>address thereof, such presentations, surrenders, notices and demands may be made or served at the Corporate Trust Office of the Trustee.</w:t>
      </w:r>
    </w:p>
    <w:p>
      <w:pPr>
        <w:spacing w:after="0" w:line="174" w:lineRule="exact"/>
        <w:rPr>
          <w:sz w:val="20"/>
          <w:szCs w:val="20"/>
          <w:color w:val="auto"/>
        </w:rPr>
      </w:pPr>
    </w:p>
    <w:p>
      <w:pPr>
        <w:jc w:val="both"/>
        <w:ind w:firstLine="648"/>
        <w:spacing w:after="0" w:line="341" w:lineRule="auto"/>
        <w:rPr>
          <w:sz w:val="20"/>
          <w:szCs w:val="20"/>
          <w:color w:val="auto"/>
        </w:rPr>
      </w:pPr>
      <w:r>
        <w:rPr>
          <w:rFonts w:ascii="Arial" w:cs="Arial" w:eastAsia="Arial" w:hAnsi="Arial"/>
          <w:sz w:val="19"/>
          <w:szCs w:val="19"/>
          <w:color w:val="auto"/>
        </w:rPr>
        <w:t xml:space="preserve">The Issuer may also from time to time designate one or more other offices or agencies where the Notes may be presented or surrendered for any or all such purposes and may from time to time rescind such designations; </w:t>
      </w:r>
      <w:r>
        <w:rPr>
          <w:rFonts w:ascii="Arial" w:cs="Arial" w:eastAsia="Arial" w:hAnsi="Arial"/>
          <w:sz w:val="19"/>
          <w:szCs w:val="19"/>
          <w:i w:val="1"/>
          <w:iCs w:val="1"/>
          <w:color w:val="auto"/>
        </w:rPr>
        <w:t>provided, however</w:t>
      </w:r>
      <w:r>
        <w:rPr>
          <w:rFonts w:ascii="Arial" w:cs="Arial" w:eastAsia="Arial" w:hAnsi="Arial"/>
          <w:sz w:val="19"/>
          <w:szCs w:val="19"/>
          <w:color w:val="auto"/>
        </w:rPr>
        <w:t>, that no such designation or rescission shall in any manner relieve the Issuer of its obligation to maintain an office or agency in the Borough of Manhattan, the City of New York for such purposes. The Issuer shall give prompt written notice to the Trustee of any such designation or rescission and of any change in the location of any such other office or agency.</w:t>
      </w:r>
    </w:p>
    <w:p>
      <w:pPr>
        <w:spacing w:after="0" w:line="14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The Issuer hereby designates the Corporate Trust Office of the Trustee as one such office or agency of the Issuer in accordance with Section 2.03 hereof.</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4.03 </w:t>
      </w:r>
      <w:r>
        <w:rPr>
          <w:rFonts w:ascii="Arial" w:cs="Arial" w:eastAsia="Arial" w:hAnsi="Arial"/>
          <w:sz w:val="22"/>
          <w:szCs w:val="22"/>
          <w:i w:val="1"/>
          <w:iCs w:val="1"/>
          <w:color w:val="auto"/>
        </w:rPr>
        <w:t>Reports</w:t>
      </w:r>
      <w:r>
        <w:rPr>
          <w:rFonts w:ascii="Arial" w:cs="Arial" w:eastAsia="Arial" w:hAnsi="Arial"/>
          <w:sz w:val="22"/>
          <w:szCs w:val="22"/>
          <w:color w:val="auto"/>
        </w:rPr>
        <w:t>.</w:t>
      </w:r>
    </w:p>
    <w:p>
      <w:pPr>
        <w:spacing w:after="0" w:line="260" w:lineRule="exact"/>
        <w:rPr>
          <w:sz w:val="20"/>
          <w:szCs w:val="20"/>
          <w:color w:val="auto"/>
        </w:rPr>
      </w:pPr>
    </w:p>
    <w:p>
      <w:pPr>
        <w:jc w:val="both"/>
        <w:ind w:left="660" w:firstLine="645"/>
        <w:spacing w:after="0" w:line="306" w:lineRule="auto"/>
        <w:tabs>
          <w:tab w:leader="none" w:pos="1605" w:val="left"/>
        </w:tabs>
        <w:numPr>
          <w:ilvl w:val="1"/>
          <w:numId w:val="131"/>
        </w:numPr>
        <w:rPr>
          <w:rFonts w:ascii="Arial" w:cs="Arial" w:eastAsia="Arial" w:hAnsi="Arial"/>
          <w:sz w:val="21"/>
          <w:szCs w:val="21"/>
          <w:color w:val="auto"/>
        </w:rPr>
      </w:pPr>
      <w:r>
        <w:rPr>
          <w:rFonts w:ascii="Arial" w:cs="Arial" w:eastAsia="Arial" w:hAnsi="Arial"/>
          <w:sz w:val="21"/>
          <w:szCs w:val="21"/>
          <w:color w:val="auto"/>
        </w:rPr>
        <w:t>As long as any Notes are outstanding and the ordinary shares of the Issuer are listed on The Stock Exchange of Hong Kong Limited (the “</w:t>
      </w:r>
      <w:r>
        <w:rPr>
          <w:rFonts w:ascii="Arial" w:cs="Arial" w:eastAsia="Arial" w:hAnsi="Arial"/>
          <w:sz w:val="21"/>
          <w:szCs w:val="21"/>
          <w:i w:val="1"/>
          <w:iCs w:val="1"/>
          <w:color w:val="auto"/>
        </w:rPr>
        <w:t>HKSE</w:t>
      </w:r>
      <w:r>
        <w:rPr>
          <w:rFonts w:ascii="Arial" w:cs="Arial" w:eastAsia="Arial" w:hAnsi="Arial"/>
          <w:sz w:val="21"/>
          <w:szCs w:val="21"/>
          <w:color w:val="auto"/>
        </w:rPr>
        <w:t>”) or another internationally recognized stock exchange, the Issuer will file with the Trustee and furnish to the Holders upon request, within 10 days after they are filed with such exchange, true and correct copies of all financial and other reports in the English language filed with such exchange.</w:t>
      </w:r>
    </w:p>
    <w:p>
      <w:pPr>
        <w:spacing w:after="0" w:line="172" w:lineRule="exact"/>
        <w:rPr>
          <w:rFonts w:ascii="Arial" w:cs="Arial" w:eastAsia="Arial" w:hAnsi="Arial"/>
          <w:sz w:val="21"/>
          <w:szCs w:val="21"/>
          <w:color w:val="auto"/>
        </w:rPr>
      </w:pPr>
    </w:p>
    <w:p>
      <w:pPr>
        <w:ind w:left="660" w:right="20" w:firstLine="645"/>
        <w:spacing w:after="0" w:line="302" w:lineRule="auto"/>
        <w:tabs>
          <w:tab w:leader="none" w:pos="1619" w:val="left"/>
        </w:tabs>
        <w:numPr>
          <w:ilvl w:val="1"/>
          <w:numId w:val="131"/>
        </w:numPr>
        <w:rPr>
          <w:rFonts w:ascii="Arial" w:cs="Arial" w:eastAsia="Arial" w:hAnsi="Arial"/>
          <w:sz w:val="22"/>
          <w:szCs w:val="22"/>
          <w:color w:val="auto"/>
        </w:rPr>
      </w:pPr>
      <w:r>
        <w:rPr>
          <w:rFonts w:ascii="Arial" w:cs="Arial" w:eastAsia="Arial" w:hAnsi="Arial"/>
          <w:sz w:val="22"/>
          <w:szCs w:val="22"/>
          <w:color w:val="auto"/>
        </w:rPr>
        <w:t>If at any time Notes are outstanding and the ordinary shares of the Issuer are not listed on an internationally recognized stock exchange, the Issuer will file with the Trustee:</w:t>
      </w:r>
    </w:p>
    <w:p>
      <w:pPr>
        <w:spacing w:after="0" w:line="173" w:lineRule="exact"/>
        <w:rPr>
          <w:rFonts w:ascii="Arial" w:cs="Arial" w:eastAsia="Arial" w:hAnsi="Arial"/>
          <w:sz w:val="22"/>
          <w:szCs w:val="22"/>
          <w:color w:val="auto"/>
        </w:rPr>
      </w:pPr>
    </w:p>
    <w:p>
      <w:pPr>
        <w:jc w:val="both"/>
        <w:ind w:left="660" w:firstLine="1293"/>
        <w:spacing w:after="0" w:line="303" w:lineRule="auto"/>
        <w:tabs>
          <w:tab w:leader="none" w:pos="2255" w:val="left"/>
        </w:tabs>
        <w:numPr>
          <w:ilvl w:val="2"/>
          <w:numId w:val="131"/>
        </w:numPr>
        <w:rPr>
          <w:rFonts w:ascii="Arial" w:cs="Arial" w:eastAsia="Arial" w:hAnsi="Arial"/>
          <w:sz w:val="21"/>
          <w:szCs w:val="21"/>
          <w:color w:val="auto"/>
        </w:rPr>
      </w:pPr>
      <w:r>
        <w:rPr>
          <w:rFonts w:ascii="Arial" w:cs="Arial" w:eastAsia="Arial" w:hAnsi="Arial"/>
          <w:sz w:val="21"/>
          <w:szCs w:val="21"/>
          <w:color w:val="auto"/>
        </w:rPr>
        <w:t>within 120 days after the end of each fiscal year, an annual report in a form substantially similar to the Issuer’s annual report for the year ended December 31, 2018 filed with the HKSE, including (A) a “Management Discussion and Analysis” of financial condition and results of operations and (B) consolidated financial statements (including statements of comprehensive income, financial position, changes in equity and cash flows) prepared in accordance with IFRS and audited by an internationally recognized firm of independent accountants; and</w:t>
      </w:r>
    </w:p>
    <w:p>
      <w:pPr>
        <w:spacing w:after="0" w:line="177" w:lineRule="exact"/>
        <w:rPr>
          <w:rFonts w:ascii="Arial" w:cs="Arial" w:eastAsia="Arial" w:hAnsi="Arial"/>
          <w:sz w:val="21"/>
          <w:szCs w:val="21"/>
          <w:color w:val="auto"/>
        </w:rPr>
      </w:pPr>
    </w:p>
    <w:p>
      <w:pPr>
        <w:jc w:val="both"/>
        <w:ind w:left="660" w:firstLine="1293"/>
        <w:spacing w:after="0" w:line="326" w:lineRule="auto"/>
        <w:tabs>
          <w:tab w:leader="none" w:pos="2267" w:val="left"/>
        </w:tabs>
        <w:numPr>
          <w:ilvl w:val="2"/>
          <w:numId w:val="131"/>
        </w:numPr>
        <w:rPr>
          <w:rFonts w:ascii="Arial" w:cs="Arial" w:eastAsia="Arial" w:hAnsi="Arial"/>
          <w:sz w:val="19"/>
          <w:szCs w:val="19"/>
          <w:color w:val="auto"/>
        </w:rPr>
      </w:pPr>
      <w:r>
        <w:rPr>
          <w:rFonts w:ascii="Arial" w:cs="Arial" w:eastAsia="Arial" w:hAnsi="Arial"/>
          <w:sz w:val="19"/>
          <w:szCs w:val="19"/>
          <w:color w:val="auto"/>
        </w:rPr>
        <w:t>within 90 days after the end of the second quarter of each fiscal year, a semi-annual report in a form substantially similar to the Issuer’s interim report for the six months ended June 30, 2019 filed with the HKSE, including</w:t>
      </w:r>
    </w:p>
    <w:p>
      <w:pPr>
        <w:jc w:val="both"/>
        <w:ind w:left="660" w:hanging="4"/>
        <w:spacing w:after="0" w:line="346" w:lineRule="auto"/>
        <w:tabs>
          <w:tab w:leader="none" w:pos="1024" w:val="left"/>
        </w:tabs>
        <w:numPr>
          <w:ilvl w:val="0"/>
          <w:numId w:val="132"/>
        </w:numPr>
        <w:rPr>
          <w:rFonts w:ascii="Arial" w:cs="Arial" w:eastAsia="Arial" w:hAnsi="Arial"/>
          <w:sz w:val="19"/>
          <w:szCs w:val="19"/>
          <w:color w:val="auto"/>
        </w:rPr>
      </w:pPr>
      <w:r>
        <w:rPr>
          <w:rFonts w:ascii="Arial" w:cs="Arial" w:eastAsia="Arial" w:hAnsi="Arial"/>
          <w:sz w:val="19"/>
          <w:szCs w:val="19"/>
          <w:color w:val="auto"/>
        </w:rPr>
        <w:t>a “Management Discussion and Analysis” of financial condition and results of operations and (B) half-year condensed consolidated financial statements (including statements of comprehensive income, financial position, changes in equity and cash flows) prepared in accordance with IFRS and reviewed pursuant to Hong Kong Standard on Review Engagements 2410 (or any equivalent or successor provision) by an internationally recognized firm of independent accountants.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3160" w:type="dxa"/>
            <w:vAlign w:val="bottom"/>
          </w:tcPr>
          <w:p>
            <w:pPr>
              <w:spacing w:after="0"/>
              <w:rPr>
                <w:sz w:val="20"/>
                <w:szCs w:val="20"/>
                <w:color w:val="auto"/>
              </w:rPr>
            </w:pPr>
            <w:r>
              <w:rPr>
                <w:rFonts w:ascii="Arial" w:cs="Arial" w:eastAsia="Arial" w:hAnsi="Arial"/>
                <w:sz w:val="11"/>
                <w:szCs w:val="11"/>
                <w:color w:val="auto"/>
              </w:rPr>
              <w:t>ASIA 33616188</w:t>
            </w:r>
          </w:p>
        </w:tc>
        <w:tc>
          <w:tcPr>
            <w:tcW w:w="2660" w:type="dxa"/>
            <w:vAlign w:val="bottom"/>
          </w:tcPr>
          <w:p>
            <w:pPr>
              <w:jc w:val="right"/>
              <w:spacing w:after="0"/>
              <w:rPr>
                <w:sz w:val="20"/>
                <w:szCs w:val="20"/>
                <w:color w:val="auto"/>
              </w:rPr>
            </w:pPr>
            <w:r>
              <w:rPr>
                <w:rFonts w:ascii="Arial" w:cs="Arial" w:eastAsia="Arial" w:hAnsi="Arial"/>
                <w:sz w:val="22"/>
                <w:szCs w:val="22"/>
                <w:color w:val="auto"/>
              </w:rPr>
              <w:t>42</w:t>
            </w:r>
          </w:p>
        </w:tc>
      </w:tr>
    </w:tbl>
    <w:p>
      <w:pPr>
        <w:sectPr>
          <w:pgSz w:w="11900" w:h="16838" w:orient="portrait"/>
          <w:cols w:equalWidth="0" w:num="1">
            <w:col w:w="11420"/>
          </w:cols>
          <w:pgMar w:left="240" w:top="1440" w:right="239" w:bottom="1440" w:gutter="0" w:footer="0" w:header="0"/>
        </w:sectPr>
      </w:pPr>
    </w:p>
    <w:bookmarkStart w:id="193" w:name="page194"/>
    <w:bookmarkEnd w:id="193"/>
    <w:p>
      <w:pPr>
        <w:spacing w:after="0" w:line="2" w:lineRule="exact"/>
        <w:rPr>
          <w:sz w:val="20"/>
          <w:szCs w:val="20"/>
          <w:color w:val="auto"/>
        </w:rPr>
      </w:pPr>
    </w:p>
    <w:p>
      <w:pPr>
        <w:jc w:val="both"/>
        <w:ind w:left="640" w:firstLine="645"/>
        <w:spacing w:after="0" w:line="288" w:lineRule="auto"/>
        <w:tabs>
          <w:tab w:leader="none" w:pos="1585" w:val="left"/>
        </w:tabs>
        <w:numPr>
          <w:ilvl w:val="0"/>
          <w:numId w:val="133"/>
        </w:numPr>
        <w:rPr>
          <w:rFonts w:ascii="Arial" w:cs="Arial" w:eastAsia="Arial" w:hAnsi="Arial"/>
          <w:sz w:val="22"/>
          <w:szCs w:val="22"/>
          <w:color w:val="auto"/>
        </w:rPr>
      </w:pPr>
      <w:r>
        <w:rPr>
          <w:rFonts w:ascii="Arial" w:cs="Arial" w:eastAsia="Arial" w:hAnsi="Arial"/>
          <w:sz w:val="22"/>
          <w:szCs w:val="22"/>
          <w:color w:val="auto"/>
        </w:rPr>
        <w:t>If at any time Notes are outstanding and the common stock of Wynn Resorts is not listed on the Nasdaq Global Select Market or another internationally recognized stock exchange, the Issuer will file with the Trustee, within 45 days after the end of the first and third quarters of each fiscal year, an unaudited quarterly condensed consolidated income statement of the Issuer prepared in accordance with IFRS.</w:t>
      </w:r>
    </w:p>
    <w:p>
      <w:pPr>
        <w:spacing w:after="0" w:line="190" w:lineRule="exact"/>
        <w:rPr>
          <w:rFonts w:ascii="Arial" w:cs="Arial" w:eastAsia="Arial" w:hAnsi="Arial"/>
          <w:sz w:val="22"/>
          <w:szCs w:val="22"/>
          <w:color w:val="auto"/>
        </w:rPr>
      </w:pPr>
    </w:p>
    <w:p>
      <w:pPr>
        <w:ind w:left="1580" w:hanging="295"/>
        <w:spacing w:after="0"/>
        <w:tabs>
          <w:tab w:leader="none" w:pos="1580" w:val="left"/>
        </w:tabs>
        <w:numPr>
          <w:ilvl w:val="0"/>
          <w:numId w:val="133"/>
        </w:numPr>
        <w:rPr>
          <w:rFonts w:ascii="Arial" w:cs="Arial" w:eastAsia="Arial" w:hAnsi="Arial"/>
          <w:sz w:val="22"/>
          <w:szCs w:val="22"/>
          <w:color w:val="auto"/>
        </w:rPr>
      </w:pPr>
      <w:r>
        <w:rPr>
          <w:rFonts w:ascii="Arial" w:cs="Arial" w:eastAsia="Arial" w:hAnsi="Arial"/>
          <w:sz w:val="22"/>
          <w:szCs w:val="22"/>
          <w:color w:val="auto"/>
        </w:rPr>
        <w:t>If the Issuer is required to file any reports under Section 4.03(2) or (3) hereof, the Issuer will also:</w:t>
      </w:r>
    </w:p>
    <w:p>
      <w:pPr>
        <w:spacing w:after="0" w:line="260" w:lineRule="exact"/>
        <w:rPr>
          <w:rFonts w:ascii="Arial" w:cs="Arial" w:eastAsia="Arial" w:hAnsi="Arial"/>
          <w:sz w:val="22"/>
          <w:szCs w:val="22"/>
          <w:color w:val="auto"/>
        </w:rPr>
      </w:pPr>
    </w:p>
    <w:p>
      <w:pPr>
        <w:jc w:val="both"/>
        <w:ind w:left="640" w:right="20" w:firstLine="1293"/>
        <w:spacing w:after="0" w:line="288" w:lineRule="auto"/>
        <w:tabs>
          <w:tab w:leader="none" w:pos="2221" w:val="left"/>
        </w:tabs>
        <w:numPr>
          <w:ilvl w:val="1"/>
          <w:numId w:val="133"/>
        </w:numPr>
        <w:rPr>
          <w:rFonts w:ascii="Arial" w:cs="Arial" w:eastAsia="Arial" w:hAnsi="Arial"/>
          <w:sz w:val="22"/>
          <w:szCs w:val="22"/>
          <w:color w:val="auto"/>
        </w:rPr>
      </w:pPr>
      <w:r>
        <w:rPr>
          <w:rFonts w:ascii="Arial" w:cs="Arial" w:eastAsia="Arial" w:hAnsi="Arial"/>
          <w:sz w:val="22"/>
          <w:szCs w:val="22"/>
          <w:color w:val="auto"/>
        </w:rPr>
        <w:t>issue a press release to an internationally recognized wire service no fewer than three Business Days prior to the first public disclosure of each such report, announcing the date on which such report will become publicly available and directing noteholders, prospective investors, broker-dealers and securities analysts to contact the investor relations office of the Issuer to obtain copies of such report;</w:t>
      </w:r>
    </w:p>
    <w:p>
      <w:pPr>
        <w:spacing w:after="0" w:line="190" w:lineRule="exact"/>
        <w:rPr>
          <w:rFonts w:ascii="Arial" w:cs="Arial" w:eastAsia="Arial" w:hAnsi="Arial"/>
          <w:sz w:val="22"/>
          <w:szCs w:val="22"/>
          <w:color w:val="auto"/>
        </w:rPr>
      </w:pPr>
    </w:p>
    <w:p>
      <w:pPr>
        <w:jc w:val="both"/>
        <w:ind w:left="640" w:firstLine="1293"/>
        <w:spacing w:after="0" w:line="287" w:lineRule="auto"/>
        <w:tabs>
          <w:tab w:leader="none" w:pos="2233" w:val="left"/>
        </w:tabs>
        <w:numPr>
          <w:ilvl w:val="1"/>
          <w:numId w:val="133"/>
        </w:numPr>
        <w:rPr>
          <w:rFonts w:ascii="Arial" w:cs="Arial" w:eastAsia="Arial" w:hAnsi="Arial"/>
          <w:sz w:val="22"/>
          <w:szCs w:val="22"/>
          <w:color w:val="auto"/>
        </w:rPr>
      </w:pPr>
      <w:r>
        <w:rPr>
          <w:rFonts w:ascii="Arial" w:cs="Arial" w:eastAsia="Arial" w:hAnsi="Arial"/>
          <w:sz w:val="22"/>
          <w:szCs w:val="22"/>
          <w:color w:val="auto"/>
        </w:rPr>
        <w:t>issue a press release to an internationally recognized wire service no fewer than three Business Days prior to the date of the conference call required to be held in accordance with Section 4.03(4)(b) hereof, announcing the time and date of such conference call and either including all information necessary to access the call or directing noteholders, prospective investors, broker-dealers and securities analysts to contact the appropriate person at the Issuer to obtain such information; and</w:t>
      </w:r>
    </w:p>
    <w:p>
      <w:pPr>
        <w:spacing w:after="0" w:line="189" w:lineRule="exact"/>
        <w:rPr>
          <w:rFonts w:ascii="Arial" w:cs="Arial" w:eastAsia="Arial" w:hAnsi="Arial"/>
          <w:sz w:val="22"/>
          <w:szCs w:val="22"/>
          <w:color w:val="auto"/>
        </w:rPr>
      </w:pPr>
    </w:p>
    <w:p>
      <w:pPr>
        <w:jc w:val="both"/>
        <w:ind w:left="640" w:firstLine="1293"/>
        <w:spacing w:after="0" w:line="292" w:lineRule="auto"/>
        <w:tabs>
          <w:tab w:leader="none" w:pos="2221" w:val="left"/>
        </w:tabs>
        <w:numPr>
          <w:ilvl w:val="1"/>
          <w:numId w:val="133"/>
        </w:numPr>
        <w:rPr>
          <w:rFonts w:ascii="Arial" w:cs="Arial" w:eastAsia="Arial" w:hAnsi="Arial"/>
          <w:sz w:val="22"/>
          <w:szCs w:val="22"/>
          <w:color w:val="auto"/>
        </w:rPr>
      </w:pPr>
      <w:r>
        <w:rPr>
          <w:rFonts w:ascii="Arial" w:cs="Arial" w:eastAsia="Arial" w:hAnsi="Arial"/>
          <w:sz w:val="22"/>
          <w:szCs w:val="22"/>
          <w:color w:val="auto"/>
        </w:rPr>
        <w:t>maintain a website to which noteholders, prospective investors, broker-dealers and securities analysts are given access and to which the reports and press releases required by Sections Section 4.03(2), (3), (4)(a) and (4)(b) hereof are posted within the time periods required.</w:t>
      </w:r>
    </w:p>
    <w:p>
      <w:pPr>
        <w:spacing w:after="0" w:line="184" w:lineRule="exact"/>
        <w:rPr>
          <w:rFonts w:ascii="Arial" w:cs="Arial" w:eastAsia="Arial" w:hAnsi="Arial"/>
          <w:sz w:val="22"/>
          <w:szCs w:val="22"/>
          <w:color w:val="auto"/>
        </w:rPr>
      </w:pPr>
    </w:p>
    <w:p>
      <w:pPr>
        <w:jc w:val="both"/>
        <w:ind w:left="640" w:firstLine="645"/>
        <w:spacing w:after="0" w:line="287" w:lineRule="auto"/>
        <w:tabs>
          <w:tab w:leader="none" w:pos="1585" w:val="left"/>
        </w:tabs>
        <w:numPr>
          <w:ilvl w:val="0"/>
          <w:numId w:val="133"/>
        </w:numPr>
        <w:rPr>
          <w:rFonts w:ascii="Arial" w:cs="Arial" w:eastAsia="Arial" w:hAnsi="Arial"/>
          <w:sz w:val="22"/>
          <w:szCs w:val="22"/>
          <w:color w:val="auto"/>
        </w:rPr>
      </w:pPr>
      <w:r>
        <w:rPr>
          <w:rFonts w:ascii="Arial" w:cs="Arial" w:eastAsia="Arial" w:hAnsi="Arial"/>
          <w:sz w:val="22"/>
          <w:szCs w:val="22"/>
          <w:color w:val="auto"/>
        </w:rPr>
        <w:t>During any period in which the Issuer is neither subject to Section 13 or 15(d) of the Exchange Act, nor exempt from reporting pursuant to Rule 12g3-2(b) thereunder, the Issuer shall provide to (i) any Holder or Beneficial Owner of a Note or (ii) a prospective purchaser of a Note or a beneficial interest therein designated by such Holder or Beneficial Owner, the information specified in, and meeting the requirements of, Rule 144A(d)(4) under the Securities Act upon the request of any Holder or Beneficial Owner of a Note.</w:t>
      </w:r>
    </w:p>
    <w:p>
      <w:pPr>
        <w:spacing w:after="0" w:line="189" w:lineRule="exact"/>
        <w:rPr>
          <w:rFonts w:ascii="Arial" w:cs="Arial" w:eastAsia="Arial" w:hAnsi="Arial"/>
          <w:sz w:val="22"/>
          <w:szCs w:val="22"/>
          <w:color w:val="auto"/>
        </w:rPr>
      </w:pPr>
    </w:p>
    <w:p>
      <w:pPr>
        <w:jc w:val="both"/>
        <w:ind w:left="640" w:firstLine="645"/>
        <w:spacing w:after="0" w:line="287" w:lineRule="auto"/>
        <w:tabs>
          <w:tab w:leader="none" w:pos="1639" w:val="left"/>
        </w:tabs>
        <w:numPr>
          <w:ilvl w:val="0"/>
          <w:numId w:val="133"/>
        </w:numPr>
        <w:rPr>
          <w:rFonts w:ascii="Arial" w:cs="Arial" w:eastAsia="Arial" w:hAnsi="Arial"/>
          <w:sz w:val="22"/>
          <w:szCs w:val="22"/>
          <w:color w:val="auto"/>
        </w:rPr>
      </w:pPr>
      <w:r>
        <w:rPr>
          <w:rFonts w:ascii="Arial" w:cs="Arial" w:eastAsia="Arial" w:hAnsi="Arial"/>
          <w:sz w:val="22"/>
          <w:szCs w:val="22"/>
          <w:color w:val="auto"/>
        </w:rPr>
        <w:t>Delivery of the reports, information and documents described in this Section 4.03 to the Trustee is for informational purposes only, and the Trustee’s receipt of such shall not constitute constructive notice of any information contained therein or determinable from information contained therein, including the Issuer’s compliance with any of its covenants hereunder (as to which the Trustee is entitled to conclusively rely exclusively on an Officer’s Certificate). The Trustee shall have no</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160" w:type="dxa"/>
            <w:vAlign w:val="bottom"/>
          </w:tcPr>
          <w:p>
            <w:pPr>
              <w:spacing w:after="0"/>
              <w:rPr>
                <w:sz w:val="20"/>
                <w:szCs w:val="20"/>
                <w:color w:val="auto"/>
              </w:rPr>
            </w:pPr>
            <w:r>
              <w:rPr>
                <w:rFonts w:ascii="Arial" w:cs="Arial" w:eastAsia="Arial" w:hAnsi="Arial"/>
                <w:sz w:val="11"/>
                <w:szCs w:val="11"/>
                <w:color w:val="auto"/>
              </w:rPr>
              <w:t>ASIA 33616188</w:t>
            </w:r>
          </w:p>
        </w:tc>
        <w:tc>
          <w:tcPr>
            <w:tcW w:w="2660" w:type="dxa"/>
            <w:vAlign w:val="bottom"/>
          </w:tcPr>
          <w:p>
            <w:pPr>
              <w:jc w:val="right"/>
              <w:spacing w:after="0"/>
              <w:rPr>
                <w:sz w:val="20"/>
                <w:szCs w:val="20"/>
                <w:color w:val="auto"/>
              </w:rPr>
            </w:pPr>
            <w:r>
              <w:rPr>
                <w:rFonts w:ascii="Arial" w:cs="Arial" w:eastAsia="Arial" w:hAnsi="Arial"/>
                <w:sz w:val="22"/>
                <w:szCs w:val="22"/>
                <w:color w:val="auto"/>
              </w:rPr>
              <w:t>43</w:t>
            </w:r>
          </w:p>
        </w:tc>
      </w:tr>
    </w:tbl>
    <w:p>
      <w:pPr>
        <w:sectPr>
          <w:pgSz w:w="11900" w:h="16838" w:orient="portrait"/>
          <w:cols w:equalWidth="0" w:num="1">
            <w:col w:w="11400"/>
          </w:cols>
          <w:pgMar w:left="260" w:top="1440" w:right="239" w:bottom="1440" w:gutter="0" w:footer="0" w:header="0"/>
        </w:sectPr>
      </w:pPr>
    </w:p>
    <w:bookmarkStart w:id="194" w:name="page195"/>
    <w:bookmarkEnd w:id="194"/>
    <w:p>
      <w:pPr>
        <w:spacing w:after="0" w:line="2" w:lineRule="exact"/>
        <w:rPr>
          <w:sz w:val="20"/>
          <w:szCs w:val="20"/>
          <w:color w:val="auto"/>
        </w:rPr>
      </w:pPr>
    </w:p>
    <w:p>
      <w:pPr>
        <w:ind w:left="660"/>
        <w:spacing w:after="0" w:line="302" w:lineRule="auto"/>
        <w:rPr>
          <w:sz w:val="20"/>
          <w:szCs w:val="20"/>
          <w:color w:val="auto"/>
        </w:rPr>
      </w:pPr>
      <w:r>
        <w:rPr>
          <w:rFonts w:ascii="Arial" w:cs="Arial" w:eastAsia="Arial" w:hAnsi="Arial"/>
          <w:sz w:val="22"/>
          <w:szCs w:val="22"/>
          <w:color w:val="auto"/>
        </w:rPr>
        <w:t>responsibility to determine if reports have been provided to Holders or if the Issuer has complied with the obligations set forth in this Section 4.03.</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4.04 </w:t>
      </w:r>
      <w:r>
        <w:rPr>
          <w:rFonts w:ascii="Arial" w:cs="Arial" w:eastAsia="Arial" w:hAnsi="Arial"/>
          <w:sz w:val="22"/>
          <w:szCs w:val="22"/>
          <w:i w:val="1"/>
          <w:iCs w:val="1"/>
          <w:color w:val="auto"/>
        </w:rPr>
        <w:t>Compliance Certificate</w:t>
      </w:r>
      <w:r>
        <w:rPr>
          <w:rFonts w:ascii="Arial" w:cs="Arial" w:eastAsia="Arial" w:hAnsi="Arial"/>
          <w:sz w:val="22"/>
          <w:szCs w:val="22"/>
          <w:color w:val="auto"/>
        </w:rPr>
        <w:t>.</w:t>
      </w:r>
    </w:p>
    <w:p>
      <w:pPr>
        <w:spacing w:after="0" w:line="260" w:lineRule="exact"/>
        <w:rPr>
          <w:sz w:val="20"/>
          <w:szCs w:val="20"/>
          <w:color w:val="auto"/>
        </w:rPr>
      </w:pPr>
    </w:p>
    <w:p>
      <w:pPr>
        <w:jc w:val="both"/>
        <w:ind w:firstLine="656"/>
        <w:spacing w:after="0" w:line="333" w:lineRule="auto"/>
        <w:tabs>
          <w:tab w:leader="none" w:pos="946" w:val="left"/>
        </w:tabs>
        <w:numPr>
          <w:ilvl w:val="0"/>
          <w:numId w:val="134"/>
        </w:numPr>
        <w:rPr>
          <w:rFonts w:ascii="Arial" w:cs="Arial" w:eastAsia="Arial" w:hAnsi="Arial"/>
          <w:sz w:val="19"/>
          <w:szCs w:val="19"/>
          <w:color w:val="auto"/>
        </w:rPr>
      </w:pPr>
      <w:r>
        <w:rPr>
          <w:rFonts w:ascii="Arial" w:cs="Arial" w:eastAsia="Arial" w:hAnsi="Arial"/>
          <w:sz w:val="19"/>
          <w:szCs w:val="19"/>
          <w:color w:val="auto"/>
        </w:rPr>
        <w:t>The Issuer shall deliver to the Trustee, within 90 days after the end of each fiscal year, an Officer’s Certificate stating that a review of the activities of the Issuer and its Subsidiaries during the preceding fiscal year has been made under the supervision of the signing Officer with a view to determining whether the Issuer has kept, observed, performed and fulfilled its obligations under this Indenture, and further stating, as to each such Officer signing such certificate, whether to the best of his or her knowledge the Issuer has kept, observed, performed and fulfilled each and every covenant contained in this Indenture and is not in default in the performance or observance of any of the terms, provisions and conditions of this Indenture (and, if a Default or Event of Default has occurred, describing all such Defaults or Events of Default of which he or she may have knowledge and what action the Issuer is taking or proposes to take with respect thereto) and that to the best of his or her knowledge no event has occurred and remains in existence by reason of which payments on account of the principal of or interest, if any, on the Notes is prohibited or if such event has occurred, a description of the event and what action the Issuer is taking or proposes to take with respect thereto.</w:t>
      </w:r>
    </w:p>
    <w:p>
      <w:pPr>
        <w:spacing w:after="0" w:line="155" w:lineRule="exact"/>
        <w:rPr>
          <w:rFonts w:ascii="Arial" w:cs="Arial" w:eastAsia="Arial" w:hAnsi="Arial"/>
          <w:sz w:val="19"/>
          <w:szCs w:val="19"/>
          <w:color w:val="auto"/>
        </w:rPr>
      </w:pPr>
    </w:p>
    <w:p>
      <w:pPr>
        <w:jc w:val="both"/>
        <w:ind w:firstLine="656"/>
        <w:spacing w:after="0" w:line="300" w:lineRule="auto"/>
        <w:tabs>
          <w:tab w:leader="none" w:pos="945" w:val="left"/>
        </w:tabs>
        <w:numPr>
          <w:ilvl w:val="0"/>
          <w:numId w:val="134"/>
        </w:numPr>
        <w:rPr>
          <w:rFonts w:ascii="Arial" w:cs="Arial" w:eastAsia="Arial" w:hAnsi="Arial"/>
          <w:sz w:val="21"/>
          <w:szCs w:val="21"/>
          <w:color w:val="auto"/>
        </w:rPr>
      </w:pPr>
      <w:r>
        <w:rPr>
          <w:rFonts w:ascii="Arial" w:cs="Arial" w:eastAsia="Arial" w:hAnsi="Arial"/>
          <w:sz w:val="21"/>
          <w:szCs w:val="21"/>
          <w:color w:val="auto"/>
        </w:rPr>
        <w:t>So long as not contrary to the then current recommendations of the Hong Kong Institute of Certified Public Accountants, the year-end financial statements filed pursuant to Section 4.03 above shall be accompanied by a written statement of the Issuer’s independent public accountants (who shall be an internationally recognized firm) that in making the examination necessary for certification of such financial statements, nothing has come to their attention that would lead them to believe that the Issuer has violated any provisions of Article 4 or Article 5 hereof or, if any such violation has occurred, specifying the nature and period of existence thereof, it being understood that such accountants shall not be liable directly or indirectly to any Person for any failure to obtain knowledge of any such violation.</w:t>
      </w:r>
    </w:p>
    <w:p>
      <w:pPr>
        <w:spacing w:after="0" w:line="182" w:lineRule="exact"/>
        <w:rPr>
          <w:rFonts w:ascii="Arial" w:cs="Arial" w:eastAsia="Arial" w:hAnsi="Arial"/>
          <w:sz w:val="21"/>
          <w:szCs w:val="21"/>
          <w:color w:val="auto"/>
        </w:rPr>
      </w:pPr>
    </w:p>
    <w:p>
      <w:pPr>
        <w:jc w:val="both"/>
        <w:ind w:firstLine="656"/>
        <w:spacing w:after="0" w:line="292" w:lineRule="auto"/>
        <w:tabs>
          <w:tab w:leader="none" w:pos="933" w:val="left"/>
        </w:tabs>
        <w:numPr>
          <w:ilvl w:val="0"/>
          <w:numId w:val="134"/>
        </w:numPr>
        <w:rPr>
          <w:rFonts w:ascii="Arial" w:cs="Arial" w:eastAsia="Arial" w:hAnsi="Arial"/>
          <w:sz w:val="22"/>
          <w:szCs w:val="22"/>
          <w:color w:val="auto"/>
        </w:rPr>
      </w:pPr>
      <w:r>
        <w:rPr>
          <w:rFonts w:ascii="Arial" w:cs="Arial" w:eastAsia="Arial" w:hAnsi="Arial"/>
          <w:sz w:val="22"/>
          <w:szCs w:val="22"/>
          <w:color w:val="auto"/>
        </w:rPr>
        <w:t>So long as any of the Notes are outstanding, the Issuer shall deliver to the Trustee, forthwith upon any Officer becoming aware of any Default or Event of Default, an Officer’s Certificate specifying such Default or Event of Default and what action the Issuer is taking or proposes to take with respect thereto.</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4.05 </w:t>
      </w:r>
      <w:r>
        <w:rPr>
          <w:rFonts w:ascii="Arial" w:cs="Arial" w:eastAsia="Arial" w:hAnsi="Arial"/>
          <w:sz w:val="22"/>
          <w:szCs w:val="22"/>
          <w:i w:val="1"/>
          <w:iCs w:val="1"/>
          <w:color w:val="auto"/>
        </w:rPr>
        <w:t>Taxes</w:t>
      </w:r>
      <w:r>
        <w:rPr>
          <w:rFonts w:ascii="Arial" w:cs="Arial" w:eastAsia="Arial" w:hAnsi="Arial"/>
          <w:sz w:val="22"/>
          <w:szCs w:val="22"/>
          <w:color w:val="auto"/>
        </w:rPr>
        <w:t>.</w:t>
      </w:r>
    </w:p>
    <w:p>
      <w:pPr>
        <w:spacing w:after="0" w:line="26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The Issuer shall pay, and shall cause each of its Subsidiaries to pay, prior to delinquency, all material taxes, assessments, and governmental levies except such as are contested in good faith and by appropriate proceedings or where the failure to effect such payment is not adverse in any material respect to the Holders of the Notes.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3160" w:type="dxa"/>
            <w:vAlign w:val="bottom"/>
          </w:tcPr>
          <w:p>
            <w:pPr>
              <w:spacing w:after="0"/>
              <w:rPr>
                <w:sz w:val="20"/>
                <w:szCs w:val="20"/>
                <w:color w:val="auto"/>
              </w:rPr>
            </w:pPr>
            <w:r>
              <w:rPr>
                <w:rFonts w:ascii="Arial" w:cs="Arial" w:eastAsia="Arial" w:hAnsi="Arial"/>
                <w:sz w:val="11"/>
                <w:szCs w:val="11"/>
                <w:color w:val="auto"/>
              </w:rPr>
              <w:t>ASIA 33616188</w:t>
            </w:r>
          </w:p>
        </w:tc>
        <w:tc>
          <w:tcPr>
            <w:tcW w:w="2660" w:type="dxa"/>
            <w:vAlign w:val="bottom"/>
          </w:tcPr>
          <w:p>
            <w:pPr>
              <w:jc w:val="right"/>
              <w:spacing w:after="0"/>
              <w:rPr>
                <w:sz w:val="20"/>
                <w:szCs w:val="20"/>
                <w:color w:val="auto"/>
              </w:rPr>
            </w:pPr>
            <w:r>
              <w:rPr>
                <w:rFonts w:ascii="Arial" w:cs="Arial" w:eastAsia="Arial" w:hAnsi="Arial"/>
                <w:sz w:val="22"/>
                <w:szCs w:val="22"/>
                <w:color w:val="auto"/>
              </w:rPr>
              <w:t>44</w:t>
            </w:r>
          </w:p>
        </w:tc>
      </w:tr>
    </w:tbl>
    <w:p>
      <w:pPr>
        <w:sectPr>
          <w:pgSz w:w="11900" w:h="16838" w:orient="portrait"/>
          <w:cols w:equalWidth="0" w:num="1">
            <w:col w:w="11420"/>
          </w:cols>
          <w:pgMar w:left="240" w:top="1440" w:right="239" w:bottom="1440" w:gutter="0" w:footer="0" w:header="0"/>
        </w:sectPr>
      </w:pPr>
    </w:p>
    <w:bookmarkStart w:id="195" w:name="page196"/>
    <w:bookmarkEnd w:id="195"/>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4.06 </w:t>
      </w:r>
      <w:r>
        <w:rPr>
          <w:rFonts w:ascii="Arial" w:cs="Arial" w:eastAsia="Arial" w:hAnsi="Arial"/>
          <w:sz w:val="22"/>
          <w:szCs w:val="22"/>
          <w:i w:val="1"/>
          <w:iCs w:val="1"/>
          <w:color w:val="auto"/>
        </w:rPr>
        <w:t>Stay, Extension and Usury Laws</w:t>
      </w:r>
      <w:r>
        <w:rPr>
          <w:rFonts w:ascii="Arial" w:cs="Arial" w:eastAsia="Arial" w:hAnsi="Arial"/>
          <w:sz w:val="22"/>
          <w:szCs w:val="22"/>
          <w:color w:val="auto"/>
        </w:rPr>
        <w:t>.</w:t>
      </w:r>
    </w:p>
    <w:p>
      <w:pPr>
        <w:spacing w:after="0" w:line="26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1"/>
          <w:szCs w:val="21"/>
          <w:color w:val="auto"/>
        </w:rPr>
        <w:t>The Issuer covenants (to the extent that it may lawfully do so) that it shall not at any time insist upon, plead, or in any manner whatsoever claim or take the benefit or advantage of, any stay, extension or usury law wherever enacted, now or at any time hereafter in force, that may affect the covenants or the performance of this Indenture; and the Issuer (to the extent that it may lawfully do so) hereby expressly waives all benefit or advantage of any such law, and covenants that it shall not, by resort to any such law, hinder, delay or impede the execution of any power herein granted to the Trustee, but shall suffer and permit the execution of every such power as though no such law has been enacted.</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4.07 </w:t>
      </w:r>
      <w:r>
        <w:rPr>
          <w:rFonts w:ascii="Arial" w:cs="Arial" w:eastAsia="Arial" w:hAnsi="Arial"/>
          <w:sz w:val="22"/>
          <w:szCs w:val="22"/>
          <w:i w:val="1"/>
          <w:iCs w:val="1"/>
          <w:color w:val="auto"/>
        </w:rPr>
        <w:t>Corporate and Organizational Existence</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Subject to Article 5 hereof, the Issuer shall do or cause to be done all things necessary to preserve and keep in full force and</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color w:val="auto"/>
        </w:rPr>
        <w:t>effect:</w:t>
      </w:r>
    </w:p>
    <w:p>
      <w:pPr>
        <w:spacing w:after="0" w:line="260" w:lineRule="exact"/>
        <w:rPr>
          <w:sz w:val="20"/>
          <w:szCs w:val="20"/>
          <w:color w:val="auto"/>
        </w:rPr>
      </w:pPr>
    </w:p>
    <w:p>
      <w:pPr>
        <w:jc w:val="both"/>
        <w:ind w:firstLine="656"/>
        <w:spacing w:after="0" w:line="292" w:lineRule="auto"/>
        <w:tabs>
          <w:tab w:leader="none" w:pos="960" w:val="left"/>
        </w:tabs>
        <w:numPr>
          <w:ilvl w:val="0"/>
          <w:numId w:val="135"/>
        </w:numPr>
        <w:rPr>
          <w:rFonts w:ascii="Arial" w:cs="Arial" w:eastAsia="Arial" w:hAnsi="Arial"/>
          <w:sz w:val="22"/>
          <w:szCs w:val="22"/>
          <w:color w:val="auto"/>
        </w:rPr>
      </w:pPr>
      <w:r>
        <w:rPr>
          <w:rFonts w:ascii="Arial" w:cs="Arial" w:eastAsia="Arial" w:hAnsi="Arial"/>
          <w:sz w:val="22"/>
          <w:szCs w:val="22"/>
          <w:color w:val="auto"/>
        </w:rPr>
        <w:t>its corporate or limited liability company existence, and the corporate, partnership or other existence of each of its Significant Subsidiaries, in accordance with their respective organizational documents (as the same may be amended from time to time); and</w:t>
      </w:r>
    </w:p>
    <w:p>
      <w:pPr>
        <w:spacing w:after="0" w:line="184" w:lineRule="exact"/>
        <w:rPr>
          <w:rFonts w:ascii="Arial" w:cs="Arial" w:eastAsia="Arial" w:hAnsi="Arial"/>
          <w:sz w:val="22"/>
          <w:szCs w:val="22"/>
          <w:color w:val="auto"/>
        </w:rPr>
      </w:pPr>
    </w:p>
    <w:p>
      <w:pPr>
        <w:jc w:val="both"/>
        <w:ind w:firstLine="656"/>
        <w:spacing w:after="0" w:line="287" w:lineRule="auto"/>
        <w:tabs>
          <w:tab w:leader="none" w:pos="959" w:val="left"/>
        </w:tabs>
        <w:numPr>
          <w:ilvl w:val="0"/>
          <w:numId w:val="135"/>
        </w:numPr>
        <w:rPr>
          <w:rFonts w:ascii="Arial" w:cs="Arial" w:eastAsia="Arial" w:hAnsi="Arial"/>
          <w:sz w:val="22"/>
          <w:szCs w:val="22"/>
          <w:color w:val="auto"/>
        </w:rPr>
      </w:pPr>
      <w:r>
        <w:rPr>
          <w:rFonts w:ascii="Arial" w:cs="Arial" w:eastAsia="Arial" w:hAnsi="Arial"/>
          <w:sz w:val="22"/>
          <w:szCs w:val="22"/>
          <w:color w:val="auto"/>
        </w:rPr>
        <w:t xml:space="preserve">the rights (charter and statutory), licenses and franchises of the Issuer and its Subsidiaries; </w:t>
      </w:r>
      <w:r>
        <w:rPr>
          <w:rFonts w:ascii="Arial" w:cs="Arial" w:eastAsia="Arial" w:hAnsi="Arial"/>
          <w:sz w:val="22"/>
          <w:szCs w:val="22"/>
          <w:i w:val="1"/>
          <w:iCs w:val="1"/>
          <w:color w:val="auto"/>
        </w:rPr>
        <w:t>provided, however</w:t>
      </w:r>
      <w:r>
        <w:rPr>
          <w:rFonts w:ascii="Arial" w:cs="Arial" w:eastAsia="Arial" w:hAnsi="Arial"/>
          <w:sz w:val="22"/>
          <w:szCs w:val="22"/>
          <w:color w:val="auto"/>
        </w:rPr>
        <w:t>, that the Issuer shall not be required to preserve any such right, license or franchise, or the corporate, partnership or other existence of any of its Subsidiaries, if the Board of Directors of the Issuer shall determine that the preservation thereof is no longer desirable in the conduct of the business of the Issuer and its Subsidiaries, taken as a whole, and that the loss thereof is not adverse in any material respect to the Holders of the Notes.</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4.08 </w:t>
      </w:r>
      <w:r>
        <w:rPr>
          <w:rFonts w:ascii="Arial" w:cs="Arial" w:eastAsia="Arial" w:hAnsi="Arial"/>
          <w:sz w:val="22"/>
          <w:szCs w:val="22"/>
          <w:i w:val="1"/>
          <w:iCs w:val="1"/>
          <w:color w:val="auto"/>
        </w:rPr>
        <w:t>Offer to Purchase Upon Change of Control Triggering Event</w:t>
      </w:r>
      <w:r>
        <w:rPr>
          <w:rFonts w:ascii="Arial" w:cs="Arial" w:eastAsia="Arial" w:hAnsi="Arial"/>
          <w:sz w:val="22"/>
          <w:szCs w:val="22"/>
          <w:color w:val="auto"/>
        </w:rPr>
        <w:t>.</w:t>
      </w:r>
    </w:p>
    <w:p>
      <w:pPr>
        <w:spacing w:after="0" w:line="260" w:lineRule="exact"/>
        <w:rPr>
          <w:sz w:val="20"/>
          <w:szCs w:val="20"/>
          <w:color w:val="auto"/>
        </w:rPr>
      </w:pPr>
    </w:p>
    <w:p>
      <w:pPr>
        <w:jc w:val="both"/>
        <w:ind w:firstLine="656"/>
        <w:spacing w:after="0" w:line="335" w:lineRule="auto"/>
        <w:tabs>
          <w:tab w:leader="none" w:pos="946" w:val="left"/>
        </w:tabs>
        <w:numPr>
          <w:ilvl w:val="0"/>
          <w:numId w:val="136"/>
        </w:numPr>
        <w:rPr>
          <w:rFonts w:ascii="Arial" w:cs="Arial" w:eastAsia="Arial" w:hAnsi="Arial"/>
          <w:sz w:val="19"/>
          <w:szCs w:val="19"/>
          <w:color w:val="auto"/>
        </w:rPr>
      </w:pPr>
      <w:r>
        <w:rPr>
          <w:rFonts w:ascii="Arial" w:cs="Arial" w:eastAsia="Arial" w:hAnsi="Arial"/>
          <w:sz w:val="19"/>
          <w:szCs w:val="19"/>
          <w:color w:val="auto"/>
        </w:rPr>
        <w:t>Upon the occurrence of a Change of Control Triggering Event, the Issuer shall make an offer (a “</w:t>
      </w:r>
      <w:r>
        <w:rPr>
          <w:rFonts w:ascii="Arial" w:cs="Arial" w:eastAsia="Arial" w:hAnsi="Arial"/>
          <w:sz w:val="19"/>
          <w:szCs w:val="19"/>
          <w:i w:val="1"/>
          <w:iCs w:val="1"/>
          <w:color w:val="auto"/>
        </w:rPr>
        <w:t>Change of Control</w:t>
      </w:r>
      <w:r>
        <w:rPr>
          <w:rFonts w:ascii="Arial" w:cs="Arial" w:eastAsia="Arial" w:hAnsi="Arial"/>
          <w:sz w:val="19"/>
          <w:szCs w:val="19"/>
          <w:color w:val="auto"/>
        </w:rPr>
        <w:t xml:space="preserve"> </w:t>
      </w:r>
      <w:r>
        <w:rPr>
          <w:rFonts w:ascii="Arial" w:cs="Arial" w:eastAsia="Arial" w:hAnsi="Arial"/>
          <w:sz w:val="19"/>
          <w:szCs w:val="19"/>
          <w:i w:val="1"/>
          <w:iCs w:val="1"/>
          <w:color w:val="auto"/>
        </w:rPr>
        <w:t>Offer</w:t>
      </w:r>
      <w:r>
        <w:rPr>
          <w:rFonts w:ascii="Arial" w:cs="Arial" w:eastAsia="Arial" w:hAnsi="Arial"/>
          <w:sz w:val="19"/>
          <w:szCs w:val="19"/>
          <w:color w:val="auto"/>
        </w:rPr>
        <w:t>”) to each Holder to repurchase all or any part (equal to US$200,000 or an integral multiple of US$1,000 in excess of</w:t>
      </w:r>
      <w:r>
        <w:rPr>
          <w:rFonts w:ascii="Arial" w:cs="Arial" w:eastAsia="Arial" w:hAnsi="Arial"/>
          <w:sz w:val="19"/>
          <w:szCs w:val="19"/>
          <w:i w:val="1"/>
          <w:iCs w:val="1"/>
          <w:color w:val="auto"/>
        </w:rPr>
        <w:t xml:space="preserve"> </w:t>
      </w:r>
      <w:r>
        <w:rPr>
          <w:rFonts w:ascii="Arial" w:cs="Arial" w:eastAsia="Arial" w:hAnsi="Arial"/>
          <w:sz w:val="19"/>
          <w:szCs w:val="19"/>
          <w:color w:val="auto"/>
        </w:rPr>
        <w:t>US$200,000) of each Holder’s Notes at a purchase price equal to 101% of the aggregate principal amount thereof plus accrued and unpaid interest on the Notes purchased, if any, to (but excluding) the date of purchase (subject to the right of holders of record on the relevant record date to receive interest due on the relevant interest payment date), except to the extent the Issuer has previously or concurrently elected to redeem the Notes in full as described in Section 3.07 or Section 3.10 (the “</w:t>
      </w:r>
      <w:r>
        <w:rPr>
          <w:rFonts w:ascii="Arial" w:cs="Arial" w:eastAsia="Arial" w:hAnsi="Arial"/>
          <w:sz w:val="19"/>
          <w:szCs w:val="19"/>
          <w:i w:val="1"/>
          <w:iCs w:val="1"/>
          <w:color w:val="auto"/>
        </w:rPr>
        <w:t>Change of Control Payment</w:t>
      </w:r>
      <w:r>
        <w:rPr>
          <w:rFonts w:ascii="Arial" w:cs="Arial" w:eastAsia="Arial" w:hAnsi="Arial"/>
          <w:sz w:val="19"/>
          <w:szCs w:val="19"/>
          <w:color w:val="auto"/>
        </w:rPr>
        <w:t>”). Within ten days following any Change of Control Triggering Event, the Issuer shall mail a notice to each Holder (with a copy to the Trustee) describing the transaction or transactions that constitute the Change of Control Triggering Event and stating:</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3160" w:type="dxa"/>
            <w:vAlign w:val="bottom"/>
          </w:tcPr>
          <w:p>
            <w:pPr>
              <w:spacing w:after="0"/>
              <w:rPr>
                <w:sz w:val="20"/>
                <w:szCs w:val="20"/>
                <w:color w:val="auto"/>
              </w:rPr>
            </w:pPr>
            <w:r>
              <w:rPr>
                <w:rFonts w:ascii="Arial" w:cs="Arial" w:eastAsia="Arial" w:hAnsi="Arial"/>
                <w:sz w:val="11"/>
                <w:szCs w:val="11"/>
                <w:color w:val="auto"/>
              </w:rPr>
              <w:t>ASIA 33616188</w:t>
            </w:r>
          </w:p>
        </w:tc>
        <w:tc>
          <w:tcPr>
            <w:tcW w:w="2660" w:type="dxa"/>
            <w:vAlign w:val="bottom"/>
          </w:tcPr>
          <w:p>
            <w:pPr>
              <w:jc w:val="right"/>
              <w:spacing w:after="0"/>
              <w:rPr>
                <w:sz w:val="20"/>
                <w:szCs w:val="20"/>
                <w:color w:val="auto"/>
              </w:rPr>
            </w:pPr>
            <w:r>
              <w:rPr>
                <w:rFonts w:ascii="Arial" w:cs="Arial" w:eastAsia="Arial" w:hAnsi="Arial"/>
                <w:sz w:val="22"/>
                <w:szCs w:val="22"/>
                <w:color w:val="auto"/>
              </w:rPr>
              <w:t>45</w:t>
            </w:r>
          </w:p>
        </w:tc>
      </w:tr>
    </w:tbl>
    <w:p>
      <w:pPr>
        <w:sectPr>
          <w:pgSz w:w="11900" w:h="16838" w:orient="portrait"/>
          <w:cols w:equalWidth="0" w:num="1">
            <w:col w:w="11420"/>
          </w:cols>
          <w:pgMar w:left="240" w:top="1440" w:right="239" w:bottom="1440" w:gutter="0" w:footer="0" w:header="0"/>
        </w:sectPr>
      </w:pPr>
    </w:p>
    <w:bookmarkStart w:id="196" w:name="page197"/>
    <w:bookmarkEnd w:id="196"/>
    <w:p>
      <w:pPr>
        <w:spacing w:after="0" w:line="2" w:lineRule="exact"/>
        <w:rPr>
          <w:sz w:val="20"/>
          <w:szCs w:val="20"/>
          <w:color w:val="auto"/>
        </w:rPr>
      </w:pPr>
    </w:p>
    <w:p>
      <w:pPr>
        <w:ind w:left="660" w:firstLine="645"/>
        <w:spacing w:after="0" w:line="302" w:lineRule="auto"/>
        <w:tabs>
          <w:tab w:leader="none" w:pos="1605" w:val="left"/>
        </w:tabs>
        <w:numPr>
          <w:ilvl w:val="0"/>
          <w:numId w:val="137"/>
        </w:numPr>
        <w:rPr>
          <w:rFonts w:ascii="Arial" w:cs="Arial" w:eastAsia="Arial" w:hAnsi="Arial"/>
          <w:sz w:val="22"/>
          <w:szCs w:val="22"/>
          <w:color w:val="auto"/>
        </w:rPr>
      </w:pPr>
      <w:r>
        <w:rPr>
          <w:rFonts w:ascii="Arial" w:cs="Arial" w:eastAsia="Arial" w:hAnsi="Arial"/>
          <w:sz w:val="22"/>
          <w:szCs w:val="22"/>
          <w:color w:val="auto"/>
        </w:rPr>
        <w:t>that the Change of Control Offer is being made pursuant to this Section 4.08 and that all Notes tendered shall be accepted for payment;</w:t>
      </w:r>
    </w:p>
    <w:p>
      <w:pPr>
        <w:spacing w:after="0" w:line="173" w:lineRule="exact"/>
        <w:rPr>
          <w:rFonts w:ascii="Arial" w:cs="Arial" w:eastAsia="Arial" w:hAnsi="Arial"/>
          <w:sz w:val="22"/>
          <w:szCs w:val="22"/>
          <w:color w:val="auto"/>
        </w:rPr>
      </w:pPr>
    </w:p>
    <w:p>
      <w:pPr>
        <w:ind w:left="660" w:right="20" w:firstLine="645"/>
        <w:spacing w:after="0" w:line="302" w:lineRule="auto"/>
        <w:tabs>
          <w:tab w:leader="none" w:pos="1605" w:val="left"/>
        </w:tabs>
        <w:numPr>
          <w:ilvl w:val="0"/>
          <w:numId w:val="137"/>
        </w:numPr>
        <w:rPr>
          <w:rFonts w:ascii="Arial" w:cs="Arial" w:eastAsia="Arial" w:hAnsi="Arial"/>
          <w:sz w:val="22"/>
          <w:szCs w:val="22"/>
          <w:color w:val="auto"/>
        </w:rPr>
      </w:pPr>
      <w:r>
        <w:rPr>
          <w:rFonts w:ascii="Arial" w:cs="Arial" w:eastAsia="Arial" w:hAnsi="Arial"/>
          <w:sz w:val="22"/>
          <w:szCs w:val="22"/>
          <w:color w:val="auto"/>
        </w:rPr>
        <w:t>the purchase price and the purchase date, which shall be no earlier than 10 days and no later than 60 days from the date such notice is delivered (the “</w:t>
      </w:r>
      <w:r>
        <w:rPr>
          <w:rFonts w:ascii="Arial" w:cs="Arial" w:eastAsia="Arial" w:hAnsi="Arial"/>
          <w:sz w:val="22"/>
          <w:szCs w:val="22"/>
          <w:i w:val="1"/>
          <w:iCs w:val="1"/>
          <w:color w:val="auto"/>
        </w:rPr>
        <w:t>Change of Control Payment Date</w:t>
      </w:r>
      <w:r>
        <w:rPr>
          <w:rFonts w:ascii="Arial" w:cs="Arial" w:eastAsia="Arial" w:hAnsi="Arial"/>
          <w:sz w:val="22"/>
          <w:szCs w:val="22"/>
          <w:color w:val="auto"/>
        </w:rPr>
        <w:t>”);</w:t>
      </w:r>
    </w:p>
    <w:p>
      <w:pPr>
        <w:spacing w:after="0" w:line="173" w:lineRule="exact"/>
        <w:rPr>
          <w:rFonts w:ascii="Arial" w:cs="Arial" w:eastAsia="Arial" w:hAnsi="Arial"/>
          <w:sz w:val="22"/>
          <w:szCs w:val="22"/>
          <w:color w:val="auto"/>
        </w:rPr>
      </w:pPr>
    </w:p>
    <w:p>
      <w:pPr>
        <w:ind w:left="1600" w:hanging="295"/>
        <w:spacing w:after="0"/>
        <w:tabs>
          <w:tab w:leader="none" w:pos="1600" w:val="left"/>
        </w:tabs>
        <w:numPr>
          <w:ilvl w:val="0"/>
          <w:numId w:val="137"/>
        </w:numPr>
        <w:rPr>
          <w:rFonts w:ascii="Arial" w:cs="Arial" w:eastAsia="Arial" w:hAnsi="Arial"/>
          <w:sz w:val="22"/>
          <w:szCs w:val="22"/>
          <w:color w:val="auto"/>
        </w:rPr>
      </w:pPr>
      <w:r>
        <w:rPr>
          <w:rFonts w:ascii="Arial" w:cs="Arial" w:eastAsia="Arial" w:hAnsi="Arial"/>
          <w:sz w:val="22"/>
          <w:szCs w:val="22"/>
          <w:color w:val="auto"/>
        </w:rPr>
        <w:t>that any Note not tendered shall continue to accrue interest;</w:t>
      </w:r>
    </w:p>
    <w:p>
      <w:pPr>
        <w:spacing w:after="0" w:line="260" w:lineRule="exact"/>
        <w:rPr>
          <w:rFonts w:ascii="Arial" w:cs="Arial" w:eastAsia="Arial" w:hAnsi="Arial"/>
          <w:sz w:val="22"/>
          <w:szCs w:val="22"/>
          <w:color w:val="auto"/>
        </w:rPr>
      </w:pPr>
    </w:p>
    <w:p>
      <w:pPr>
        <w:ind w:left="660" w:firstLine="645"/>
        <w:spacing w:after="0" w:line="387" w:lineRule="auto"/>
        <w:tabs>
          <w:tab w:leader="none" w:pos="1605" w:val="left"/>
        </w:tabs>
        <w:numPr>
          <w:ilvl w:val="0"/>
          <w:numId w:val="137"/>
        </w:numPr>
        <w:rPr>
          <w:rFonts w:ascii="Arial" w:cs="Arial" w:eastAsia="Arial" w:hAnsi="Arial"/>
          <w:sz w:val="19"/>
          <w:szCs w:val="19"/>
          <w:color w:val="auto"/>
        </w:rPr>
      </w:pPr>
      <w:r>
        <w:rPr>
          <w:rFonts w:ascii="Arial" w:cs="Arial" w:eastAsia="Arial" w:hAnsi="Arial"/>
          <w:sz w:val="19"/>
          <w:szCs w:val="19"/>
          <w:color w:val="auto"/>
        </w:rPr>
        <w:t>that, unless the Issuer defaults in the payment of the Change of Control Payment, all Notes accepted for payment pursuant to the Change of Control Offer shall cease to accrue interest after the Change of Control Payment Date;</w:t>
      </w:r>
    </w:p>
    <w:p>
      <w:pPr>
        <w:spacing w:after="0" w:line="105" w:lineRule="exact"/>
        <w:rPr>
          <w:rFonts w:ascii="Arial" w:cs="Arial" w:eastAsia="Arial" w:hAnsi="Arial"/>
          <w:sz w:val="19"/>
          <w:szCs w:val="19"/>
          <w:color w:val="auto"/>
        </w:rPr>
      </w:pPr>
    </w:p>
    <w:p>
      <w:pPr>
        <w:jc w:val="both"/>
        <w:ind w:left="660" w:firstLine="645"/>
        <w:spacing w:after="0" w:line="288" w:lineRule="auto"/>
        <w:tabs>
          <w:tab w:leader="none" w:pos="1619" w:val="left"/>
        </w:tabs>
        <w:numPr>
          <w:ilvl w:val="0"/>
          <w:numId w:val="137"/>
        </w:numPr>
        <w:rPr>
          <w:rFonts w:ascii="Arial" w:cs="Arial" w:eastAsia="Arial" w:hAnsi="Arial"/>
          <w:sz w:val="22"/>
          <w:szCs w:val="22"/>
          <w:color w:val="auto"/>
        </w:rPr>
      </w:pPr>
      <w:r>
        <w:rPr>
          <w:rFonts w:ascii="Arial" w:cs="Arial" w:eastAsia="Arial" w:hAnsi="Arial"/>
          <w:sz w:val="22"/>
          <w:szCs w:val="22"/>
          <w:color w:val="auto"/>
        </w:rPr>
        <w:t>that Holders electing to have any Notes purchased pursuant to a Change of Control Offer shall be required to surrender the Notes, with the form entitled “Option of Holder to Elect Purchase” attached to the Notes completed, or transfer by book-entry transfer, to the Paying Agent at the address specified in the notice prior to the close of business on the third Business Day preceding the Change of Control Payment Date;</w:t>
      </w:r>
    </w:p>
    <w:p>
      <w:pPr>
        <w:spacing w:after="0" w:line="190" w:lineRule="exact"/>
        <w:rPr>
          <w:rFonts w:ascii="Arial" w:cs="Arial" w:eastAsia="Arial" w:hAnsi="Arial"/>
          <w:sz w:val="22"/>
          <w:szCs w:val="22"/>
          <w:color w:val="auto"/>
        </w:rPr>
      </w:pPr>
    </w:p>
    <w:p>
      <w:pPr>
        <w:jc w:val="both"/>
        <w:ind w:left="660" w:firstLine="645"/>
        <w:spacing w:after="0" w:line="306" w:lineRule="auto"/>
        <w:tabs>
          <w:tab w:leader="none" w:pos="1605" w:val="left"/>
        </w:tabs>
        <w:numPr>
          <w:ilvl w:val="0"/>
          <w:numId w:val="137"/>
        </w:numPr>
        <w:rPr>
          <w:rFonts w:ascii="Arial" w:cs="Arial" w:eastAsia="Arial" w:hAnsi="Arial"/>
          <w:sz w:val="21"/>
          <w:szCs w:val="21"/>
          <w:color w:val="auto"/>
        </w:rPr>
      </w:pPr>
      <w:r>
        <w:rPr>
          <w:rFonts w:ascii="Arial" w:cs="Arial" w:eastAsia="Arial" w:hAnsi="Arial"/>
          <w:sz w:val="21"/>
          <w:szCs w:val="21"/>
          <w:color w:val="auto"/>
        </w:rPr>
        <w:t>that Holders shall be entitled to withdraw their election if the Paying Agent receives, not later than the close of business on the second Business Day preceding the Change of Control Payment Date, a telegram, facsimile transmission or letter setting forth the name of the Holder, the principal amount of Notes delivered for purchase, and a statement that such Holder is withdrawing his election to have the Notes purchased; and</w:t>
      </w:r>
    </w:p>
    <w:p>
      <w:pPr>
        <w:spacing w:after="0" w:line="172" w:lineRule="exact"/>
        <w:rPr>
          <w:rFonts w:ascii="Arial" w:cs="Arial" w:eastAsia="Arial" w:hAnsi="Arial"/>
          <w:sz w:val="21"/>
          <w:szCs w:val="21"/>
          <w:color w:val="auto"/>
        </w:rPr>
      </w:pPr>
    </w:p>
    <w:p>
      <w:pPr>
        <w:jc w:val="both"/>
        <w:ind w:left="660" w:firstLine="645"/>
        <w:spacing w:after="0" w:line="292" w:lineRule="auto"/>
        <w:tabs>
          <w:tab w:leader="none" w:pos="1605" w:val="left"/>
        </w:tabs>
        <w:numPr>
          <w:ilvl w:val="0"/>
          <w:numId w:val="137"/>
        </w:numPr>
        <w:rPr>
          <w:rFonts w:ascii="Arial" w:cs="Arial" w:eastAsia="Arial" w:hAnsi="Arial"/>
          <w:sz w:val="22"/>
          <w:szCs w:val="22"/>
          <w:color w:val="auto"/>
        </w:rPr>
      </w:pPr>
      <w:r>
        <w:rPr>
          <w:rFonts w:ascii="Arial" w:cs="Arial" w:eastAsia="Arial" w:hAnsi="Arial"/>
          <w:sz w:val="22"/>
          <w:szCs w:val="22"/>
          <w:color w:val="auto"/>
        </w:rPr>
        <w:t>that Holders whose Notes are being purchased only in part shall be issued new Notes equal in principal amount to the unpurchased portion of the Notes surrendered, which unpurchased portion must be equal to US$200,000 or in integral multiples of US$1,000 in excess of US$200,000.</w:t>
      </w:r>
    </w:p>
    <w:p>
      <w:pPr>
        <w:spacing w:after="0" w:line="184"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To the extent that the provisions of any applicable securities laws or regulations conflict with the provisions of this Section 4.08 and Section 4.10, the Issuer shall not be deemed to have breached its obligations under this Section 4.08 by virtue of its compliance with such laws and regulations.</w:t>
      </w:r>
    </w:p>
    <w:p>
      <w:pPr>
        <w:spacing w:after="0" w:line="184" w:lineRule="exact"/>
        <w:rPr>
          <w:sz w:val="20"/>
          <w:szCs w:val="20"/>
          <w:color w:val="auto"/>
        </w:rPr>
      </w:pPr>
    </w:p>
    <w:p>
      <w:pPr>
        <w:ind w:left="960" w:hanging="304"/>
        <w:spacing w:after="0"/>
        <w:tabs>
          <w:tab w:leader="none" w:pos="960" w:val="left"/>
        </w:tabs>
        <w:numPr>
          <w:ilvl w:val="0"/>
          <w:numId w:val="138"/>
        </w:numPr>
        <w:rPr>
          <w:rFonts w:ascii="Arial" w:cs="Arial" w:eastAsia="Arial" w:hAnsi="Arial"/>
          <w:sz w:val="22"/>
          <w:szCs w:val="22"/>
          <w:color w:val="auto"/>
        </w:rPr>
      </w:pPr>
      <w:r>
        <w:rPr>
          <w:rFonts w:ascii="Arial" w:cs="Arial" w:eastAsia="Arial" w:hAnsi="Arial"/>
          <w:sz w:val="22"/>
          <w:szCs w:val="22"/>
          <w:color w:val="auto"/>
        </w:rPr>
        <w:t>On the Change of Control Payment Date, the Issuer shall, to the extent lawful:</w:t>
      </w:r>
    </w:p>
    <w:p>
      <w:pPr>
        <w:spacing w:after="0" w:line="260" w:lineRule="exact"/>
        <w:rPr>
          <w:rFonts w:ascii="Arial" w:cs="Arial" w:eastAsia="Arial" w:hAnsi="Arial"/>
          <w:sz w:val="22"/>
          <w:szCs w:val="22"/>
          <w:color w:val="auto"/>
        </w:rPr>
      </w:pPr>
    </w:p>
    <w:p>
      <w:pPr>
        <w:ind w:left="1600" w:hanging="295"/>
        <w:spacing w:after="0"/>
        <w:tabs>
          <w:tab w:leader="none" w:pos="1600" w:val="left"/>
        </w:tabs>
        <w:numPr>
          <w:ilvl w:val="1"/>
          <w:numId w:val="138"/>
        </w:numPr>
        <w:rPr>
          <w:rFonts w:ascii="Arial" w:cs="Arial" w:eastAsia="Arial" w:hAnsi="Arial"/>
          <w:sz w:val="19"/>
          <w:szCs w:val="19"/>
          <w:color w:val="auto"/>
        </w:rPr>
      </w:pPr>
      <w:r>
        <w:rPr>
          <w:rFonts w:ascii="Arial" w:cs="Arial" w:eastAsia="Arial" w:hAnsi="Arial"/>
          <w:sz w:val="19"/>
          <w:szCs w:val="19"/>
          <w:color w:val="auto"/>
        </w:rPr>
        <w:t>accept for payment all Notes or portions thereof properly tendered pursuant to the Change of Control Offer;</w:t>
      </w:r>
    </w:p>
    <w:p>
      <w:pPr>
        <w:spacing w:after="0" w:line="294" w:lineRule="exact"/>
        <w:rPr>
          <w:rFonts w:ascii="Arial" w:cs="Arial" w:eastAsia="Arial" w:hAnsi="Arial"/>
          <w:sz w:val="19"/>
          <w:szCs w:val="19"/>
          <w:color w:val="auto"/>
        </w:rPr>
      </w:pPr>
    </w:p>
    <w:p>
      <w:pPr>
        <w:ind w:left="660" w:firstLine="645"/>
        <w:spacing w:after="0" w:line="302" w:lineRule="auto"/>
        <w:tabs>
          <w:tab w:leader="none" w:pos="1619" w:val="left"/>
        </w:tabs>
        <w:numPr>
          <w:ilvl w:val="1"/>
          <w:numId w:val="138"/>
        </w:numPr>
        <w:rPr>
          <w:rFonts w:ascii="Arial" w:cs="Arial" w:eastAsia="Arial" w:hAnsi="Arial"/>
          <w:sz w:val="22"/>
          <w:szCs w:val="22"/>
          <w:color w:val="auto"/>
        </w:rPr>
      </w:pPr>
      <w:r>
        <w:rPr>
          <w:rFonts w:ascii="Arial" w:cs="Arial" w:eastAsia="Arial" w:hAnsi="Arial"/>
          <w:sz w:val="22"/>
          <w:szCs w:val="22"/>
          <w:color w:val="auto"/>
        </w:rPr>
        <w:t>deposit with the Paying Agent an amount equal to the Change of Control Payment in respect of all Notes or portions of Notes properly tendered; and</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3160" w:type="dxa"/>
            <w:vAlign w:val="bottom"/>
          </w:tcPr>
          <w:p>
            <w:pPr>
              <w:spacing w:after="0"/>
              <w:rPr>
                <w:sz w:val="20"/>
                <w:szCs w:val="20"/>
                <w:color w:val="auto"/>
              </w:rPr>
            </w:pPr>
            <w:r>
              <w:rPr>
                <w:rFonts w:ascii="Arial" w:cs="Arial" w:eastAsia="Arial" w:hAnsi="Arial"/>
                <w:sz w:val="11"/>
                <w:szCs w:val="11"/>
                <w:color w:val="auto"/>
              </w:rPr>
              <w:t>ASIA 33616188</w:t>
            </w:r>
          </w:p>
        </w:tc>
        <w:tc>
          <w:tcPr>
            <w:tcW w:w="2660" w:type="dxa"/>
            <w:vAlign w:val="bottom"/>
          </w:tcPr>
          <w:p>
            <w:pPr>
              <w:jc w:val="right"/>
              <w:spacing w:after="0"/>
              <w:rPr>
                <w:sz w:val="20"/>
                <w:szCs w:val="20"/>
                <w:color w:val="auto"/>
              </w:rPr>
            </w:pPr>
            <w:r>
              <w:rPr>
                <w:rFonts w:ascii="Arial" w:cs="Arial" w:eastAsia="Arial" w:hAnsi="Arial"/>
                <w:sz w:val="22"/>
                <w:szCs w:val="22"/>
                <w:color w:val="auto"/>
              </w:rPr>
              <w:t>46</w:t>
            </w:r>
          </w:p>
        </w:tc>
      </w:tr>
    </w:tbl>
    <w:p>
      <w:pPr>
        <w:sectPr>
          <w:pgSz w:w="11900" w:h="16838" w:orient="portrait"/>
          <w:cols w:equalWidth="0" w:num="1">
            <w:col w:w="11420"/>
          </w:cols>
          <w:pgMar w:left="240" w:top="1440" w:right="239" w:bottom="1440" w:gutter="0" w:footer="0" w:header="0"/>
        </w:sectPr>
      </w:pPr>
    </w:p>
    <w:bookmarkStart w:id="197" w:name="page198"/>
    <w:bookmarkEnd w:id="197"/>
    <w:p>
      <w:pPr>
        <w:spacing w:after="0" w:line="2" w:lineRule="exact"/>
        <w:rPr>
          <w:sz w:val="20"/>
          <w:szCs w:val="20"/>
          <w:color w:val="auto"/>
        </w:rPr>
      </w:pPr>
    </w:p>
    <w:p>
      <w:pPr>
        <w:ind w:left="660" w:firstLine="645"/>
        <w:spacing w:after="0" w:line="302" w:lineRule="auto"/>
        <w:tabs>
          <w:tab w:leader="none" w:pos="1605" w:val="left"/>
        </w:tabs>
        <w:numPr>
          <w:ilvl w:val="0"/>
          <w:numId w:val="139"/>
        </w:numPr>
        <w:rPr>
          <w:rFonts w:ascii="Arial" w:cs="Arial" w:eastAsia="Arial" w:hAnsi="Arial"/>
          <w:sz w:val="22"/>
          <w:szCs w:val="22"/>
          <w:color w:val="auto"/>
        </w:rPr>
      </w:pPr>
      <w:r>
        <w:rPr>
          <w:rFonts w:ascii="Arial" w:cs="Arial" w:eastAsia="Arial" w:hAnsi="Arial"/>
          <w:sz w:val="22"/>
          <w:szCs w:val="22"/>
          <w:color w:val="auto"/>
        </w:rPr>
        <w:t>deliver or cause to be delivered to the Trustee the Notes properly accepted together with an Officer’s Certificate stating the aggregate principal amount of Notes or portions of Notes being purchased by the Issuer.</w:t>
      </w:r>
    </w:p>
    <w:p>
      <w:pPr>
        <w:spacing w:after="0" w:line="174" w:lineRule="exact"/>
        <w:rPr>
          <w:sz w:val="20"/>
          <w:szCs w:val="20"/>
          <w:color w:val="auto"/>
        </w:rPr>
      </w:pPr>
    </w:p>
    <w:p>
      <w:pPr>
        <w:jc w:val="both"/>
        <w:ind w:firstLine="648"/>
        <w:spacing w:after="0" w:line="341" w:lineRule="auto"/>
        <w:rPr>
          <w:sz w:val="20"/>
          <w:szCs w:val="20"/>
          <w:color w:val="auto"/>
        </w:rPr>
      </w:pPr>
      <w:r>
        <w:rPr>
          <w:rFonts w:ascii="Arial" w:cs="Arial" w:eastAsia="Arial" w:hAnsi="Arial"/>
          <w:sz w:val="19"/>
          <w:szCs w:val="19"/>
          <w:color w:val="auto"/>
        </w:rPr>
        <w:t>The Paying Agent shall promptly deliver to each Holder of Notes properly tendered the Change of Control Payment for such Notes, and the Trustee shall promptly authenticate and deliver (or cause to be transferred by book entry) to each Holder a new Note equal in principal amount to any unpurchased portion of the Notes surrendered, if any; provided that each new Note shall be in a principal amount of US$200,000 or in integral multiples of US$1,000 in excess of US$200,000. The Issuer shall publicly announce the results of the Change of Control Offer on or as soon as practicable after the Change of Control Payment Date.</w:t>
      </w:r>
    </w:p>
    <w:p>
      <w:pPr>
        <w:spacing w:after="0" w:line="149" w:lineRule="exact"/>
        <w:rPr>
          <w:sz w:val="20"/>
          <w:szCs w:val="20"/>
          <w:color w:val="auto"/>
        </w:rPr>
      </w:pPr>
    </w:p>
    <w:p>
      <w:pPr>
        <w:jc w:val="both"/>
        <w:ind w:firstLine="656"/>
        <w:spacing w:after="0" w:line="341" w:lineRule="auto"/>
        <w:tabs>
          <w:tab w:leader="none" w:pos="960" w:val="left"/>
        </w:tabs>
        <w:numPr>
          <w:ilvl w:val="0"/>
          <w:numId w:val="140"/>
        </w:numPr>
        <w:rPr>
          <w:rFonts w:ascii="Arial" w:cs="Arial" w:eastAsia="Arial" w:hAnsi="Arial"/>
          <w:sz w:val="19"/>
          <w:szCs w:val="19"/>
          <w:color w:val="auto"/>
        </w:rPr>
      </w:pPr>
      <w:r>
        <w:rPr>
          <w:rFonts w:ascii="Arial" w:cs="Arial" w:eastAsia="Arial" w:hAnsi="Arial"/>
          <w:sz w:val="19"/>
          <w:szCs w:val="19"/>
          <w:color w:val="auto"/>
        </w:rPr>
        <w:t>Notwithstanding anything to the contrary in this Section 4.08, the Issuer shall not be required to make a Change of Control Offer upon a Change of Control Triggering Event if (1) a third party makes the Change of Control Offer in the manner, at the times and otherwise in compliance with the requirements set forth in this Section 4.08 and purchases all Notes validly tendered and not withdrawn under the Change of Control Offer or (2) a notice of redemption has been given pursuant to Section 3.07, 3.09 or 3.10 hereof, unless and until there is a default in payment of the applicable redemption price.</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4.09 </w:t>
      </w:r>
      <w:r>
        <w:rPr>
          <w:rFonts w:ascii="Arial" w:cs="Arial" w:eastAsia="Arial" w:hAnsi="Arial"/>
          <w:sz w:val="22"/>
          <w:szCs w:val="22"/>
          <w:i w:val="1"/>
          <w:iCs w:val="1"/>
          <w:color w:val="auto"/>
        </w:rPr>
        <w:t>Additional Amounts</w:t>
      </w:r>
      <w:r>
        <w:rPr>
          <w:rFonts w:ascii="Arial" w:cs="Arial" w:eastAsia="Arial" w:hAnsi="Arial"/>
          <w:sz w:val="22"/>
          <w:szCs w:val="22"/>
          <w:color w:val="auto"/>
        </w:rPr>
        <w:t>.</w:t>
      </w:r>
    </w:p>
    <w:p>
      <w:pPr>
        <w:spacing w:after="0" w:line="260" w:lineRule="exact"/>
        <w:rPr>
          <w:sz w:val="20"/>
          <w:szCs w:val="20"/>
          <w:color w:val="auto"/>
        </w:rPr>
      </w:pPr>
    </w:p>
    <w:p>
      <w:pPr>
        <w:jc w:val="both"/>
        <w:ind w:firstLine="656"/>
        <w:spacing w:after="0" w:line="335" w:lineRule="auto"/>
        <w:tabs>
          <w:tab w:leader="none" w:pos="946" w:val="left"/>
        </w:tabs>
        <w:numPr>
          <w:ilvl w:val="0"/>
          <w:numId w:val="141"/>
        </w:numPr>
        <w:rPr>
          <w:rFonts w:ascii="Arial" w:cs="Arial" w:eastAsia="Arial" w:hAnsi="Arial"/>
          <w:sz w:val="19"/>
          <w:szCs w:val="19"/>
          <w:color w:val="auto"/>
        </w:rPr>
      </w:pPr>
      <w:r>
        <w:rPr>
          <w:rFonts w:ascii="Arial" w:cs="Arial" w:eastAsia="Arial" w:hAnsi="Arial"/>
          <w:sz w:val="19"/>
          <w:szCs w:val="19"/>
          <w:color w:val="auto"/>
        </w:rPr>
        <w:t>All payments by or on behalf of the Issuer or the surviving entity described under Section 5.01 hereof (the “</w:t>
      </w:r>
      <w:r>
        <w:rPr>
          <w:rFonts w:ascii="Arial" w:cs="Arial" w:eastAsia="Arial" w:hAnsi="Arial"/>
          <w:sz w:val="19"/>
          <w:szCs w:val="19"/>
          <w:i w:val="1"/>
          <w:iCs w:val="1"/>
          <w:color w:val="auto"/>
        </w:rPr>
        <w:t>Surviving</w:t>
      </w:r>
      <w:r>
        <w:rPr>
          <w:rFonts w:ascii="Arial" w:cs="Arial" w:eastAsia="Arial" w:hAnsi="Arial"/>
          <w:sz w:val="19"/>
          <w:szCs w:val="19"/>
          <w:color w:val="auto"/>
        </w:rPr>
        <w:t xml:space="preserve"> </w:t>
      </w:r>
      <w:r>
        <w:rPr>
          <w:rFonts w:ascii="Arial" w:cs="Arial" w:eastAsia="Arial" w:hAnsi="Arial"/>
          <w:sz w:val="19"/>
          <w:szCs w:val="19"/>
          <w:i w:val="1"/>
          <w:iCs w:val="1"/>
          <w:color w:val="auto"/>
        </w:rPr>
        <w:t>Person</w:t>
      </w:r>
      <w:r>
        <w:rPr>
          <w:rFonts w:ascii="Arial" w:cs="Arial" w:eastAsia="Arial" w:hAnsi="Arial"/>
          <w:sz w:val="19"/>
          <w:szCs w:val="19"/>
          <w:color w:val="auto"/>
        </w:rPr>
        <w:t>”) under or with respect to (including any principal of, and premium (if any) and interest on) the Notes shall be made</w:t>
      </w:r>
      <w:r>
        <w:rPr>
          <w:rFonts w:ascii="Arial" w:cs="Arial" w:eastAsia="Arial" w:hAnsi="Arial"/>
          <w:sz w:val="19"/>
          <w:szCs w:val="19"/>
          <w:i w:val="1"/>
          <w:iCs w:val="1"/>
          <w:color w:val="auto"/>
        </w:rPr>
        <w:t xml:space="preserve"> </w:t>
      </w:r>
      <w:r>
        <w:rPr>
          <w:rFonts w:ascii="Arial" w:cs="Arial" w:eastAsia="Arial" w:hAnsi="Arial"/>
          <w:sz w:val="19"/>
          <w:szCs w:val="19"/>
          <w:color w:val="auto"/>
        </w:rPr>
        <w:t>without withholding or deduction for, or on account of, any present or future taxes, duties, assessments or governmental charges (including, without limitation, penalties, interest and other similar liabilities related thereto) of whatever nature (“</w:t>
      </w:r>
      <w:r>
        <w:rPr>
          <w:rFonts w:ascii="Arial" w:cs="Arial" w:eastAsia="Arial" w:hAnsi="Arial"/>
          <w:sz w:val="19"/>
          <w:szCs w:val="19"/>
          <w:i w:val="1"/>
          <w:iCs w:val="1"/>
          <w:color w:val="auto"/>
        </w:rPr>
        <w:t>Taxes</w:t>
      </w:r>
      <w:r>
        <w:rPr>
          <w:rFonts w:ascii="Arial" w:cs="Arial" w:eastAsia="Arial" w:hAnsi="Arial"/>
          <w:sz w:val="19"/>
          <w:szCs w:val="19"/>
          <w:color w:val="auto"/>
        </w:rPr>
        <w:t>”) imposed or levied by or within any jurisdiction in which the Issuer or the Surviving Person is organized, resident or doing business for tax purposes or any jurisdiction from or through which payment is made (including the jurisdiction of any Paying Agent), or, in each case, any political subdivision or taxing authority thereof or therein (each, as applicable, a “</w:t>
      </w:r>
      <w:r>
        <w:rPr>
          <w:rFonts w:ascii="Arial" w:cs="Arial" w:eastAsia="Arial" w:hAnsi="Arial"/>
          <w:sz w:val="19"/>
          <w:szCs w:val="19"/>
          <w:i w:val="1"/>
          <w:iCs w:val="1"/>
          <w:color w:val="auto"/>
        </w:rPr>
        <w:t>Relevant Jurisdiction</w:t>
      </w:r>
      <w:r>
        <w:rPr>
          <w:rFonts w:ascii="Arial" w:cs="Arial" w:eastAsia="Arial" w:hAnsi="Arial"/>
          <w:sz w:val="19"/>
          <w:szCs w:val="19"/>
          <w:color w:val="auto"/>
        </w:rPr>
        <w:t>”), unless such withholding or deduction is required by law or by regulation or governmental policy having the force of law.</w:t>
      </w:r>
    </w:p>
    <w:p>
      <w:pPr>
        <w:spacing w:after="0" w:line="153" w:lineRule="exact"/>
        <w:rPr>
          <w:rFonts w:ascii="Arial" w:cs="Arial" w:eastAsia="Arial" w:hAnsi="Arial"/>
          <w:sz w:val="19"/>
          <w:szCs w:val="19"/>
          <w:color w:val="auto"/>
        </w:rPr>
      </w:pPr>
    </w:p>
    <w:p>
      <w:pPr>
        <w:jc w:val="both"/>
        <w:ind w:firstLine="656"/>
        <w:spacing w:after="0" w:line="288" w:lineRule="auto"/>
        <w:tabs>
          <w:tab w:leader="none" w:pos="945" w:val="left"/>
        </w:tabs>
        <w:numPr>
          <w:ilvl w:val="0"/>
          <w:numId w:val="141"/>
        </w:numPr>
        <w:rPr>
          <w:rFonts w:ascii="Arial" w:cs="Arial" w:eastAsia="Arial" w:hAnsi="Arial"/>
          <w:sz w:val="22"/>
          <w:szCs w:val="22"/>
          <w:color w:val="auto"/>
        </w:rPr>
      </w:pPr>
      <w:r>
        <w:rPr>
          <w:rFonts w:ascii="Arial" w:cs="Arial" w:eastAsia="Arial" w:hAnsi="Arial"/>
          <w:sz w:val="22"/>
          <w:szCs w:val="22"/>
          <w:color w:val="auto"/>
        </w:rPr>
        <w:t>In the event that any such withholding or deduction is so required, the Issuer or the Surviving Person, as the case may be, shall make such withholding or deduction, make payment of the amount so withheld or deducted to the appropriate governmental authority as required by applicable law and pay such additional amounts (“</w:t>
      </w:r>
      <w:r>
        <w:rPr>
          <w:rFonts w:ascii="Arial" w:cs="Arial" w:eastAsia="Arial" w:hAnsi="Arial"/>
          <w:sz w:val="22"/>
          <w:szCs w:val="22"/>
          <w:i w:val="1"/>
          <w:iCs w:val="1"/>
          <w:color w:val="auto"/>
        </w:rPr>
        <w:t>Additional Amounts</w:t>
      </w:r>
      <w:r>
        <w:rPr>
          <w:rFonts w:ascii="Arial" w:cs="Arial" w:eastAsia="Arial" w:hAnsi="Arial"/>
          <w:sz w:val="22"/>
          <w:szCs w:val="22"/>
          <w:color w:val="auto"/>
        </w:rPr>
        <w:t>”) as shall result in receipt of such amounts that would have been received had no such withholding or</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3160" w:type="dxa"/>
            <w:vAlign w:val="bottom"/>
          </w:tcPr>
          <w:p>
            <w:pPr>
              <w:spacing w:after="0"/>
              <w:rPr>
                <w:sz w:val="20"/>
                <w:szCs w:val="20"/>
                <w:color w:val="auto"/>
              </w:rPr>
            </w:pPr>
            <w:r>
              <w:rPr>
                <w:rFonts w:ascii="Arial" w:cs="Arial" w:eastAsia="Arial" w:hAnsi="Arial"/>
                <w:sz w:val="11"/>
                <w:szCs w:val="11"/>
                <w:color w:val="auto"/>
              </w:rPr>
              <w:t>ASIA 33616188</w:t>
            </w:r>
          </w:p>
        </w:tc>
        <w:tc>
          <w:tcPr>
            <w:tcW w:w="2660" w:type="dxa"/>
            <w:vAlign w:val="bottom"/>
          </w:tcPr>
          <w:p>
            <w:pPr>
              <w:jc w:val="right"/>
              <w:spacing w:after="0"/>
              <w:rPr>
                <w:sz w:val="20"/>
                <w:szCs w:val="20"/>
                <w:color w:val="auto"/>
              </w:rPr>
            </w:pPr>
            <w:r>
              <w:rPr>
                <w:rFonts w:ascii="Arial" w:cs="Arial" w:eastAsia="Arial" w:hAnsi="Arial"/>
                <w:sz w:val="22"/>
                <w:szCs w:val="22"/>
                <w:color w:val="auto"/>
              </w:rPr>
              <w:t>47</w:t>
            </w:r>
          </w:p>
        </w:tc>
      </w:tr>
    </w:tbl>
    <w:p>
      <w:pPr>
        <w:sectPr>
          <w:pgSz w:w="11900" w:h="16838" w:orient="portrait"/>
          <w:cols w:equalWidth="0" w:num="1">
            <w:col w:w="11420"/>
          </w:cols>
          <w:pgMar w:left="240" w:top="1440" w:right="239" w:bottom="1440" w:gutter="0" w:footer="0" w:header="0"/>
        </w:sectPr>
      </w:pPr>
    </w:p>
    <w:bookmarkStart w:id="198" w:name="page199"/>
    <w:bookmarkEnd w:id="198"/>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deduction been required, provided that no Additional Amounts shall be payable with respect to any Note:</w:t>
      </w:r>
    </w:p>
    <w:p>
      <w:pPr>
        <w:spacing w:after="0" w:line="260" w:lineRule="exact"/>
        <w:rPr>
          <w:sz w:val="20"/>
          <w:szCs w:val="20"/>
          <w:color w:val="auto"/>
        </w:rPr>
      </w:pPr>
    </w:p>
    <w:p>
      <w:pPr>
        <w:ind w:left="1600" w:hanging="295"/>
        <w:spacing w:after="0"/>
        <w:tabs>
          <w:tab w:leader="none" w:pos="1600" w:val="left"/>
        </w:tabs>
        <w:numPr>
          <w:ilvl w:val="0"/>
          <w:numId w:val="142"/>
        </w:numPr>
        <w:rPr>
          <w:rFonts w:ascii="Arial" w:cs="Arial" w:eastAsia="Arial" w:hAnsi="Arial"/>
          <w:sz w:val="22"/>
          <w:szCs w:val="22"/>
          <w:color w:val="auto"/>
        </w:rPr>
      </w:pPr>
      <w:r>
        <w:rPr>
          <w:rFonts w:ascii="Arial" w:cs="Arial" w:eastAsia="Arial" w:hAnsi="Arial"/>
          <w:sz w:val="22"/>
          <w:szCs w:val="22"/>
          <w:color w:val="auto"/>
        </w:rPr>
        <w:t>for or on account of:</w:t>
      </w:r>
    </w:p>
    <w:p>
      <w:pPr>
        <w:spacing w:after="0" w:line="260" w:lineRule="exact"/>
        <w:rPr>
          <w:rFonts w:ascii="Arial" w:cs="Arial" w:eastAsia="Arial" w:hAnsi="Arial"/>
          <w:sz w:val="22"/>
          <w:szCs w:val="22"/>
          <w:color w:val="auto"/>
        </w:rPr>
      </w:pPr>
    </w:p>
    <w:p>
      <w:pPr>
        <w:ind w:left="2300" w:hanging="347"/>
        <w:spacing w:after="0"/>
        <w:tabs>
          <w:tab w:leader="none" w:pos="2300" w:val="left"/>
        </w:tabs>
        <w:numPr>
          <w:ilvl w:val="1"/>
          <w:numId w:val="142"/>
        </w:numPr>
        <w:rPr>
          <w:rFonts w:ascii="Arial" w:cs="Arial" w:eastAsia="Arial" w:hAnsi="Arial"/>
          <w:sz w:val="22"/>
          <w:szCs w:val="22"/>
          <w:color w:val="auto"/>
        </w:rPr>
      </w:pPr>
      <w:r>
        <w:rPr>
          <w:rFonts w:ascii="Arial" w:cs="Arial" w:eastAsia="Arial" w:hAnsi="Arial"/>
          <w:sz w:val="22"/>
          <w:szCs w:val="22"/>
          <w:color w:val="auto"/>
        </w:rPr>
        <w:t>any Taxes that would not have been imposed but for:</w:t>
      </w:r>
    </w:p>
    <w:p>
      <w:pPr>
        <w:spacing w:after="0" w:line="260" w:lineRule="exact"/>
        <w:rPr>
          <w:rFonts w:ascii="Arial" w:cs="Arial" w:eastAsia="Arial" w:hAnsi="Arial"/>
          <w:sz w:val="22"/>
          <w:szCs w:val="22"/>
          <w:color w:val="auto"/>
        </w:rPr>
      </w:pPr>
    </w:p>
    <w:p>
      <w:pPr>
        <w:jc w:val="both"/>
        <w:ind w:left="1960" w:firstLine="641"/>
        <w:spacing w:after="0" w:line="333" w:lineRule="auto"/>
        <w:tabs>
          <w:tab w:leader="none" w:pos="2884" w:val="left"/>
        </w:tabs>
        <w:numPr>
          <w:ilvl w:val="2"/>
          <w:numId w:val="142"/>
        </w:numPr>
        <w:rPr>
          <w:rFonts w:ascii="Arial" w:cs="Arial" w:eastAsia="Arial" w:hAnsi="Arial"/>
          <w:sz w:val="19"/>
          <w:szCs w:val="19"/>
          <w:color w:val="auto"/>
        </w:rPr>
      </w:pPr>
      <w:r>
        <w:rPr>
          <w:rFonts w:ascii="Arial" w:cs="Arial" w:eastAsia="Arial" w:hAnsi="Arial"/>
          <w:sz w:val="19"/>
          <w:szCs w:val="19"/>
          <w:color w:val="auto"/>
        </w:rPr>
        <w:t>the existence of any present or former connection between the Holder or Beneficial Owner (or between a fiduciary, settlor, beneficiary, member or shareholder of, or possession of power over, such Holder or Beneficial Owner, if such Holder or Beneficial Owner is an estate, a trust, a partnership, or a corporation) of such Note, as the case may be, and the Relevant Jurisdiction, including without limitation, such Holder or Beneficial Owner being or having been a citizen, domiciliary or resident of such Relevant Jurisdiction, being or having been treated as a resident of such Relevant Jurisdiction, being or having been present or engaged in a trade or business in such Relevant Jurisdiction or having or having had a permanent establishment in such Relevant Jurisdiction, other than any connection arising from the mere receipt, ownership, holding or disposition of such Note or the receipt of payments thereunder or merely by reason of the exercise or enforcement of rights under such Note;</w:t>
      </w:r>
    </w:p>
    <w:p>
      <w:pPr>
        <w:spacing w:after="0" w:line="155" w:lineRule="exact"/>
        <w:rPr>
          <w:rFonts w:ascii="Arial" w:cs="Arial" w:eastAsia="Arial" w:hAnsi="Arial"/>
          <w:sz w:val="19"/>
          <w:szCs w:val="19"/>
          <w:color w:val="auto"/>
        </w:rPr>
      </w:pPr>
    </w:p>
    <w:p>
      <w:pPr>
        <w:jc w:val="both"/>
        <w:ind w:left="1960" w:firstLine="641"/>
        <w:spacing w:after="0" w:line="287" w:lineRule="auto"/>
        <w:tabs>
          <w:tab w:leader="none" w:pos="2917" w:val="left"/>
        </w:tabs>
        <w:numPr>
          <w:ilvl w:val="2"/>
          <w:numId w:val="142"/>
        </w:numPr>
        <w:rPr>
          <w:rFonts w:ascii="Arial" w:cs="Arial" w:eastAsia="Arial" w:hAnsi="Arial"/>
          <w:sz w:val="22"/>
          <w:szCs w:val="22"/>
          <w:color w:val="auto"/>
        </w:rPr>
      </w:pPr>
      <w:r>
        <w:rPr>
          <w:rFonts w:ascii="Arial" w:cs="Arial" w:eastAsia="Arial" w:hAnsi="Arial"/>
          <w:sz w:val="22"/>
          <w:szCs w:val="22"/>
          <w:color w:val="auto"/>
        </w:rPr>
        <w:t>the presentation of such Note (where presentation is required) more than 30 days after the later of the date on which the payment of the principal of, premium (if any) or interest on, such Note became due and payable pursuant to the terms thereof or was made or duly provided for, except to the extent that the Holder thereof would have been entitled to such Additional Amounts if it had presented such Note for payment on any date within such 30-day period;</w:t>
      </w:r>
    </w:p>
    <w:p>
      <w:pPr>
        <w:spacing w:after="0" w:line="189" w:lineRule="exact"/>
        <w:rPr>
          <w:rFonts w:ascii="Arial" w:cs="Arial" w:eastAsia="Arial" w:hAnsi="Arial"/>
          <w:sz w:val="22"/>
          <w:szCs w:val="22"/>
          <w:color w:val="auto"/>
        </w:rPr>
      </w:pPr>
    </w:p>
    <w:p>
      <w:pPr>
        <w:jc w:val="both"/>
        <w:ind w:left="1960" w:firstLine="641"/>
        <w:spacing w:after="0" w:line="288" w:lineRule="auto"/>
        <w:tabs>
          <w:tab w:leader="none" w:pos="2977" w:val="left"/>
        </w:tabs>
        <w:numPr>
          <w:ilvl w:val="2"/>
          <w:numId w:val="142"/>
        </w:numPr>
        <w:rPr>
          <w:rFonts w:ascii="Arial" w:cs="Arial" w:eastAsia="Arial" w:hAnsi="Arial"/>
          <w:sz w:val="22"/>
          <w:szCs w:val="22"/>
          <w:color w:val="auto"/>
        </w:rPr>
      </w:pPr>
      <w:r>
        <w:rPr>
          <w:rFonts w:ascii="Arial" w:cs="Arial" w:eastAsia="Arial" w:hAnsi="Arial"/>
          <w:sz w:val="22"/>
          <w:szCs w:val="22"/>
          <w:color w:val="auto"/>
        </w:rPr>
        <w:t>the failure of the Holder or Beneficial Owner of such Note to comply with a timely request of the Issuer or the Surviving Person addressed to such Holder or Beneficial Owner to provide information or other evidence concerning such Holder’s or Beneficial Owner’s nationality, residence, identity or connection with the Relevant Jurisdiction; or</w:t>
      </w:r>
    </w:p>
    <w:p>
      <w:pPr>
        <w:spacing w:after="0" w:line="190" w:lineRule="exact"/>
        <w:rPr>
          <w:rFonts w:ascii="Arial" w:cs="Arial" w:eastAsia="Arial" w:hAnsi="Arial"/>
          <w:sz w:val="22"/>
          <w:szCs w:val="22"/>
          <w:color w:val="auto"/>
        </w:rPr>
      </w:pPr>
    </w:p>
    <w:p>
      <w:pPr>
        <w:ind w:left="1960" w:right="20" w:firstLine="641"/>
        <w:spacing w:after="0" w:line="387" w:lineRule="auto"/>
        <w:tabs>
          <w:tab w:leader="none" w:pos="2965" w:val="left"/>
        </w:tabs>
        <w:numPr>
          <w:ilvl w:val="2"/>
          <w:numId w:val="142"/>
        </w:numPr>
        <w:rPr>
          <w:rFonts w:ascii="Arial" w:cs="Arial" w:eastAsia="Arial" w:hAnsi="Arial"/>
          <w:sz w:val="19"/>
          <w:szCs w:val="19"/>
          <w:color w:val="auto"/>
        </w:rPr>
      </w:pPr>
      <w:r>
        <w:rPr>
          <w:rFonts w:ascii="Arial" w:cs="Arial" w:eastAsia="Arial" w:hAnsi="Arial"/>
          <w:sz w:val="19"/>
          <w:szCs w:val="19"/>
          <w:color w:val="auto"/>
        </w:rPr>
        <w:t>the presentation of such Note for payment by or on behalf of a Holder of such Note who would have been able to avoid such withholding or deduction by presenting such Note to another Paying Agent;</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3160" w:type="dxa"/>
            <w:vAlign w:val="bottom"/>
          </w:tcPr>
          <w:p>
            <w:pPr>
              <w:spacing w:after="0"/>
              <w:rPr>
                <w:sz w:val="20"/>
                <w:szCs w:val="20"/>
                <w:color w:val="auto"/>
              </w:rPr>
            </w:pPr>
            <w:r>
              <w:rPr>
                <w:rFonts w:ascii="Arial" w:cs="Arial" w:eastAsia="Arial" w:hAnsi="Arial"/>
                <w:sz w:val="11"/>
                <w:szCs w:val="11"/>
                <w:color w:val="auto"/>
              </w:rPr>
              <w:t>ASIA 33616188</w:t>
            </w:r>
          </w:p>
        </w:tc>
        <w:tc>
          <w:tcPr>
            <w:tcW w:w="2660" w:type="dxa"/>
            <w:vAlign w:val="bottom"/>
          </w:tcPr>
          <w:p>
            <w:pPr>
              <w:jc w:val="right"/>
              <w:spacing w:after="0"/>
              <w:rPr>
                <w:sz w:val="20"/>
                <w:szCs w:val="20"/>
                <w:color w:val="auto"/>
              </w:rPr>
            </w:pPr>
            <w:r>
              <w:rPr>
                <w:rFonts w:ascii="Arial" w:cs="Arial" w:eastAsia="Arial" w:hAnsi="Arial"/>
                <w:sz w:val="22"/>
                <w:szCs w:val="22"/>
                <w:color w:val="auto"/>
              </w:rPr>
              <w:t>48</w:t>
            </w:r>
          </w:p>
        </w:tc>
      </w:tr>
    </w:tbl>
    <w:p>
      <w:pPr>
        <w:sectPr>
          <w:pgSz w:w="11900" w:h="16838" w:orient="portrait"/>
          <w:cols w:equalWidth="0" w:num="1">
            <w:col w:w="11420"/>
          </w:cols>
          <w:pgMar w:left="240" w:top="1440" w:right="239" w:bottom="1440" w:gutter="0" w:footer="0" w:header="0"/>
        </w:sectPr>
      </w:pPr>
    </w:p>
    <w:bookmarkStart w:id="199" w:name="page200"/>
    <w:bookmarkEnd w:id="199"/>
    <w:p>
      <w:pPr>
        <w:spacing w:after="0" w:line="2" w:lineRule="exact"/>
        <w:rPr>
          <w:sz w:val="20"/>
          <w:szCs w:val="20"/>
          <w:color w:val="auto"/>
        </w:rPr>
      </w:pPr>
    </w:p>
    <w:p>
      <w:pPr>
        <w:ind w:left="1292" w:firstLine="653"/>
        <w:spacing w:after="0" w:line="302" w:lineRule="auto"/>
        <w:tabs>
          <w:tab w:leader="none" w:pos="2287" w:val="left"/>
        </w:tabs>
        <w:numPr>
          <w:ilvl w:val="3"/>
          <w:numId w:val="143"/>
        </w:numPr>
        <w:rPr>
          <w:rFonts w:ascii="Arial" w:cs="Arial" w:eastAsia="Arial" w:hAnsi="Arial"/>
          <w:sz w:val="22"/>
          <w:szCs w:val="22"/>
          <w:color w:val="auto"/>
        </w:rPr>
      </w:pPr>
      <w:r>
        <w:rPr>
          <w:rFonts w:ascii="Arial" w:cs="Arial" w:eastAsia="Arial" w:hAnsi="Arial"/>
          <w:sz w:val="22"/>
          <w:szCs w:val="22"/>
          <w:color w:val="auto"/>
        </w:rPr>
        <w:t>any estate, inheritance, gift, sales, transfer, capital gains, personal property or similar Tax or any excise Tax imposed on the transfer of Notes;</w:t>
      </w:r>
    </w:p>
    <w:p>
      <w:pPr>
        <w:spacing w:after="0" w:line="173" w:lineRule="exact"/>
        <w:rPr>
          <w:rFonts w:ascii="Arial" w:cs="Arial" w:eastAsia="Arial" w:hAnsi="Arial"/>
          <w:sz w:val="22"/>
          <w:szCs w:val="22"/>
          <w:color w:val="auto"/>
        </w:rPr>
      </w:pPr>
    </w:p>
    <w:p>
      <w:pPr>
        <w:ind w:left="1292" w:firstLine="653"/>
        <w:spacing w:after="0" w:line="302" w:lineRule="auto"/>
        <w:tabs>
          <w:tab w:leader="none" w:pos="2300" w:val="left"/>
        </w:tabs>
        <w:numPr>
          <w:ilvl w:val="3"/>
          <w:numId w:val="143"/>
        </w:numPr>
        <w:rPr>
          <w:rFonts w:ascii="Arial" w:cs="Arial" w:eastAsia="Arial" w:hAnsi="Arial"/>
          <w:sz w:val="22"/>
          <w:szCs w:val="22"/>
          <w:color w:val="auto"/>
        </w:rPr>
      </w:pPr>
      <w:r>
        <w:rPr>
          <w:rFonts w:ascii="Arial" w:cs="Arial" w:eastAsia="Arial" w:hAnsi="Arial"/>
          <w:sz w:val="22"/>
          <w:szCs w:val="22"/>
          <w:color w:val="auto"/>
        </w:rPr>
        <w:t>any Taxes that are payable other than by withholding or deduction from payments of principal of, or premium (if any) or interest on the Note;</w:t>
      </w:r>
    </w:p>
    <w:p>
      <w:pPr>
        <w:spacing w:after="0" w:line="173" w:lineRule="exact"/>
        <w:rPr>
          <w:rFonts w:ascii="Arial" w:cs="Arial" w:eastAsia="Arial" w:hAnsi="Arial"/>
          <w:sz w:val="22"/>
          <w:szCs w:val="22"/>
          <w:color w:val="auto"/>
        </w:rPr>
      </w:pPr>
    </w:p>
    <w:p>
      <w:pPr>
        <w:jc w:val="both"/>
        <w:ind w:left="1292" w:firstLine="653"/>
        <w:spacing w:after="0" w:line="285" w:lineRule="auto"/>
        <w:tabs>
          <w:tab w:leader="none" w:pos="2312" w:val="left"/>
        </w:tabs>
        <w:numPr>
          <w:ilvl w:val="3"/>
          <w:numId w:val="143"/>
        </w:numPr>
        <w:rPr>
          <w:rFonts w:ascii="Arial" w:cs="Arial" w:eastAsia="Arial" w:hAnsi="Arial"/>
          <w:sz w:val="22"/>
          <w:szCs w:val="22"/>
          <w:color w:val="auto"/>
        </w:rPr>
      </w:pPr>
      <w:r>
        <w:rPr>
          <w:rFonts w:ascii="Arial" w:cs="Arial" w:eastAsia="Arial" w:hAnsi="Arial"/>
          <w:sz w:val="22"/>
          <w:szCs w:val="22"/>
          <w:color w:val="auto"/>
        </w:rPr>
        <w:t>any tax, duty, assessment or other governmental charge which is required to be deducted or withheld under Sections 1471 through 1474 of the U.S. Internal Revenue Code of 1986, as amended, or any amended or successor versions of such Sections (“</w:t>
      </w:r>
      <w:r>
        <w:rPr>
          <w:rFonts w:ascii="Arial" w:cs="Arial" w:eastAsia="Arial" w:hAnsi="Arial"/>
          <w:sz w:val="22"/>
          <w:szCs w:val="22"/>
          <w:i w:val="1"/>
          <w:iCs w:val="1"/>
          <w:color w:val="auto"/>
        </w:rPr>
        <w:t>FATCA</w:t>
      </w:r>
      <w:r>
        <w:rPr>
          <w:rFonts w:ascii="Arial" w:cs="Arial" w:eastAsia="Arial" w:hAnsi="Arial"/>
          <w:sz w:val="22"/>
          <w:szCs w:val="22"/>
          <w:color w:val="auto"/>
        </w:rPr>
        <w:t>”), any regulations or other guidance thereunder, or any agreement (including any intergovernmental agreement) entered into in connection therewith, or any law, regulation or other official guidance enacted in any jurisdiction implementing FATCA or an intergovernmental agreement in respect of FATCA; or</w:t>
      </w:r>
    </w:p>
    <w:p>
      <w:pPr>
        <w:spacing w:after="0" w:line="196" w:lineRule="exact"/>
        <w:rPr>
          <w:rFonts w:ascii="Arial" w:cs="Arial" w:eastAsia="Arial" w:hAnsi="Arial"/>
          <w:sz w:val="22"/>
          <w:szCs w:val="22"/>
          <w:color w:val="auto"/>
        </w:rPr>
      </w:pPr>
    </w:p>
    <w:p>
      <w:pPr>
        <w:ind w:left="2272" w:hanging="327"/>
        <w:spacing w:after="0"/>
        <w:tabs>
          <w:tab w:leader="none" w:pos="2272" w:val="left"/>
        </w:tabs>
        <w:numPr>
          <w:ilvl w:val="3"/>
          <w:numId w:val="143"/>
        </w:numPr>
        <w:rPr>
          <w:rFonts w:ascii="Arial" w:cs="Arial" w:eastAsia="Arial" w:hAnsi="Arial"/>
          <w:sz w:val="22"/>
          <w:szCs w:val="22"/>
          <w:color w:val="auto"/>
        </w:rPr>
      </w:pPr>
      <w:r>
        <w:rPr>
          <w:rFonts w:ascii="Arial" w:cs="Arial" w:eastAsia="Arial" w:hAnsi="Arial"/>
          <w:sz w:val="22"/>
          <w:szCs w:val="22"/>
          <w:color w:val="auto"/>
        </w:rPr>
        <w:t>any combination of Taxes referred to in the preceding clauses (A), (B), (C) and (D); or</w:t>
      </w:r>
    </w:p>
    <w:p>
      <w:pPr>
        <w:spacing w:after="0" w:line="260" w:lineRule="exact"/>
        <w:rPr>
          <w:rFonts w:ascii="Arial" w:cs="Arial" w:eastAsia="Arial" w:hAnsi="Arial"/>
          <w:sz w:val="22"/>
          <w:szCs w:val="22"/>
          <w:color w:val="auto"/>
        </w:rPr>
      </w:pPr>
    </w:p>
    <w:p>
      <w:pPr>
        <w:jc w:val="both"/>
        <w:ind w:left="652" w:firstLine="645"/>
        <w:spacing w:after="0" w:line="300" w:lineRule="auto"/>
        <w:tabs>
          <w:tab w:leader="none" w:pos="1624" w:val="left"/>
        </w:tabs>
        <w:numPr>
          <w:ilvl w:val="2"/>
          <w:numId w:val="144"/>
        </w:numPr>
        <w:rPr>
          <w:rFonts w:ascii="Arial" w:cs="Arial" w:eastAsia="Arial" w:hAnsi="Arial"/>
          <w:sz w:val="21"/>
          <w:szCs w:val="21"/>
          <w:color w:val="auto"/>
        </w:rPr>
      </w:pPr>
      <w:r>
        <w:rPr>
          <w:rFonts w:ascii="Arial" w:cs="Arial" w:eastAsia="Arial" w:hAnsi="Arial"/>
          <w:sz w:val="21"/>
          <w:szCs w:val="21"/>
          <w:color w:val="auto"/>
        </w:rPr>
        <w:t>with respect to any payment of the principal of, or premium (if any) or interest on, such Note to or for the account of a fiduciary, partnership, limited liability company or other fiscally transparent entity or any other person (other than the sole Beneficial Owner of such payment) to the extent that a beneficiary or settlor with respect to that fiduciary, or a partner or member of that partnership or an interest Holder in that limited liability company or fiscally transparent entity or a Beneficial Owner with respect to such other person, as the case may be, would not have been entitled to such Additional Amounts had such beneficiary, settlor, partner, member, interest Holder or Beneficial Owner held directly the Note with respect to which such payment was made.</w:t>
      </w:r>
    </w:p>
    <w:p>
      <w:pPr>
        <w:spacing w:after="0" w:line="182" w:lineRule="exact"/>
        <w:rPr>
          <w:rFonts w:ascii="Arial" w:cs="Arial" w:eastAsia="Arial" w:hAnsi="Arial"/>
          <w:sz w:val="21"/>
          <w:szCs w:val="21"/>
          <w:color w:val="auto"/>
        </w:rPr>
      </w:pPr>
    </w:p>
    <w:p>
      <w:pPr>
        <w:jc w:val="both"/>
        <w:ind w:left="-8" w:firstLine="656"/>
        <w:spacing w:after="0" w:line="326" w:lineRule="auto"/>
        <w:tabs>
          <w:tab w:leader="none" w:pos="925" w:val="left"/>
        </w:tabs>
        <w:numPr>
          <w:ilvl w:val="1"/>
          <w:numId w:val="145"/>
        </w:numPr>
        <w:rPr>
          <w:rFonts w:ascii="Arial" w:cs="Arial" w:eastAsia="Arial" w:hAnsi="Arial"/>
          <w:sz w:val="19"/>
          <w:szCs w:val="19"/>
          <w:color w:val="auto"/>
        </w:rPr>
      </w:pPr>
      <w:r>
        <w:rPr>
          <w:rFonts w:ascii="Arial" w:cs="Arial" w:eastAsia="Arial" w:hAnsi="Arial"/>
          <w:sz w:val="19"/>
          <w:szCs w:val="19"/>
          <w:color w:val="auto"/>
        </w:rPr>
        <w:t>In addition to the foregoing, the Issuer and the Surviving Person shall pay and indemnify the Holder for any present or future stamp, issue, registration, court, property or documentary taxes, or any other excise or property taxes, charges or similar levies or taxes (including without limitation, interest and penalties with respect thereto) levied by any Relevant Jurisdiction on the execution, delivery, registration or enforcement of any of the Notes, this Indenture or any other document or instrument referred to therein or on the receipt of any payments with respect thereto (limited, solely in the case of taxes attributable to the receipt of any payments with respect thereto, to any such taxes imposed in a Relevant Jurisdiction that are not excluded under Sections 4.09(b)(1)</w:t>
      </w:r>
    </w:p>
    <w:p>
      <w:pPr>
        <w:spacing w:after="0" w:line="2" w:lineRule="exact"/>
        <w:rPr>
          <w:rFonts w:ascii="Arial" w:cs="Arial" w:eastAsia="Arial" w:hAnsi="Arial"/>
          <w:sz w:val="19"/>
          <w:szCs w:val="19"/>
          <w:color w:val="auto"/>
        </w:rPr>
      </w:pPr>
    </w:p>
    <w:p>
      <w:pPr>
        <w:ind w:left="-8" w:right="20" w:firstLine="8"/>
        <w:spacing w:after="0" w:line="302" w:lineRule="auto"/>
        <w:tabs>
          <w:tab w:leader="none" w:pos="357" w:val="left"/>
        </w:tabs>
        <w:numPr>
          <w:ilvl w:val="0"/>
          <w:numId w:val="146"/>
        </w:numPr>
        <w:rPr>
          <w:rFonts w:ascii="Arial" w:cs="Arial" w:eastAsia="Arial" w:hAnsi="Arial"/>
          <w:sz w:val="22"/>
          <w:szCs w:val="22"/>
          <w:color w:val="auto"/>
        </w:rPr>
      </w:pPr>
      <w:r>
        <w:rPr>
          <w:rFonts w:ascii="Arial" w:cs="Arial" w:eastAsia="Arial" w:hAnsi="Arial"/>
          <w:sz w:val="22"/>
          <w:szCs w:val="22"/>
          <w:color w:val="auto"/>
        </w:rPr>
        <w:t>thorough (C) hereof (or any combination thereof) or Section 4.09(b)(2) hereof and excluding, for the avoidance of doubt, any net income taxes imposed on the receipt of any payments with respect thereto).</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12" w:type="dxa"/>
        <w:tblCellMar>
          <w:top w:w="0" w:type="dxa"/>
          <w:left w:w="0" w:type="dxa"/>
          <w:bottom w:w="0" w:type="dxa"/>
          <w:right w:w="0" w:type="dxa"/>
        </w:tblCellMar>
      </w:tblPr>
      <w:tr>
        <w:trPr>
          <w:trHeight w:val="275"/>
        </w:trPr>
        <w:tc>
          <w:tcPr>
            <w:tcW w:w="3160" w:type="dxa"/>
            <w:vAlign w:val="bottom"/>
          </w:tcPr>
          <w:p>
            <w:pPr>
              <w:spacing w:after="0"/>
              <w:rPr>
                <w:sz w:val="20"/>
                <w:szCs w:val="20"/>
                <w:color w:val="auto"/>
              </w:rPr>
            </w:pPr>
            <w:r>
              <w:rPr>
                <w:rFonts w:ascii="Arial" w:cs="Arial" w:eastAsia="Arial" w:hAnsi="Arial"/>
                <w:sz w:val="11"/>
                <w:szCs w:val="11"/>
                <w:color w:val="auto"/>
              </w:rPr>
              <w:t>ASIA 33616188</w:t>
            </w:r>
          </w:p>
        </w:tc>
        <w:tc>
          <w:tcPr>
            <w:tcW w:w="2660" w:type="dxa"/>
            <w:vAlign w:val="bottom"/>
          </w:tcPr>
          <w:p>
            <w:pPr>
              <w:jc w:val="right"/>
              <w:spacing w:after="0"/>
              <w:rPr>
                <w:sz w:val="20"/>
                <w:szCs w:val="20"/>
                <w:color w:val="auto"/>
              </w:rPr>
            </w:pPr>
            <w:r>
              <w:rPr>
                <w:rFonts w:ascii="Arial" w:cs="Arial" w:eastAsia="Arial" w:hAnsi="Arial"/>
                <w:sz w:val="22"/>
                <w:szCs w:val="22"/>
                <w:color w:val="auto"/>
              </w:rPr>
              <w:t>49</w:t>
            </w:r>
          </w:p>
        </w:tc>
      </w:tr>
    </w:tbl>
    <w:p>
      <w:pPr>
        <w:sectPr>
          <w:pgSz w:w="11900" w:h="16838" w:orient="portrait"/>
          <w:cols w:equalWidth="0" w:num="1">
            <w:col w:w="11412"/>
          </w:cols>
          <w:pgMar w:left="248" w:top="1440" w:right="239" w:bottom="1440" w:gutter="0" w:footer="0" w:header="0"/>
        </w:sectPr>
      </w:pPr>
    </w:p>
    <w:bookmarkStart w:id="200" w:name="page201"/>
    <w:bookmarkEnd w:id="200"/>
    <w:p>
      <w:pPr>
        <w:spacing w:after="0" w:line="2" w:lineRule="exact"/>
        <w:rPr>
          <w:sz w:val="20"/>
          <w:szCs w:val="20"/>
          <w:color w:val="auto"/>
        </w:rPr>
      </w:pPr>
    </w:p>
    <w:p>
      <w:pPr>
        <w:jc w:val="both"/>
        <w:ind w:firstLine="656"/>
        <w:spacing w:after="0" w:line="298" w:lineRule="auto"/>
        <w:tabs>
          <w:tab w:leader="none" w:pos="959" w:val="left"/>
        </w:tabs>
        <w:numPr>
          <w:ilvl w:val="0"/>
          <w:numId w:val="147"/>
        </w:numPr>
        <w:rPr>
          <w:rFonts w:ascii="Arial" w:cs="Arial" w:eastAsia="Arial" w:hAnsi="Arial"/>
          <w:sz w:val="21"/>
          <w:szCs w:val="21"/>
          <w:color w:val="auto"/>
        </w:rPr>
      </w:pPr>
      <w:r>
        <w:rPr>
          <w:rFonts w:ascii="Arial" w:cs="Arial" w:eastAsia="Arial" w:hAnsi="Arial"/>
          <w:sz w:val="21"/>
          <w:szCs w:val="21"/>
          <w:color w:val="auto"/>
        </w:rPr>
        <w:t>If the Issuer or the Surviving Person, as the case may be, becomes aware that it shall be obligated to pay Additional Amounts with respect to any payment under or with respect to the Notes, the Issuer or the Surviving Person, as the case may be, shall deliver to the Trustee on a date that is at least 30 days prior to the date of that payment (unless the obligation to pay Additional Amounts arises, or the Issuer or the Surviving Person becomes aware of such obligation, after the 30th day prior to that payment date, in which case the Issuer or the Surviving Person, as the case may be, shall notify the Trustee promptly thereafter) an Officer’s Certificate stating the fact that Additional Amounts shall be payable and the amount estimated to be payable. The Officer’s Certificate must also set forth any other information reasonably necessary to enable the Paying Agent to pay Additional Amounts to Holders on the relevant payment date. The Trustee shall be entitled to rely solely on such Officer’s Certificate as conclusive proof that such payments are necessary and shall not be responsible for the calculation of any Additional Amounts. Upon request, the Issuer or the Surviving Person shall provide the Trustee with documentation reasonably satisfactory to the Trustee evidencing the payment of Additional Amounts.</w:t>
      </w:r>
    </w:p>
    <w:p>
      <w:pPr>
        <w:spacing w:after="0" w:line="186" w:lineRule="exact"/>
        <w:rPr>
          <w:rFonts w:ascii="Arial" w:cs="Arial" w:eastAsia="Arial" w:hAnsi="Arial"/>
          <w:sz w:val="21"/>
          <w:szCs w:val="21"/>
          <w:color w:val="auto"/>
        </w:rPr>
      </w:pPr>
    </w:p>
    <w:p>
      <w:pPr>
        <w:jc w:val="both"/>
        <w:ind w:firstLine="656"/>
        <w:spacing w:after="0" w:line="338" w:lineRule="auto"/>
        <w:tabs>
          <w:tab w:leader="none" w:pos="933" w:val="left"/>
        </w:tabs>
        <w:numPr>
          <w:ilvl w:val="0"/>
          <w:numId w:val="147"/>
        </w:numPr>
        <w:rPr>
          <w:rFonts w:ascii="Arial" w:cs="Arial" w:eastAsia="Arial" w:hAnsi="Arial"/>
          <w:sz w:val="19"/>
          <w:szCs w:val="19"/>
          <w:color w:val="auto"/>
        </w:rPr>
      </w:pPr>
      <w:r>
        <w:rPr>
          <w:rFonts w:ascii="Arial" w:cs="Arial" w:eastAsia="Arial" w:hAnsi="Arial"/>
          <w:sz w:val="19"/>
          <w:szCs w:val="19"/>
          <w:color w:val="auto"/>
        </w:rPr>
        <w:t>The Issuer or the Surviving Person shall make all withholdings and deductions required by law and shall remit the full amount deducted or withheld to the relevant tax authority in accordance with applicable law. The Issuer or the Surviving Person shall provide to the Trustee an official receipt or, if official receipts are not obtainable, other documentation reasonably satisfactory to the Trustee evidencing the payment of any Taxes so deducted or withheld. Upon request, the Trustee shall make available to Holders copies of those receipts or other documentation, as the case may be. The Trustee shall not be responsible for ensuring that the withholding and deduction of any amount has been properly made.</w:t>
      </w:r>
    </w:p>
    <w:p>
      <w:pPr>
        <w:spacing w:after="0" w:line="152" w:lineRule="exact"/>
        <w:rPr>
          <w:rFonts w:ascii="Arial" w:cs="Arial" w:eastAsia="Arial" w:hAnsi="Arial"/>
          <w:sz w:val="19"/>
          <w:szCs w:val="19"/>
          <w:color w:val="auto"/>
        </w:rPr>
      </w:pPr>
    </w:p>
    <w:p>
      <w:pPr>
        <w:jc w:val="both"/>
        <w:ind w:firstLine="656"/>
        <w:spacing w:after="0" w:line="292" w:lineRule="auto"/>
        <w:tabs>
          <w:tab w:leader="none" w:pos="909" w:val="left"/>
        </w:tabs>
        <w:numPr>
          <w:ilvl w:val="0"/>
          <w:numId w:val="147"/>
        </w:numPr>
        <w:rPr>
          <w:rFonts w:ascii="Arial" w:cs="Arial" w:eastAsia="Arial" w:hAnsi="Arial"/>
          <w:sz w:val="22"/>
          <w:szCs w:val="22"/>
          <w:color w:val="auto"/>
        </w:rPr>
      </w:pPr>
      <w:r>
        <w:rPr>
          <w:rFonts w:ascii="Arial" w:cs="Arial" w:eastAsia="Arial" w:hAnsi="Arial"/>
          <w:sz w:val="22"/>
          <w:szCs w:val="22"/>
          <w:color w:val="auto"/>
        </w:rPr>
        <w:t>Whenever there is mentioned in any context the payment of principal of, and any premium or interest on, any Note, such mention shall be deemed to include payment of Additional Amounts provided for in this Indenture to the extent that, in such context, Additional Amounts are, were or would be payable in respect thereof.</w:t>
      </w:r>
    </w:p>
    <w:p>
      <w:pPr>
        <w:spacing w:after="0" w:line="184" w:lineRule="exact"/>
        <w:rPr>
          <w:rFonts w:ascii="Arial" w:cs="Arial" w:eastAsia="Arial" w:hAnsi="Arial"/>
          <w:sz w:val="22"/>
          <w:szCs w:val="22"/>
          <w:color w:val="auto"/>
        </w:rPr>
      </w:pPr>
    </w:p>
    <w:p>
      <w:pPr>
        <w:jc w:val="both"/>
        <w:ind w:firstLine="656"/>
        <w:spacing w:after="0" w:line="288" w:lineRule="auto"/>
        <w:tabs>
          <w:tab w:leader="none" w:pos="959" w:val="left"/>
        </w:tabs>
        <w:numPr>
          <w:ilvl w:val="0"/>
          <w:numId w:val="147"/>
        </w:numPr>
        <w:rPr>
          <w:rFonts w:ascii="Arial" w:cs="Arial" w:eastAsia="Arial" w:hAnsi="Arial"/>
          <w:sz w:val="22"/>
          <w:szCs w:val="22"/>
          <w:color w:val="auto"/>
        </w:rPr>
      </w:pPr>
      <w:r>
        <w:rPr>
          <w:rFonts w:ascii="Arial" w:cs="Arial" w:eastAsia="Arial" w:hAnsi="Arial"/>
          <w:sz w:val="22"/>
          <w:szCs w:val="22"/>
          <w:color w:val="auto"/>
        </w:rPr>
        <w:t>The obligations set forth in this Section 4.09 shall survive any termination, defeasance or discharge of this Indenture, any transfer by a Holder or Beneficial Owner of its Notes, and shall apply, mutatis mutandis, to any jurisdiction in which any successor Person to the Issuer is organized, resident or doing business for tax purposes or any jurisdiction from or through which payment is made.</w:t>
      </w:r>
    </w:p>
    <w:p>
      <w:pPr>
        <w:spacing w:after="0" w:line="190" w:lineRule="exact"/>
        <w:rPr>
          <w:sz w:val="20"/>
          <w:szCs w:val="20"/>
          <w:color w:val="auto"/>
        </w:rPr>
      </w:pPr>
    </w:p>
    <w:p>
      <w:pPr>
        <w:jc w:val="both"/>
        <w:spacing w:after="0" w:line="287" w:lineRule="auto"/>
        <w:rPr>
          <w:sz w:val="20"/>
          <w:szCs w:val="20"/>
          <w:color w:val="auto"/>
        </w:rPr>
      </w:pPr>
      <w:r>
        <w:rPr>
          <w:rFonts w:ascii="Arial" w:cs="Arial" w:eastAsia="Arial" w:hAnsi="Arial"/>
          <w:sz w:val="22"/>
          <w:szCs w:val="22"/>
          <w:color w:val="auto"/>
        </w:rPr>
        <w:t xml:space="preserve">Section 4.10 </w:t>
      </w:r>
      <w:r>
        <w:rPr>
          <w:rFonts w:ascii="Arial" w:cs="Arial" w:eastAsia="Arial" w:hAnsi="Arial"/>
          <w:sz w:val="22"/>
          <w:szCs w:val="22"/>
          <w:i w:val="1"/>
          <w:iCs w:val="1"/>
          <w:color w:val="auto"/>
        </w:rPr>
        <w:t>Special Put Option</w:t>
      </w:r>
      <w:r>
        <w:rPr>
          <w:rFonts w:ascii="Arial" w:cs="Arial" w:eastAsia="Arial" w:hAnsi="Arial"/>
          <w:sz w:val="22"/>
          <w:szCs w:val="22"/>
          <w:color w:val="auto"/>
        </w:rPr>
        <w:t>. Upon the occurrence of a Special Put Option Triggering Event, each Holder shall have the right to require the Issuer to repurchase all or any part of such Holder’s Notes pursuant to a Special Put Option Offer (as defined below) as set forth below. In the Special Put Option Offer, the Issuer shall offer to purchase the Notes at a purchase price in cash equal to 100% of the principal amount thereof, plus accrued and unpaid interest, if any, and Additional Amounts, if any, to (but excluding) the date of</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3160" w:type="dxa"/>
            <w:vAlign w:val="bottom"/>
          </w:tcPr>
          <w:p>
            <w:pPr>
              <w:spacing w:after="0"/>
              <w:rPr>
                <w:sz w:val="20"/>
                <w:szCs w:val="20"/>
                <w:color w:val="auto"/>
              </w:rPr>
            </w:pPr>
            <w:r>
              <w:rPr>
                <w:rFonts w:ascii="Arial" w:cs="Arial" w:eastAsia="Arial" w:hAnsi="Arial"/>
                <w:sz w:val="11"/>
                <w:szCs w:val="11"/>
                <w:color w:val="auto"/>
              </w:rPr>
              <w:t>ASIA 33616188</w:t>
            </w:r>
          </w:p>
        </w:tc>
        <w:tc>
          <w:tcPr>
            <w:tcW w:w="2660" w:type="dxa"/>
            <w:vAlign w:val="bottom"/>
          </w:tcPr>
          <w:p>
            <w:pPr>
              <w:jc w:val="right"/>
              <w:spacing w:after="0"/>
              <w:rPr>
                <w:sz w:val="20"/>
                <w:szCs w:val="20"/>
                <w:color w:val="auto"/>
              </w:rPr>
            </w:pPr>
            <w:r>
              <w:rPr>
                <w:rFonts w:ascii="Arial" w:cs="Arial" w:eastAsia="Arial" w:hAnsi="Arial"/>
                <w:sz w:val="22"/>
                <w:szCs w:val="22"/>
                <w:color w:val="auto"/>
              </w:rPr>
              <w:t>50</w:t>
            </w:r>
          </w:p>
        </w:tc>
      </w:tr>
    </w:tbl>
    <w:p>
      <w:pPr>
        <w:sectPr>
          <w:pgSz w:w="11900" w:h="16838" w:orient="portrait"/>
          <w:cols w:equalWidth="0" w:num="1">
            <w:col w:w="11420"/>
          </w:cols>
          <w:pgMar w:left="240" w:top="1440" w:right="239" w:bottom="1440" w:gutter="0" w:footer="0" w:header="0"/>
        </w:sectPr>
      </w:pPr>
    </w:p>
    <w:bookmarkStart w:id="201" w:name="page202"/>
    <w:bookmarkEnd w:id="201"/>
    <w:p>
      <w:pPr>
        <w:spacing w:after="0" w:line="2" w:lineRule="exact"/>
        <w:rPr>
          <w:sz w:val="20"/>
          <w:szCs w:val="20"/>
          <w:color w:val="auto"/>
        </w:rPr>
      </w:pPr>
    </w:p>
    <w:p>
      <w:pPr>
        <w:jc w:val="both"/>
        <w:spacing w:after="0" w:line="285" w:lineRule="auto"/>
        <w:rPr>
          <w:sz w:val="20"/>
          <w:szCs w:val="20"/>
          <w:color w:val="auto"/>
        </w:rPr>
      </w:pPr>
      <w:r>
        <w:rPr>
          <w:rFonts w:ascii="Arial" w:cs="Arial" w:eastAsia="Arial" w:hAnsi="Arial"/>
          <w:sz w:val="22"/>
          <w:szCs w:val="22"/>
          <w:color w:val="auto"/>
        </w:rPr>
        <w:t>repurchase (subject to the right of Holders on the relevant record date to receive interest due on the relevant interest payment date), except to the extent the Issuer has exercised its right to redeem the Notes in full by delivery of a notice of redemption pursuant to Section 3.03 hereof. Within ten (10) days following the occurrence of a Special Put Option Triggering Event, except to the extent that the Issuer has exercised its right to redeem the Notes in full by delivery of a notice of redemption pursuant to Section 3.03 or Section 3.09 hereof, the Issuer shall deliver a notice (a “</w:t>
      </w:r>
      <w:r>
        <w:rPr>
          <w:rFonts w:ascii="Arial" w:cs="Arial" w:eastAsia="Arial" w:hAnsi="Arial"/>
          <w:sz w:val="22"/>
          <w:szCs w:val="22"/>
          <w:i w:val="1"/>
          <w:iCs w:val="1"/>
          <w:color w:val="auto"/>
        </w:rPr>
        <w:t>Special Put Option Offer</w:t>
      </w:r>
      <w:r>
        <w:rPr>
          <w:rFonts w:ascii="Arial" w:cs="Arial" w:eastAsia="Arial" w:hAnsi="Arial"/>
          <w:sz w:val="22"/>
          <w:szCs w:val="22"/>
          <w:color w:val="auto"/>
        </w:rPr>
        <w:t>”) to each Holder with a copy to the Trustee and the Paying Agent stating:</w:t>
      </w:r>
    </w:p>
    <w:p>
      <w:pPr>
        <w:spacing w:after="0" w:line="196" w:lineRule="exact"/>
        <w:rPr>
          <w:sz w:val="20"/>
          <w:szCs w:val="20"/>
          <w:color w:val="auto"/>
        </w:rPr>
      </w:pPr>
    </w:p>
    <w:p>
      <w:pPr>
        <w:jc w:val="both"/>
        <w:ind w:left="660" w:firstLine="645"/>
        <w:spacing w:after="0" w:line="346" w:lineRule="auto"/>
        <w:tabs>
          <w:tab w:leader="none" w:pos="1605" w:val="left"/>
        </w:tabs>
        <w:numPr>
          <w:ilvl w:val="1"/>
          <w:numId w:val="148"/>
        </w:numPr>
        <w:rPr>
          <w:rFonts w:ascii="Arial" w:cs="Arial" w:eastAsia="Arial" w:hAnsi="Arial"/>
          <w:sz w:val="19"/>
          <w:szCs w:val="19"/>
          <w:color w:val="auto"/>
        </w:rPr>
      </w:pPr>
      <w:r>
        <w:rPr>
          <w:rFonts w:ascii="Arial" w:cs="Arial" w:eastAsia="Arial" w:hAnsi="Arial"/>
          <w:sz w:val="19"/>
          <w:szCs w:val="19"/>
          <w:color w:val="auto"/>
        </w:rPr>
        <w:t>that a Special Put Option Triggering Event has occurred and that such Holder has the right to require the Issuer to repurchase such Holder’s Notes at a repurchase price in cash equal to 100% of the principal amount thereof, plus accrued and unpaid interest, if any, and Additional Amounts, if any, to (but excluding) the date of repurchase (subject to the right of Holders of record on a record date to receive interest on the relevant interest payment date);</w:t>
      </w:r>
    </w:p>
    <w:p>
      <w:pPr>
        <w:spacing w:after="0" w:line="144" w:lineRule="exact"/>
        <w:rPr>
          <w:rFonts w:ascii="Arial" w:cs="Arial" w:eastAsia="Arial" w:hAnsi="Arial"/>
          <w:sz w:val="19"/>
          <w:szCs w:val="19"/>
          <w:color w:val="auto"/>
        </w:rPr>
      </w:pPr>
    </w:p>
    <w:p>
      <w:pPr>
        <w:ind w:left="660" w:firstLine="645"/>
        <w:spacing w:after="0" w:line="302" w:lineRule="auto"/>
        <w:tabs>
          <w:tab w:leader="none" w:pos="1619" w:val="left"/>
        </w:tabs>
        <w:numPr>
          <w:ilvl w:val="1"/>
          <w:numId w:val="148"/>
        </w:numPr>
        <w:rPr>
          <w:rFonts w:ascii="Arial" w:cs="Arial" w:eastAsia="Arial" w:hAnsi="Arial"/>
          <w:sz w:val="22"/>
          <w:szCs w:val="22"/>
          <w:color w:val="auto"/>
        </w:rPr>
      </w:pPr>
      <w:r>
        <w:rPr>
          <w:rFonts w:ascii="Arial" w:cs="Arial" w:eastAsia="Arial" w:hAnsi="Arial"/>
          <w:sz w:val="22"/>
          <w:szCs w:val="22"/>
          <w:color w:val="auto"/>
        </w:rPr>
        <w:t>the repurchase date (which shall be no earlier than 10 days nor later than 60 days from the date such notice is delivered); and</w:t>
      </w:r>
    </w:p>
    <w:p>
      <w:pPr>
        <w:spacing w:after="0" w:line="173" w:lineRule="exact"/>
        <w:rPr>
          <w:rFonts w:ascii="Arial" w:cs="Arial" w:eastAsia="Arial" w:hAnsi="Arial"/>
          <w:sz w:val="22"/>
          <w:szCs w:val="22"/>
          <w:color w:val="auto"/>
        </w:rPr>
      </w:pPr>
    </w:p>
    <w:p>
      <w:pPr>
        <w:ind w:left="660" w:firstLine="645"/>
        <w:spacing w:after="0" w:line="302" w:lineRule="auto"/>
        <w:tabs>
          <w:tab w:leader="none" w:pos="1619" w:val="left"/>
        </w:tabs>
        <w:numPr>
          <w:ilvl w:val="1"/>
          <w:numId w:val="148"/>
        </w:numPr>
        <w:rPr>
          <w:rFonts w:ascii="Arial" w:cs="Arial" w:eastAsia="Arial" w:hAnsi="Arial"/>
          <w:sz w:val="22"/>
          <w:szCs w:val="22"/>
          <w:color w:val="auto"/>
        </w:rPr>
      </w:pPr>
      <w:r>
        <w:rPr>
          <w:rFonts w:ascii="Arial" w:cs="Arial" w:eastAsia="Arial" w:hAnsi="Arial"/>
          <w:sz w:val="22"/>
          <w:szCs w:val="22"/>
          <w:color w:val="auto"/>
        </w:rPr>
        <w:t>the instructions determined by the Issuer, consistent with this covenant, that a Holder must follow in order to have its Notes repurchased.</w:t>
      </w:r>
    </w:p>
    <w:p>
      <w:pPr>
        <w:spacing w:after="0" w:line="173" w:lineRule="exact"/>
        <w:rPr>
          <w:rFonts w:ascii="Arial" w:cs="Arial" w:eastAsia="Arial" w:hAnsi="Arial"/>
          <w:sz w:val="22"/>
          <w:szCs w:val="22"/>
          <w:color w:val="auto"/>
        </w:rPr>
      </w:pPr>
    </w:p>
    <w:p>
      <w:pPr>
        <w:ind w:left="960" w:hanging="304"/>
        <w:spacing w:after="0"/>
        <w:tabs>
          <w:tab w:leader="none" w:pos="960" w:val="left"/>
        </w:tabs>
        <w:numPr>
          <w:ilvl w:val="0"/>
          <w:numId w:val="149"/>
        </w:numPr>
        <w:rPr>
          <w:rFonts w:ascii="Arial" w:cs="Arial" w:eastAsia="Arial" w:hAnsi="Arial"/>
          <w:sz w:val="22"/>
          <w:szCs w:val="22"/>
          <w:color w:val="auto"/>
        </w:rPr>
      </w:pPr>
      <w:r>
        <w:rPr>
          <w:rFonts w:ascii="Arial" w:cs="Arial" w:eastAsia="Arial" w:hAnsi="Arial"/>
          <w:sz w:val="22"/>
          <w:szCs w:val="22"/>
          <w:color w:val="auto"/>
        </w:rPr>
        <w:t>On the date of repurchase pursuant to a Special Put Option Offer, the Issuer shall, to the extent lawful:</w:t>
      </w:r>
    </w:p>
    <w:p>
      <w:pPr>
        <w:spacing w:after="0" w:line="260" w:lineRule="exact"/>
        <w:rPr>
          <w:rFonts w:ascii="Arial" w:cs="Arial" w:eastAsia="Arial" w:hAnsi="Arial"/>
          <w:sz w:val="22"/>
          <w:szCs w:val="22"/>
          <w:color w:val="auto"/>
        </w:rPr>
      </w:pPr>
    </w:p>
    <w:p>
      <w:pPr>
        <w:ind w:left="1600" w:hanging="295"/>
        <w:spacing w:after="0"/>
        <w:tabs>
          <w:tab w:leader="none" w:pos="1600" w:val="left"/>
        </w:tabs>
        <w:numPr>
          <w:ilvl w:val="1"/>
          <w:numId w:val="149"/>
        </w:numPr>
        <w:rPr>
          <w:rFonts w:ascii="Arial" w:cs="Arial" w:eastAsia="Arial" w:hAnsi="Arial"/>
          <w:sz w:val="19"/>
          <w:szCs w:val="19"/>
          <w:color w:val="auto"/>
        </w:rPr>
      </w:pPr>
      <w:r>
        <w:rPr>
          <w:rFonts w:ascii="Arial" w:cs="Arial" w:eastAsia="Arial" w:hAnsi="Arial"/>
          <w:sz w:val="19"/>
          <w:szCs w:val="19"/>
          <w:color w:val="auto"/>
        </w:rPr>
        <w:t>accept for payment all Notes or portions of Notes properly tendered pursuant to the Special Put Option Offer;</w:t>
      </w:r>
    </w:p>
    <w:p>
      <w:pPr>
        <w:spacing w:after="0" w:line="294" w:lineRule="exact"/>
        <w:rPr>
          <w:rFonts w:ascii="Arial" w:cs="Arial" w:eastAsia="Arial" w:hAnsi="Arial"/>
          <w:sz w:val="19"/>
          <w:szCs w:val="19"/>
          <w:color w:val="auto"/>
        </w:rPr>
      </w:pPr>
    </w:p>
    <w:p>
      <w:pPr>
        <w:jc w:val="both"/>
        <w:ind w:left="660" w:firstLine="645"/>
        <w:spacing w:after="0" w:line="292" w:lineRule="auto"/>
        <w:tabs>
          <w:tab w:leader="none" w:pos="1605" w:val="left"/>
        </w:tabs>
        <w:numPr>
          <w:ilvl w:val="1"/>
          <w:numId w:val="149"/>
        </w:numPr>
        <w:rPr>
          <w:rFonts w:ascii="Arial" w:cs="Arial" w:eastAsia="Arial" w:hAnsi="Arial"/>
          <w:sz w:val="22"/>
          <w:szCs w:val="22"/>
          <w:color w:val="auto"/>
        </w:rPr>
      </w:pPr>
      <w:r>
        <w:rPr>
          <w:rFonts w:ascii="Arial" w:cs="Arial" w:eastAsia="Arial" w:hAnsi="Arial"/>
          <w:sz w:val="22"/>
          <w:szCs w:val="22"/>
          <w:color w:val="auto"/>
        </w:rPr>
        <w:t>deposit with the Paying Agent an amount equal to the repurchase price, plus accrued and unpaid interest, if any, and Additional Amounts, if any, to but excluding the date of repurchase (the “</w:t>
      </w:r>
      <w:r>
        <w:rPr>
          <w:rFonts w:ascii="Arial" w:cs="Arial" w:eastAsia="Arial" w:hAnsi="Arial"/>
          <w:sz w:val="22"/>
          <w:szCs w:val="22"/>
          <w:i w:val="1"/>
          <w:iCs w:val="1"/>
          <w:color w:val="auto"/>
        </w:rPr>
        <w:t>Special Put Option Payment</w:t>
      </w:r>
      <w:r>
        <w:rPr>
          <w:rFonts w:ascii="Arial" w:cs="Arial" w:eastAsia="Arial" w:hAnsi="Arial"/>
          <w:sz w:val="22"/>
          <w:szCs w:val="22"/>
          <w:color w:val="auto"/>
        </w:rPr>
        <w:t>”), in respect of all Notes or portions of Notes properly tendered; and</w:t>
      </w:r>
    </w:p>
    <w:p>
      <w:pPr>
        <w:spacing w:after="0" w:line="184" w:lineRule="exact"/>
        <w:rPr>
          <w:rFonts w:ascii="Arial" w:cs="Arial" w:eastAsia="Arial" w:hAnsi="Arial"/>
          <w:sz w:val="22"/>
          <w:szCs w:val="22"/>
          <w:color w:val="auto"/>
        </w:rPr>
      </w:pPr>
    </w:p>
    <w:p>
      <w:pPr>
        <w:ind w:left="660" w:firstLine="645"/>
        <w:spacing w:after="0" w:line="328" w:lineRule="auto"/>
        <w:tabs>
          <w:tab w:leader="none" w:pos="1605" w:val="left"/>
        </w:tabs>
        <w:numPr>
          <w:ilvl w:val="1"/>
          <w:numId w:val="149"/>
        </w:numPr>
        <w:rPr>
          <w:rFonts w:ascii="Arial" w:cs="Arial" w:eastAsia="Arial" w:hAnsi="Arial"/>
          <w:sz w:val="21"/>
          <w:szCs w:val="21"/>
          <w:color w:val="auto"/>
        </w:rPr>
      </w:pPr>
      <w:r>
        <w:rPr>
          <w:rFonts w:ascii="Arial" w:cs="Arial" w:eastAsia="Arial" w:hAnsi="Arial"/>
          <w:sz w:val="21"/>
          <w:szCs w:val="21"/>
          <w:color w:val="auto"/>
        </w:rPr>
        <w:t>deliver or cause to be delivered to the Trustee, the Notes properly accepted together with an Officer’s Certificate stating the aggregate principal amount of Notes or portions of Notes being purchased by the Issuer.</w:t>
      </w:r>
    </w:p>
    <w:p>
      <w:pPr>
        <w:spacing w:after="0" w:line="150"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22"/>
          <w:szCs w:val="22"/>
          <w:color w:val="auto"/>
        </w:rPr>
        <w:t>The Paying Agent shall promptly deliver to each Holder of Notes properly tendered the Special Put Option Payment for such Notes, and upon receipt of an Authentication Order, the Trustee shall promptly authenticate and deliver (or cause to be transferred by book entry) to each Holder a new Note equal in principal amount to any unpurchased portion of the Notes surrendered, if any.</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3160" w:type="dxa"/>
            <w:vAlign w:val="bottom"/>
          </w:tcPr>
          <w:p>
            <w:pPr>
              <w:spacing w:after="0"/>
              <w:rPr>
                <w:sz w:val="20"/>
                <w:szCs w:val="20"/>
                <w:color w:val="auto"/>
              </w:rPr>
            </w:pPr>
            <w:r>
              <w:rPr>
                <w:rFonts w:ascii="Arial" w:cs="Arial" w:eastAsia="Arial" w:hAnsi="Arial"/>
                <w:sz w:val="11"/>
                <w:szCs w:val="11"/>
                <w:color w:val="auto"/>
              </w:rPr>
              <w:t>ASIA 33616188</w:t>
            </w:r>
          </w:p>
        </w:tc>
        <w:tc>
          <w:tcPr>
            <w:tcW w:w="2660" w:type="dxa"/>
            <w:vAlign w:val="bottom"/>
          </w:tcPr>
          <w:p>
            <w:pPr>
              <w:jc w:val="right"/>
              <w:spacing w:after="0"/>
              <w:rPr>
                <w:sz w:val="20"/>
                <w:szCs w:val="20"/>
                <w:color w:val="auto"/>
              </w:rPr>
            </w:pPr>
            <w:r>
              <w:rPr>
                <w:rFonts w:ascii="Arial" w:cs="Arial" w:eastAsia="Arial" w:hAnsi="Arial"/>
                <w:sz w:val="22"/>
                <w:szCs w:val="22"/>
                <w:color w:val="auto"/>
              </w:rPr>
              <w:t>51</w:t>
            </w:r>
          </w:p>
        </w:tc>
      </w:tr>
    </w:tbl>
    <w:p>
      <w:pPr>
        <w:sectPr>
          <w:pgSz w:w="11900" w:h="16838" w:orient="portrait"/>
          <w:cols w:equalWidth="0" w:num="1">
            <w:col w:w="11420"/>
          </w:cols>
          <w:pgMar w:left="240" w:top="1440" w:right="239" w:bottom="1440" w:gutter="0" w:footer="0" w:header="0"/>
        </w:sectPr>
      </w:pPr>
    </w:p>
    <w:bookmarkStart w:id="202" w:name="page203"/>
    <w:bookmarkEnd w:id="202"/>
    <w:p>
      <w:pPr>
        <w:spacing w:after="0" w:line="2" w:lineRule="exact"/>
        <w:rPr>
          <w:sz w:val="20"/>
          <w:szCs w:val="20"/>
          <w:color w:val="auto"/>
        </w:rPr>
      </w:pPr>
    </w:p>
    <w:p>
      <w:pPr>
        <w:jc w:val="both"/>
        <w:ind w:firstLine="656"/>
        <w:spacing w:after="0" w:line="300" w:lineRule="auto"/>
        <w:tabs>
          <w:tab w:leader="none" w:pos="960" w:val="left"/>
        </w:tabs>
        <w:numPr>
          <w:ilvl w:val="0"/>
          <w:numId w:val="150"/>
        </w:numPr>
        <w:rPr>
          <w:rFonts w:ascii="Arial" w:cs="Arial" w:eastAsia="Arial" w:hAnsi="Arial"/>
          <w:sz w:val="21"/>
          <w:szCs w:val="21"/>
          <w:color w:val="auto"/>
        </w:rPr>
      </w:pPr>
      <w:r>
        <w:rPr>
          <w:rFonts w:ascii="Arial" w:cs="Arial" w:eastAsia="Arial" w:hAnsi="Arial"/>
          <w:sz w:val="21"/>
          <w:szCs w:val="21"/>
          <w:color w:val="auto"/>
        </w:rPr>
        <w:t>Notwithstanding anything to the contrary in this Section 4.10, the Issuer will not be required to make a Special Put Option Offer upon a Special Put Option Triggering Event if (1) a third party makes the Special Put Option Offer in the manner, at the times and otherwise in compliance with the requirements set forth in the Indenture applicable to a Special Put Option Offer made by the Issuer and purchases all Notes properly tendered and not withdrawn under the Special Put Option Offer, or (2) notice of redemption has been given in accordance with the terms of the Indenture, as described above under Section 3.07 hereof or Section 3.09 hereof pursuant to which the Issuer has exercised its right to redeem the Notes in full, unless and until there is a default in payment of the applicable redemption price.</w:t>
      </w:r>
    </w:p>
    <w:p>
      <w:pPr>
        <w:spacing w:after="0" w:line="182" w:lineRule="exact"/>
        <w:rPr>
          <w:rFonts w:ascii="Arial" w:cs="Arial" w:eastAsia="Arial" w:hAnsi="Arial"/>
          <w:sz w:val="21"/>
          <w:szCs w:val="21"/>
          <w:color w:val="auto"/>
        </w:rPr>
      </w:pPr>
    </w:p>
    <w:p>
      <w:pPr>
        <w:jc w:val="both"/>
        <w:ind w:firstLine="656"/>
        <w:spacing w:after="0" w:line="311" w:lineRule="auto"/>
        <w:tabs>
          <w:tab w:leader="none" w:pos="972" w:val="left"/>
        </w:tabs>
        <w:numPr>
          <w:ilvl w:val="0"/>
          <w:numId w:val="150"/>
        </w:numPr>
        <w:rPr>
          <w:rFonts w:ascii="Arial" w:cs="Arial" w:eastAsia="Arial" w:hAnsi="Arial"/>
          <w:sz w:val="21"/>
          <w:szCs w:val="21"/>
          <w:color w:val="auto"/>
        </w:rPr>
      </w:pPr>
      <w:r>
        <w:rPr>
          <w:rFonts w:ascii="Arial" w:cs="Arial" w:eastAsia="Arial" w:hAnsi="Arial"/>
          <w:sz w:val="21"/>
          <w:szCs w:val="21"/>
          <w:color w:val="auto"/>
        </w:rPr>
        <w:t>Notes repurchased by the Issuer pursuant to a Special Put Option Offer will have the status of Notes issued but not outstanding or will be retired and canceled at the option of the Issuer. Subject to Section 2.09 hereof, Notes purchased by a third party pursuant to the preceding paragraph will have the status of Notes issued and outstanding.</w:t>
      </w:r>
    </w:p>
    <w:p>
      <w:pPr>
        <w:spacing w:after="0" w:line="168" w:lineRule="exact"/>
        <w:rPr>
          <w:rFonts w:ascii="Arial" w:cs="Arial" w:eastAsia="Arial" w:hAnsi="Arial"/>
          <w:sz w:val="21"/>
          <w:szCs w:val="21"/>
          <w:color w:val="auto"/>
        </w:rPr>
      </w:pPr>
    </w:p>
    <w:p>
      <w:pPr>
        <w:ind w:firstLine="656"/>
        <w:spacing w:after="0" w:line="328" w:lineRule="auto"/>
        <w:tabs>
          <w:tab w:leader="none" w:pos="960" w:val="left"/>
        </w:tabs>
        <w:numPr>
          <w:ilvl w:val="0"/>
          <w:numId w:val="150"/>
        </w:numPr>
        <w:rPr>
          <w:rFonts w:ascii="Arial" w:cs="Arial" w:eastAsia="Arial" w:hAnsi="Arial"/>
          <w:sz w:val="21"/>
          <w:szCs w:val="21"/>
          <w:color w:val="auto"/>
        </w:rPr>
      </w:pPr>
      <w:r>
        <w:rPr>
          <w:rFonts w:ascii="Arial" w:cs="Arial" w:eastAsia="Arial" w:hAnsi="Arial"/>
          <w:sz w:val="21"/>
          <w:szCs w:val="21"/>
          <w:color w:val="auto"/>
        </w:rPr>
        <w:t>The provisions described above that require the Issuer to make a Special Put Option Offer following a Special Put Option Triggering Event will be applicable whether or not any other provisions of this Indenture are applicable.</w:t>
      </w:r>
    </w:p>
    <w:p>
      <w:pPr>
        <w:spacing w:after="0" w:line="150" w:lineRule="exact"/>
        <w:rPr>
          <w:rFonts w:ascii="Arial" w:cs="Arial" w:eastAsia="Arial" w:hAnsi="Arial"/>
          <w:sz w:val="21"/>
          <w:szCs w:val="21"/>
          <w:color w:val="auto"/>
        </w:rPr>
      </w:pPr>
    </w:p>
    <w:p>
      <w:pPr>
        <w:jc w:val="both"/>
        <w:ind w:firstLine="656"/>
        <w:spacing w:after="0" w:line="292" w:lineRule="auto"/>
        <w:tabs>
          <w:tab w:leader="none" w:pos="909" w:val="left"/>
        </w:tabs>
        <w:numPr>
          <w:ilvl w:val="0"/>
          <w:numId w:val="150"/>
        </w:numPr>
        <w:rPr>
          <w:rFonts w:ascii="Arial" w:cs="Arial" w:eastAsia="Arial" w:hAnsi="Arial"/>
          <w:sz w:val="22"/>
          <w:szCs w:val="22"/>
          <w:color w:val="auto"/>
        </w:rPr>
      </w:pPr>
      <w:r>
        <w:rPr>
          <w:rFonts w:ascii="Arial" w:cs="Arial" w:eastAsia="Arial" w:hAnsi="Arial"/>
          <w:sz w:val="22"/>
          <w:szCs w:val="22"/>
          <w:color w:val="auto"/>
        </w:rPr>
        <w:t>For the avoidance of doubt, following the repurchase date applicable to a Special Put Option Offer, holders of Notes who did not properly tender their Notes in the Special Put Option Offer will not have the further right to require Wynn Macau to repurchase such holders’ Notes with respect to that Special Put Option Triggering Event.</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ARTICLE 5</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SUCCESSORS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5.01 </w:t>
      </w:r>
      <w:r>
        <w:rPr>
          <w:rFonts w:ascii="Arial" w:cs="Arial" w:eastAsia="Arial" w:hAnsi="Arial"/>
          <w:sz w:val="22"/>
          <w:szCs w:val="22"/>
          <w:i w:val="1"/>
          <w:iCs w:val="1"/>
          <w:color w:val="auto"/>
        </w:rPr>
        <w:t>Merger, Consolidation or Sale of Assets.</w:t>
      </w:r>
    </w:p>
    <w:p>
      <w:pPr>
        <w:spacing w:after="0" w:line="256" w:lineRule="exact"/>
        <w:rPr>
          <w:sz w:val="20"/>
          <w:szCs w:val="20"/>
          <w:color w:val="auto"/>
        </w:rPr>
      </w:pPr>
    </w:p>
    <w:p>
      <w:pPr>
        <w:jc w:val="both"/>
        <w:ind w:firstLine="648"/>
        <w:spacing w:after="0" w:line="357" w:lineRule="auto"/>
        <w:rPr>
          <w:sz w:val="20"/>
          <w:szCs w:val="20"/>
          <w:color w:val="auto"/>
        </w:rPr>
      </w:pPr>
      <w:r>
        <w:rPr>
          <w:rFonts w:ascii="Arial" w:cs="Arial" w:eastAsia="Arial" w:hAnsi="Arial"/>
          <w:sz w:val="19"/>
          <w:szCs w:val="19"/>
          <w:color w:val="auto"/>
        </w:rPr>
        <w:t>The Issuer shall not, directly or indirectly, (1) consolidate or merge with or into another Person (whether or not the Issuer is the surviving entity) or (2) sell, assign, transfer, convey or otherwise dispose of all or substantially all of the properties or assets of the Issuer and its Subsidiaries, taken as a whole, in one or more related transactions, to another Person, unless:</w:t>
      </w:r>
    </w:p>
    <w:p>
      <w:pPr>
        <w:spacing w:after="0" w:line="132" w:lineRule="exact"/>
        <w:rPr>
          <w:sz w:val="20"/>
          <w:szCs w:val="20"/>
          <w:color w:val="auto"/>
        </w:rPr>
      </w:pPr>
    </w:p>
    <w:p>
      <w:pPr>
        <w:jc w:val="both"/>
        <w:ind w:left="660" w:firstLine="645"/>
        <w:spacing w:after="0" w:line="287" w:lineRule="auto"/>
        <w:tabs>
          <w:tab w:leader="none" w:pos="1619" w:val="left"/>
        </w:tabs>
        <w:numPr>
          <w:ilvl w:val="0"/>
          <w:numId w:val="151"/>
        </w:numPr>
        <w:rPr>
          <w:rFonts w:ascii="Arial" w:cs="Arial" w:eastAsia="Arial" w:hAnsi="Arial"/>
          <w:sz w:val="22"/>
          <w:szCs w:val="22"/>
          <w:color w:val="auto"/>
        </w:rPr>
      </w:pPr>
      <w:r>
        <w:rPr>
          <w:rFonts w:ascii="Arial" w:cs="Arial" w:eastAsia="Arial" w:hAnsi="Arial"/>
          <w:sz w:val="22"/>
          <w:szCs w:val="22"/>
          <w:color w:val="auto"/>
        </w:rPr>
        <w:t>either (a) the Issuer is the surviving entity or (b) the Person formed by or surviving any such consolidation or merger (if other than the Issuer) or to which such sale, assignment, transfer, conveyance or other disposition shall have been made is a corporation organized or existing under the laws of Hong Kong, Macau, Singapore, the Cayman Islands, the British Virgin Islands, Bermuda, the Isle of Man, the United States, any state of the United States or the District of Columbia;</w:t>
      </w:r>
    </w:p>
    <w:p>
      <w:pPr>
        <w:spacing w:after="0" w:line="189" w:lineRule="exact"/>
        <w:rPr>
          <w:rFonts w:ascii="Arial" w:cs="Arial" w:eastAsia="Arial" w:hAnsi="Arial"/>
          <w:sz w:val="22"/>
          <w:szCs w:val="22"/>
          <w:color w:val="auto"/>
        </w:rPr>
      </w:pPr>
    </w:p>
    <w:p>
      <w:pPr>
        <w:ind w:left="660" w:firstLine="645"/>
        <w:spacing w:after="0" w:line="302" w:lineRule="auto"/>
        <w:tabs>
          <w:tab w:leader="none" w:pos="1619" w:val="left"/>
        </w:tabs>
        <w:numPr>
          <w:ilvl w:val="0"/>
          <w:numId w:val="151"/>
        </w:numPr>
        <w:rPr>
          <w:rFonts w:ascii="Arial" w:cs="Arial" w:eastAsia="Arial" w:hAnsi="Arial"/>
          <w:sz w:val="22"/>
          <w:szCs w:val="22"/>
          <w:color w:val="auto"/>
        </w:rPr>
      </w:pPr>
      <w:r>
        <w:rPr>
          <w:rFonts w:ascii="Arial" w:cs="Arial" w:eastAsia="Arial" w:hAnsi="Arial"/>
          <w:sz w:val="22"/>
          <w:szCs w:val="22"/>
          <w:color w:val="auto"/>
        </w:rPr>
        <w:t>the Person formed by or surviving any such consolidation or merger (if other than the Issuer) or the Person to which such sale, assignment, transfer,</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3160" w:type="dxa"/>
            <w:vAlign w:val="bottom"/>
          </w:tcPr>
          <w:p>
            <w:pPr>
              <w:spacing w:after="0"/>
              <w:rPr>
                <w:sz w:val="20"/>
                <w:szCs w:val="20"/>
                <w:color w:val="auto"/>
              </w:rPr>
            </w:pPr>
            <w:r>
              <w:rPr>
                <w:rFonts w:ascii="Arial" w:cs="Arial" w:eastAsia="Arial" w:hAnsi="Arial"/>
                <w:sz w:val="11"/>
                <w:szCs w:val="11"/>
                <w:color w:val="auto"/>
              </w:rPr>
              <w:t>ASIA 33616188</w:t>
            </w:r>
          </w:p>
        </w:tc>
        <w:tc>
          <w:tcPr>
            <w:tcW w:w="2660" w:type="dxa"/>
            <w:vAlign w:val="bottom"/>
          </w:tcPr>
          <w:p>
            <w:pPr>
              <w:jc w:val="right"/>
              <w:spacing w:after="0"/>
              <w:rPr>
                <w:sz w:val="20"/>
                <w:szCs w:val="20"/>
                <w:color w:val="auto"/>
              </w:rPr>
            </w:pPr>
            <w:r>
              <w:rPr>
                <w:rFonts w:ascii="Arial" w:cs="Arial" w:eastAsia="Arial" w:hAnsi="Arial"/>
                <w:sz w:val="22"/>
                <w:szCs w:val="22"/>
                <w:color w:val="auto"/>
              </w:rPr>
              <w:t>52</w:t>
            </w:r>
          </w:p>
        </w:tc>
      </w:tr>
    </w:tbl>
    <w:p>
      <w:pPr>
        <w:sectPr>
          <w:pgSz w:w="11900" w:h="16838" w:orient="portrait"/>
          <w:cols w:equalWidth="0" w:num="1">
            <w:col w:w="11420"/>
          </w:cols>
          <w:pgMar w:left="240" w:top="1440" w:right="239" w:bottom="1440" w:gutter="0" w:footer="0" w:header="0"/>
        </w:sectPr>
      </w:pPr>
    </w:p>
    <w:bookmarkStart w:id="203" w:name="page204"/>
    <w:bookmarkEnd w:id="203"/>
    <w:p>
      <w:pPr>
        <w:spacing w:after="0" w:line="2" w:lineRule="exact"/>
        <w:rPr>
          <w:sz w:val="20"/>
          <w:szCs w:val="20"/>
          <w:color w:val="auto"/>
        </w:rPr>
      </w:pPr>
    </w:p>
    <w:p>
      <w:pPr>
        <w:ind w:left="660"/>
        <w:spacing w:after="0" w:line="302" w:lineRule="auto"/>
        <w:rPr>
          <w:sz w:val="20"/>
          <w:szCs w:val="20"/>
          <w:color w:val="auto"/>
        </w:rPr>
      </w:pPr>
      <w:r>
        <w:rPr>
          <w:rFonts w:ascii="Arial" w:cs="Arial" w:eastAsia="Arial" w:hAnsi="Arial"/>
          <w:sz w:val="22"/>
          <w:szCs w:val="22"/>
          <w:color w:val="auto"/>
        </w:rPr>
        <w:t>conveyance or other disposition shall have been made assumes all the obligations of the Issuer under the Notes and this Indenture pursuant to a supplemental indenture; and</w:t>
      </w:r>
    </w:p>
    <w:p>
      <w:pPr>
        <w:spacing w:after="0" w:line="174"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(3) immediately after such transaction, no Default or Event of Default shall have occurred and is continuing.</w:t>
      </w:r>
    </w:p>
    <w:p>
      <w:pPr>
        <w:spacing w:after="0" w:line="272"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For the avoidance of doubt, a pledge, mortgage, charge, lien, encumbrance, hypothecation or grant of any other security interest on an asset or property shall not be considered as a sale, assignment, transfer, conveyance or disposal of such asset or property.</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5.02 </w:t>
      </w:r>
      <w:r>
        <w:rPr>
          <w:rFonts w:ascii="Arial" w:cs="Arial" w:eastAsia="Arial" w:hAnsi="Arial"/>
          <w:sz w:val="22"/>
          <w:szCs w:val="22"/>
          <w:i w:val="1"/>
          <w:iCs w:val="1"/>
          <w:color w:val="auto"/>
        </w:rPr>
        <w:t>Successor Corporation Substituted</w:t>
      </w:r>
      <w:r>
        <w:rPr>
          <w:rFonts w:ascii="Arial" w:cs="Arial" w:eastAsia="Arial" w:hAnsi="Arial"/>
          <w:sz w:val="22"/>
          <w:szCs w:val="22"/>
          <w:color w:val="auto"/>
        </w:rPr>
        <w:t>.</w:t>
      </w:r>
    </w:p>
    <w:p>
      <w:pPr>
        <w:spacing w:after="0" w:line="260"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21"/>
          <w:szCs w:val="21"/>
          <w:color w:val="auto"/>
        </w:rPr>
        <w:t xml:space="preserve">Upon any consolidation or merger, or any sale, assignment, transfer, lease, conveyance or other disposition of all or substantially all of the assets of the Issuer in a transaction that is subject to, and that complies with the provisions of, Section 5.01 hereof, the successor Person formed by such consolidation or into or with which the Issuer is merged or to which such sale, assignment, transfer, lease, conveyance or other disposition is made shall succeed to, and be substituted for (so that from and after the date of such consolidation, merger, sale, lease, conveyance or other disposition, the provisions of this Indenture referring to the “Issuer” shall refer instead to the successor Person and not to the Issuer), and may exercise every right and power of the Issuer under this Indenture with the same effect as if such successor Person had been named as the Issuer herein; </w:t>
      </w:r>
      <w:r>
        <w:rPr>
          <w:rFonts w:ascii="Arial" w:cs="Arial" w:eastAsia="Arial" w:hAnsi="Arial"/>
          <w:sz w:val="21"/>
          <w:szCs w:val="21"/>
          <w:i w:val="1"/>
          <w:iCs w:val="1"/>
          <w:color w:val="auto"/>
        </w:rPr>
        <w:t>provided, however</w:t>
      </w:r>
      <w:r>
        <w:rPr>
          <w:rFonts w:ascii="Arial" w:cs="Arial" w:eastAsia="Arial" w:hAnsi="Arial"/>
          <w:sz w:val="21"/>
          <w:szCs w:val="21"/>
          <w:color w:val="auto"/>
        </w:rPr>
        <w:t>, that the predecessor Issuer shall not be relieved from the obligation to pay the principal of and interest and premium, if any, on the Notes, except in the case of a sale of all of the Issuer’s assets in a transaction that is subject to, and that complies with the provisions of Section 5.01 hereof.</w:t>
      </w:r>
    </w:p>
    <w:p>
      <w:pPr>
        <w:spacing w:after="0" w:line="18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ARTICLE 6</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DEFAULTS AND REMEDIES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6.01 </w:t>
      </w:r>
      <w:r>
        <w:rPr>
          <w:rFonts w:ascii="Arial" w:cs="Arial" w:eastAsia="Arial" w:hAnsi="Arial"/>
          <w:sz w:val="22"/>
          <w:szCs w:val="22"/>
          <w:i w:val="1"/>
          <w:iCs w:val="1"/>
          <w:color w:val="auto"/>
        </w:rPr>
        <w:t>Events of Default.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Each of the following is an “Event of Default”:</w:t>
      </w:r>
    </w:p>
    <w:p>
      <w:pPr>
        <w:spacing w:after="0" w:line="260" w:lineRule="exact"/>
        <w:rPr>
          <w:sz w:val="20"/>
          <w:szCs w:val="20"/>
          <w:color w:val="auto"/>
        </w:rPr>
      </w:pPr>
    </w:p>
    <w:p>
      <w:pPr>
        <w:ind w:left="940" w:hanging="284"/>
        <w:spacing w:after="0"/>
        <w:tabs>
          <w:tab w:leader="none" w:pos="940" w:val="left"/>
        </w:tabs>
        <w:numPr>
          <w:ilvl w:val="0"/>
          <w:numId w:val="152"/>
        </w:numPr>
        <w:rPr>
          <w:rFonts w:ascii="Arial" w:cs="Arial" w:eastAsia="Arial" w:hAnsi="Arial"/>
          <w:sz w:val="22"/>
          <w:szCs w:val="22"/>
          <w:color w:val="auto"/>
        </w:rPr>
      </w:pPr>
      <w:r>
        <w:rPr>
          <w:rFonts w:ascii="Arial" w:cs="Arial" w:eastAsia="Arial" w:hAnsi="Arial"/>
          <w:sz w:val="22"/>
          <w:szCs w:val="22"/>
          <w:color w:val="auto"/>
        </w:rPr>
        <w:t>default for 30 days in the payment when due of interest on the Notes;</w:t>
      </w:r>
    </w:p>
    <w:p>
      <w:pPr>
        <w:spacing w:after="0" w:line="260" w:lineRule="exact"/>
        <w:rPr>
          <w:rFonts w:ascii="Arial" w:cs="Arial" w:eastAsia="Arial" w:hAnsi="Arial"/>
          <w:sz w:val="22"/>
          <w:szCs w:val="22"/>
          <w:color w:val="auto"/>
        </w:rPr>
      </w:pPr>
    </w:p>
    <w:p>
      <w:pPr>
        <w:ind w:firstLine="656"/>
        <w:spacing w:after="0" w:line="302" w:lineRule="auto"/>
        <w:tabs>
          <w:tab w:leader="none" w:pos="986" w:val="left"/>
        </w:tabs>
        <w:numPr>
          <w:ilvl w:val="0"/>
          <w:numId w:val="152"/>
        </w:numPr>
        <w:rPr>
          <w:rFonts w:ascii="Arial" w:cs="Arial" w:eastAsia="Arial" w:hAnsi="Arial"/>
          <w:sz w:val="22"/>
          <w:szCs w:val="22"/>
          <w:color w:val="auto"/>
        </w:rPr>
      </w:pPr>
      <w:r>
        <w:rPr>
          <w:rFonts w:ascii="Arial" w:cs="Arial" w:eastAsia="Arial" w:hAnsi="Arial"/>
          <w:sz w:val="22"/>
          <w:szCs w:val="22"/>
          <w:color w:val="auto"/>
        </w:rPr>
        <w:t>default in the payment when due (at maturity, upon redemption, repurchase or otherwise) of the principal of, or premium, if any, on the Notes;</w:t>
      </w:r>
    </w:p>
    <w:p>
      <w:pPr>
        <w:spacing w:after="0" w:line="173" w:lineRule="exact"/>
        <w:rPr>
          <w:rFonts w:ascii="Arial" w:cs="Arial" w:eastAsia="Arial" w:hAnsi="Arial"/>
          <w:sz w:val="22"/>
          <w:szCs w:val="22"/>
          <w:color w:val="auto"/>
        </w:rPr>
      </w:pPr>
    </w:p>
    <w:p>
      <w:pPr>
        <w:ind w:left="940" w:hanging="284"/>
        <w:spacing w:after="0"/>
        <w:tabs>
          <w:tab w:leader="none" w:pos="940" w:val="left"/>
        </w:tabs>
        <w:numPr>
          <w:ilvl w:val="0"/>
          <w:numId w:val="152"/>
        </w:numPr>
        <w:rPr>
          <w:rFonts w:ascii="Arial" w:cs="Arial" w:eastAsia="Arial" w:hAnsi="Arial"/>
          <w:sz w:val="22"/>
          <w:szCs w:val="22"/>
          <w:color w:val="auto"/>
        </w:rPr>
      </w:pPr>
      <w:r>
        <w:rPr>
          <w:rFonts w:ascii="Arial" w:cs="Arial" w:eastAsia="Arial" w:hAnsi="Arial"/>
          <w:sz w:val="22"/>
          <w:szCs w:val="22"/>
          <w:color w:val="auto"/>
        </w:rPr>
        <w:t>failure by the Issuer:</w:t>
      </w:r>
    </w:p>
    <w:p>
      <w:pPr>
        <w:spacing w:after="0" w:line="260" w:lineRule="exact"/>
        <w:rPr>
          <w:rFonts w:ascii="Arial" w:cs="Arial" w:eastAsia="Arial" w:hAnsi="Arial"/>
          <w:sz w:val="22"/>
          <w:szCs w:val="22"/>
          <w:color w:val="auto"/>
        </w:rPr>
      </w:pPr>
    </w:p>
    <w:p>
      <w:pPr>
        <w:ind w:left="660" w:firstLine="645"/>
        <w:spacing w:after="0" w:line="302" w:lineRule="auto"/>
        <w:tabs>
          <w:tab w:leader="none" w:pos="1605" w:val="left"/>
        </w:tabs>
        <w:numPr>
          <w:ilvl w:val="1"/>
          <w:numId w:val="152"/>
        </w:numPr>
        <w:rPr>
          <w:rFonts w:ascii="Arial" w:cs="Arial" w:eastAsia="Arial" w:hAnsi="Arial"/>
          <w:sz w:val="22"/>
          <w:szCs w:val="22"/>
          <w:color w:val="auto"/>
        </w:rPr>
      </w:pPr>
      <w:r>
        <w:rPr>
          <w:rFonts w:ascii="Arial" w:cs="Arial" w:eastAsia="Arial" w:hAnsi="Arial"/>
          <w:sz w:val="22"/>
          <w:szCs w:val="22"/>
          <w:color w:val="auto"/>
        </w:rPr>
        <w:t>to comply with any payment obligations (including, without limitation, obligations as to the timing or amount of such payments) described under Section 4.08 and Section 4.10 hereof; or</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3160" w:type="dxa"/>
            <w:vAlign w:val="bottom"/>
          </w:tcPr>
          <w:p>
            <w:pPr>
              <w:spacing w:after="0"/>
              <w:rPr>
                <w:sz w:val="20"/>
                <w:szCs w:val="20"/>
                <w:color w:val="auto"/>
              </w:rPr>
            </w:pPr>
            <w:r>
              <w:rPr>
                <w:rFonts w:ascii="Arial" w:cs="Arial" w:eastAsia="Arial" w:hAnsi="Arial"/>
                <w:sz w:val="11"/>
                <w:szCs w:val="11"/>
                <w:color w:val="auto"/>
              </w:rPr>
              <w:t>ASIA 33616188</w:t>
            </w:r>
          </w:p>
        </w:tc>
        <w:tc>
          <w:tcPr>
            <w:tcW w:w="2660" w:type="dxa"/>
            <w:vAlign w:val="bottom"/>
          </w:tcPr>
          <w:p>
            <w:pPr>
              <w:jc w:val="right"/>
              <w:spacing w:after="0"/>
              <w:rPr>
                <w:sz w:val="20"/>
                <w:szCs w:val="20"/>
                <w:color w:val="auto"/>
              </w:rPr>
            </w:pPr>
            <w:r>
              <w:rPr>
                <w:rFonts w:ascii="Arial" w:cs="Arial" w:eastAsia="Arial" w:hAnsi="Arial"/>
                <w:sz w:val="22"/>
                <w:szCs w:val="22"/>
                <w:color w:val="auto"/>
              </w:rPr>
              <w:t>53</w:t>
            </w:r>
          </w:p>
        </w:tc>
      </w:tr>
    </w:tbl>
    <w:p>
      <w:pPr>
        <w:sectPr>
          <w:pgSz w:w="11900" w:h="16838" w:orient="portrait"/>
          <w:cols w:equalWidth="0" w:num="1">
            <w:col w:w="11420"/>
          </w:cols>
          <w:pgMar w:left="240" w:top="1440" w:right="239" w:bottom="1440" w:gutter="0" w:footer="0" w:header="0"/>
        </w:sectPr>
      </w:pPr>
    </w:p>
    <w:bookmarkStart w:id="204" w:name="page205"/>
    <w:bookmarkEnd w:id="204"/>
    <w:p>
      <w:pPr>
        <w:spacing w:after="0" w:line="2" w:lineRule="exact"/>
        <w:rPr>
          <w:sz w:val="20"/>
          <w:szCs w:val="20"/>
          <w:color w:val="auto"/>
        </w:rPr>
      </w:pPr>
    </w:p>
    <w:p>
      <w:pPr>
        <w:ind w:left="1580" w:hanging="295"/>
        <w:spacing w:after="0"/>
        <w:tabs>
          <w:tab w:leader="none" w:pos="1580" w:val="left"/>
        </w:tabs>
        <w:numPr>
          <w:ilvl w:val="1"/>
          <w:numId w:val="153"/>
        </w:numPr>
        <w:rPr>
          <w:rFonts w:ascii="Arial" w:cs="Arial" w:eastAsia="Arial" w:hAnsi="Arial"/>
          <w:sz w:val="22"/>
          <w:szCs w:val="22"/>
          <w:color w:val="auto"/>
        </w:rPr>
      </w:pPr>
      <w:r>
        <w:rPr>
          <w:rFonts w:ascii="Arial" w:cs="Arial" w:eastAsia="Arial" w:hAnsi="Arial"/>
          <w:sz w:val="22"/>
          <w:szCs w:val="22"/>
          <w:color w:val="auto"/>
        </w:rPr>
        <w:t>to comply with Section 5.01 hereof;</w:t>
      </w:r>
    </w:p>
    <w:p>
      <w:pPr>
        <w:spacing w:after="0" w:line="260" w:lineRule="exact"/>
        <w:rPr>
          <w:rFonts w:ascii="Arial" w:cs="Arial" w:eastAsia="Arial" w:hAnsi="Arial"/>
          <w:sz w:val="22"/>
          <w:szCs w:val="22"/>
          <w:color w:val="auto"/>
        </w:rPr>
      </w:pPr>
    </w:p>
    <w:p>
      <w:pPr>
        <w:jc w:val="both"/>
        <w:ind w:left="-20" w:firstLine="656"/>
        <w:spacing w:after="0" w:line="292" w:lineRule="auto"/>
        <w:tabs>
          <w:tab w:leader="none" w:pos="952" w:val="left"/>
        </w:tabs>
        <w:numPr>
          <w:ilvl w:val="0"/>
          <w:numId w:val="154"/>
        </w:numPr>
        <w:rPr>
          <w:rFonts w:ascii="Arial" w:cs="Arial" w:eastAsia="Arial" w:hAnsi="Arial"/>
          <w:sz w:val="22"/>
          <w:szCs w:val="22"/>
          <w:color w:val="auto"/>
        </w:rPr>
      </w:pPr>
      <w:r>
        <w:rPr>
          <w:rFonts w:ascii="Arial" w:cs="Arial" w:eastAsia="Arial" w:hAnsi="Arial"/>
          <w:sz w:val="22"/>
          <w:szCs w:val="22"/>
          <w:color w:val="auto"/>
        </w:rPr>
        <w:t>failure by the Issuer for 60 days after receipt of written notice from the Trustee or the Holders of at least 25% in aggregate principal amount of the Notes then outstanding voting as a single class to comply with any of the other agreements in this Indenture not identified in Sections 6.01(a), (b) or (c) hereof;</w:t>
      </w:r>
    </w:p>
    <w:p>
      <w:pPr>
        <w:spacing w:after="0" w:line="184" w:lineRule="exact"/>
        <w:rPr>
          <w:rFonts w:ascii="Arial" w:cs="Arial" w:eastAsia="Arial" w:hAnsi="Arial"/>
          <w:sz w:val="22"/>
          <w:szCs w:val="22"/>
          <w:color w:val="auto"/>
        </w:rPr>
      </w:pPr>
    </w:p>
    <w:p>
      <w:pPr>
        <w:jc w:val="both"/>
        <w:ind w:left="-20" w:firstLine="656"/>
        <w:spacing w:after="0" w:line="336" w:lineRule="auto"/>
        <w:tabs>
          <w:tab w:leader="none" w:pos="913" w:val="left"/>
        </w:tabs>
        <w:numPr>
          <w:ilvl w:val="0"/>
          <w:numId w:val="154"/>
        </w:numPr>
        <w:rPr>
          <w:rFonts w:ascii="Arial" w:cs="Arial" w:eastAsia="Arial" w:hAnsi="Arial"/>
          <w:sz w:val="19"/>
          <w:szCs w:val="19"/>
          <w:color w:val="auto"/>
        </w:rPr>
      </w:pPr>
      <w:r>
        <w:rPr>
          <w:rFonts w:ascii="Arial" w:cs="Arial" w:eastAsia="Arial" w:hAnsi="Arial"/>
          <w:sz w:val="19"/>
          <w:szCs w:val="19"/>
          <w:color w:val="auto"/>
        </w:rPr>
        <w:t>default under any mortgage, indenture or instrument under which there may be issued or by which there may be secured or evidenced any Indebtedness for money borrowed by the Issuer or any of its Subsidiaries (or the payment of which is guaranteed by the Issuer or any of its Subsidiaries), whether such Indebtedness or guarantee exists on the date of this Indenture, or is created after the date of this Indenture, if that default results in the acceleration of such Indebtedness prior to its express maturity, and, in each case, the principal amount of any such Indebtedness, together with the principal amount of any other such Indebtedness the maturity of which has been so accelerated, aggregates US$50.0 million (or the Dollar Equivalent thereof) or more, if such acceleration is not annulled within 30 days after written notice as provided in this Indenture;</w:t>
      </w:r>
    </w:p>
    <w:p>
      <w:pPr>
        <w:spacing w:after="0" w:line="154" w:lineRule="exact"/>
        <w:rPr>
          <w:rFonts w:ascii="Arial" w:cs="Arial" w:eastAsia="Arial" w:hAnsi="Arial"/>
          <w:sz w:val="19"/>
          <w:szCs w:val="19"/>
          <w:color w:val="auto"/>
        </w:rPr>
      </w:pPr>
    </w:p>
    <w:p>
      <w:pPr>
        <w:jc w:val="both"/>
        <w:ind w:left="-20" w:firstLine="656"/>
        <w:spacing w:after="0" w:line="288" w:lineRule="auto"/>
        <w:tabs>
          <w:tab w:leader="none" w:pos="889" w:val="left"/>
        </w:tabs>
        <w:numPr>
          <w:ilvl w:val="0"/>
          <w:numId w:val="154"/>
        </w:numPr>
        <w:rPr>
          <w:rFonts w:ascii="Arial" w:cs="Arial" w:eastAsia="Arial" w:hAnsi="Arial"/>
          <w:sz w:val="22"/>
          <w:szCs w:val="22"/>
          <w:color w:val="auto"/>
        </w:rPr>
      </w:pPr>
      <w:r>
        <w:rPr>
          <w:rFonts w:ascii="Arial" w:cs="Arial" w:eastAsia="Arial" w:hAnsi="Arial"/>
          <w:sz w:val="22"/>
          <w:szCs w:val="22"/>
          <w:color w:val="auto"/>
        </w:rPr>
        <w:t>failure by the Issuer or any of its Significant Subsidiaries to pay final non-appealable judgments (not paid or covered by insurance as to which the relevant insurance company has not denied responsibility) rendered against the Issuer or any Significant Subsidiary aggregating in excess of US$50.0 million (or the Dollar Equivalent thereof), which judgments are not paid, bonded, discharged or stayed for a period of 60 days;</w:t>
      </w:r>
    </w:p>
    <w:p>
      <w:pPr>
        <w:spacing w:after="0" w:line="190" w:lineRule="exact"/>
        <w:rPr>
          <w:rFonts w:ascii="Arial" w:cs="Arial" w:eastAsia="Arial" w:hAnsi="Arial"/>
          <w:sz w:val="22"/>
          <w:szCs w:val="22"/>
          <w:color w:val="auto"/>
        </w:rPr>
      </w:pPr>
    </w:p>
    <w:p>
      <w:pPr>
        <w:ind w:left="-20" w:firstLine="656"/>
        <w:spacing w:after="0" w:line="328" w:lineRule="auto"/>
        <w:tabs>
          <w:tab w:leader="none" w:pos="925" w:val="left"/>
        </w:tabs>
        <w:numPr>
          <w:ilvl w:val="0"/>
          <w:numId w:val="154"/>
        </w:numPr>
        <w:rPr>
          <w:rFonts w:ascii="Arial" w:cs="Arial" w:eastAsia="Arial" w:hAnsi="Arial"/>
          <w:sz w:val="21"/>
          <w:szCs w:val="21"/>
          <w:color w:val="auto"/>
        </w:rPr>
      </w:pPr>
      <w:r>
        <w:rPr>
          <w:rFonts w:ascii="Arial" w:cs="Arial" w:eastAsia="Arial" w:hAnsi="Arial"/>
          <w:sz w:val="21"/>
          <w:szCs w:val="21"/>
          <w:color w:val="auto"/>
        </w:rPr>
        <w:t>the Issuer or any of its Subsidiaries that is a Significant Subsidiary or any group of Subsidiaries of the Issuer that, taken together, would constitute a Significant Subsidiary pursuant to or within the meaning of Bankruptcy Law:</w:t>
      </w:r>
    </w:p>
    <w:p>
      <w:pPr>
        <w:spacing w:after="0" w:line="150" w:lineRule="exact"/>
        <w:rPr>
          <w:rFonts w:ascii="Arial" w:cs="Arial" w:eastAsia="Arial" w:hAnsi="Arial"/>
          <w:sz w:val="21"/>
          <w:szCs w:val="21"/>
          <w:color w:val="auto"/>
        </w:rPr>
      </w:pPr>
    </w:p>
    <w:p>
      <w:pPr>
        <w:ind w:left="1580" w:hanging="295"/>
        <w:spacing w:after="0"/>
        <w:tabs>
          <w:tab w:leader="none" w:pos="1580" w:val="left"/>
        </w:tabs>
        <w:numPr>
          <w:ilvl w:val="1"/>
          <w:numId w:val="154"/>
        </w:numPr>
        <w:rPr>
          <w:rFonts w:ascii="Arial" w:cs="Arial" w:eastAsia="Arial" w:hAnsi="Arial"/>
          <w:sz w:val="22"/>
          <w:szCs w:val="22"/>
          <w:color w:val="auto"/>
        </w:rPr>
      </w:pPr>
      <w:r>
        <w:rPr>
          <w:rFonts w:ascii="Arial" w:cs="Arial" w:eastAsia="Arial" w:hAnsi="Arial"/>
          <w:sz w:val="22"/>
          <w:szCs w:val="22"/>
          <w:color w:val="auto"/>
        </w:rPr>
        <w:t>commences a voluntary case;</w:t>
      </w:r>
    </w:p>
    <w:p>
      <w:pPr>
        <w:spacing w:after="0" w:line="260" w:lineRule="exact"/>
        <w:rPr>
          <w:rFonts w:ascii="Arial" w:cs="Arial" w:eastAsia="Arial" w:hAnsi="Arial"/>
          <w:sz w:val="22"/>
          <w:szCs w:val="22"/>
          <w:color w:val="auto"/>
        </w:rPr>
      </w:pPr>
    </w:p>
    <w:p>
      <w:pPr>
        <w:ind w:left="1580" w:hanging="295"/>
        <w:spacing w:after="0"/>
        <w:tabs>
          <w:tab w:leader="none" w:pos="1580" w:val="left"/>
        </w:tabs>
        <w:numPr>
          <w:ilvl w:val="1"/>
          <w:numId w:val="154"/>
        </w:numPr>
        <w:rPr>
          <w:rFonts w:ascii="Arial" w:cs="Arial" w:eastAsia="Arial" w:hAnsi="Arial"/>
          <w:sz w:val="22"/>
          <w:szCs w:val="22"/>
          <w:color w:val="auto"/>
        </w:rPr>
      </w:pPr>
      <w:r>
        <w:rPr>
          <w:rFonts w:ascii="Arial" w:cs="Arial" w:eastAsia="Arial" w:hAnsi="Arial"/>
          <w:sz w:val="22"/>
          <w:szCs w:val="22"/>
          <w:color w:val="auto"/>
        </w:rPr>
        <w:t>consents to the entry of an order for relief against it in an involuntary case;</w:t>
      </w:r>
    </w:p>
    <w:p>
      <w:pPr>
        <w:spacing w:after="0" w:line="260" w:lineRule="exact"/>
        <w:rPr>
          <w:rFonts w:ascii="Arial" w:cs="Arial" w:eastAsia="Arial" w:hAnsi="Arial"/>
          <w:sz w:val="22"/>
          <w:szCs w:val="22"/>
          <w:color w:val="auto"/>
        </w:rPr>
      </w:pPr>
    </w:p>
    <w:p>
      <w:pPr>
        <w:ind w:left="1580" w:hanging="295"/>
        <w:spacing w:after="0"/>
        <w:tabs>
          <w:tab w:leader="none" w:pos="1580" w:val="left"/>
        </w:tabs>
        <w:numPr>
          <w:ilvl w:val="1"/>
          <w:numId w:val="154"/>
        </w:numPr>
        <w:rPr>
          <w:rFonts w:ascii="Arial" w:cs="Arial" w:eastAsia="Arial" w:hAnsi="Arial"/>
          <w:sz w:val="22"/>
          <w:szCs w:val="22"/>
          <w:color w:val="auto"/>
        </w:rPr>
      </w:pPr>
      <w:r>
        <w:rPr>
          <w:rFonts w:ascii="Arial" w:cs="Arial" w:eastAsia="Arial" w:hAnsi="Arial"/>
          <w:sz w:val="22"/>
          <w:szCs w:val="22"/>
          <w:color w:val="auto"/>
        </w:rPr>
        <w:t>consents to the appointment of a custodian of it or for all or substantially all of its property;</w:t>
      </w:r>
    </w:p>
    <w:p>
      <w:pPr>
        <w:spacing w:after="0" w:line="260" w:lineRule="exact"/>
        <w:rPr>
          <w:rFonts w:ascii="Arial" w:cs="Arial" w:eastAsia="Arial" w:hAnsi="Arial"/>
          <w:sz w:val="22"/>
          <w:szCs w:val="22"/>
          <w:color w:val="auto"/>
        </w:rPr>
      </w:pPr>
    </w:p>
    <w:p>
      <w:pPr>
        <w:ind w:left="1580" w:hanging="295"/>
        <w:spacing w:after="0"/>
        <w:tabs>
          <w:tab w:leader="none" w:pos="1580" w:val="left"/>
        </w:tabs>
        <w:numPr>
          <w:ilvl w:val="1"/>
          <w:numId w:val="154"/>
        </w:numPr>
        <w:rPr>
          <w:rFonts w:ascii="Arial" w:cs="Arial" w:eastAsia="Arial" w:hAnsi="Arial"/>
          <w:sz w:val="22"/>
          <w:szCs w:val="22"/>
          <w:color w:val="auto"/>
        </w:rPr>
      </w:pPr>
      <w:r>
        <w:rPr>
          <w:rFonts w:ascii="Arial" w:cs="Arial" w:eastAsia="Arial" w:hAnsi="Arial"/>
          <w:sz w:val="22"/>
          <w:szCs w:val="22"/>
          <w:color w:val="auto"/>
        </w:rPr>
        <w:t>makes a general assignment for the benefit of its creditors; or</w:t>
      </w:r>
    </w:p>
    <w:p>
      <w:pPr>
        <w:spacing w:after="0" w:line="260" w:lineRule="exact"/>
        <w:rPr>
          <w:rFonts w:ascii="Arial" w:cs="Arial" w:eastAsia="Arial" w:hAnsi="Arial"/>
          <w:sz w:val="22"/>
          <w:szCs w:val="22"/>
          <w:color w:val="auto"/>
        </w:rPr>
      </w:pPr>
    </w:p>
    <w:p>
      <w:pPr>
        <w:ind w:left="1580" w:hanging="295"/>
        <w:spacing w:after="0"/>
        <w:tabs>
          <w:tab w:leader="none" w:pos="1580" w:val="left"/>
        </w:tabs>
        <w:numPr>
          <w:ilvl w:val="1"/>
          <w:numId w:val="154"/>
        </w:numPr>
        <w:rPr>
          <w:rFonts w:ascii="Arial" w:cs="Arial" w:eastAsia="Arial" w:hAnsi="Arial"/>
          <w:sz w:val="22"/>
          <w:szCs w:val="22"/>
          <w:color w:val="auto"/>
        </w:rPr>
      </w:pPr>
      <w:r>
        <w:rPr>
          <w:rFonts w:ascii="Arial" w:cs="Arial" w:eastAsia="Arial" w:hAnsi="Arial"/>
          <w:sz w:val="22"/>
          <w:szCs w:val="22"/>
          <w:color w:val="auto"/>
        </w:rPr>
        <w:t>generally is not paying its debts as they become due;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160" w:type="dxa"/>
            <w:vAlign w:val="bottom"/>
          </w:tcPr>
          <w:p>
            <w:pPr>
              <w:spacing w:after="0"/>
              <w:rPr>
                <w:sz w:val="20"/>
                <w:szCs w:val="20"/>
                <w:color w:val="auto"/>
              </w:rPr>
            </w:pPr>
            <w:r>
              <w:rPr>
                <w:rFonts w:ascii="Arial" w:cs="Arial" w:eastAsia="Arial" w:hAnsi="Arial"/>
                <w:sz w:val="11"/>
                <w:szCs w:val="11"/>
                <w:color w:val="auto"/>
              </w:rPr>
              <w:t>ASIA 33616188</w:t>
            </w:r>
          </w:p>
        </w:tc>
        <w:tc>
          <w:tcPr>
            <w:tcW w:w="2660" w:type="dxa"/>
            <w:vAlign w:val="bottom"/>
          </w:tcPr>
          <w:p>
            <w:pPr>
              <w:jc w:val="right"/>
              <w:spacing w:after="0"/>
              <w:rPr>
                <w:sz w:val="20"/>
                <w:szCs w:val="20"/>
                <w:color w:val="auto"/>
              </w:rPr>
            </w:pPr>
            <w:r>
              <w:rPr>
                <w:rFonts w:ascii="Arial" w:cs="Arial" w:eastAsia="Arial" w:hAnsi="Arial"/>
                <w:sz w:val="22"/>
                <w:szCs w:val="22"/>
                <w:color w:val="auto"/>
              </w:rPr>
              <w:t>54</w:t>
            </w:r>
          </w:p>
        </w:tc>
      </w:tr>
    </w:tbl>
    <w:p>
      <w:pPr>
        <w:sectPr>
          <w:pgSz w:w="11900" w:h="16838" w:orient="portrait"/>
          <w:cols w:equalWidth="0" w:num="1">
            <w:col w:w="11400"/>
          </w:cols>
          <w:pgMar w:left="260" w:top="1440" w:right="239" w:bottom="1440" w:gutter="0" w:footer="0" w:header="0"/>
        </w:sectPr>
      </w:pPr>
    </w:p>
    <w:bookmarkStart w:id="205" w:name="page206"/>
    <w:bookmarkEnd w:id="205"/>
    <w:p>
      <w:pPr>
        <w:spacing w:after="0" w:line="2" w:lineRule="exact"/>
        <w:rPr>
          <w:sz w:val="20"/>
          <w:szCs w:val="20"/>
          <w:color w:val="auto"/>
        </w:rPr>
      </w:pPr>
    </w:p>
    <w:p>
      <w:pPr>
        <w:ind w:left="960" w:hanging="304"/>
        <w:spacing w:after="0"/>
        <w:tabs>
          <w:tab w:leader="none" w:pos="960" w:val="left"/>
        </w:tabs>
        <w:numPr>
          <w:ilvl w:val="0"/>
          <w:numId w:val="155"/>
        </w:numPr>
        <w:rPr>
          <w:rFonts w:ascii="Arial" w:cs="Arial" w:eastAsia="Arial" w:hAnsi="Arial"/>
          <w:sz w:val="22"/>
          <w:szCs w:val="22"/>
          <w:color w:val="auto"/>
        </w:rPr>
      </w:pPr>
      <w:r>
        <w:rPr>
          <w:rFonts w:ascii="Arial" w:cs="Arial" w:eastAsia="Arial" w:hAnsi="Arial"/>
          <w:sz w:val="22"/>
          <w:szCs w:val="22"/>
          <w:color w:val="auto"/>
        </w:rPr>
        <w:t>a court of competent jurisdiction enters an order or decree under any Bankruptcy Law that:</w:t>
      </w:r>
    </w:p>
    <w:p>
      <w:pPr>
        <w:spacing w:after="0" w:line="260" w:lineRule="exact"/>
        <w:rPr>
          <w:rFonts w:ascii="Arial" w:cs="Arial" w:eastAsia="Arial" w:hAnsi="Arial"/>
          <w:sz w:val="22"/>
          <w:szCs w:val="22"/>
          <w:color w:val="auto"/>
        </w:rPr>
      </w:pPr>
    </w:p>
    <w:p>
      <w:pPr>
        <w:ind w:left="660" w:firstLine="645"/>
        <w:spacing w:after="0" w:line="328" w:lineRule="auto"/>
        <w:tabs>
          <w:tab w:leader="none" w:pos="1646" w:val="left"/>
        </w:tabs>
        <w:numPr>
          <w:ilvl w:val="1"/>
          <w:numId w:val="155"/>
        </w:numPr>
        <w:rPr>
          <w:rFonts w:ascii="Arial" w:cs="Arial" w:eastAsia="Arial" w:hAnsi="Arial"/>
          <w:sz w:val="21"/>
          <w:szCs w:val="21"/>
          <w:color w:val="auto"/>
        </w:rPr>
      </w:pPr>
      <w:r>
        <w:rPr>
          <w:rFonts w:ascii="Arial" w:cs="Arial" w:eastAsia="Arial" w:hAnsi="Arial"/>
          <w:sz w:val="21"/>
          <w:szCs w:val="21"/>
          <w:color w:val="auto"/>
        </w:rPr>
        <w:t>is for relief against the Issuer or any of its Subsidiaries that is a Significant Subsidiary or any group of Subsidiaries of the Issuer that, taken together, would constitute a Significant Subsidiary in an involuntary case;</w:t>
      </w:r>
    </w:p>
    <w:p>
      <w:pPr>
        <w:spacing w:after="0" w:line="150" w:lineRule="exact"/>
        <w:rPr>
          <w:rFonts w:ascii="Arial" w:cs="Arial" w:eastAsia="Arial" w:hAnsi="Arial"/>
          <w:sz w:val="21"/>
          <w:szCs w:val="21"/>
          <w:color w:val="auto"/>
        </w:rPr>
      </w:pPr>
    </w:p>
    <w:p>
      <w:pPr>
        <w:jc w:val="both"/>
        <w:ind w:left="660" w:firstLine="645"/>
        <w:spacing w:after="0" w:line="288" w:lineRule="auto"/>
        <w:tabs>
          <w:tab w:leader="none" w:pos="1632" w:val="left"/>
        </w:tabs>
        <w:numPr>
          <w:ilvl w:val="1"/>
          <w:numId w:val="155"/>
        </w:numPr>
        <w:rPr>
          <w:rFonts w:ascii="Arial" w:cs="Arial" w:eastAsia="Arial" w:hAnsi="Arial"/>
          <w:sz w:val="22"/>
          <w:szCs w:val="22"/>
          <w:color w:val="auto"/>
        </w:rPr>
      </w:pPr>
      <w:r>
        <w:rPr>
          <w:rFonts w:ascii="Arial" w:cs="Arial" w:eastAsia="Arial" w:hAnsi="Arial"/>
          <w:sz w:val="22"/>
          <w:szCs w:val="22"/>
          <w:color w:val="auto"/>
        </w:rPr>
        <w:t>appoints a custodian of the Issuer or any of its Subsidiaries that is a Significant Subsidiary or any group of Subsidiaries of the Issuer that, taken together, would constitute a Significant Subsidiary or for all or substantially all of the property of the Issuer or any of its Subsidiaries that is a Significant Subsidiary or any group of Subsidiaries of the Issuer that, taken together, would constitute a Significant Subsidiary; or</w:t>
      </w:r>
    </w:p>
    <w:p>
      <w:pPr>
        <w:spacing w:after="0" w:line="190" w:lineRule="exact"/>
        <w:rPr>
          <w:rFonts w:ascii="Arial" w:cs="Arial" w:eastAsia="Arial" w:hAnsi="Arial"/>
          <w:sz w:val="22"/>
          <w:szCs w:val="22"/>
          <w:color w:val="auto"/>
        </w:rPr>
      </w:pPr>
    </w:p>
    <w:p>
      <w:pPr>
        <w:ind w:left="660" w:firstLine="645"/>
        <w:spacing w:after="0" w:line="302" w:lineRule="auto"/>
        <w:tabs>
          <w:tab w:leader="none" w:pos="1632" w:val="left"/>
        </w:tabs>
        <w:numPr>
          <w:ilvl w:val="1"/>
          <w:numId w:val="155"/>
        </w:numPr>
        <w:rPr>
          <w:rFonts w:ascii="Arial" w:cs="Arial" w:eastAsia="Arial" w:hAnsi="Arial"/>
          <w:sz w:val="22"/>
          <w:szCs w:val="22"/>
          <w:color w:val="auto"/>
        </w:rPr>
      </w:pPr>
      <w:r>
        <w:rPr>
          <w:rFonts w:ascii="Arial" w:cs="Arial" w:eastAsia="Arial" w:hAnsi="Arial"/>
          <w:sz w:val="22"/>
          <w:szCs w:val="22"/>
          <w:color w:val="auto"/>
        </w:rPr>
        <w:t>orders the liquidation of the Issuer or any of its Subsidiaries that is a Significant Subsidiary or any group of Subsidiaries of the Issuer that, taken together, would constitute a Significant Subsidiary;</w:t>
      </w:r>
    </w:p>
    <w:p>
      <w:pPr>
        <w:spacing w:after="0" w:line="17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and the order or decree remains unstayed and in effect for 60 consecutive days.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6.02 </w:t>
      </w:r>
      <w:r>
        <w:rPr>
          <w:rFonts w:ascii="Arial" w:cs="Arial" w:eastAsia="Arial" w:hAnsi="Arial"/>
          <w:sz w:val="22"/>
          <w:szCs w:val="22"/>
          <w:i w:val="1"/>
          <w:iCs w:val="1"/>
          <w:color w:val="auto"/>
        </w:rPr>
        <w:t>Acceleration.</w:t>
      </w:r>
    </w:p>
    <w:p>
      <w:pPr>
        <w:spacing w:after="0" w:line="26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color w:val="auto"/>
        </w:rPr>
        <w:t>In the case of an Event of Default specified in clause (g) or (h) of Section 6.01 hereof, all outstanding Notes shall become due and payable immediately without further action or notice. If any other Event of Default occurs and is continuing, the Trustee or the Holders of at least 25% in aggregate principal amount of the then outstanding Notes may declare all the Notes to be due and payable immediately.</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Upon any such declaration, the Notes shall become due and payable immediately.</w:t>
      </w:r>
    </w:p>
    <w:p>
      <w:pPr>
        <w:spacing w:after="0" w:line="260" w:lineRule="exact"/>
        <w:rPr>
          <w:sz w:val="20"/>
          <w:szCs w:val="20"/>
          <w:color w:val="auto"/>
        </w:rPr>
      </w:pPr>
    </w:p>
    <w:p>
      <w:pPr>
        <w:jc w:val="both"/>
        <w:ind w:firstLine="648"/>
        <w:spacing w:after="0" w:line="338" w:lineRule="auto"/>
        <w:rPr>
          <w:sz w:val="20"/>
          <w:szCs w:val="20"/>
          <w:color w:val="auto"/>
        </w:rPr>
      </w:pPr>
      <w:r>
        <w:rPr>
          <w:rFonts w:ascii="Arial" w:cs="Arial" w:eastAsia="Arial" w:hAnsi="Arial"/>
          <w:sz w:val="19"/>
          <w:szCs w:val="19"/>
          <w:color w:val="auto"/>
        </w:rPr>
        <w:t>The Holders of a majority in aggregate principal amount of the then outstanding Notes by written notice to the Trustee may on behalf of all of the Holders rescind an acceleration and its consequences if (i) the rescission would not conflict with any judgment or decree, (ii) all existing Events of Default (except nonpayment of principal, interest or premium, if any, that has become due solely because of the acceleration) have been cured or waived and (iii) there has been paid to or deposited with the Trustee a sum sufficient to pay all amounts due to the Trustee and to reimburse the Trustee for any and all fees, expenses and disbursements advanced by the Trustee, its agents and its counsel incurred in connection with such Default.</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3160" w:type="dxa"/>
            <w:vAlign w:val="bottom"/>
          </w:tcPr>
          <w:p>
            <w:pPr>
              <w:spacing w:after="0"/>
              <w:rPr>
                <w:sz w:val="20"/>
                <w:szCs w:val="20"/>
                <w:color w:val="auto"/>
              </w:rPr>
            </w:pPr>
            <w:r>
              <w:rPr>
                <w:rFonts w:ascii="Arial" w:cs="Arial" w:eastAsia="Arial" w:hAnsi="Arial"/>
                <w:sz w:val="11"/>
                <w:szCs w:val="11"/>
                <w:color w:val="auto"/>
              </w:rPr>
              <w:t>ASIA 33616188</w:t>
            </w:r>
          </w:p>
        </w:tc>
        <w:tc>
          <w:tcPr>
            <w:tcW w:w="2660" w:type="dxa"/>
            <w:vAlign w:val="bottom"/>
          </w:tcPr>
          <w:p>
            <w:pPr>
              <w:jc w:val="right"/>
              <w:spacing w:after="0"/>
              <w:rPr>
                <w:sz w:val="20"/>
                <w:szCs w:val="20"/>
                <w:color w:val="auto"/>
              </w:rPr>
            </w:pPr>
            <w:r>
              <w:rPr>
                <w:rFonts w:ascii="Arial" w:cs="Arial" w:eastAsia="Arial" w:hAnsi="Arial"/>
                <w:sz w:val="22"/>
                <w:szCs w:val="22"/>
                <w:color w:val="auto"/>
              </w:rPr>
              <w:t>55</w:t>
            </w:r>
          </w:p>
        </w:tc>
      </w:tr>
    </w:tbl>
    <w:p>
      <w:pPr>
        <w:sectPr>
          <w:pgSz w:w="11900" w:h="16838" w:orient="portrait"/>
          <w:cols w:equalWidth="0" w:num="1">
            <w:col w:w="11420"/>
          </w:cols>
          <w:pgMar w:left="240" w:top="1440" w:right="239" w:bottom="1440" w:gutter="0" w:footer="0" w:header="0"/>
        </w:sectPr>
      </w:pPr>
    </w:p>
    <w:bookmarkStart w:id="206" w:name="page207"/>
    <w:bookmarkEnd w:id="206"/>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6.03 </w:t>
      </w:r>
      <w:r>
        <w:rPr>
          <w:rFonts w:ascii="Arial" w:cs="Arial" w:eastAsia="Arial" w:hAnsi="Arial"/>
          <w:sz w:val="22"/>
          <w:szCs w:val="22"/>
          <w:i w:val="1"/>
          <w:iCs w:val="1"/>
          <w:color w:val="auto"/>
        </w:rPr>
        <w:t>Other Remedies</w:t>
      </w:r>
      <w:r>
        <w:rPr>
          <w:rFonts w:ascii="Arial" w:cs="Arial" w:eastAsia="Arial" w:hAnsi="Arial"/>
          <w:sz w:val="22"/>
          <w:szCs w:val="22"/>
          <w:color w:val="auto"/>
        </w:rPr>
        <w:t>.</w:t>
      </w:r>
    </w:p>
    <w:p>
      <w:pPr>
        <w:spacing w:after="0" w:line="260" w:lineRule="exact"/>
        <w:rPr>
          <w:sz w:val="20"/>
          <w:szCs w:val="20"/>
          <w:color w:val="auto"/>
        </w:rPr>
      </w:pPr>
    </w:p>
    <w:p>
      <w:pPr>
        <w:jc w:val="both"/>
        <w:ind w:firstLine="648"/>
        <w:spacing w:after="0" w:line="387" w:lineRule="auto"/>
        <w:rPr>
          <w:sz w:val="20"/>
          <w:szCs w:val="20"/>
          <w:color w:val="auto"/>
        </w:rPr>
      </w:pPr>
      <w:r>
        <w:rPr>
          <w:rFonts w:ascii="Arial" w:cs="Arial" w:eastAsia="Arial" w:hAnsi="Arial"/>
          <w:sz w:val="19"/>
          <w:szCs w:val="19"/>
          <w:color w:val="auto"/>
        </w:rPr>
        <w:t>If an Event of Default occurs and is continuing, the Trustee may pursue any available remedy to collect the payment of principal, premium, if any, and interest on the Notes or to enforce the performance of any provision of the Notes or this Indenture.</w:t>
      </w:r>
    </w:p>
    <w:p>
      <w:pPr>
        <w:spacing w:after="0" w:line="10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color w:val="auto"/>
        </w:rPr>
        <w:t>The Trustee may maintain a proceeding even if it does not possess any of the Notes or does not produce any of them in the proceeding. A delay or omission by the Trustee or any Holder of a Note in exercising any right or remedy accruing upon an Event of Default shall not impair the right or remedy or constitute a waiver of or acquiescence in the Event of Default. All remedies are cumulative to the extent permitted by law.</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6.04 </w:t>
      </w:r>
      <w:r>
        <w:rPr>
          <w:rFonts w:ascii="Arial" w:cs="Arial" w:eastAsia="Arial" w:hAnsi="Arial"/>
          <w:sz w:val="22"/>
          <w:szCs w:val="22"/>
          <w:i w:val="1"/>
          <w:iCs w:val="1"/>
          <w:color w:val="auto"/>
        </w:rPr>
        <w:t>Waiver of Defaults</w:t>
      </w:r>
      <w:r>
        <w:rPr>
          <w:rFonts w:ascii="Arial" w:cs="Arial" w:eastAsia="Arial" w:hAnsi="Arial"/>
          <w:sz w:val="22"/>
          <w:szCs w:val="22"/>
          <w:color w:val="auto"/>
        </w:rPr>
        <w:t>.</w:t>
      </w:r>
    </w:p>
    <w:p>
      <w:pPr>
        <w:spacing w:after="0" w:line="260"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19"/>
          <w:szCs w:val="19"/>
          <w:color w:val="auto"/>
        </w:rPr>
        <w:t xml:space="preserve">Subject to Section 6.02 hereof, Holders of not less than a majority in aggregate principal amount of the then outstanding Notes by notice to the Trustee may, on behalf of the Holders of all of the Notes, waive an existing Default or Event of Default and its consequences hereunder, except a continuing Default or Event of Default in the payment of the principal of, premium, if any, or interest on, the Notes (including in connection with an offer to purchase);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Holders of a majority in aggregate principal amount of the then outstanding Notes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6.05 </w:t>
      </w:r>
      <w:r>
        <w:rPr>
          <w:rFonts w:ascii="Arial" w:cs="Arial" w:eastAsia="Arial" w:hAnsi="Arial"/>
          <w:sz w:val="22"/>
          <w:szCs w:val="22"/>
          <w:i w:val="1"/>
          <w:iCs w:val="1"/>
          <w:color w:val="auto"/>
        </w:rPr>
        <w:t>Control by Majority</w:t>
      </w:r>
      <w:r>
        <w:rPr>
          <w:rFonts w:ascii="Arial" w:cs="Arial" w:eastAsia="Arial" w:hAnsi="Arial"/>
          <w:sz w:val="22"/>
          <w:szCs w:val="22"/>
          <w:color w:val="auto"/>
        </w:rPr>
        <w:t>.</w:t>
      </w:r>
    </w:p>
    <w:p>
      <w:pPr>
        <w:spacing w:after="0" w:line="26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2"/>
          <w:szCs w:val="22"/>
          <w:color w:val="auto"/>
        </w:rPr>
        <w:t>Holders of a majority in principal amount of the then outstanding Notes may direct the time, method and place of conducting any proceeding for exercising any remedy available to the Trustee or exercising any trust or power conferred on it. In addition, the Trustee may refuse to follow any direction that conflicts with law or this Indenture that the Trustee determines in good faith may be unduly prejudicial to the rights of other Holders of Notes not joining in the giving of such direction or that may involve the Trustee in personal liability.</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6.06 </w:t>
      </w:r>
      <w:r>
        <w:rPr>
          <w:rFonts w:ascii="Arial" w:cs="Arial" w:eastAsia="Arial" w:hAnsi="Arial"/>
          <w:sz w:val="22"/>
          <w:szCs w:val="22"/>
          <w:i w:val="1"/>
          <w:iCs w:val="1"/>
          <w:color w:val="auto"/>
        </w:rPr>
        <w:t>Limitation on Suits</w:t>
      </w:r>
      <w:r>
        <w:rPr>
          <w:rFonts w:ascii="Arial" w:cs="Arial" w:eastAsia="Arial" w:hAnsi="Arial"/>
          <w:sz w:val="22"/>
          <w:szCs w:val="22"/>
          <w:color w:val="auto"/>
        </w:rPr>
        <w:t>.</w:t>
      </w:r>
    </w:p>
    <w:p>
      <w:pPr>
        <w:spacing w:after="0" w:line="26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Except to enforce the right to receive payment of principal, interest or premium, if any, when due, a Holder of a Note may pursue a remedy with respect to this Indenture or the Notes only if:</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 such Holder of a Note gives to the Trustee written notice that an Event of Default is continuing;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3160" w:type="dxa"/>
            <w:vAlign w:val="bottom"/>
          </w:tcPr>
          <w:p>
            <w:pPr>
              <w:spacing w:after="0"/>
              <w:rPr>
                <w:sz w:val="20"/>
                <w:szCs w:val="20"/>
                <w:color w:val="auto"/>
              </w:rPr>
            </w:pPr>
            <w:r>
              <w:rPr>
                <w:rFonts w:ascii="Arial" w:cs="Arial" w:eastAsia="Arial" w:hAnsi="Arial"/>
                <w:sz w:val="11"/>
                <w:szCs w:val="11"/>
                <w:color w:val="auto"/>
              </w:rPr>
              <w:t>ASIA 33616188</w:t>
            </w:r>
          </w:p>
        </w:tc>
        <w:tc>
          <w:tcPr>
            <w:tcW w:w="2660" w:type="dxa"/>
            <w:vAlign w:val="bottom"/>
          </w:tcPr>
          <w:p>
            <w:pPr>
              <w:jc w:val="right"/>
              <w:spacing w:after="0"/>
              <w:rPr>
                <w:sz w:val="20"/>
                <w:szCs w:val="20"/>
                <w:color w:val="auto"/>
              </w:rPr>
            </w:pPr>
            <w:r>
              <w:rPr>
                <w:rFonts w:ascii="Arial" w:cs="Arial" w:eastAsia="Arial" w:hAnsi="Arial"/>
                <w:sz w:val="22"/>
                <w:szCs w:val="22"/>
                <w:color w:val="auto"/>
              </w:rPr>
              <w:t>56</w:t>
            </w:r>
          </w:p>
        </w:tc>
      </w:tr>
    </w:tbl>
    <w:p>
      <w:pPr>
        <w:sectPr>
          <w:pgSz w:w="11900" w:h="16838" w:orient="portrait"/>
          <w:cols w:equalWidth="0" w:num="1">
            <w:col w:w="11420"/>
          </w:cols>
          <w:pgMar w:left="240" w:top="1440" w:right="239" w:bottom="1440" w:gutter="0" w:footer="0" w:header="0"/>
        </w:sectPr>
      </w:pPr>
    </w:p>
    <w:bookmarkStart w:id="207" w:name="page208"/>
    <w:bookmarkEnd w:id="207"/>
    <w:p>
      <w:pPr>
        <w:spacing w:after="0" w:line="2" w:lineRule="exact"/>
        <w:rPr>
          <w:sz w:val="20"/>
          <w:szCs w:val="20"/>
          <w:color w:val="auto"/>
        </w:rPr>
      </w:pPr>
    </w:p>
    <w:p>
      <w:pPr>
        <w:ind w:firstLine="656"/>
        <w:spacing w:after="0" w:line="302" w:lineRule="auto"/>
        <w:tabs>
          <w:tab w:leader="none" w:pos="959" w:val="left"/>
        </w:tabs>
        <w:numPr>
          <w:ilvl w:val="0"/>
          <w:numId w:val="156"/>
        </w:numPr>
        <w:rPr>
          <w:rFonts w:ascii="Arial" w:cs="Arial" w:eastAsia="Arial" w:hAnsi="Arial"/>
          <w:sz w:val="22"/>
          <w:szCs w:val="22"/>
          <w:color w:val="auto"/>
        </w:rPr>
      </w:pPr>
      <w:r>
        <w:rPr>
          <w:rFonts w:ascii="Arial" w:cs="Arial" w:eastAsia="Arial" w:hAnsi="Arial"/>
          <w:sz w:val="22"/>
          <w:szCs w:val="22"/>
          <w:color w:val="auto"/>
        </w:rPr>
        <w:t>the Holders of at least 25% in aggregate principal amount of the then outstanding Notes make a written request to the Trustee to pursue the remedy;</w:t>
      </w:r>
    </w:p>
    <w:p>
      <w:pPr>
        <w:spacing w:after="0" w:line="173" w:lineRule="exact"/>
        <w:rPr>
          <w:rFonts w:ascii="Arial" w:cs="Arial" w:eastAsia="Arial" w:hAnsi="Arial"/>
          <w:sz w:val="22"/>
          <w:szCs w:val="22"/>
          <w:color w:val="auto"/>
        </w:rPr>
      </w:pPr>
    </w:p>
    <w:p>
      <w:pPr>
        <w:ind w:firstLine="656"/>
        <w:spacing w:after="0" w:line="302" w:lineRule="auto"/>
        <w:tabs>
          <w:tab w:leader="none" w:pos="933" w:val="left"/>
        </w:tabs>
        <w:numPr>
          <w:ilvl w:val="0"/>
          <w:numId w:val="156"/>
        </w:numPr>
        <w:rPr>
          <w:rFonts w:ascii="Arial" w:cs="Arial" w:eastAsia="Arial" w:hAnsi="Arial"/>
          <w:sz w:val="22"/>
          <w:szCs w:val="22"/>
          <w:color w:val="auto"/>
        </w:rPr>
      </w:pPr>
      <w:r>
        <w:rPr>
          <w:rFonts w:ascii="Arial" w:cs="Arial" w:eastAsia="Arial" w:hAnsi="Arial"/>
          <w:sz w:val="22"/>
          <w:szCs w:val="22"/>
          <w:color w:val="auto"/>
        </w:rPr>
        <w:t>such Holder or Holders offer and, if requested, provide to the Trustee security or indemnity reasonably satisfactory to the Trustee against any loss, liability, claim or expense;</w:t>
      </w:r>
    </w:p>
    <w:p>
      <w:pPr>
        <w:spacing w:after="0" w:line="173" w:lineRule="exact"/>
        <w:rPr>
          <w:rFonts w:ascii="Arial" w:cs="Arial" w:eastAsia="Arial" w:hAnsi="Arial"/>
          <w:sz w:val="22"/>
          <w:szCs w:val="22"/>
          <w:color w:val="auto"/>
        </w:rPr>
      </w:pPr>
    </w:p>
    <w:p>
      <w:pPr>
        <w:ind w:firstLine="656"/>
        <w:spacing w:after="0" w:line="302" w:lineRule="auto"/>
        <w:tabs>
          <w:tab w:leader="none" w:pos="959" w:val="left"/>
        </w:tabs>
        <w:numPr>
          <w:ilvl w:val="0"/>
          <w:numId w:val="156"/>
        </w:numPr>
        <w:rPr>
          <w:rFonts w:ascii="Arial" w:cs="Arial" w:eastAsia="Arial" w:hAnsi="Arial"/>
          <w:sz w:val="22"/>
          <w:szCs w:val="22"/>
          <w:color w:val="auto"/>
        </w:rPr>
      </w:pPr>
      <w:r>
        <w:rPr>
          <w:rFonts w:ascii="Arial" w:cs="Arial" w:eastAsia="Arial" w:hAnsi="Arial"/>
          <w:sz w:val="22"/>
          <w:szCs w:val="22"/>
          <w:color w:val="auto"/>
        </w:rPr>
        <w:t>the Trustee does not comply with the request within 60 days after receipt of the request and the offer of security or indemnity; and</w:t>
      </w:r>
    </w:p>
    <w:p>
      <w:pPr>
        <w:spacing w:after="0" w:line="173" w:lineRule="exact"/>
        <w:rPr>
          <w:rFonts w:ascii="Arial" w:cs="Arial" w:eastAsia="Arial" w:hAnsi="Arial"/>
          <w:sz w:val="22"/>
          <w:szCs w:val="22"/>
          <w:color w:val="auto"/>
        </w:rPr>
      </w:pPr>
    </w:p>
    <w:p>
      <w:pPr>
        <w:ind w:firstLine="656"/>
        <w:spacing w:after="0" w:line="302" w:lineRule="auto"/>
        <w:tabs>
          <w:tab w:leader="none" w:pos="933" w:val="left"/>
        </w:tabs>
        <w:numPr>
          <w:ilvl w:val="0"/>
          <w:numId w:val="156"/>
        </w:numPr>
        <w:rPr>
          <w:rFonts w:ascii="Arial" w:cs="Arial" w:eastAsia="Arial" w:hAnsi="Arial"/>
          <w:sz w:val="22"/>
          <w:szCs w:val="22"/>
          <w:color w:val="auto"/>
        </w:rPr>
      </w:pPr>
      <w:r>
        <w:rPr>
          <w:rFonts w:ascii="Arial" w:cs="Arial" w:eastAsia="Arial" w:hAnsi="Arial"/>
          <w:sz w:val="22"/>
          <w:szCs w:val="22"/>
          <w:color w:val="auto"/>
        </w:rPr>
        <w:t>during such 60-day period, the Holders of a majority in aggregate principal amount of the then outstanding Notes do not give the Trustee a direction inconsistent with such request within such 60-day period.</w:t>
      </w:r>
    </w:p>
    <w:p>
      <w:pPr>
        <w:spacing w:after="0" w:line="174"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A Holder of a Note may not use this Indenture to prejudice the rights of another Holder of a Note or to obtain a preference or priority over another Holder of a Note (it being understood that the Trustee does not have an affirmative duty to ascertain whether or not such actions or forbearances are unduly prejudicial to such Holders).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6.07 </w:t>
      </w:r>
      <w:r>
        <w:rPr>
          <w:rFonts w:ascii="Arial" w:cs="Arial" w:eastAsia="Arial" w:hAnsi="Arial"/>
          <w:sz w:val="22"/>
          <w:szCs w:val="22"/>
          <w:i w:val="1"/>
          <w:iCs w:val="1"/>
          <w:color w:val="auto"/>
        </w:rPr>
        <w:t>Rights of Holders of Notes to Receive Payment</w:t>
      </w:r>
      <w:r>
        <w:rPr>
          <w:rFonts w:ascii="Arial" w:cs="Arial" w:eastAsia="Arial" w:hAnsi="Arial"/>
          <w:sz w:val="22"/>
          <w:szCs w:val="22"/>
          <w:color w:val="auto"/>
        </w:rPr>
        <w:t>.</w:t>
      </w:r>
    </w:p>
    <w:p>
      <w:pPr>
        <w:spacing w:after="0" w:line="260"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21"/>
          <w:szCs w:val="21"/>
          <w:color w:val="auto"/>
        </w:rPr>
        <w:t>Notwithstanding any other provision of this Indenture, but except as provided in Section 9.02, the right of any Holder of a Note to receive payment of principal, premium, if any, and interest on the Note, on or after the respective due dates expressed in the Note (including in connection with an offer to purchase), or to bring suit for the enforcement of any such payment on or after such respective dates, shall not be impaired or affected without the consent of such Holder.</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6.08 </w:t>
      </w:r>
      <w:r>
        <w:rPr>
          <w:rFonts w:ascii="Arial" w:cs="Arial" w:eastAsia="Arial" w:hAnsi="Arial"/>
          <w:sz w:val="22"/>
          <w:szCs w:val="22"/>
          <w:i w:val="1"/>
          <w:iCs w:val="1"/>
          <w:color w:val="auto"/>
        </w:rPr>
        <w:t>Collection Suit by Trustee</w:t>
      </w:r>
      <w:r>
        <w:rPr>
          <w:rFonts w:ascii="Arial" w:cs="Arial" w:eastAsia="Arial" w:hAnsi="Arial"/>
          <w:sz w:val="22"/>
          <w:szCs w:val="22"/>
          <w:color w:val="auto"/>
        </w:rPr>
        <w:t>.</w:t>
      </w:r>
    </w:p>
    <w:p>
      <w:pPr>
        <w:spacing w:after="0" w:line="260"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21"/>
          <w:szCs w:val="21"/>
          <w:color w:val="auto"/>
        </w:rPr>
        <w:t>If an Event of Default specified in Section 6.01(a) or (b) hereof occurs and is continuing, the Trustee is authorized to recover judgment in its own name and as trustee of an express trust against the Issuer for the whole amount of principal of, premium, if any, and interest remaining unpaid on, the Notes and interest on overdue principal and, to the extent lawful, interest and such further amount as shall be sufficient to cover the costs and expenses of collection, including the reasonable compensation, expenses, disbursements and advances of the Trustee, its agents and counsel.</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6.09 </w:t>
      </w:r>
      <w:r>
        <w:rPr>
          <w:rFonts w:ascii="Arial" w:cs="Arial" w:eastAsia="Arial" w:hAnsi="Arial"/>
          <w:sz w:val="22"/>
          <w:szCs w:val="22"/>
          <w:i w:val="1"/>
          <w:iCs w:val="1"/>
          <w:color w:val="auto"/>
        </w:rPr>
        <w:t>Trustee May File Proofs of Claim</w:t>
      </w:r>
      <w:r>
        <w:rPr>
          <w:rFonts w:ascii="Arial" w:cs="Arial" w:eastAsia="Arial" w:hAnsi="Arial"/>
          <w:sz w:val="22"/>
          <w:szCs w:val="22"/>
          <w:color w:val="auto"/>
        </w:rPr>
        <w:t>.</w:t>
      </w:r>
    </w:p>
    <w:p>
      <w:pPr>
        <w:spacing w:after="0" w:line="26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color w:val="auto"/>
        </w:rPr>
        <w:t>The Trustee is authorized to file such proofs of claim and other papers or documents as may be necessary or advisable in order to have the claims of the Trustee (including any claim for the reasonable compensation, expenses, disbursements and advances of the Trustee, its agents and counsel) and the Holders of the Notes allowed in any judicial proceedings relative to the Issuer (or any other obligor upon the Notes), its creditors or its property and</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3160" w:type="dxa"/>
            <w:vAlign w:val="bottom"/>
          </w:tcPr>
          <w:p>
            <w:pPr>
              <w:spacing w:after="0"/>
              <w:rPr>
                <w:sz w:val="20"/>
                <w:szCs w:val="20"/>
                <w:color w:val="auto"/>
              </w:rPr>
            </w:pPr>
            <w:r>
              <w:rPr>
                <w:rFonts w:ascii="Arial" w:cs="Arial" w:eastAsia="Arial" w:hAnsi="Arial"/>
                <w:sz w:val="11"/>
                <w:szCs w:val="11"/>
                <w:color w:val="auto"/>
              </w:rPr>
              <w:t>ASIA 33616188</w:t>
            </w:r>
          </w:p>
        </w:tc>
        <w:tc>
          <w:tcPr>
            <w:tcW w:w="2660" w:type="dxa"/>
            <w:vAlign w:val="bottom"/>
          </w:tcPr>
          <w:p>
            <w:pPr>
              <w:jc w:val="right"/>
              <w:spacing w:after="0"/>
              <w:rPr>
                <w:sz w:val="20"/>
                <w:szCs w:val="20"/>
                <w:color w:val="auto"/>
              </w:rPr>
            </w:pPr>
            <w:r>
              <w:rPr>
                <w:rFonts w:ascii="Arial" w:cs="Arial" w:eastAsia="Arial" w:hAnsi="Arial"/>
                <w:sz w:val="22"/>
                <w:szCs w:val="22"/>
                <w:color w:val="auto"/>
              </w:rPr>
              <w:t>57</w:t>
            </w:r>
          </w:p>
        </w:tc>
      </w:tr>
    </w:tbl>
    <w:p>
      <w:pPr>
        <w:sectPr>
          <w:pgSz w:w="11900" w:h="16838" w:orient="portrait"/>
          <w:cols w:equalWidth="0" w:num="1">
            <w:col w:w="11420"/>
          </w:cols>
          <w:pgMar w:left="240" w:top="1440" w:right="239" w:bottom="1440" w:gutter="0" w:footer="0" w:header="0"/>
        </w:sectPr>
      </w:pPr>
    </w:p>
    <w:bookmarkStart w:id="208" w:name="page209"/>
    <w:bookmarkEnd w:id="208"/>
    <w:p>
      <w:pPr>
        <w:spacing w:after="0" w:line="2" w:lineRule="exact"/>
        <w:rPr>
          <w:sz w:val="20"/>
          <w:szCs w:val="20"/>
          <w:color w:val="auto"/>
        </w:rPr>
      </w:pPr>
    </w:p>
    <w:p>
      <w:pPr>
        <w:jc w:val="both"/>
        <w:spacing w:after="0" w:line="331" w:lineRule="auto"/>
        <w:rPr>
          <w:sz w:val="20"/>
          <w:szCs w:val="20"/>
          <w:color w:val="auto"/>
        </w:rPr>
      </w:pPr>
      <w:r>
        <w:rPr>
          <w:rFonts w:ascii="Arial" w:cs="Arial" w:eastAsia="Arial" w:hAnsi="Arial"/>
          <w:sz w:val="19"/>
          <w:szCs w:val="19"/>
          <w:color w:val="auto"/>
        </w:rPr>
        <w:t>shall be entitled and empowered to collect, receive and distribute any money or other property payable or deliverable on any such claims and any custodian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its agents and counsel, and any other amounts due the Trustee under Section 7.06 hereof. To the extent that the payment of any such compensation, expenses, disbursements and advances of the Trustee, its agents and counsel, and any other amounts due the Trustee under Section 7.06 hereof out of the estate in any such 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 Nothing herein contained shall be deemed to authorize the Trustee to authorize or consent to or accept or adopt on behalf of any Holder any plan of reorganization, arrangement, adjustment or composition affecting the Notes or the rights of any Holder, or to authorize the Trustee to vote in respect of the claim of any Holder in any such proceeding.</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6.10 </w:t>
      </w:r>
      <w:r>
        <w:rPr>
          <w:rFonts w:ascii="Arial" w:cs="Arial" w:eastAsia="Arial" w:hAnsi="Arial"/>
          <w:sz w:val="22"/>
          <w:szCs w:val="22"/>
          <w:i w:val="1"/>
          <w:iCs w:val="1"/>
          <w:color w:val="auto"/>
        </w:rPr>
        <w:t>Priorities</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the Trustee collects any money pursuant to this Article 6, it shall pay out the money in the following order:</w:t>
      </w:r>
    </w:p>
    <w:p>
      <w:pPr>
        <w:spacing w:after="0" w:line="260" w:lineRule="exact"/>
        <w:rPr>
          <w:sz w:val="20"/>
          <w:szCs w:val="20"/>
          <w:color w:val="auto"/>
        </w:rPr>
      </w:pPr>
    </w:p>
    <w:p>
      <w:pPr>
        <w:jc w:val="both"/>
        <w:ind w:left="660" w:firstLine="648"/>
        <w:spacing w:after="0" w:line="328" w:lineRule="auto"/>
        <w:rPr>
          <w:sz w:val="20"/>
          <w:szCs w:val="20"/>
          <w:color w:val="auto"/>
        </w:rPr>
      </w:pPr>
      <w:r>
        <w:rPr>
          <w:rFonts w:ascii="Arial" w:cs="Arial" w:eastAsia="Arial" w:hAnsi="Arial"/>
          <w:sz w:val="21"/>
          <w:szCs w:val="21"/>
          <w:i w:val="1"/>
          <w:iCs w:val="1"/>
          <w:color w:val="auto"/>
        </w:rPr>
        <w:t>First</w:t>
      </w:r>
      <w:r>
        <w:rPr>
          <w:rFonts w:ascii="Arial" w:cs="Arial" w:eastAsia="Arial" w:hAnsi="Arial"/>
          <w:sz w:val="21"/>
          <w:szCs w:val="21"/>
          <w:color w:val="auto"/>
        </w:rPr>
        <w:t>: to the Trustee, for amounts due under this Indenture, including payment of all compensation, expenses and</w:t>
      </w:r>
      <w:r>
        <w:rPr>
          <w:rFonts w:ascii="Arial" w:cs="Arial" w:eastAsia="Arial" w:hAnsi="Arial"/>
          <w:sz w:val="21"/>
          <w:szCs w:val="21"/>
          <w:i w:val="1"/>
          <w:iCs w:val="1"/>
          <w:color w:val="auto"/>
        </w:rPr>
        <w:t xml:space="preserve"> </w:t>
      </w:r>
      <w:r>
        <w:rPr>
          <w:rFonts w:ascii="Arial" w:cs="Arial" w:eastAsia="Arial" w:hAnsi="Arial"/>
          <w:sz w:val="21"/>
          <w:szCs w:val="21"/>
          <w:color w:val="auto"/>
        </w:rPr>
        <w:t>liabilities incurred, and all advances made, by the Trustee and the costs and expenses of collection;</w:t>
      </w:r>
    </w:p>
    <w:p>
      <w:pPr>
        <w:spacing w:after="0" w:line="150" w:lineRule="exact"/>
        <w:rPr>
          <w:sz w:val="20"/>
          <w:szCs w:val="20"/>
          <w:color w:val="auto"/>
        </w:rPr>
      </w:pPr>
    </w:p>
    <w:p>
      <w:pPr>
        <w:jc w:val="both"/>
        <w:ind w:left="660" w:firstLine="648"/>
        <w:spacing w:after="0" w:line="292" w:lineRule="auto"/>
        <w:rPr>
          <w:sz w:val="20"/>
          <w:szCs w:val="20"/>
          <w:color w:val="auto"/>
        </w:rPr>
      </w:pPr>
      <w:r>
        <w:rPr>
          <w:rFonts w:ascii="Arial" w:cs="Arial" w:eastAsia="Arial" w:hAnsi="Arial"/>
          <w:sz w:val="22"/>
          <w:szCs w:val="22"/>
          <w:i w:val="1"/>
          <w:iCs w:val="1"/>
          <w:color w:val="auto"/>
        </w:rPr>
        <w:t>Second</w:t>
      </w:r>
      <w:r>
        <w:rPr>
          <w:rFonts w:ascii="Arial" w:cs="Arial" w:eastAsia="Arial" w:hAnsi="Arial"/>
          <w:sz w:val="22"/>
          <w:szCs w:val="22"/>
          <w:color w:val="auto"/>
        </w:rPr>
        <w:t>: to Holders of Notes for amounts due and unpaid on the Notes for principal, premium, if any, and interest,</w:t>
      </w:r>
      <w:r>
        <w:rPr>
          <w:rFonts w:ascii="Arial" w:cs="Arial" w:eastAsia="Arial" w:hAnsi="Arial"/>
          <w:sz w:val="22"/>
          <w:szCs w:val="22"/>
          <w:i w:val="1"/>
          <w:iCs w:val="1"/>
          <w:color w:val="auto"/>
        </w:rPr>
        <w:t xml:space="preserve"> </w:t>
      </w:r>
      <w:r>
        <w:rPr>
          <w:rFonts w:ascii="Arial" w:cs="Arial" w:eastAsia="Arial" w:hAnsi="Arial"/>
          <w:sz w:val="22"/>
          <w:szCs w:val="22"/>
          <w:color w:val="auto"/>
        </w:rPr>
        <w:t>ratably, without preference or priority of any kind, according to the amounts due and payable on the Notes for principal, premium, if any and interest, respectively; and</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22"/>
          <w:szCs w:val="22"/>
          <w:i w:val="1"/>
          <w:iCs w:val="1"/>
          <w:color w:val="auto"/>
        </w:rPr>
        <w:t>Third</w:t>
      </w:r>
      <w:r>
        <w:rPr>
          <w:rFonts w:ascii="Arial" w:cs="Arial" w:eastAsia="Arial" w:hAnsi="Arial"/>
          <w:sz w:val="22"/>
          <w:szCs w:val="22"/>
          <w:color w:val="auto"/>
        </w:rPr>
        <w:t>: to the Issuer or to such party as a court of competent jurisdiction shall direct.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Trustee may fix a record date and payment date for any payment to Holders of Notes pursuant to this Section 6.10.</w:t>
      </w: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6.11 </w:t>
      </w:r>
      <w:r>
        <w:rPr>
          <w:rFonts w:ascii="Arial" w:cs="Arial" w:eastAsia="Arial" w:hAnsi="Arial"/>
          <w:sz w:val="22"/>
          <w:szCs w:val="22"/>
          <w:i w:val="1"/>
          <w:iCs w:val="1"/>
          <w:color w:val="auto"/>
        </w:rPr>
        <w:t>Undertaking for Costs</w:t>
      </w:r>
      <w:r>
        <w:rPr>
          <w:rFonts w:ascii="Arial" w:cs="Arial" w:eastAsia="Arial" w:hAnsi="Arial"/>
          <w:sz w:val="22"/>
          <w:szCs w:val="22"/>
          <w:color w:val="auto"/>
        </w:rPr>
        <w:t>.</w:t>
      </w:r>
    </w:p>
    <w:p>
      <w:pPr>
        <w:spacing w:after="0" w:line="26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21"/>
          <w:szCs w:val="21"/>
          <w:color w:val="auto"/>
        </w:rPr>
        <w:t>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3160" w:type="dxa"/>
            <w:vAlign w:val="bottom"/>
          </w:tcPr>
          <w:p>
            <w:pPr>
              <w:spacing w:after="0"/>
              <w:rPr>
                <w:sz w:val="20"/>
                <w:szCs w:val="20"/>
                <w:color w:val="auto"/>
              </w:rPr>
            </w:pPr>
            <w:r>
              <w:rPr>
                <w:rFonts w:ascii="Arial" w:cs="Arial" w:eastAsia="Arial" w:hAnsi="Arial"/>
                <w:sz w:val="11"/>
                <w:szCs w:val="11"/>
                <w:color w:val="auto"/>
              </w:rPr>
              <w:t>ASIA 33616188</w:t>
            </w:r>
          </w:p>
        </w:tc>
        <w:tc>
          <w:tcPr>
            <w:tcW w:w="2660" w:type="dxa"/>
            <w:vAlign w:val="bottom"/>
          </w:tcPr>
          <w:p>
            <w:pPr>
              <w:jc w:val="right"/>
              <w:spacing w:after="0"/>
              <w:rPr>
                <w:sz w:val="20"/>
                <w:szCs w:val="20"/>
                <w:color w:val="auto"/>
              </w:rPr>
            </w:pPr>
            <w:r>
              <w:rPr>
                <w:rFonts w:ascii="Arial" w:cs="Arial" w:eastAsia="Arial" w:hAnsi="Arial"/>
                <w:sz w:val="22"/>
                <w:szCs w:val="22"/>
                <w:color w:val="auto"/>
              </w:rPr>
              <w:t>58</w:t>
            </w:r>
          </w:p>
        </w:tc>
      </w:tr>
    </w:tbl>
    <w:p>
      <w:pPr>
        <w:sectPr>
          <w:pgSz w:w="11900" w:h="16838" w:orient="portrait"/>
          <w:cols w:equalWidth="0" w:num="1">
            <w:col w:w="11420"/>
          </w:cols>
          <w:pgMar w:left="240" w:top="1440" w:right="239" w:bottom="1440" w:gutter="0" w:footer="0" w:header="0"/>
        </w:sectPr>
      </w:pPr>
    </w:p>
    <w:bookmarkStart w:id="209" w:name="page210"/>
    <w:bookmarkEnd w:id="209"/>
    <w:p>
      <w:pPr>
        <w:spacing w:after="0" w:line="2" w:lineRule="exact"/>
        <w:rPr>
          <w:sz w:val="20"/>
          <w:szCs w:val="20"/>
          <w:color w:val="auto"/>
        </w:rPr>
      </w:pPr>
    </w:p>
    <w:p>
      <w:pPr>
        <w:jc w:val="both"/>
        <w:spacing w:after="0" w:line="357" w:lineRule="auto"/>
        <w:rPr>
          <w:sz w:val="20"/>
          <w:szCs w:val="20"/>
          <w:color w:val="auto"/>
        </w:rPr>
      </w:pPr>
      <w:r>
        <w:rPr>
          <w:rFonts w:ascii="Arial" w:cs="Arial" w:eastAsia="Arial" w:hAnsi="Arial"/>
          <w:sz w:val="19"/>
          <w:szCs w:val="19"/>
          <w:color w:val="auto"/>
        </w:rPr>
        <w:t>reasonable attorneys’ fees, against any party litigant in the suit, having due regard to the merits and good faith of the claims or defenses made by the party litigant. This Section 6.11 does not apply to a suit by the Trustee, a suit by a Holder of a Note pursuant to Section 6.07 hereof, or a suit by Holders of more than 10% in principal amount of the then outstanding Notes.</w:t>
      </w:r>
    </w:p>
    <w:p>
      <w:pPr>
        <w:spacing w:after="0" w:line="132"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ARTICLE 7</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TRUSTEE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7.01 </w:t>
      </w:r>
      <w:r>
        <w:rPr>
          <w:rFonts w:ascii="Arial" w:cs="Arial" w:eastAsia="Arial" w:hAnsi="Arial"/>
          <w:sz w:val="22"/>
          <w:szCs w:val="22"/>
          <w:i w:val="1"/>
          <w:iCs w:val="1"/>
          <w:color w:val="auto"/>
        </w:rPr>
        <w:t>Duties of Trustee</w:t>
      </w:r>
      <w:r>
        <w:rPr>
          <w:rFonts w:ascii="Arial" w:cs="Arial" w:eastAsia="Arial" w:hAnsi="Arial"/>
          <w:sz w:val="22"/>
          <w:szCs w:val="22"/>
          <w:color w:val="auto"/>
        </w:rPr>
        <w:t>.</w:t>
      </w:r>
    </w:p>
    <w:p>
      <w:pPr>
        <w:spacing w:after="0" w:line="256" w:lineRule="exact"/>
        <w:rPr>
          <w:sz w:val="20"/>
          <w:szCs w:val="20"/>
          <w:color w:val="auto"/>
        </w:rPr>
      </w:pPr>
    </w:p>
    <w:p>
      <w:pPr>
        <w:jc w:val="both"/>
        <w:ind w:firstLine="656"/>
        <w:spacing w:after="0" w:line="292" w:lineRule="auto"/>
        <w:tabs>
          <w:tab w:leader="none" w:pos="933" w:val="left"/>
        </w:tabs>
        <w:numPr>
          <w:ilvl w:val="0"/>
          <w:numId w:val="157"/>
        </w:numPr>
        <w:rPr>
          <w:rFonts w:ascii="Arial" w:cs="Arial" w:eastAsia="Arial" w:hAnsi="Arial"/>
          <w:sz w:val="22"/>
          <w:szCs w:val="22"/>
          <w:color w:val="auto"/>
        </w:rPr>
      </w:pPr>
      <w:r>
        <w:rPr>
          <w:rFonts w:ascii="Arial" w:cs="Arial" w:eastAsia="Arial" w:hAnsi="Arial"/>
          <w:sz w:val="22"/>
          <w:szCs w:val="22"/>
          <w:color w:val="auto"/>
        </w:rPr>
        <w:t>If an Event of Default has occurred and is continuing, the Trustee shall exercise such of the rights and powers vested in it by this Indenture, and use the same degree of care and skill in its exercise, as a prudent person would exercise or use under the circumstances in the conduct of such person’s own affairs.</w:t>
      </w:r>
    </w:p>
    <w:p>
      <w:pPr>
        <w:spacing w:after="0" w:line="184" w:lineRule="exact"/>
        <w:rPr>
          <w:rFonts w:ascii="Arial" w:cs="Arial" w:eastAsia="Arial" w:hAnsi="Arial"/>
          <w:sz w:val="22"/>
          <w:szCs w:val="22"/>
          <w:color w:val="auto"/>
        </w:rPr>
      </w:pPr>
    </w:p>
    <w:p>
      <w:pPr>
        <w:ind w:left="960" w:hanging="304"/>
        <w:spacing w:after="0"/>
        <w:tabs>
          <w:tab w:leader="none" w:pos="960" w:val="left"/>
        </w:tabs>
        <w:numPr>
          <w:ilvl w:val="0"/>
          <w:numId w:val="157"/>
        </w:numPr>
        <w:rPr>
          <w:rFonts w:ascii="Arial" w:cs="Arial" w:eastAsia="Arial" w:hAnsi="Arial"/>
          <w:sz w:val="22"/>
          <w:szCs w:val="22"/>
          <w:color w:val="auto"/>
        </w:rPr>
      </w:pPr>
      <w:r>
        <w:rPr>
          <w:rFonts w:ascii="Arial" w:cs="Arial" w:eastAsia="Arial" w:hAnsi="Arial"/>
          <w:sz w:val="22"/>
          <w:szCs w:val="22"/>
          <w:color w:val="auto"/>
        </w:rPr>
        <w:t>Except during the continuance of an Event of Default:</w:t>
      </w:r>
    </w:p>
    <w:p>
      <w:pPr>
        <w:spacing w:after="0" w:line="260" w:lineRule="exact"/>
        <w:rPr>
          <w:rFonts w:ascii="Arial" w:cs="Arial" w:eastAsia="Arial" w:hAnsi="Arial"/>
          <w:sz w:val="22"/>
          <w:szCs w:val="22"/>
          <w:color w:val="auto"/>
        </w:rPr>
      </w:pPr>
    </w:p>
    <w:p>
      <w:pPr>
        <w:jc w:val="both"/>
        <w:ind w:left="660" w:firstLine="645"/>
        <w:spacing w:after="0" w:line="292" w:lineRule="auto"/>
        <w:tabs>
          <w:tab w:leader="none" w:pos="1619" w:val="left"/>
        </w:tabs>
        <w:numPr>
          <w:ilvl w:val="1"/>
          <w:numId w:val="157"/>
        </w:numPr>
        <w:rPr>
          <w:rFonts w:ascii="Arial" w:cs="Arial" w:eastAsia="Arial" w:hAnsi="Arial"/>
          <w:sz w:val="22"/>
          <w:szCs w:val="22"/>
          <w:color w:val="auto"/>
        </w:rPr>
      </w:pPr>
      <w:r>
        <w:rPr>
          <w:rFonts w:ascii="Arial" w:cs="Arial" w:eastAsia="Arial" w:hAnsi="Arial"/>
          <w:sz w:val="22"/>
          <w:szCs w:val="22"/>
          <w:color w:val="auto"/>
        </w:rPr>
        <w:t>the duties of the Trustee shall be determined solely by the express provisions of this Indenture and the Trustee need perform only those duties that are specifically set forth in this Indenture and no others, and no implied covenants or obligations shall be read into this Indenture against the Trustee; and</w:t>
      </w:r>
    </w:p>
    <w:p>
      <w:pPr>
        <w:spacing w:after="0" w:line="184" w:lineRule="exact"/>
        <w:rPr>
          <w:rFonts w:ascii="Arial" w:cs="Arial" w:eastAsia="Arial" w:hAnsi="Arial"/>
          <w:sz w:val="22"/>
          <w:szCs w:val="22"/>
          <w:color w:val="auto"/>
        </w:rPr>
      </w:pPr>
    </w:p>
    <w:p>
      <w:pPr>
        <w:jc w:val="both"/>
        <w:ind w:left="660" w:firstLine="645"/>
        <w:spacing w:after="0" w:line="287" w:lineRule="auto"/>
        <w:tabs>
          <w:tab w:leader="none" w:pos="1605" w:val="left"/>
        </w:tabs>
        <w:numPr>
          <w:ilvl w:val="1"/>
          <w:numId w:val="157"/>
        </w:numPr>
        <w:rPr>
          <w:rFonts w:ascii="Arial" w:cs="Arial" w:eastAsia="Arial" w:hAnsi="Arial"/>
          <w:sz w:val="22"/>
          <w:szCs w:val="22"/>
          <w:color w:val="auto"/>
        </w:rPr>
      </w:pPr>
      <w:r>
        <w:rPr>
          <w:rFonts w:ascii="Arial" w:cs="Arial" w:eastAsia="Arial" w:hAnsi="Arial"/>
          <w:sz w:val="22"/>
          <w:szCs w:val="22"/>
          <w:color w:val="auto"/>
        </w:rPr>
        <w:t>in the absence of gross negligence on its part, the Trustee may conclusively rely, as to the truth of the statements and the correctness of the opinions expressed therein, upon certificates or opinions furnished to the Trustee and conforming to the requirements of this Indenture. However, the Trustee shall examine the certificates and opinions to determine whether or not they conform to the requirements of this Indenture (but need not confirm the accuracy of mathematical calculations set forth therein).</w:t>
      </w:r>
    </w:p>
    <w:p>
      <w:pPr>
        <w:spacing w:after="0" w:line="189" w:lineRule="exact"/>
        <w:rPr>
          <w:rFonts w:ascii="Arial" w:cs="Arial" w:eastAsia="Arial" w:hAnsi="Arial"/>
          <w:sz w:val="22"/>
          <w:szCs w:val="22"/>
          <w:color w:val="auto"/>
        </w:rPr>
      </w:pPr>
    </w:p>
    <w:p>
      <w:pPr>
        <w:ind w:firstLine="656"/>
        <w:spacing w:after="0" w:line="302" w:lineRule="auto"/>
        <w:tabs>
          <w:tab w:leader="none" w:pos="933" w:val="left"/>
        </w:tabs>
        <w:numPr>
          <w:ilvl w:val="0"/>
          <w:numId w:val="157"/>
        </w:numPr>
        <w:rPr>
          <w:rFonts w:ascii="Arial" w:cs="Arial" w:eastAsia="Arial" w:hAnsi="Arial"/>
          <w:sz w:val="22"/>
          <w:szCs w:val="22"/>
          <w:color w:val="auto"/>
        </w:rPr>
      </w:pPr>
      <w:r>
        <w:rPr>
          <w:rFonts w:ascii="Arial" w:cs="Arial" w:eastAsia="Arial" w:hAnsi="Arial"/>
          <w:sz w:val="22"/>
          <w:szCs w:val="22"/>
          <w:color w:val="auto"/>
        </w:rPr>
        <w:t>The Trustee may not be relieved from liabilities for its own negligent action, its own negligent failure to act, or its own willful misconduct, except that:</w:t>
      </w:r>
    </w:p>
    <w:p>
      <w:pPr>
        <w:spacing w:after="0" w:line="173" w:lineRule="exact"/>
        <w:rPr>
          <w:rFonts w:ascii="Arial" w:cs="Arial" w:eastAsia="Arial" w:hAnsi="Arial"/>
          <w:sz w:val="22"/>
          <w:szCs w:val="22"/>
          <w:color w:val="auto"/>
        </w:rPr>
      </w:pPr>
    </w:p>
    <w:p>
      <w:pPr>
        <w:ind w:left="1600" w:hanging="295"/>
        <w:spacing w:after="0"/>
        <w:tabs>
          <w:tab w:leader="none" w:pos="1600" w:val="left"/>
        </w:tabs>
        <w:numPr>
          <w:ilvl w:val="1"/>
          <w:numId w:val="157"/>
        </w:numPr>
        <w:rPr>
          <w:rFonts w:ascii="Arial" w:cs="Arial" w:eastAsia="Arial" w:hAnsi="Arial"/>
          <w:sz w:val="22"/>
          <w:szCs w:val="22"/>
          <w:color w:val="auto"/>
        </w:rPr>
      </w:pPr>
      <w:r>
        <w:rPr>
          <w:rFonts w:ascii="Arial" w:cs="Arial" w:eastAsia="Arial" w:hAnsi="Arial"/>
          <w:sz w:val="22"/>
          <w:szCs w:val="22"/>
          <w:color w:val="auto"/>
        </w:rPr>
        <w:t>this Section 7.01(c) does not limit the effect of paragraph (b) of this Section 7.01;</w:t>
      </w:r>
    </w:p>
    <w:p>
      <w:pPr>
        <w:spacing w:after="0" w:line="260" w:lineRule="exact"/>
        <w:rPr>
          <w:rFonts w:ascii="Arial" w:cs="Arial" w:eastAsia="Arial" w:hAnsi="Arial"/>
          <w:sz w:val="22"/>
          <w:szCs w:val="22"/>
          <w:color w:val="auto"/>
        </w:rPr>
      </w:pPr>
    </w:p>
    <w:p>
      <w:pPr>
        <w:ind w:left="660" w:firstLine="645"/>
        <w:spacing w:after="0" w:line="302" w:lineRule="auto"/>
        <w:tabs>
          <w:tab w:leader="none" w:pos="1605" w:val="left"/>
        </w:tabs>
        <w:numPr>
          <w:ilvl w:val="1"/>
          <w:numId w:val="157"/>
        </w:numPr>
        <w:rPr>
          <w:rFonts w:ascii="Arial" w:cs="Arial" w:eastAsia="Arial" w:hAnsi="Arial"/>
          <w:sz w:val="22"/>
          <w:szCs w:val="22"/>
          <w:color w:val="auto"/>
        </w:rPr>
      </w:pPr>
      <w:r>
        <w:rPr>
          <w:rFonts w:ascii="Arial" w:cs="Arial" w:eastAsia="Arial" w:hAnsi="Arial"/>
          <w:sz w:val="22"/>
          <w:szCs w:val="22"/>
          <w:color w:val="auto"/>
        </w:rPr>
        <w:t>the Trustee shall not be liable for any error of judgment made in good faith by a Responsible Officer, unless it is proved that the Trustee was negligent in ascertaining the pertinent facts; and</w:t>
      </w:r>
    </w:p>
    <w:p>
      <w:pPr>
        <w:spacing w:after="0" w:line="173" w:lineRule="exact"/>
        <w:rPr>
          <w:rFonts w:ascii="Arial" w:cs="Arial" w:eastAsia="Arial" w:hAnsi="Arial"/>
          <w:sz w:val="22"/>
          <w:szCs w:val="22"/>
          <w:color w:val="auto"/>
        </w:rPr>
      </w:pPr>
    </w:p>
    <w:p>
      <w:pPr>
        <w:ind w:left="660" w:firstLine="645"/>
        <w:spacing w:after="0" w:line="302" w:lineRule="auto"/>
        <w:tabs>
          <w:tab w:leader="none" w:pos="1605" w:val="left"/>
        </w:tabs>
        <w:numPr>
          <w:ilvl w:val="1"/>
          <w:numId w:val="157"/>
        </w:numPr>
        <w:rPr>
          <w:rFonts w:ascii="Arial" w:cs="Arial" w:eastAsia="Arial" w:hAnsi="Arial"/>
          <w:sz w:val="22"/>
          <w:szCs w:val="22"/>
          <w:color w:val="auto"/>
        </w:rPr>
      </w:pPr>
      <w:r>
        <w:rPr>
          <w:rFonts w:ascii="Arial" w:cs="Arial" w:eastAsia="Arial" w:hAnsi="Arial"/>
          <w:sz w:val="22"/>
          <w:szCs w:val="22"/>
          <w:color w:val="auto"/>
        </w:rPr>
        <w:t>the Trustee shall not be liable with respect to any action it takes or omits to take in good faith in accordance with a direction received by it pursuant to Section 6.05 hereof.</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3160" w:type="dxa"/>
            <w:vAlign w:val="bottom"/>
          </w:tcPr>
          <w:p>
            <w:pPr>
              <w:spacing w:after="0"/>
              <w:rPr>
                <w:sz w:val="20"/>
                <w:szCs w:val="20"/>
                <w:color w:val="auto"/>
              </w:rPr>
            </w:pPr>
            <w:r>
              <w:rPr>
                <w:rFonts w:ascii="Arial" w:cs="Arial" w:eastAsia="Arial" w:hAnsi="Arial"/>
                <w:sz w:val="11"/>
                <w:szCs w:val="11"/>
                <w:color w:val="auto"/>
              </w:rPr>
              <w:t>ASIA 33616188</w:t>
            </w:r>
          </w:p>
        </w:tc>
        <w:tc>
          <w:tcPr>
            <w:tcW w:w="2660" w:type="dxa"/>
            <w:vAlign w:val="bottom"/>
          </w:tcPr>
          <w:p>
            <w:pPr>
              <w:jc w:val="right"/>
              <w:spacing w:after="0"/>
              <w:rPr>
                <w:sz w:val="20"/>
                <w:szCs w:val="20"/>
                <w:color w:val="auto"/>
              </w:rPr>
            </w:pPr>
            <w:r>
              <w:rPr>
                <w:rFonts w:ascii="Arial" w:cs="Arial" w:eastAsia="Arial" w:hAnsi="Arial"/>
                <w:sz w:val="22"/>
                <w:szCs w:val="22"/>
                <w:color w:val="auto"/>
              </w:rPr>
              <w:t>59</w:t>
            </w:r>
          </w:p>
        </w:tc>
      </w:tr>
    </w:tbl>
    <w:p>
      <w:pPr>
        <w:sectPr>
          <w:pgSz w:w="11900" w:h="16838" w:orient="portrait"/>
          <w:cols w:equalWidth="0" w:num="1">
            <w:col w:w="11420"/>
          </w:cols>
          <w:pgMar w:left="240" w:top="1440" w:right="239" w:bottom="1440" w:gutter="0" w:footer="0" w:header="0"/>
        </w:sectPr>
      </w:pPr>
    </w:p>
    <w:bookmarkStart w:id="210" w:name="page211"/>
    <w:bookmarkEnd w:id="210"/>
    <w:p>
      <w:pPr>
        <w:spacing w:after="0" w:line="2" w:lineRule="exact"/>
        <w:rPr>
          <w:sz w:val="20"/>
          <w:szCs w:val="20"/>
          <w:color w:val="auto"/>
        </w:rPr>
      </w:pPr>
    </w:p>
    <w:p>
      <w:pPr>
        <w:ind w:firstLine="656"/>
        <w:spacing w:after="0" w:line="302" w:lineRule="auto"/>
        <w:tabs>
          <w:tab w:leader="none" w:pos="945" w:val="left"/>
        </w:tabs>
        <w:numPr>
          <w:ilvl w:val="0"/>
          <w:numId w:val="158"/>
        </w:numPr>
        <w:rPr>
          <w:rFonts w:ascii="Arial" w:cs="Arial" w:eastAsia="Arial" w:hAnsi="Arial"/>
          <w:sz w:val="22"/>
          <w:szCs w:val="22"/>
          <w:color w:val="auto"/>
        </w:rPr>
      </w:pPr>
      <w:r>
        <w:rPr>
          <w:rFonts w:ascii="Arial" w:cs="Arial" w:eastAsia="Arial" w:hAnsi="Arial"/>
          <w:sz w:val="22"/>
          <w:szCs w:val="22"/>
          <w:color w:val="auto"/>
        </w:rPr>
        <w:t>Whether or not therein expressly so provided, every provision of this Indenture that in any way relates to the Trustee is subject to paragraphs (a), (b), and (c) of this Section 7.01.</w:t>
      </w:r>
    </w:p>
    <w:p>
      <w:pPr>
        <w:spacing w:after="0" w:line="173" w:lineRule="exact"/>
        <w:rPr>
          <w:rFonts w:ascii="Arial" w:cs="Arial" w:eastAsia="Arial" w:hAnsi="Arial"/>
          <w:sz w:val="22"/>
          <w:szCs w:val="22"/>
          <w:color w:val="auto"/>
        </w:rPr>
      </w:pPr>
    </w:p>
    <w:p>
      <w:pPr>
        <w:jc w:val="both"/>
        <w:ind w:firstLine="656"/>
        <w:spacing w:after="0" w:line="288" w:lineRule="auto"/>
        <w:tabs>
          <w:tab w:leader="none" w:pos="933" w:val="left"/>
        </w:tabs>
        <w:numPr>
          <w:ilvl w:val="0"/>
          <w:numId w:val="158"/>
        </w:numPr>
        <w:rPr>
          <w:rFonts w:ascii="Arial" w:cs="Arial" w:eastAsia="Arial" w:hAnsi="Arial"/>
          <w:sz w:val="22"/>
          <w:szCs w:val="22"/>
          <w:color w:val="auto"/>
        </w:rPr>
      </w:pPr>
      <w:r>
        <w:rPr>
          <w:rFonts w:ascii="Arial" w:cs="Arial" w:eastAsia="Arial" w:hAnsi="Arial"/>
          <w:sz w:val="22"/>
          <w:szCs w:val="22"/>
          <w:color w:val="auto"/>
        </w:rPr>
        <w:t>No provision of this Indenture shall require the Trustee to expend or risk its own funds or incur any liability. The Trustee shall be under no obligation to exercise any of its rights and powers under this Indenture at the request of any Holders, unless such Holder shall have offered to the Trustee security and indemnity reasonably satisfactory to it against any loss, liability, claim or expense.</w:t>
      </w:r>
    </w:p>
    <w:p>
      <w:pPr>
        <w:spacing w:after="0" w:line="190" w:lineRule="exact"/>
        <w:rPr>
          <w:rFonts w:ascii="Arial" w:cs="Arial" w:eastAsia="Arial" w:hAnsi="Arial"/>
          <w:sz w:val="22"/>
          <w:szCs w:val="22"/>
          <w:color w:val="auto"/>
        </w:rPr>
      </w:pPr>
    </w:p>
    <w:p>
      <w:pPr>
        <w:ind w:firstLine="656"/>
        <w:spacing w:after="0" w:line="387" w:lineRule="auto"/>
        <w:tabs>
          <w:tab w:leader="none" w:pos="909" w:val="left"/>
        </w:tabs>
        <w:numPr>
          <w:ilvl w:val="0"/>
          <w:numId w:val="158"/>
        </w:numPr>
        <w:rPr>
          <w:rFonts w:ascii="Arial" w:cs="Arial" w:eastAsia="Arial" w:hAnsi="Arial"/>
          <w:sz w:val="19"/>
          <w:szCs w:val="19"/>
          <w:color w:val="auto"/>
        </w:rPr>
      </w:pPr>
      <w:r>
        <w:rPr>
          <w:rFonts w:ascii="Arial" w:cs="Arial" w:eastAsia="Arial" w:hAnsi="Arial"/>
          <w:sz w:val="19"/>
          <w:szCs w:val="19"/>
          <w:color w:val="auto"/>
        </w:rPr>
        <w:t>The Trustee shall not be liable for interest on any money received by it except as the Trustee may agree in writing with the Issuer. Money held in trust by the Trustee need not be segregated from other funds except to the extent required by law.</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7.02 </w:t>
      </w:r>
      <w:r>
        <w:rPr>
          <w:rFonts w:ascii="Arial" w:cs="Arial" w:eastAsia="Arial" w:hAnsi="Arial"/>
          <w:sz w:val="22"/>
          <w:szCs w:val="22"/>
          <w:i w:val="1"/>
          <w:iCs w:val="1"/>
          <w:color w:val="auto"/>
        </w:rPr>
        <w:t>Rights of Trustee</w:t>
      </w:r>
      <w:r>
        <w:rPr>
          <w:rFonts w:ascii="Arial" w:cs="Arial" w:eastAsia="Arial" w:hAnsi="Arial"/>
          <w:sz w:val="22"/>
          <w:szCs w:val="22"/>
          <w:color w:val="auto"/>
        </w:rPr>
        <w:t>.</w:t>
      </w:r>
    </w:p>
    <w:p>
      <w:pPr>
        <w:spacing w:after="0" w:line="260" w:lineRule="exact"/>
        <w:rPr>
          <w:sz w:val="20"/>
          <w:szCs w:val="20"/>
          <w:color w:val="auto"/>
        </w:rPr>
      </w:pPr>
    </w:p>
    <w:p>
      <w:pPr>
        <w:ind w:firstLine="656"/>
        <w:spacing w:after="0" w:line="328" w:lineRule="auto"/>
        <w:tabs>
          <w:tab w:leader="none" w:pos="933" w:val="left"/>
        </w:tabs>
        <w:numPr>
          <w:ilvl w:val="0"/>
          <w:numId w:val="159"/>
        </w:numPr>
        <w:rPr>
          <w:rFonts w:ascii="Arial" w:cs="Arial" w:eastAsia="Arial" w:hAnsi="Arial"/>
          <w:sz w:val="21"/>
          <w:szCs w:val="21"/>
          <w:color w:val="auto"/>
        </w:rPr>
      </w:pPr>
      <w:r>
        <w:rPr>
          <w:rFonts w:ascii="Arial" w:cs="Arial" w:eastAsia="Arial" w:hAnsi="Arial"/>
          <w:sz w:val="21"/>
          <w:szCs w:val="21"/>
          <w:color w:val="auto"/>
        </w:rPr>
        <w:t>The Trustee may conclusively rely upon any document believed by it to be genuine and to have been signed or presented by the proper Person. The Trustee need not investigate any fact or matter stated in the document.</w:t>
      </w:r>
    </w:p>
    <w:p>
      <w:pPr>
        <w:spacing w:after="0" w:line="150" w:lineRule="exact"/>
        <w:rPr>
          <w:rFonts w:ascii="Arial" w:cs="Arial" w:eastAsia="Arial" w:hAnsi="Arial"/>
          <w:sz w:val="21"/>
          <w:szCs w:val="21"/>
          <w:color w:val="auto"/>
        </w:rPr>
      </w:pPr>
    </w:p>
    <w:p>
      <w:pPr>
        <w:jc w:val="both"/>
        <w:ind w:firstLine="656"/>
        <w:spacing w:after="0" w:line="287" w:lineRule="auto"/>
        <w:tabs>
          <w:tab w:leader="none" w:pos="945" w:val="left"/>
        </w:tabs>
        <w:numPr>
          <w:ilvl w:val="0"/>
          <w:numId w:val="159"/>
        </w:numPr>
        <w:rPr>
          <w:rFonts w:ascii="Arial" w:cs="Arial" w:eastAsia="Arial" w:hAnsi="Arial"/>
          <w:sz w:val="22"/>
          <w:szCs w:val="22"/>
          <w:color w:val="auto"/>
        </w:rPr>
      </w:pPr>
      <w:r>
        <w:rPr>
          <w:rFonts w:ascii="Arial" w:cs="Arial" w:eastAsia="Arial" w:hAnsi="Arial"/>
          <w:sz w:val="22"/>
          <w:szCs w:val="22"/>
          <w:color w:val="auto"/>
        </w:rPr>
        <w:t>Before the Trustee acts or refrains from acting, it may require an Officer’s Certificate or an Opinion of Counsel or both. The Trustee shall not be liable for any action it takes or omits to take in good faith in reliance on such Officer’s Certificate or Opinion of Counsel. The Trustee may consult with counsel of its selection and the advice of such counsel or any Opinion of Counsel shall be full and complete authorization and protection from liability in respect of any action taken, suffered or omitted by it hereunder in good faith and in reliance thereon.</w:t>
      </w:r>
    </w:p>
    <w:p>
      <w:pPr>
        <w:spacing w:after="0" w:line="189" w:lineRule="exact"/>
        <w:rPr>
          <w:rFonts w:ascii="Arial" w:cs="Arial" w:eastAsia="Arial" w:hAnsi="Arial"/>
          <w:sz w:val="22"/>
          <w:szCs w:val="22"/>
          <w:color w:val="auto"/>
        </w:rPr>
      </w:pPr>
    </w:p>
    <w:p>
      <w:pPr>
        <w:ind w:firstLine="656"/>
        <w:spacing w:after="0" w:line="302" w:lineRule="auto"/>
        <w:tabs>
          <w:tab w:leader="none" w:pos="946" w:val="left"/>
        </w:tabs>
        <w:numPr>
          <w:ilvl w:val="0"/>
          <w:numId w:val="159"/>
        </w:numPr>
        <w:rPr>
          <w:rFonts w:ascii="Arial" w:cs="Arial" w:eastAsia="Arial" w:hAnsi="Arial"/>
          <w:sz w:val="22"/>
          <w:szCs w:val="22"/>
          <w:color w:val="auto"/>
        </w:rPr>
      </w:pPr>
      <w:r>
        <w:rPr>
          <w:rFonts w:ascii="Arial" w:cs="Arial" w:eastAsia="Arial" w:hAnsi="Arial"/>
          <w:sz w:val="22"/>
          <w:szCs w:val="22"/>
          <w:color w:val="auto"/>
        </w:rPr>
        <w:t>The Trustee may act through its attorneys and agents and shall not be responsible for the misconduct or negligence of any agent appointed with due care.</w:t>
      </w:r>
    </w:p>
    <w:p>
      <w:pPr>
        <w:spacing w:after="0" w:line="173" w:lineRule="exact"/>
        <w:rPr>
          <w:rFonts w:ascii="Arial" w:cs="Arial" w:eastAsia="Arial" w:hAnsi="Arial"/>
          <w:sz w:val="22"/>
          <w:szCs w:val="22"/>
          <w:color w:val="auto"/>
        </w:rPr>
      </w:pPr>
    </w:p>
    <w:p>
      <w:pPr>
        <w:ind w:firstLine="656"/>
        <w:spacing w:after="0" w:line="302" w:lineRule="auto"/>
        <w:tabs>
          <w:tab w:leader="none" w:pos="959" w:val="left"/>
        </w:tabs>
        <w:numPr>
          <w:ilvl w:val="0"/>
          <w:numId w:val="159"/>
        </w:numPr>
        <w:rPr>
          <w:rFonts w:ascii="Arial" w:cs="Arial" w:eastAsia="Arial" w:hAnsi="Arial"/>
          <w:sz w:val="22"/>
          <w:szCs w:val="22"/>
          <w:color w:val="auto"/>
        </w:rPr>
      </w:pPr>
      <w:r>
        <w:rPr>
          <w:rFonts w:ascii="Arial" w:cs="Arial" w:eastAsia="Arial" w:hAnsi="Arial"/>
          <w:sz w:val="22"/>
          <w:szCs w:val="22"/>
          <w:color w:val="auto"/>
        </w:rPr>
        <w:t>The Trustee shall not be liable for any action it takes or omits to take in good faith that it believes to be authorized or within the rights or powers conferred upon it by this Indenture.</w:t>
      </w:r>
    </w:p>
    <w:p>
      <w:pPr>
        <w:spacing w:after="0" w:line="173" w:lineRule="exact"/>
        <w:rPr>
          <w:rFonts w:ascii="Arial" w:cs="Arial" w:eastAsia="Arial" w:hAnsi="Arial"/>
          <w:sz w:val="22"/>
          <w:szCs w:val="22"/>
          <w:color w:val="auto"/>
        </w:rPr>
      </w:pPr>
    </w:p>
    <w:p>
      <w:pPr>
        <w:ind w:firstLine="656"/>
        <w:spacing w:after="0" w:line="302" w:lineRule="auto"/>
        <w:tabs>
          <w:tab w:leader="none" w:pos="946" w:val="left"/>
        </w:tabs>
        <w:numPr>
          <w:ilvl w:val="0"/>
          <w:numId w:val="159"/>
        </w:numPr>
        <w:rPr>
          <w:rFonts w:ascii="Arial" w:cs="Arial" w:eastAsia="Arial" w:hAnsi="Arial"/>
          <w:sz w:val="22"/>
          <w:szCs w:val="22"/>
          <w:color w:val="auto"/>
        </w:rPr>
      </w:pPr>
      <w:r>
        <w:rPr>
          <w:rFonts w:ascii="Arial" w:cs="Arial" w:eastAsia="Arial" w:hAnsi="Arial"/>
          <w:sz w:val="22"/>
          <w:szCs w:val="22"/>
          <w:color w:val="auto"/>
        </w:rPr>
        <w:t>Unless otherwise specifically provided in this Indenture, any demand, request, direction or notice from the Issuer shall be sufficient if signed by an Officer of the Issuer.</w:t>
      </w:r>
    </w:p>
    <w:p>
      <w:pPr>
        <w:spacing w:after="0" w:line="173" w:lineRule="exact"/>
        <w:rPr>
          <w:rFonts w:ascii="Arial" w:cs="Arial" w:eastAsia="Arial" w:hAnsi="Arial"/>
          <w:sz w:val="22"/>
          <w:szCs w:val="22"/>
          <w:color w:val="auto"/>
        </w:rPr>
      </w:pPr>
    </w:p>
    <w:p>
      <w:pPr>
        <w:jc w:val="both"/>
        <w:ind w:firstLine="656"/>
        <w:spacing w:after="0" w:line="288" w:lineRule="auto"/>
        <w:tabs>
          <w:tab w:leader="none" w:pos="923" w:val="left"/>
        </w:tabs>
        <w:numPr>
          <w:ilvl w:val="0"/>
          <w:numId w:val="159"/>
        </w:numPr>
        <w:rPr>
          <w:rFonts w:ascii="Arial" w:cs="Arial" w:eastAsia="Arial" w:hAnsi="Arial"/>
          <w:sz w:val="22"/>
          <w:szCs w:val="22"/>
          <w:color w:val="auto"/>
        </w:rPr>
      </w:pPr>
      <w:r>
        <w:rPr>
          <w:rFonts w:ascii="Arial" w:cs="Arial" w:eastAsia="Arial" w:hAnsi="Arial"/>
          <w:sz w:val="22"/>
          <w:szCs w:val="22"/>
          <w:color w:val="auto"/>
        </w:rPr>
        <w:t>The Trustee shall be under no obligation to exercise any of the rights or powers vested in it by this Indenture at the request or direction of any of the Holders unless such Holders have offered to the Trustee security or indemnity reasonably satisfactory to the Trustee against the costs, expenses and liabilities that might be incurred by it in compliance with such request or direction.</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3160" w:type="dxa"/>
            <w:vAlign w:val="bottom"/>
          </w:tcPr>
          <w:p>
            <w:pPr>
              <w:spacing w:after="0"/>
              <w:rPr>
                <w:sz w:val="20"/>
                <w:szCs w:val="20"/>
                <w:color w:val="auto"/>
              </w:rPr>
            </w:pPr>
            <w:r>
              <w:rPr>
                <w:rFonts w:ascii="Arial" w:cs="Arial" w:eastAsia="Arial" w:hAnsi="Arial"/>
                <w:sz w:val="11"/>
                <w:szCs w:val="11"/>
                <w:color w:val="auto"/>
              </w:rPr>
              <w:t>ASIA 33616188</w:t>
            </w:r>
          </w:p>
        </w:tc>
        <w:tc>
          <w:tcPr>
            <w:tcW w:w="2660" w:type="dxa"/>
            <w:vAlign w:val="bottom"/>
          </w:tcPr>
          <w:p>
            <w:pPr>
              <w:jc w:val="right"/>
              <w:spacing w:after="0"/>
              <w:rPr>
                <w:sz w:val="20"/>
                <w:szCs w:val="20"/>
                <w:color w:val="auto"/>
              </w:rPr>
            </w:pPr>
            <w:r>
              <w:rPr>
                <w:rFonts w:ascii="Arial" w:cs="Arial" w:eastAsia="Arial" w:hAnsi="Arial"/>
                <w:sz w:val="22"/>
                <w:szCs w:val="22"/>
                <w:color w:val="auto"/>
              </w:rPr>
              <w:t>60</w:t>
            </w:r>
          </w:p>
        </w:tc>
      </w:tr>
    </w:tbl>
    <w:p>
      <w:pPr>
        <w:sectPr>
          <w:pgSz w:w="11900" w:h="16838" w:orient="portrait"/>
          <w:cols w:equalWidth="0" w:num="1">
            <w:col w:w="11420"/>
          </w:cols>
          <w:pgMar w:left="240" w:top="1440" w:right="239" w:bottom="1440" w:gutter="0" w:footer="0" w:header="0"/>
        </w:sectPr>
      </w:pPr>
    </w:p>
    <w:bookmarkStart w:id="211" w:name="page212"/>
    <w:bookmarkEnd w:id="211"/>
    <w:p>
      <w:pPr>
        <w:spacing w:after="0" w:line="2" w:lineRule="exact"/>
        <w:rPr>
          <w:sz w:val="20"/>
          <w:szCs w:val="20"/>
          <w:color w:val="auto"/>
        </w:rPr>
      </w:pPr>
    </w:p>
    <w:p>
      <w:pPr>
        <w:ind w:firstLine="656"/>
        <w:spacing w:after="0" w:line="302" w:lineRule="auto"/>
        <w:tabs>
          <w:tab w:leader="none" w:pos="945" w:val="left"/>
        </w:tabs>
        <w:numPr>
          <w:ilvl w:val="0"/>
          <w:numId w:val="160"/>
        </w:numPr>
        <w:rPr>
          <w:rFonts w:ascii="Arial" w:cs="Arial" w:eastAsia="Arial" w:hAnsi="Arial"/>
          <w:sz w:val="22"/>
          <w:szCs w:val="22"/>
          <w:color w:val="auto"/>
        </w:rPr>
      </w:pPr>
      <w:r>
        <w:rPr>
          <w:rFonts w:ascii="Arial" w:cs="Arial" w:eastAsia="Arial" w:hAnsi="Arial"/>
          <w:sz w:val="22"/>
          <w:szCs w:val="22"/>
          <w:color w:val="auto"/>
        </w:rPr>
        <w:t>Except as expressly provided herein, the Trustee shall have no duty to inquire as to the performance of the Issuer with respect to the covenants contained in Articles 4 and 5 hereof.</w:t>
      </w:r>
    </w:p>
    <w:p>
      <w:pPr>
        <w:spacing w:after="0" w:line="173" w:lineRule="exact"/>
        <w:rPr>
          <w:rFonts w:ascii="Arial" w:cs="Arial" w:eastAsia="Arial" w:hAnsi="Arial"/>
          <w:sz w:val="22"/>
          <w:szCs w:val="22"/>
          <w:color w:val="auto"/>
        </w:rPr>
      </w:pPr>
    </w:p>
    <w:p>
      <w:pPr>
        <w:jc w:val="both"/>
        <w:ind w:firstLine="656"/>
        <w:spacing w:after="0" w:line="292" w:lineRule="auto"/>
        <w:tabs>
          <w:tab w:leader="none" w:pos="959" w:val="left"/>
        </w:tabs>
        <w:numPr>
          <w:ilvl w:val="0"/>
          <w:numId w:val="160"/>
        </w:numPr>
        <w:rPr>
          <w:rFonts w:ascii="Arial" w:cs="Arial" w:eastAsia="Arial" w:hAnsi="Arial"/>
          <w:sz w:val="22"/>
          <w:szCs w:val="22"/>
          <w:color w:val="auto"/>
        </w:rPr>
      </w:pPr>
      <w:r>
        <w:rPr>
          <w:rFonts w:ascii="Arial" w:cs="Arial" w:eastAsia="Arial" w:hAnsi="Arial"/>
          <w:sz w:val="22"/>
          <w:szCs w:val="22"/>
          <w:color w:val="auto"/>
        </w:rPr>
        <w:t>The Trustee shall not be deemed to have knowledge of an Event of Default except (i) any Default or Event of Default occurring pursuant to Sections 6.01(a) and (b) hereof or (ii) any Default or Event of Default of which the Trustee shall have received written notification thereof in accordance with Section 11.01.</w:t>
      </w:r>
    </w:p>
    <w:p>
      <w:pPr>
        <w:spacing w:after="0" w:line="184" w:lineRule="exact"/>
        <w:rPr>
          <w:rFonts w:ascii="Arial" w:cs="Arial" w:eastAsia="Arial" w:hAnsi="Arial"/>
          <w:sz w:val="22"/>
          <w:szCs w:val="22"/>
          <w:color w:val="auto"/>
        </w:rPr>
      </w:pPr>
    </w:p>
    <w:p>
      <w:pPr>
        <w:jc w:val="both"/>
        <w:ind w:firstLine="656"/>
        <w:spacing w:after="0" w:line="306" w:lineRule="auto"/>
        <w:tabs>
          <w:tab w:leader="none" w:pos="897" w:val="left"/>
        </w:tabs>
        <w:numPr>
          <w:ilvl w:val="0"/>
          <w:numId w:val="160"/>
        </w:numPr>
        <w:rPr>
          <w:rFonts w:ascii="Arial" w:cs="Arial" w:eastAsia="Arial" w:hAnsi="Arial"/>
          <w:sz w:val="21"/>
          <w:szCs w:val="21"/>
          <w:color w:val="auto"/>
        </w:rPr>
      </w:pPr>
      <w:r>
        <w:rPr>
          <w:rFonts w:ascii="Arial" w:cs="Arial" w:eastAsia="Arial" w:hAnsi="Arial"/>
          <w:sz w:val="21"/>
          <w:szCs w:val="21"/>
          <w:color w:val="auto"/>
        </w:rPr>
        <w:t>The Trustee may request that the Issuer deliver Officer’s Certificates setting forth the names of individuals and their titles and specimen signatures of officers authorized at such time to take specified actions pursuant to this Indenture, which Officer’s Certificates may be signed by any person authorized to sign an Officer’s Certificate, as the case may be, including any person specified as so authorized in any such certificate previously delivered and not superseded.</w:t>
      </w:r>
    </w:p>
    <w:p>
      <w:pPr>
        <w:spacing w:after="0" w:line="172" w:lineRule="exact"/>
        <w:rPr>
          <w:rFonts w:ascii="Arial" w:cs="Arial" w:eastAsia="Arial" w:hAnsi="Arial"/>
          <w:sz w:val="21"/>
          <w:szCs w:val="21"/>
          <w:color w:val="auto"/>
        </w:rPr>
      </w:pPr>
    </w:p>
    <w:p>
      <w:pPr>
        <w:ind w:left="900" w:hanging="244"/>
        <w:spacing w:after="0"/>
        <w:tabs>
          <w:tab w:leader="none" w:pos="900" w:val="left"/>
        </w:tabs>
        <w:numPr>
          <w:ilvl w:val="0"/>
          <w:numId w:val="160"/>
        </w:numPr>
        <w:rPr>
          <w:rFonts w:ascii="Arial" w:cs="Arial" w:eastAsia="Arial" w:hAnsi="Arial"/>
          <w:sz w:val="22"/>
          <w:szCs w:val="22"/>
          <w:color w:val="auto"/>
        </w:rPr>
      </w:pPr>
      <w:r>
        <w:rPr>
          <w:rFonts w:ascii="Arial" w:cs="Arial" w:eastAsia="Arial" w:hAnsi="Arial"/>
          <w:sz w:val="22"/>
          <w:szCs w:val="22"/>
          <w:color w:val="auto"/>
        </w:rPr>
        <w:t>Any permissive right granted to the Trustee shall not be construed as a mandatory duty.</w:t>
      </w:r>
    </w:p>
    <w:p>
      <w:pPr>
        <w:spacing w:after="0" w:line="260" w:lineRule="exact"/>
        <w:rPr>
          <w:rFonts w:ascii="Arial" w:cs="Arial" w:eastAsia="Arial" w:hAnsi="Arial"/>
          <w:sz w:val="22"/>
          <w:szCs w:val="22"/>
          <w:color w:val="auto"/>
        </w:rPr>
      </w:pPr>
    </w:p>
    <w:p>
      <w:pPr>
        <w:ind w:left="980" w:hanging="324"/>
        <w:spacing w:after="0"/>
        <w:tabs>
          <w:tab w:leader="none" w:pos="980" w:val="left"/>
        </w:tabs>
        <w:numPr>
          <w:ilvl w:val="0"/>
          <w:numId w:val="160"/>
        </w:numPr>
        <w:rPr>
          <w:rFonts w:ascii="Arial" w:cs="Arial" w:eastAsia="Arial" w:hAnsi="Arial"/>
          <w:sz w:val="19"/>
          <w:szCs w:val="19"/>
          <w:color w:val="auto"/>
        </w:rPr>
      </w:pPr>
      <w:r>
        <w:rPr>
          <w:rFonts w:ascii="Arial" w:cs="Arial" w:eastAsia="Arial" w:hAnsi="Arial"/>
          <w:sz w:val="19"/>
          <w:szCs w:val="19"/>
          <w:color w:val="auto"/>
        </w:rPr>
        <w:t>The Trustee shall not be required to give any bond or surety in respect of the performance of its powers and duties</w:t>
      </w:r>
    </w:p>
    <w:p>
      <w:pPr>
        <w:spacing w:after="0" w:line="7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hereunder.</w:t>
      </w:r>
    </w:p>
    <w:p>
      <w:pPr>
        <w:spacing w:after="0" w:line="260" w:lineRule="exact"/>
        <w:rPr>
          <w:rFonts w:ascii="Arial" w:cs="Arial" w:eastAsia="Arial" w:hAnsi="Arial"/>
          <w:sz w:val="19"/>
          <w:szCs w:val="19"/>
          <w:color w:val="auto"/>
        </w:rPr>
      </w:pPr>
    </w:p>
    <w:p>
      <w:pPr>
        <w:jc w:val="both"/>
        <w:ind w:firstLine="656"/>
        <w:spacing w:after="0" w:line="301" w:lineRule="auto"/>
        <w:tabs>
          <w:tab w:leader="none" w:pos="924" w:val="left"/>
        </w:tabs>
        <w:numPr>
          <w:ilvl w:val="0"/>
          <w:numId w:val="160"/>
        </w:numPr>
        <w:rPr>
          <w:rFonts w:ascii="Arial" w:cs="Arial" w:eastAsia="Arial" w:hAnsi="Arial"/>
          <w:sz w:val="21"/>
          <w:szCs w:val="21"/>
          <w:color w:val="auto"/>
        </w:rPr>
      </w:pPr>
      <w:r>
        <w:rPr>
          <w:rFonts w:ascii="Arial" w:cs="Arial" w:eastAsia="Arial" w:hAnsi="Arial"/>
          <w:sz w:val="21"/>
          <w:szCs w:val="21"/>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or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181" w:lineRule="exact"/>
        <w:rPr>
          <w:rFonts w:ascii="Arial" w:cs="Arial" w:eastAsia="Arial" w:hAnsi="Arial"/>
          <w:sz w:val="21"/>
          <w:szCs w:val="21"/>
          <w:color w:val="auto"/>
        </w:rPr>
      </w:pPr>
    </w:p>
    <w:p>
      <w:pPr>
        <w:jc w:val="both"/>
        <w:ind w:firstLine="656"/>
        <w:spacing w:after="0" w:line="292" w:lineRule="auto"/>
        <w:tabs>
          <w:tab w:leader="none" w:pos="1005" w:val="left"/>
        </w:tabs>
        <w:numPr>
          <w:ilvl w:val="0"/>
          <w:numId w:val="160"/>
        </w:numPr>
        <w:rPr>
          <w:rFonts w:ascii="Arial" w:cs="Arial" w:eastAsia="Arial" w:hAnsi="Arial"/>
          <w:sz w:val="22"/>
          <w:szCs w:val="22"/>
          <w:color w:val="auto"/>
        </w:rPr>
      </w:pPr>
      <w:r>
        <w:rPr>
          <w:rFonts w:ascii="Arial" w:cs="Arial" w:eastAsia="Arial" w:hAnsi="Arial"/>
          <w:sz w:val="22"/>
          <w:szCs w:val="22"/>
          <w:color w:val="auto"/>
        </w:rPr>
        <w:t>In no event shall the Trustee be responsible or liable for special, punitive, indirect or consequential losses or damages of any kind whatsoever (including, but not limited to, loss of profit) irrespective of whether the Trustee has been advised of the likelihood of such loss or damage and regardless of the form of action.</w:t>
      </w:r>
    </w:p>
    <w:p>
      <w:pPr>
        <w:spacing w:after="0" w:line="184" w:lineRule="exact"/>
        <w:rPr>
          <w:rFonts w:ascii="Arial" w:cs="Arial" w:eastAsia="Arial" w:hAnsi="Arial"/>
          <w:sz w:val="22"/>
          <w:szCs w:val="22"/>
          <w:color w:val="auto"/>
        </w:rPr>
      </w:pPr>
    </w:p>
    <w:p>
      <w:pPr>
        <w:jc w:val="both"/>
        <w:ind w:firstLine="656"/>
        <w:spacing w:after="0" w:line="292" w:lineRule="auto"/>
        <w:tabs>
          <w:tab w:leader="none" w:pos="945" w:val="left"/>
        </w:tabs>
        <w:numPr>
          <w:ilvl w:val="0"/>
          <w:numId w:val="160"/>
        </w:numPr>
        <w:rPr>
          <w:rFonts w:ascii="Arial" w:cs="Arial" w:eastAsia="Arial" w:hAnsi="Arial"/>
          <w:sz w:val="22"/>
          <w:szCs w:val="22"/>
          <w:color w:val="auto"/>
        </w:rPr>
      </w:pPr>
      <w:r>
        <w:rPr>
          <w:rFonts w:ascii="Arial" w:cs="Arial" w:eastAsia="Arial" w:hAnsi="Arial"/>
          <w:sz w:val="22"/>
          <w:szCs w:val="22"/>
          <w:color w:val="auto"/>
        </w:rPr>
        <w:t>The rights, privileges, protections, immunities and benefits given to the Trustee hereunder, including, without limitation, its right to be indemnified, are extended to, and shall be enforceable by, the Trustee in each of its capacities hereunder and each agent, custodian and other Person employed to act hereunder.</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3160" w:type="dxa"/>
            <w:vAlign w:val="bottom"/>
          </w:tcPr>
          <w:p>
            <w:pPr>
              <w:spacing w:after="0"/>
              <w:rPr>
                <w:sz w:val="20"/>
                <w:szCs w:val="20"/>
                <w:color w:val="auto"/>
              </w:rPr>
            </w:pPr>
            <w:r>
              <w:rPr>
                <w:rFonts w:ascii="Arial" w:cs="Arial" w:eastAsia="Arial" w:hAnsi="Arial"/>
                <w:sz w:val="11"/>
                <w:szCs w:val="11"/>
                <w:color w:val="auto"/>
              </w:rPr>
              <w:t>ASIA 33616188</w:t>
            </w:r>
          </w:p>
        </w:tc>
        <w:tc>
          <w:tcPr>
            <w:tcW w:w="2660" w:type="dxa"/>
            <w:vAlign w:val="bottom"/>
          </w:tcPr>
          <w:p>
            <w:pPr>
              <w:jc w:val="right"/>
              <w:spacing w:after="0"/>
              <w:rPr>
                <w:sz w:val="20"/>
                <w:szCs w:val="20"/>
                <w:color w:val="auto"/>
              </w:rPr>
            </w:pPr>
            <w:r>
              <w:rPr>
                <w:rFonts w:ascii="Arial" w:cs="Arial" w:eastAsia="Arial" w:hAnsi="Arial"/>
                <w:sz w:val="22"/>
                <w:szCs w:val="22"/>
                <w:color w:val="auto"/>
              </w:rPr>
              <w:t>61</w:t>
            </w:r>
          </w:p>
        </w:tc>
      </w:tr>
    </w:tbl>
    <w:p>
      <w:pPr>
        <w:sectPr>
          <w:pgSz w:w="11900" w:h="16838" w:orient="portrait"/>
          <w:cols w:equalWidth="0" w:num="1">
            <w:col w:w="11420"/>
          </w:cols>
          <w:pgMar w:left="240" w:top="1440" w:right="239" w:bottom="1440" w:gutter="0" w:footer="0" w:header="0"/>
        </w:sectPr>
      </w:pPr>
    </w:p>
    <w:bookmarkStart w:id="212" w:name="page213"/>
    <w:bookmarkEnd w:id="212"/>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7.03 </w:t>
      </w:r>
      <w:r>
        <w:rPr>
          <w:rFonts w:ascii="Arial" w:cs="Arial" w:eastAsia="Arial" w:hAnsi="Arial"/>
          <w:sz w:val="22"/>
          <w:szCs w:val="22"/>
          <w:i w:val="1"/>
          <w:iCs w:val="1"/>
          <w:color w:val="auto"/>
        </w:rPr>
        <w:t>Individual Rights of Trustee</w:t>
      </w:r>
      <w:r>
        <w:rPr>
          <w:rFonts w:ascii="Arial" w:cs="Arial" w:eastAsia="Arial" w:hAnsi="Arial"/>
          <w:sz w:val="22"/>
          <w:szCs w:val="22"/>
          <w:color w:val="auto"/>
        </w:rPr>
        <w:t>.</w:t>
      </w:r>
    </w:p>
    <w:p>
      <w:pPr>
        <w:spacing w:after="0" w:line="26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color w:val="auto"/>
        </w:rPr>
        <w:t>The Trustee, in its individual or any other capacity, may become the owner or pledgee of Notes and may otherwise deal with the Issuer or any Affiliate of the Issuer with the same rights it would have if it were not Trustee. However, in the event that the Trustee acquires any conflicting interest it must eliminate such conflict within 90 days or resign. Any Agent may do the same with like rights and duties. The Trustee is also subject to Section 7.09 hereof.</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7.04 </w:t>
      </w:r>
      <w:r>
        <w:rPr>
          <w:rFonts w:ascii="Arial" w:cs="Arial" w:eastAsia="Arial" w:hAnsi="Arial"/>
          <w:sz w:val="22"/>
          <w:szCs w:val="22"/>
          <w:i w:val="1"/>
          <w:iCs w:val="1"/>
          <w:color w:val="auto"/>
        </w:rPr>
        <w:t>Trustee’s Disclaimer</w:t>
      </w:r>
      <w:r>
        <w:rPr>
          <w:rFonts w:ascii="Arial" w:cs="Arial" w:eastAsia="Arial" w:hAnsi="Arial"/>
          <w:sz w:val="22"/>
          <w:szCs w:val="22"/>
          <w:color w:val="auto"/>
        </w:rPr>
        <w:t>.</w:t>
      </w:r>
    </w:p>
    <w:p>
      <w:pPr>
        <w:spacing w:after="0" w:line="26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22"/>
          <w:szCs w:val="22"/>
          <w:color w:val="auto"/>
        </w:rPr>
        <w:t>The Trustee shall not be responsible for and makes no representation as to the validity or adequacy of this Indenture or the Notes, it shall not be accountable for the Issuer’s use of the proceeds from the Notes or any money paid to the Issuer or upon the Issuer’s direction under any provision of this Indenture, it shall not be responsible for the use or application of any money received by any Paying Agent other than the Trustee, and it shall not be responsible for any statement or recital herein or any statement in the Notes or any other document in connection with the sale of the Notes or pursuant to this Indenture other than its certificate of authentication.</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7.05 </w:t>
      </w:r>
      <w:r>
        <w:rPr>
          <w:rFonts w:ascii="Arial" w:cs="Arial" w:eastAsia="Arial" w:hAnsi="Arial"/>
          <w:sz w:val="22"/>
          <w:szCs w:val="22"/>
          <w:i w:val="1"/>
          <w:iCs w:val="1"/>
          <w:color w:val="auto"/>
        </w:rPr>
        <w:t>Notice of Defaults</w:t>
      </w:r>
      <w:r>
        <w:rPr>
          <w:rFonts w:ascii="Arial" w:cs="Arial" w:eastAsia="Arial" w:hAnsi="Arial"/>
          <w:sz w:val="22"/>
          <w:szCs w:val="22"/>
          <w:color w:val="auto"/>
        </w:rPr>
        <w:t>.</w:t>
      </w:r>
    </w:p>
    <w:p>
      <w:pPr>
        <w:spacing w:after="0" w:line="260"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19"/>
          <w:szCs w:val="19"/>
          <w:color w:val="auto"/>
        </w:rPr>
        <w:t>If a Default or Event of Default occurs and is continuing and if it is actually known to the Trustee, the Trustee shall mail a notice of the Default or Event of Default to Holders within 90 days after it occurs. Except in the case of a Default or Event of Default in payment of principal of, premium, if any, or interest on, any Note, the Trustee may withhold the notice if and so long as a committee of its Responsible Officers in good faith determines that withholding the notice is in the interests of the Holders of the Notes. The Trustee shall not be deemed to have knowledge of a Default or Event of Default unless and until it obtains actual knowledge of such Default or Event of Default through written notification made in accordance with Section 11.01 describing the circumstances of such, and identifying the circumstances constituting such Default or Event of Default. In the absence of receipt of such notice, the Trustee may conclusively assume that there is no Default or Event of Default.</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7.06 </w:t>
      </w:r>
      <w:r>
        <w:rPr>
          <w:rFonts w:ascii="Arial" w:cs="Arial" w:eastAsia="Arial" w:hAnsi="Arial"/>
          <w:sz w:val="22"/>
          <w:szCs w:val="22"/>
          <w:i w:val="1"/>
          <w:iCs w:val="1"/>
          <w:color w:val="auto"/>
        </w:rPr>
        <w:t>Compensation and Indemnity</w:t>
      </w:r>
      <w:r>
        <w:rPr>
          <w:rFonts w:ascii="Arial" w:cs="Arial" w:eastAsia="Arial" w:hAnsi="Arial"/>
          <w:sz w:val="22"/>
          <w:szCs w:val="22"/>
          <w:color w:val="auto"/>
        </w:rPr>
        <w:t>.</w:t>
      </w:r>
    </w:p>
    <w:p>
      <w:pPr>
        <w:spacing w:after="0" w:line="260" w:lineRule="exact"/>
        <w:rPr>
          <w:sz w:val="20"/>
          <w:szCs w:val="20"/>
          <w:color w:val="auto"/>
        </w:rPr>
      </w:pPr>
    </w:p>
    <w:p>
      <w:pPr>
        <w:jc w:val="both"/>
        <w:ind w:firstLine="656"/>
        <w:spacing w:after="0" w:line="341" w:lineRule="auto"/>
        <w:tabs>
          <w:tab w:leader="none" w:pos="960" w:val="left"/>
        </w:tabs>
        <w:numPr>
          <w:ilvl w:val="0"/>
          <w:numId w:val="161"/>
        </w:numPr>
        <w:rPr>
          <w:rFonts w:ascii="Arial" w:cs="Arial" w:eastAsia="Arial" w:hAnsi="Arial"/>
          <w:sz w:val="19"/>
          <w:szCs w:val="19"/>
          <w:color w:val="auto"/>
        </w:rPr>
      </w:pPr>
      <w:r>
        <w:rPr>
          <w:rFonts w:ascii="Arial" w:cs="Arial" w:eastAsia="Arial" w:hAnsi="Arial"/>
          <w:sz w:val="19"/>
          <w:szCs w:val="19"/>
          <w:color w:val="auto"/>
        </w:rPr>
        <w:t>The Issuer shall pay to the Trustee compensation as agreed upon in writing for its acceptance of this Indenture and services hereunder. The Trustee’s compensation shall not be limited by any law on compensation of a trustee of an express trust. The Issuer shall reimburse the Trustee promptly upon request for all reasonable and properly incurred disbursements, advances and expenses incurred or made by it in addition to the compensation for its services. Such expenses shall include the reasonable and properly incurred compensation, disbursements and expenses of the Trustee’s agents and counsel.</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3160" w:type="dxa"/>
            <w:vAlign w:val="bottom"/>
          </w:tcPr>
          <w:p>
            <w:pPr>
              <w:spacing w:after="0"/>
              <w:rPr>
                <w:sz w:val="20"/>
                <w:szCs w:val="20"/>
                <w:color w:val="auto"/>
              </w:rPr>
            </w:pPr>
            <w:r>
              <w:rPr>
                <w:rFonts w:ascii="Arial" w:cs="Arial" w:eastAsia="Arial" w:hAnsi="Arial"/>
                <w:sz w:val="11"/>
                <w:szCs w:val="11"/>
                <w:color w:val="auto"/>
              </w:rPr>
              <w:t>ASIA 33616188</w:t>
            </w:r>
          </w:p>
        </w:tc>
        <w:tc>
          <w:tcPr>
            <w:tcW w:w="2660" w:type="dxa"/>
            <w:vAlign w:val="bottom"/>
          </w:tcPr>
          <w:p>
            <w:pPr>
              <w:jc w:val="right"/>
              <w:spacing w:after="0"/>
              <w:rPr>
                <w:sz w:val="20"/>
                <w:szCs w:val="20"/>
                <w:color w:val="auto"/>
              </w:rPr>
            </w:pPr>
            <w:r>
              <w:rPr>
                <w:rFonts w:ascii="Arial" w:cs="Arial" w:eastAsia="Arial" w:hAnsi="Arial"/>
                <w:sz w:val="22"/>
                <w:szCs w:val="22"/>
                <w:color w:val="auto"/>
              </w:rPr>
              <w:t>62</w:t>
            </w:r>
          </w:p>
        </w:tc>
      </w:tr>
    </w:tbl>
    <w:p>
      <w:pPr>
        <w:sectPr>
          <w:pgSz w:w="11900" w:h="16838" w:orient="portrait"/>
          <w:cols w:equalWidth="0" w:num="1">
            <w:col w:w="11420"/>
          </w:cols>
          <w:pgMar w:left="240" w:top="1440" w:right="239" w:bottom="1440" w:gutter="0" w:footer="0" w:header="0"/>
        </w:sectPr>
      </w:pPr>
    </w:p>
    <w:bookmarkStart w:id="213" w:name="page214"/>
    <w:bookmarkEnd w:id="213"/>
    <w:p>
      <w:pPr>
        <w:spacing w:after="0" w:line="2" w:lineRule="exact"/>
        <w:rPr>
          <w:sz w:val="20"/>
          <w:szCs w:val="20"/>
          <w:color w:val="auto"/>
        </w:rPr>
      </w:pPr>
    </w:p>
    <w:p>
      <w:pPr>
        <w:jc w:val="both"/>
        <w:ind w:firstLine="656"/>
        <w:spacing w:after="0" w:line="334" w:lineRule="auto"/>
        <w:tabs>
          <w:tab w:leader="none" w:pos="945" w:val="left"/>
        </w:tabs>
        <w:numPr>
          <w:ilvl w:val="0"/>
          <w:numId w:val="162"/>
        </w:numPr>
        <w:rPr>
          <w:rFonts w:ascii="Arial" w:cs="Arial" w:eastAsia="Arial" w:hAnsi="Arial"/>
          <w:sz w:val="19"/>
          <w:szCs w:val="19"/>
          <w:color w:val="auto"/>
        </w:rPr>
      </w:pPr>
      <w:r>
        <w:rPr>
          <w:rFonts w:ascii="Arial" w:cs="Arial" w:eastAsia="Arial" w:hAnsi="Arial"/>
          <w:sz w:val="19"/>
          <w:szCs w:val="19"/>
          <w:color w:val="auto"/>
        </w:rPr>
        <w:t>The Issuer shall indemnify the Trustee against any and all losses, liabilities or expenses incurred by it arising out of or in connection with the acceptance or administration of its duties under this Indenture, including the costs and expenses of enforcing this Indenture against the Issuer (including this Section 7.06) and defending itself against any claim (whether asserted by the Issuer, any Holder or any other Person) or liability in connection with the exercise or performance of any of its powers or duties hereunder, except to the extent any such loss, liability, claim or expense may be attributable to its negligence or willful misconduct. The Trustee shall notify the Issuer promptly of any claim for which it may seek indemnity. Failure by the Trustee to so notify the Issuer shall not relieve the Issuer of its obligations hereunder. The Issuer shall defend the claim and the Trustee shall cooperate in the defense. The Trustee may have separate counsel and the Issuer shall pay the reasonable fees and expenses of such counsel. The Issuer need not pay for any settlement made without its consent.</w:t>
      </w:r>
    </w:p>
    <w:p>
      <w:pPr>
        <w:spacing w:after="0" w:line="153" w:lineRule="exact"/>
        <w:rPr>
          <w:rFonts w:ascii="Arial" w:cs="Arial" w:eastAsia="Arial" w:hAnsi="Arial"/>
          <w:sz w:val="19"/>
          <w:szCs w:val="19"/>
          <w:color w:val="auto"/>
        </w:rPr>
      </w:pPr>
    </w:p>
    <w:p>
      <w:pPr>
        <w:ind w:firstLine="656"/>
        <w:spacing w:after="0" w:line="302" w:lineRule="auto"/>
        <w:tabs>
          <w:tab w:leader="none" w:pos="933" w:val="left"/>
        </w:tabs>
        <w:numPr>
          <w:ilvl w:val="0"/>
          <w:numId w:val="162"/>
        </w:numPr>
        <w:rPr>
          <w:rFonts w:ascii="Arial" w:cs="Arial" w:eastAsia="Arial" w:hAnsi="Arial"/>
          <w:sz w:val="22"/>
          <w:szCs w:val="22"/>
          <w:color w:val="auto"/>
        </w:rPr>
      </w:pPr>
      <w:r>
        <w:rPr>
          <w:rFonts w:ascii="Arial" w:cs="Arial" w:eastAsia="Arial" w:hAnsi="Arial"/>
          <w:sz w:val="22"/>
          <w:szCs w:val="22"/>
          <w:color w:val="auto"/>
        </w:rPr>
        <w:t>The obligations of the Issuer under this Section 7.06 shall survive the satisfaction and discharge of this Indenture and the resignation or removal of the Trustee.</w:t>
      </w:r>
    </w:p>
    <w:p>
      <w:pPr>
        <w:spacing w:after="0" w:line="173" w:lineRule="exact"/>
        <w:rPr>
          <w:rFonts w:ascii="Arial" w:cs="Arial" w:eastAsia="Arial" w:hAnsi="Arial"/>
          <w:sz w:val="22"/>
          <w:szCs w:val="22"/>
          <w:color w:val="auto"/>
        </w:rPr>
      </w:pPr>
    </w:p>
    <w:p>
      <w:pPr>
        <w:jc w:val="both"/>
        <w:ind w:firstLine="656"/>
        <w:spacing w:after="0" w:line="292" w:lineRule="auto"/>
        <w:tabs>
          <w:tab w:leader="none" w:pos="959" w:val="left"/>
        </w:tabs>
        <w:numPr>
          <w:ilvl w:val="0"/>
          <w:numId w:val="162"/>
        </w:numPr>
        <w:rPr>
          <w:rFonts w:ascii="Arial" w:cs="Arial" w:eastAsia="Arial" w:hAnsi="Arial"/>
          <w:sz w:val="22"/>
          <w:szCs w:val="22"/>
          <w:color w:val="auto"/>
        </w:rPr>
      </w:pPr>
      <w:r>
        <w:rPr>
          <w:rFonts w:ascii="Arial" w:cs="Arial" w:eastAsia="Arial" w:hAnsi="Arial"/>
          <w:sz w:val="22"/>
          <w:szCs w:val="22"/>
          <w:color w:val="auto"/>
        </w:rPr>
        <w:t>To secure the Issuer’s payment obligations in this Section 7.06, the Trustee shall have a Lien prior to the Notes on all money or property held or collected by the Trustee, except money or property held in trust to pay principal and interest on particular Notes. Such Lien shall survive the satisfaction and discharge of this Indenture.</w:t>
      </w:r>
    </w:p>
    <w:p>
      <w:pPr>
        <w:spacing w:after="0" w:line="184" w:lineRule="exact"/>
        <w:rPr>
          <w:rFonts w:ascii="Arial" w:cs="Arial" w:eastAsia="Arial" w:hAnsi="Arial"/>
          <w:sz w:val="22"/>
          <w:szCs w:val="22"/>
          <w:color w:val="auto"/>
        </w:rPr>
      </w:pPr>
    </w:p>
    <w:p>
      <w:pPr>
        <w:jc w:val="both"/>
        <w:ind w:firstLine="656"/>
        <w:spacing w:after="0" w:line="292" w:lineRule="auto"/>
        <w:tabs>
          <w:tab w:leader="none" w:pos="933" w:val="left"/>
        </w:tabs>
        <w:numPr>
          <w:ilvl w:val="0"/>
          <w:numId w:val="162"/>
        </w:numPr>
        <w:rPr>
          <w:rFonts w:ascii="Arial" w:cs="Arial" w:eastAsia="Arial" w:hAnsi="Arial"/>
          <w:sz w:val="22"/>
          <w:szCs w:val="22"/>
          <w:color w:val="auto"/>
        </w:rPr>
      </w:pPr>
      <w:r>
        <w:rPr>
          <w:rFonts w:ascii="Arial" w:cs="Arial" w:eastAsia="Arial" w:hAnsi="Arial"/>
          <w:sz w:val="22"/>
          <w:szCs w:val="22"/>
          <w:color w:val="auto"/>
        </w:rPr>
        <w:t>When the Trustee incurs expenses or renders services after an Event of Default specified in Section 6.01(g) or (h) hereof occurs, the expenses and the compensation for the services (including the fees and expenses of its agents and counsel) are intended to constitute expenses of administration under any Bankruptcy Law.</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7.07 </w:t>
      </w:r>
      <w:r>
        <w:rPr>
          <w:rFonts w:ascii="Arial" w:cs="Arial" w:eastAsia="Arial" w:hAnsi="Arial"/>
          <w:sz w:val="22"/>
          <w:szCs w:val="22"/>
          <w:i w:val="1"/>
          <w:iCs w:val="1"/>
          <w:color w:val="auto"/>
        </w:rPr>
        <w:t>Replacement of Trustee</w:t>
      </w:r>
      <w:r>
        <w:rPr>
          <w:rFonts w:ascii="Arial" w:cs="Arial" w:eastAsia="Arial" w:hAnsi="Arial"/>
          <w:sz w:val="22"/>
          <w:szCs w:val="22"/>
          <w:color w:val="auto"/>
        </w:rPr>
        <w:t>.</w:t>
      </w:r>
    </w:p>
    <w:p>
      <w:pPr>
        <w:spacing w:after="0" w:line="260" w:lineRule="exact"/>
        <w:rPr>
          <w:sz w:val="20"/>
          <w:szCs w:val="20"/>
          <w:color w:val="auto"/>
        </w:rPr>
      </w:pPr>
    </w:p>
    <w:p>
      <w:pPr>
        <w:ind w:firstLine="656"/>
        <w:spacing w:after="0" w:line="302" w:lineRule="auto"/>
        <w:tabs>
          <w:tab w:leader="none" w:pos="946" w:val="left"/>
        </w:tabs>
        <w:numPr>
          <w:ilvl w:val="0"/>
          <w:numId w:val="163"/>
        </w:numPr>
        <w:rPr>
          <w:rFonts w:ascii="Arial" w:cs="Arial" w:eastAsia="Arial" w:hAnsi="Arial"/>
          <w:sz w:val="22"/>
          <w:szCs w:val="22"/>
          <w:color w:val="auto"/>
        </w:rPr>
      </w:pPr>
      <w:r>
        <w:rPr>
          <w:rFonts w:ascii="Arial" w:cs="Arial" w:eastAsia="Arial" w:hAnsi="Arial"/>
          <w:sz w:val="22"/>
          <w:szCs w:val="22"/>
          <w:color w:val="auto"/>
        </w:rPr>
        <w:t>A resignation or removal of the Trustee and appointment of a successor Trustee shall become effective only upon the successor Trustee’s acceptance of appointment as provided in this Section 7.07.</w:t>
      </w:r>
    </w:p>
    <w:p>
      <w:pPr>
        <w:spacing w:after="0" w:line="173" w:lineRule="exact"/>
        <w:rPr>
          <w:rFonts w:ascii="Arial" w:cs="Arial" w:eastAsia="Arial" w:hAnsi="Arial"/>
          <w:sz w:val="22"/>
          <w:szCs w:val="22"/>
          <w:color w:val="auto"/>
        </w:rPr>
      </w:pPr>
    </w:p>
    <w:p>
      <w:pPr>
        <w:jc w:val="both"/>
        <w:ind w:firstLine="656"/>
        <w:spacing w:after="0" w:line="292" w:lineRule="auto"/>
        <w:tabs>
          <w:tab w:leader="none" w:pos="945" w:val="left"/>
        </w:tabs>
        <w:numPr>
          <w:ilvl w:val="0"/>
          <w:numId w:val="163"/>
        </w:numPr>
        <w:rPr>
          <w:rFonts w:ascii="Arial" w:cs="Arial" w:eastAsia="Arial" w:hAnsi="Arial"/>
          <w:sz w:val="22"/>
          <w:szCs w:val="22"/>
          <w:color w:val="auto"/>
        </w:rPr>
      </w:pPr>
      <w:r>
        <w:rPr>
          <w:rFonts w:ascii="Arial" w:cs="Arial" w:eastAsia="Arial" w:hAnsi="Arial"/>
          <w:sz w:val="22"/>
          <w:szCs w:val="22"/>
          <w:color w:val="auto"/>
        </w:rPr>
        <w:t>The Trustee may resign in writing at any time and be discharged from the trust hereby created by so notifying the Issuer in writing. The Holders of a majority in principal amount of the then outstanding Notes may remove the Trustee by so notifying the Trustee and the Issuer in writing. The Issuer may remove the Trustee if:</w:t>
      </w:r>
    </w:p>
    <w:p>
      <w:pPr>
        <w:spacing w:after="0" w:line="184" w:lineRule="exact"/>
        <w:rPr>
          <w:rFonts w:ascii="Arial" w:cs="Arial" w:eastAsia="Arial" w:hAnsi="Arial"/>
          <w:sz w:val="22"/>
          <w:szCs w:val="22"/>
          <w:color w:val="auto"/>
        </w:rPr>
      </w:pPr>
    </w:p>
    <w:p>
      <w:pPr>
        <w:ind w:left="1600" w:hanging="295"/>
        <w:spacing w:after="0"/>
        <w:tabs>
          <w:tab w:leader="none" w:pos="1600" w:val="left"/>
        </w:tabs>
        <w:numPr>
          <w:ilvl w:val="1"/>
          <w:numId w:val="163"/>
        </w:numPr>
        <w:rPr>
          <w:rFonts w:ascii="Arial" w:cs="Arial" w:eastAsia="Arial" w:hAnsi="Arial"/>
          <w:sz w:val="22"/>
          <w:szCs w:val="22"/>
          <w:color w:val="auto"/>
        </w:rPr>
      </w:pPr>
      <w:r>
        <w:rPr>
          <w:rFonts w:ascii="Arial" w:cs="Arial" w:eastAsia="Arial" w:hAnsi="Arial"/>
          <w:sz w:val="22"/>
          <w:szCs w:val="22"/>
          <w:color w:val="auto"/>
        </w:rPr>
        <w:t>the Trustee fails to comply with Section 7.09 hereof;</w:t>
      </w:r>
    </w:p>
    <w:p>
      <w:pPr>
        <w:spacing w:after="0" w:line="260" w:lineRule="exact"/>
        <w:rPr>
          <w:rFonts w:ascii="Arial" w:cs="Arial" w:eastAsia="Arial" w:hAnsi="Arial"/>
          <w:sz w:val="22"/>
          <w:szCs w:val="22"/>
          <w:color w:val="auto"/>
        </w:rPr>
      </w:pPr>
    </w:p>
    <w:p>
      <w:pPr>
        <w:ind w:left="660" w:firstLine="645"/>
        <w:spacing w:after="0" w:line="302" w:lineRule="auto"/>
        <w:tabs>
          <w:tab w:leader="none" w:pos="1619" w:val="left"/>
        </w:tabs>
        <w:numPr>
          <w:ilvl w:val="1"/>
          <w:numId w:val="163"/>
        </w:numPr>
        <w:rPr>
          <w:rFonts w:ascii="Arial" w:cs="Arial" w:eastAsia="Arial" w:hAnsi="Arial"/>
          <w:sz w:val="22"/>
          <w:szCs w:val="22"/>
          <w:color w:val="auto"/>
        </w:rPr>
      </w:pPr>
      <w:r>
        <w:rPr>
          <w:rFonts w:ascii="Arial" w:cs="Arial" w:eastAsia="Arial" w:hAnsi="Arial"/>
          <w:sz w:val="22"/>
          <w:szCs w:val="22"/>
          <w:color w:val="auto"/>
        </w:rPr>
        <w:t>the Trustee is adjudged a bankrupt or an insolvent or an order for relief is entered with respect to the Trustee under any Bankruptcy Law;</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3160" w:type="dxa"/>
            <w:vAlign w:val="bottom"/>
          </w:tcPr>
          <w:p>
            <w:pPr>
              <w:spacing w:after="0"/>
              <w:rPr>
                <w:sz w:val="20"/>
                <w:szCs w:val="20"/>
                <w:color w:val="auto"/>
              </w:rPr>
            </w:pPr>
            <w:r>
              <w:rPr>
                <w:rFonts w:ascii="Arial" w:cs="Arial" w:eastAsia="Arial" w:hAnsi="Arial"/>
                <w:sz w:val="11"/>
                <w:szCs w:val="11"/>
                <w:color w:val="auto"/>
              </w:rPr>
              <w:t>ASIA 33616188</w:t>
            </w:r>
          </w:p>
        </w:tc>
        <w:tc>
          <w:tcPr>
            <w:tcW w:w="2660" w:type="dxa"/>
            <w:vAlign w:val="bottom"/>
          </w:tcPr>
          <w:p>
            <w:pPr>
              <w:jc w:val="right"/>
              <w:spacing w:after="0"/>
              <w:rPr>
                <w:sz w:val="20"/>
                <w:szCs w:val="20"/>
                <w:color w:val="auto"/>
              </w:rPr>
            </w:pPr>
            <w:r>
              <w:rPr>
                <w:rFonts w:ascii="Arial" w:cs="Arial" w:eastAsia="Arial" w:hAnsi="Arial"/>
                <w:sz w:val="22"/>
                <w:szCs w:val="22"/>
                <w:color w:val="auto"/>
              </w:rPr>
              <w:t>63</w:t>
            </w:r>
          </w:p>
        </w:tc>
      </w:tr>
    </w:tbl>
    <w:p>
      <w:pPr>
        <w:sectPr>
          <w:pgSz w:w="11900" w:h="16838" w:orient="portrait"/>
          <w:cols w:equalWidth="0" w:num="1">
            <w:col w:w="11420"/>
          </w:cols>
          <w:pgMar w:left="240" w:top="1440" w:right="239" w:bottom="1440" w:gutter="0" w:footer="0" w:header="0"/>
        </w:sectPr>
      </w:pPr>
    </w:p>
    <w:bookmarkStart w:id="214" w:name="page215"/>
    <w:bookmarkEnd w:id="214"/>
    <w:p>
      <w:pPr>
        <w:spacing w:after="0" w:line="2" w:lineRule="exact"/>
        <w:rPr>
          <w:sz w:val="20"/>
          <w:szCs w:val="20"/>
          <w:color w:val="auto"/>
        </w:rPr>
      </w:pPr>
    </w:p>
    <w:p>
      <w:pPr>
        <w:ind w:left="1600" w:hanging="295"/>
        <w:spacing w:after="0"/>
        <w:tabs>
          <w:tab w:leader="none" w:pos="1600" w:val="left"/>
        </w:tabs>
        <w:numPr>
          <w:ilvl w:val="1"/>
          <w:numId w:val="164"/>
        </w:numPr>
        <w:rPr>
          <w:rFonts w:ascii="Arial" w:cs="Arial" w:eastAsia="Arial" w:hAnsi="Arial"/>
          <w:sz w:val="22"/>
          <w:szCs w:val="22"/>
          <w:color w:val="auto"/>
        </w:rPr>
      </w:pPr>
      <w:r>
        <w:rPr>
          <w:rFonts w:ascii="Arial" w:cs="Arial" w:eastAsia="Arial" w:hAnsi="Arial"/>
          <w:sz w:val="22"/>
          <w:szCs w:val="22"/>
          <w:color w:val="auto"/>
        </w:rPr>
        <w:t>a custodian or public officer takes charge of the Trustee or its property; or</w:t>
      </w:r>
    </w:p>
    <w:p>
      <w:pPr>
        <w:spacing w:after="0" w:line="260" w:lineRule="exact"/>
        <w:rPr>
          <w:rFonts w:ascii="Arial" w:cs="Arial" w:eastAsia="Arial" w:hAnsi="Arial"/>
          <w:sz w:val="22"/>
          <w:szCs w:val="22"/>
          <w:color w:val="auto"/>
        </w:rPr>
      </w:pPr>
    </w:p>
    <w:p>
      <w:pPr>
        <w:ind w:left="1600" w:hanging="295"/>
        <w:spacing w:after="0"/>
        <w:tabs>
          <w:tab w:leader="none" w:pos="1600" w:val="left"/>
        </w:tabs>
        <w:numPr>
          <w:ilvl w:val="1"/>
          <w:numId w:val="164"/>
        </w:numPr>
        <w:rPr>
          <w:rFonts w:ascii="Arial" w:cs="Arial" w:eastAsia="Arial" w:hAnsi="Arial"/>
          <w:sz w:val="22"/>
          <w:szCs w:val="22"/>
          <w:color w:val="auto"/>
        </w:rPr>
      </w:pPr>
      <w:r>
        <w:rPr>
          <w:rFonts w:ascii="Arial" w:cs="Arial" w:eastAsia="Arial" w:hAnsi="Arial"/>
          <w:sz w:val="22"/>
          <w:szCs w:val="22"/>
          <w:color w:val="auto"/>
        </w:rPr>
        <w:t>the Trustee becomes incapable of acting.</w:t>
      </w:r>
    </w:p>
    <w:p>
      <w:pPr>
        <w:spacing w:after="0" w:line="260" w:lineRule="exact"/>
        <w:rPr>
          <w:rFonts w:ascii="Arial" w:cs="Arial" w:eastAsia="Arial" w:hAnsi="Arial"/>
          <w:sz w:val="22"/>
          <w:szCs w:val="22"/>
          <w:color w:val="auto"/>
        </w:rPr>
      </w:pPr>
    </w:p>
    <w:p>
      <w:pPr>
        <w:jc w:val="both"/>
        <w:ind w:firstLine="656"/>
        <w:spacing w:after="0" w:line="288" w:lineRule="auto"/>
        <w:tabs>
          <w:tab w:leader="none" w:pos="960" w:val="left"/>
        </w:tabs>
        <w:numPr>
          <w:ilvl w:val="0"/>
          <w:numId w:val="165"/>
        </w:numPr>
        <w:rPr>
          <w:rFonts w:ascii="Arial" w:cs="Arial" w:eastAsia="Arial" w:hAnsi="Arial"/>
          <w:sz w:val="22"/>
          <w:szCs w:val="22"/>
          <w:color w:val="auto"/>
        </w:rPr>
      </w:pPr>
      <w:r>
        <w:rPr>
          <w:rFonts w:ascii="Arial" w:cs="Arial" w:eastAsia="Arial" w:hAnsi="Arial"/>
          <w:sz w:val="22"/>
          <w:szCs w:val="22"/>
          <w:color w:val="auto"/>
        </w:rPr>
        <w:t>If the Trustee resigns or is removed or if a vacancy exists in the office of Trustee for any reason, the Issuer shall promptly appoint a successor Trustee. Within one year after the successor Trustee takes office, the Holders of a majority in principal amount of the then outstanding Notes may appoint a successor Trustee to replace the successor Trustee appointed by the Issuer.</w:t>
      </w:r>
    </w:p>
    <w:p>
      <w:pPr>
        <w:spacing w:after="0" w:line="190" w:lineRule="exact"/>
        <w:rPr>
          <w:rFonts w:ascii="Arial" w:cs="Arial" w:eastAsia="Arial" w:hAnsi="Arial"/>
          <w:sz w:val="22"/>
          <w:szCs w:val="22"/>
          <w:color w:val="auto"/>
        </w:rPr>
      </w:pPr>
    </w:p>
    <w:p>
      <w:pPr>
        <w:jc w:val="both"/>
        <w:ind w:firstLine="656"/>
        <w:spacing w:after="0" w:line="292" w:lineRule="auto"/>
        <w:tabs>
          <w:tab w:leader="none" w:pos="959" w:val="left"/>
        </w:tabs>
        <w:numPr>
          <w:ilvl w:val="0"/>
          <w:numId w:val="165"/>
        </w:numPr>
        <w:rPr>
          <w:rFonts w:ascii="Arial" w:cs="Arial" w:eastAsia="Arial" w:hAnsi="Arial"/>
          <w:sz w:val="22"/>
          <w:szCs w:val="22"/>
          <w:color w:val="auto"/>
        </w:rPr>
      </w:pPr>
      <w:r>
        <w:rPr>
          <w:rFonts w:ascii="Arial" w:cs="Arial" w:eastAsia="Arial" w:hAnsi="Arial"/>
          <w:sz w:val="22"/>
          <w:szCs w:val="22"/>
          <w:color w:val="auto"/>
        </w:rPr>
        <w:t>If a successor Trustee does not take office within 60 days after the retiring Trustee resigns or is removed, the retiring Trustee, the Issuer or the Holders of at least 10% in principal amount of the then outstanding Notes may petition any court of competent jurisdiction, at the expense of the Issuer, for the appointment of a successor Trustee.</w:t>
      </w:r>
    </w:p>
    <w:p>
      <w:pPr>
        <w:spacing w:after="0" w:line="184" w:lineRule="exact"/>
        <w:rPr>
          <w:rFonts w:ascii="Arial" w:cs="Arial" w:eastAsia="Arial" w:hAnsi="Arial"/>
          <w:sz w:val="22"/>
          <w:szCs w:val="22"/>
          <w:color w:val="auto"/>
        </w:rPr>
      </w:pPr>
    </w:p>
    <w:p>
      <w:pPr>
        <w:jc w:val="both"/>
        <w:ind w:firstLine="656"/>
        <w:spacing w:after="0" w:line="292" w:lineRule="auto"/>
        <w:tabs>
          <w:tab w:leader="none" w:pos="946" w:val="left"/>
        </w:tabs>
        <w:numPr>
          <w:ilvl w:val="0"/>
          <w:numId w:val="165"/>
        </w:numPr>
        <w:rPr>
          <w:rFonts w:ascii="Arial" w:cs="Arial" w:eastAsia="Arial" w:hAnsi="Arial"/>
          <w:sz w:val="22"/>
          <w:szCs w:val="22"/>
          <w:color w:val="auto"/>
        </w:rPr>
      </w:pPr>
      <w:r>
        <w:rPr>
          <w:rFonts w:ascii="Arial" w:cs="Arial" w:eastAsia="Arial" w:hAnsi="Arial"/>
          <w:sz w:val="22"/>
          <w:szCs w:val="22"/>
          <w:color w:val="auto"/>
        </w:rPr>
        <w:t>If the Trustee, after written request by any Holder who has been a Holder for at least six months, fails to comply with Section 7.09 hereof, such Holder may petition any court of competent jurisdiction, at the expense of the Issuer, for the removal of the Trustee and the appointment of a successor Trustee.</w:t>
      </w:r>
    </w:p>
    <w:p>
      <w:pPr>
        <w:spacing w:after="0" w:line="184" w:lineRule="exact"/>
        <w:rPr>
          <w:rFonts w:ascii="Arial" w:cs="Arial" w:eastAsia="Arial" w:hAnsi="Arial"/>
          <w:sz w:val="22"/>
          <w:szCs w:val="22"/>
          <w:color w:val="auto"/>
        </w:rPr>
      </w:pPr>
    </w:p>
    <w:p>
      <w:pPr>
        <w:jc w:val="both"/>
        <w:ind w:firstLine="656"/>
        <w:spacing w:after="0" w:line="285" w:lineRule="auto"/>
        <w:tabs>
          <w:tab w:leader="none" w:pos="936" w:val="left"/>
        </w:tabs>
        <w:numPr>
          <w:ilvl w:val="0"/>
          <w:numId w:val="165"/>
        </w:numPr>
        <w:rPr>
          <w:rFonts w:ascii="Arial" w:cs="Arial" w:eastAsia="Arial" w:hAnsi="Arial"/>
          <w:sz w:val="22"/>
          <w:szCs w:val="22"/>
          <w:color w:val="auto"/>
        </w:rPr>
      </w:pPr>
      <w:r>
        <w:rPr>
          <w:rFonts w:ascii="Arial" w:cs="Arial" w:eastAsia="Arial" w:hAnsi="Arial"/>
          <w:sz w:val="22"/>
          <w:szCs w:val="22"/>
          <w:color w:val="auto"/>
        </w:rPr>
        <w:t xml:space="preserve">A successor Trustee shall deliver a written acceptance of its appointment to the retiring Trustee and to the Issuer. Thereupon, the resignation or removal of the retiring Trustee shall become effective, and the successor Trustee shall have all the rights, powers and duties of the Trustee under this Indenture. The successor Trustee shall mail a notice of its succession to Holders. The retiring Trustee shall promptly transfer all property held by it as Trustee to the successor Trustee,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all sums owing to the Trustee hereunder have been paid and subject to the Lien provided for in Section 7.06 hereof. Notwithstanding replacement of the Trustee pursuant to this Section 7.07, the Issuer’s obligations under Section 7.06 hereof shall continue for the benefit of the retiring Trustee.</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7.08 </w:t>
      </w:r>
      <w:r>
        <w:rPr>
          <w:rFonts w:ascii="Arial" w:cs="Arial" w:eastAsia="Arial" w:hAnsi="Arial"/>
          <w:sz w:val="22"/>
          <w:szCs w:val="22"/>
          <w:i w:val="1"/>
          <w:iCs w:val="1"/>
          <w:color w:val="auto"/>
        </w:rPr>
        <w:t>Successor Trustee by Merger, etc.</w:t>
      </w:r>
    </w:p>
    <w:p>
      <w:pPr>
        <w:spacing w:after="0" w:line="26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If the Trustee consolidates, merges or converts into, or transfers all or substantially all of its corporate trust business to, another corporation, the successor corporation without any further act shall be the successor Trustee with the same effect as if the successor Trustee had been named as the Trustee in this Indenture.</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7.09 </w:t>
      </w:r>
      <w:r>
        <w:rPr>
          <w:rFonts w:ascii="Arial" w:cs="Arial" w:eastAsia="Arial" w:hAnsi="Arial"/>
          <w:sz w:val="22"/>
          <w:szCs w:val="22"/>
          <w:i w:val="1"/>
          <w:iCs w:val="1"/>
          <w:color w:val="auto"/>
        </w:rPr>
        <w:t>Eligibility; Disqualification</w:t>
      </w:r>
      <w:r>
        <w:rPr>
          <w:rFonts w:ascii="Arial" w:cs="Arial" w:eastAsia="Arial" w:hAnsi="Arial"/>
          <w:sz w:val="22"/>
          <w:szCs w:val="22"/>
          <w:color w:val="auto"/>
        </w:rPr>
        <w:t>.</w:t>
      </w:r>
    </w:p>
    <w:p>
      <w:pPr>
        <w:spacing w:after="0" w:line="26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There shall at all times be a Trustee hereunder that is a corporation organized and doing business under the laws of the United States of America or of any state thereof that is authorized under such laws to exercise corporate trustee power, that is subject to supervision</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3160" w:type="dxa"/>
            <w:vAlign w:val="bottom"/>
          </w:tcPr>
          <w:p>
            <w:pPr>
              <w:spacing w:after="0"/>
              <w:rPr>
                <w:sz w:val="20"/>
                <w:szCs w:val="20"/>
                <w:color w:val="auto"/>
              </w:rPr>
            </w:pPr>
            <w:r>
              <w:rPr>
                <w:rFonts w:ascii="Arial" w:cs="Arial" w:eastAsia="Arial" w:hAnsi="Arial"/>
                <w:sz w:val="11"/>
                <w:szCs w:val="11"/>
                <w:color w:val="auto"/>
              </w:rPr>
              <w:t>ASIA 33616188</w:t>
            </w:r>
          </w:p>
        </w:tc>
        <w:tc>
          <w:tcPr>
            <w:tcW w:w="2660" w:type="dxa"/>
            <w:vAlign w:val="bottom"/>
          </w:tcPr>
          <w:p>
            <w:pPr>
              <w:jc w:val="right"/>
              <w:spacing w:after="0"/>
              <w:rPr>
                <w:sz w:val="20"/>
                <w:szCs w:val="20"/>
                <w:color w:val="auto"/>
              </w:rPr>
            </w:pPr>
            <w:r>
              <w:rPr>
                <w:rFonts w:ascii="Arial" w:cs="Arial" w:eastAsia="Arial" w:hAnsi="Arial"/>
                <w:sz w:val="22"/>
                <w:szCs w:val="22"/>
                <w:color w:val="auto"/>
              </w:rPr>
              <w:t>64</w:t>
            </w:r>
          </w:p>
        </w:tc>
      </w:tr>
    </w:tbl>
    <w:p>
      <w:pPr>
        <w:sectPr>
          <w:pgSz w:w="11900" w:h="16838" w:orient="portrait"/>
          <w:cols w:equalWidth="0" w:num="1">
            <w:col w:w="11420"/>
          </w:cols>
          <w:pgMar w:left="240" w:top="1440" w:right="239" w:bottom="1440" w:gutter="0" w:footer="0" w:header="0"/>
        </w:sectPr>
      </w:pPr>
    </w:p>
    <w:bookmarkStart w:id="215" w:name="page216"/>
    <w:bookmarkEnd w:id="215"/>
    <w:p>
      <w:pPr>
        <w:spacing w:after="0" w:line="2" w:lineRule="exact"/>
        <w:rPr>
          <w:sz w:val="20"/>
          <w:szCs w:val="20"/>
          <w:color w:val="auto"/>
        </w:rPr>
      </w:pPr>
    </w:p>
    <w:p>
      <w:pPr>
        <w:jc w:val="both"/>
        <w:spacing w:after="0" w:line="302" w:lineRule="auto"/>
        <w:rPr>
          <w:sz w:val="20"/>
          <w:szCs w:val="20"/>
          <w:color w:val="auto"/>
        </w:rPr>
      </w:pPr>
      <w:r>
        <w:rPr>
          <w:rFonts w:ascii="Arial" w:cs="Arial" w:eastAsia="Arial" w:hAnsi="Arial"/>
          <w:sz w:val="22"/>
          <w:szCs w:val="22"/>
          <w:color w:val="auto"/>
        </w:rPr>
        <w:t>or examination by federal or state authorities and that has a combined capital and surplus of at least US$50 million as set forth in its most recent published annual report of condition.</w:t>
      </w:r>
    </w:p>
    <w:p>
      <w:pPr>
        <w:spacing w:after="0" w:line="17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ARTICLE 8</w:t>
      </w:r>
    </w:p>
    <w:p>
      <w:pPr>
        <w:spacing w:after="0" w:line="247" w:lineRule="exact"/>
        <w:rPr>
          <w:sz w:val="20"/>
          <w:szCs w:val="20"/>
          <w:color w:val="auto"/>
        </w:rPr>
      </w:pPr>
    </w:p>
    <w:p>
      <w:pPr>
        <w:ind w:right="3020" w:firstLine="3011"/>
        <w:spacing w:after="0" w:line="301" w:lineRule="auto"/>
        <w:rPr>
          <w:sz w:val="20"/>
          <w:szCs w:val="20"/>
          <w:color w:val="auto"/>
        </w:rPr>
      </w:pPr>
      <w:r>
        <w:rPr>
          <w:rFonts w:ascii="Arial" w:cs="Arial" w:eastAsia="Arial" w:hAnsi="Arial"/>
          <w:sz w:val="21"/>
          <w:szCs w:val="21"/>
          <w:color w:val="auto"/>
        </w:rPr>
        <w:t xml:space="preserve">LEGAL DEFEASANCE AND COVENANT DEFEASANCE Section 8.01 </w:t>
      </w:r>
      <w:r>
        <w:rPr>
          <w:rFonts w:ascii="Arial" w:cs="Arial" w:eastAsia="Arial" w:hAnsi="Arial"/>
          <w:sz w:val="21"/>
          <w:szCs w:val="21"/>
          <w:i w:val="1"/>
          <w:iCs w:val="1"/>
          <w:color w:val="auto"/>
        </w:rPr>
        <w:t>Option to Effect Legal Defeasance or Covenant Defeasance.</w:t>
      </w:r>
    </w:p>
    <w:p>
      <w:pPr>
        <w:spacing w:after="0" w:line="178"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The Issuer may, at the option of its Board of Directors evidenced by a resolution set forth in an Officer’s Certificate of the Issuer, at any time, elect to have either Section 8.02 or 8.03 hereof be applied to all outstanding Notes upon compliance with the conditions set forth below in this Article 8.</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8.02 </w:t>
      </w:r>
      <w:r>
        <w:rPr>
          <w:rFonts w:ascii="Arial" w:cs="Arial" w:eastAsia="Arial" w:hAnsi="Arial"/>
          <w:sz w:val="22"/>
          <w:szCs w:val="22"/>
          <w:i w:val="1"/>
          <w:iCs w:val="1"/>
          <w:color w:val="auto"/>
        </w:rPr>
        <w:t>Legal Defeasance and Discharge</w:t>
      </w:r>
      <w:r>
        <w:rPr>
          <w:rFonts w:ascii="Arial" w:cs="Arial" w:eastAsia="Arial" w:hAnsi="Arial"/>
          <w:sz w:val="22"/>
          <w:szCs w:val="22"/>
          <w:color w:val="auto"/>
        </w:rPr>
        <w:t>.</w:t>
      </w:r>
    </w:p>
    <w:p>
      <w:pPr>
        <w:spacing w:after="0" w:line="260"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21"/>
          <w:szCs w:val="21"/>
          <w:color w:val="auto"/>
        </w:rPr>
        <w:t>Upon the Issuer’s exercise under Section 8.01 hereof of the option applicable to this Section 8.02, the Issuer shall, subject to the satisfaction of the conditions set forth in Section 8.04 hereof, be deemed to have been discharged from its obligations with respect to all outstanding Notes on the date the conditions set forth below are satisfied (hereinafter, “</w:t>
      </w:r>
      <w:r>
        <w:rPr>
          <w:rFonts w:ascii="Arial" w:cs="Arial" w:eastAsia="Arial" w:hAnsi="Arial"/>
          <w:sz w:val="21"/>
          <w:szCs w:val="21"/>
          <w:i w:val="1"/>
          <w:iCs w:val="1"/>
          <w:color w:val="auto"/>
        </w:rPr>
        <w:t>Legal Defeasance</w:t>
      </w:r>
      <w:r>
        <w:rPr>
          <w:rFonts w:ascii="Arial" w:cs="Arial" w:eastAsia="Arial" w:hAnsi="Arial"/>
          <w:sz w:val="21"/>
          <w:szCs w:val="21"/>
          <w:color w:val="auto"/>
        </w:rPr>
        <w:t>”). For this purpose, Legal Defeasance means that the Issuer shall be deemed to have paid and discharged the entire Indebtedness represented by the outstanding Notes, which shall thereafter be deemed to be “outstanding” only for the purposes of Section 8.05 hereof and the other Sections of this Indenture referred to in Sections 8.02(a) and (b) below, and to have satisfied all its other obligations under such Notes and this Indenture (and the Trustee, on demand of and at the expense of the Issuer, shall execute proper instruments acknowledging the same), except for the following provisions which shall survive until otherwise terminated or discharged hereunder:</w:t>
      </w:r>
    </w:p>
    <w:p>
      <w:pPr>
        <w:spacing w:after="0" w:line="183" w:lineRule="exact"/>
        <w:rPr>
          <w:sz w:val="20"/>
          <w:szCs w:val="20"/>
          <w:color w:val="auto"/>
        </w:rPr>
      </w:pPr>
    </w:p>
    <w:p>
      <w:pPr>
        <w:ind w:left="660" w:firstLine="1293"/>
        <w:spacing w:after="0" w:line="387" w:lineRule="auto"/>
        <w:tabs>
          <w:tab w:leader="none" w:pos="2241" w:val="left"/>
        </w:tabs>
        <w:numPr>
          <w:ilvl w:val="0"/>
          <w:numId w:val="166"/>
        </w:numPr>
        <w:rPr>
          <w:rFonts w:ascii="Arial" w:cs="Arial" w:eastAsia="Arial" w:hAnsi="Arial"/>
          <w:sz w:val="19"/>
          <w:szCs w:val="19"/>
          <w:color w:val="auto"/>
        </w:rPr>
      </w:pPr>
      <w:r>
        <w:rPr>
          <w:rFonts w:ascii="Arial" w:cs="Arial" w:eastAsia="Arial" w:hAnsi="Arial"/>
          <w:sz w:val="19"/>
          <w:szCs w:val="19"/>
          <w:color w:val="auto"/>
        </w:rPr>
        <w:t>the rights of Holders of outstanding Notes to receive payments in respect of the principal of, or interest or premium, if any, on such Notes when such payments are due from the trust referred to in Section 8.04 hereof;</w:t>
      </w:r>
    </w:p>
    <w:p>
      <w:pPr>
        <w:spacing w:after="0" w:line="105" w:lineRule="exact"/>
        <w:rPr>
          <w:rFonts w:ascii="Arial" w:cs="Arial" w:eastAsia="Arial" w:hAnsi="Arial"/>
          <w:sz w:val="19"/>
          <w:szCs w:val="19"/>
          <w:color w:val="auto"/>
        </w:rPr>
      </w:pPr>
    </w:p>
    <w:p>
      <w:pPr>
        <w:ind w:left="2240" w:hanging="287"/>
        <w:spacing w:after="0"/>
        <w:tabs>
          <w:tab w:leader="none" w:pos="2240" w:val="left"/>
        </w:tabs>
        <w:numPr>
          <w:ilvl w:val="0"/>
          <w:numId w:val="166"/>
        </w:numPr>
        <w:rPr>
          <w:rFonts w:ascii="Arial" w:cs="Arial" w:eastAsia="Arial" w:hAnsi="Arial"/>
          <w:sz w:val="22"/>
          <w:szCs w:val="22"/>
          <w:color w:val="auto"/>
        </w:rPr>
      </w:pPr>
      <w:r>
        <w:rPr>
          <w:rFonts w:ascii="Arial" w:cs="Arial" w:eastAsia="Arial" w:hAnsi="Arial"/>
          <w:sz w:val="22"/>
          <w:szCs w:val="22"/>
          <w:color w:val="auto"/>
        </w:rPr>
        <w:t>the Issuer’s obligations with respect to such Notes under Article 2 and Section 4.02 hereof;</w:t>
      </w:r>
    </w:p>
    <w:p>
      <w:pPr>
        <w:spacing w:after="0" w:line="260" w:lineRule="exact"/>
        <w:rPr>
          <w:rFonts w:ascii="Arial" w:cs="Arial" w:eastAsia="Arial" w:hAnsi="Arial"/>
          <w:sz w:val="22"/>
          <w:szCs w:val="22"/>
          <w:color w:val="auto"/>
        </w:rPr>
      </w:pPr>
    </w:p>
    <w:p>
      <w:pPr>
        <w:ind w:left="660" w:right="20" w:firstLine="1293"/>
        <w:spacing w:after="0" w:line="302" w:lineRule="auto"/>
        <w:tabs>
          <w:tab w:leader="none" w:pos="2255" w:val="left"/>
        </w:tabs>
        <w:numPr>
          <w:ilvl w:val="0"/>
          <w:numId w:val="166"/>
        </w:numPr>
        <w:rPr>
          <w:rFonts w:ascii="Arial" w:cs="Arial" w:eastAsia="Arial" w:hAnsi="Arial"/>
          <w:sz w:val="22"/>
          <w:szCs w:val="22"/>
          <w:color w:val="auto"/>
        </w:rPr>
      </w:pPr>
      <w:r>
        <w:rPr>
          <w:rFonts w:ascii="Arial" w:cs="Arial" w:eastAsia="Arial" w:hAnsi="Arial"/>
          <w:sz w:val="22"/>
          <w:szCs w:val="22"/>
          <w:color w:val="auto"/>
        </w:rPr>
        <w:t>the rights, powers, trusts, duties and immunities of the Trustee hereunder and the Issuer’s obligations in connection therewith; and</w:t>
      </w:r>
    </w:p>
    <w:p>
      <w:pPr>
        <w:spacing w:after="0" w:line="173" w:lineRule="exact"/>
        <w:rPr>
          <w:rFonts w:ascii="Arial" w:cs="Arial" w:eastAsia="Arial" w:hAnsi="Arial"/>
          <w:sz w:val="22"/>
          <w:szCs w:val="22"/>
          <w:color w:val="auto"/>
        </w:rPr>
      </w:pPr>
    </w:p>
    <w:p>
      <w:pPr>
        <w:ind w:left="2240" w:hanging="287"/>
        <w:spacing w:after="0"/>
        <w:tabs>
          <w:tab w:leader="none" w:pos="2240" w:val="left"/>
        </w:tabs>
        <w:numPr>
          <w:ilvl w:val="0"/>
          <w:numId w:val="166"/>
        </w:numPr>
        <w:rPr>
          <w:rFonts w:ascii="Arial" w:cs="Arial" w:eastAsia="Arial" w:hAnsi="Arial"/>
          <w:sz w:val="22"/>
          <w:szCs w:val="22"/>
          <w:color w:val="auto"/>
        </w:rPr>
      </w:pPr>
      <w:r>
        <w:rPr>
          <w:rFonts w:ascii="Arial" w:cs="Arial" w:eastAsia="Arial" w:hAnsi="Arial"/>
          <w:sz w:val="22"/>
          <w:szCs w:val="22"/>
          <w:color w:val="auto"/>
        </w:rPr>
        <w:t>this Article 8.</w:t>
      </w:r>
    </w:p>
    <w:p>
      <w:pPr>
        <w:spacing w:after="0" w:line="260" w:lineRule="exact"/>
        <w:rPr>
          <w:sz w:val="20"/>
          <w:szCs w:val="20"/>
          <w:color w:val="auto"/>
        </w:rPr>
      </w:pPr>
    </w:p>
    <w:p>
      <w:pPr>
        <w:ind w:right="20" w:firstLine="648"/>
        <w:spacing w:after="0" w:line="302" w:lineRule="auto"/>
        <w:rPr>
          <w:sz w:val="20"/>
          <w:szCs w:val="20"/>
          <w:color w:val="auto"/>
        </w:rPr>
      </w:pPr>
      <w:r>
        <w:rPr>
          <w:rFonts w:ascii="Arial" w:cs="Arial" w:eastAsia="Arial" w:hAnsi="Arial"/>
          <w:sz w:val="22"/>
          <w:szCs w:val="22"/>
          <w:color w:val="auto"/>
        </w:rPr>
        <w:t>Subject to compliance with this Article 8, the Issuer may exercise its option under this Section 8.02 notwithstanding the prior exercise of its option under Section 8.03 hereof.</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3160" w:type="dxa"/>
            <w:vAlign w:val="bottom"/>
          </w:tcPr>
          <w:p>
            <w:pPr>
              <w:spacing w:after="0"/>
              <w:rPr>
                <w:sz w:val="20"/>
                <w:szCs w:val="20"/>
                <w:color w:val="auto"/>
              </w:rPr>
            </w:pPr>
            <w:r>
              <w:rPr>
                <w:rFonts w:ascii="Arial" w:cs="Arial" w:eastAsia="Arial" w:hAnsi="Arial"/>
                <w:sz w:val="11"/>
                <w:szCs w:val="11"/>
                <w:color w:val="auto"/>
              </w:rPr>
              <w:t>ASIA 33616188</w:t>
            </w:r>
          </w:p>
        </w:tc>
        <w:tc>
          <w:tcPr>
            <w:tcW w:w="2660" w:type="dxa"/>
            <w:vAlign w:val="bottom"/>
          </w:tcPr>
          <w:p>
            <w:pPr>
              <w:jc w:val="right"/>
              <w:spacing w:after="0"/>
              <w:rPr>
                <w:sz w:val="20"/>
                <w:szCs w:val="20"/>
                <w:color w:val="auto"/>
              </w:rPr>
            </w:pPr>
            <w:r>
              <w:rPr>
                <w:rFonts w:ascii="Arial" w:cs="Arial" w:eastAsia="Arial" w:hAnsi="Arial"/>
                <w:sz w:val="22"/>
                <w:szCs w:val="22"/>
                <w:color w:val="auto"/>
              </w:rPr>
              <w:t>65</w:t>
            </w:r>
          </w:p>
        </w:tc>
      </w:tr>
    </w:tbl>
    <w:p>
      <w:pPr>
        <w:sectPr>
          <w:pgSz w:w="11900" w:h="16838" w:orient="portrait"/>
          <w:cols w:equalWidth="0" w:num="1">
            <w:col w:w="11420"/>
          </w:cols>
          <w:pgMar w:left="240" w:top="1440" w:right="239" w:bottom="1440" w:gutter="0" w:footer="0" w:header="0"/>
        </w:sectPr>
      </w:pPr>
    </w:p>
    <w:bookmarkStart w:id="216" w:name="page217"/>
    <w:bookmarkEnd w:id="216"/>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8.03 </w:t>
      </w:r>
      <w:r>
        <w:rPr>
          <w:rFonts w:ascii="Arial" w:cs="Arial" w:eastAsia="Arial" w:hAnsi="Arial"/>
          <w:sz w:val="22"/>
          <w:szCs w:val="22"/>
          <w:i w:val="1"/>
          <w:iCs w:val="1"/>
          <w:color w:val="auto"/>
        </w:rPr>
        <w:t>Covenant Defeasance</w:t>
      </w:r>
      <w:r>
        <w:rPr>
          <w:rFonts w:ascii="Arial" w:cs="Arial" w:eastAsia="Arial" w:hAnsi="Arial"/>
          <w:sz w:val="22"/>
          <w:szCs w:val="22"/>
          <w:color w:val="auto"/>
        </w:rPr>
        <w:t>.</w:t>
      </w:r>
    </w:p>
    <w:p>
      <w:pPr>
        <w:spacing w:after="0" w:line="260" w:lineRule="exact"/>
        <w:rPr>
          <w:sz w:val="20"/>
          <w:szCs w:val="20"/>
          <w:color w:val="auto"/>
        </w:rPr>
      </w:pPr>
    </w:p>
    <w:p>
      <w:pPr>
        <w:jc w:val="both"/>
        <w:ind w:firstLine="648"/>
        <w:spacing w:after="0" w:line="331" w:lineRule="auto"/>
        <w:rPr>
          <w:sz w:val="20"/>
          <w:szCs w:val="20"/>
          <w:color w:val="auto"/>
        </w:rPr>
      </w:pPr>
      <w:r>
        <w:rPr>
          <w:rFonts w:ascii="Arial" w:cs="Arial" w:eastAsia="Arial" w:hAnsi="Arial"/>
          <w:sz w:val="19"/>
          <w:szCs w:val="19"/>
          <w:color w:val="auto"/>
        </w:rPr>
        <w:t>Upon the Issuer’s exercise under Section 8.01 hereof of the option applicable to this Section 8.03, the Issuer shall, subject to the satisfaction of the conditions set forth in Section 8.04 hereof, be released from its obligations under the covenants contained in Sections 4.07 and 4.08 hereof with respect to the outstanding Notes on and after the date the conditions set forth in Section 8.04 hereof are satisfied (hereinafter, “</w:t>
      </w:r>
      <w:r>
        <w:rPr>
          <w:rFonts w:ascii="Arial" w:cs="Arial" w:eastAsia="Arial" w:hAnsi="Arial"/>
          <w:sz w:val="19"/>
          <w:szCs w:val="19"/>
          <w:i w:val="1"/>
          <w:iCs w:val="1"/>
          <w:color w:val="auto"/>
        </w:rPr>
        <w:t>Covenant Defeasance</w:t>
      </w:r>
      <w:r>
        <w:rPr>
          <w:rFonts w:ascii="Arial" w:cs="Arial" w:eastAsia="Arial" w:hAnsi="Arial"/>
          <w:sz w:val="19"/>
          <w:szCs w:val="19"/>
          <w:color w:val="auto"/>
        </w:rPr>
        <w:t>”), and the Notes shall thereafter be deemed not “outstanding” for the purposes of any direction, waiver, consent or declaration or act of Holders (and the consequences of any thereof) in connection with such covenants, but shall continue to be deemed “outstanding” for all other purposes hereunder (it being understood that such Notes shall not be deemed outstanding for accounting purposes). For this purpose, Covenant Defeasance means that, with respect to the outstanding Notes, the Issuer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Section 6.01 hereof, but, except as specified above, the remainder of this Indenture and such Notes shall be unaffected thereby. In addition, upon the Issuer’s exercise under Section 8.01 hereof of the option applicable to this Section 8.03 hereof, subject to the satisfaction of the conditions set forth in Section 8.04 hereof, Sections 6.01(c) through 6.01(f) hereof shall not constitute Events of Default.</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8.04 </w:t>
      </w:r>
      <w:r>
        <w:rPr>
          <w:rFonts w:ascii="Arial" w:cs="Arial" w:eastAsia="Arial" w:hAnsi="Arial"/>
          <w:sz w:val="22"/>
          <w:szCs w:val="22"/>
          <w:i w:val="1"/>
          <w:iCs w:val="1"/>
          <w:color w:val="auto"/>
        </w:rPr>
        <w:t>Conditions to Legal or Covenant Defeasance</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order to exercise either Legal Defeasance or Covenant Defeasance under either Section 8.02 or 8.03 hereof:</w:t>
      </w:r>
    </w:p>
    <w:p>
      <w:pPr>
        <w:spacing w:after="0" w:line="272" w:lineRule="exact"/>
        <w:rPr>
          <w:sz w:val="20"/>
          <w:szCs w:val="20"/>
          <w:color w:val="auto"/>
        </w:rPr>
      </w:pPr>
    </w:p>
    <w:p>
      <w:pPr>
        <w:jc w:val="both"/>
        <w:ind w:firstLine="656"/>
        <w:spacing w:after="0" w:line="301" w:lineRule="auto"/>
        <w:tabs>
          <w:tab w:leader="none" w:pos="960" w:val="left"/>
        </w:tabs>
        <w:numPr>
          <w:ilvl w:val="0"/>
          <w:numId w:val="167"/>
        </w:numPr>
        <w:rPr>
          <w:rFonts w:ascii="Arial" w:cs="Arial" w:eastAsia="Arial" w:hAnsi="Arial"/>
          <w:sz w:val="21"/>
          <w:szCs w:val="21"/>
          <w:color w:val="auto"/>
        </w:rPr>
      </w:pPr>
      <w:r>
        <w:rPr>
          <w:rFonts w:ascii="Arial" w:cs="Arial" w:eastAsia="Arial" w:hAnsi="Arial"/>
          <w:sz w:val="21"/>
          <w:szCs w:val="21"/>
          <w:color w:val="auto"/>
        </w:rPr>
        <w:t>the Issuer must irrevocably deposit with the Trustee or its designee, in trust, for the benefit of the Holders, cash in U.S. dollars, non-callable Government Securities, or a combination of cash in U.S. dollars and non-callable Government Securities, in amounts as shall be sufficient, in the opinion of an internationally recognized investment bank, appraisal firm or firm of independent public accountants, to pay the principal of, or interest and premium, if any, on the outstanding Notes on the stated date for payment thereof or on the applicable redemption date, as the case may be, and the Issuer must specify whether the Notes are being defeased to such stated date for payment or to a particular redemption date;</w:t>
      </w:r>
    </w:p>
    <w:p>
      <w:pPr>
        <w:spacing w:after="0" w:line="181" w:lineRule="exact"/>
        <w:rPr>
          <w:rFonts w:ascii="Arial" w:cs="Arial" w:eastAsia="Arial" w:hAnsi="Arial"/>
          <w:sz w:val="21"/>
          <w:szCs w:val="21"/>
          <w:color w:val="auto"/>
        </w:rPr>
      </w:pPr>
    </w:p>
    <w:p>
      <w:pPr>
        <w:jc w:val="both"/>
        <w:ind w:firstLine="656"/>
        <w:spacing w:after="0" w:line="287" w:lineRule="auto"/>
        <w:tabs>
          <w:tab w:leader="none" w:pos="972" w:val="left"/>
        </w:tabs>
        <w:numPr>
          <w:ilvl w:val="0"/>
          <w:numId w:val="167"/>
        </w:numPr>
        <w:rPr>
          <w:rFonts w:ascii="Arial" w:cs="Arial" w:eastAsia="Arial" w:hAnsi="Arial"/>
          <w:sz w:val="22"/>
          <w:szCs w:val="22"/>
          <w:color w:val="auto"/>
        </w:rPr>
      </w:pPr>
      <w:r>
        <w:rPr>
          <w:rFonts w:ascii="Arial" w:cs="Arial" w:eastAsia="Arial" w:hAnsi="Arial"/>
          <w:sz w:val="22"/>
          <w:szCs w:val="22"/>
          <w:color w:val="auto"/>
        </w:rPr>
        <w:t>in the case of an election under Section 8.02 hereof, the Issuer must deliver to the Trustee an Opinion of Counsel reasonably acceptable to the Trustee confirming that (1) the Issuer has received from, or there has been published by, the Internal Revenue Service a ruling or (2) since the date of this Indenture, there has been a change in the applicable United States federal income tax law, in either case to the effect that, and based thereon such Opinion of Counsel shall confirm that, the Holders of the outstanding Notes shall not</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3160" w:type="dxa"/>
            <w:vAlign w:val="bottom"/>
          </w:tcPr>
          <w:p>
            <w:pPr>
              <w:spacing w:after="0"/>
              <w:rPr>
                <w:sz w:val="20"/>
                <w:szCs w:val="20"/>
                <w:color w:val="auto"/>
              </w:rPr>
            </w:pPr>
            <w:r>
              <w:rPr>
                <w:rFonts w:ascii="Arial" w:cs="Arial" w:eastAsia="Arial" w:hAnsi="Arial"/>
                <w:sz w:val="11"/>
                <w:szCs w:val="11"/>
                <w:color w:val="auto"/>
              </w:rPr>
              <w:t>ASIA 33616188</w:t>
            </w:r>
          </w:p>
        </w:tc>
        <w:tc>
          <w:tcPr>
            <w:tcW w:w="2660" w:type="dxa"/>
            <w:vAlign w:val="bottom"/>
          </w:tcPr>
          <w:p>
            <w:pPr>
              <w:jc w:val="right"/>
              <w:spacing w:after="0"/>
              <w:rPr>
                <w:sz w:val="20"/>
                <w:szCs w:val="20"/>
                <w:color w:val="auto"/>
              </w:rPr>
            </w:pPr>
            <w:r>
              <w:rPr>
                <w:rFonts w:ascii="Arial" w:cs="Arial" w:eastAsia="Arial" w:hAnsi="Arial"/>
                <w:sz w:val="22"/>
                <w:szCs w:val="22"/>
                <w:color w:val="auto"/>
              </w:rPr>
              <w:t>66</w:t>
            </w:r>
          </w:p>
        </w:tc>
      </w:tr>
    </w:tbl>
    <w:p>
      <w:pPr>
        <w:sectPr>
          <w:pgSz w:w="11900" w:h="16838" w:orient="portrait"/>
          <w:cols w:equalWidth="0" w:num="1">
            <w:col w:w="11420"/>
          </w:cols>
          <w:pgMar w:left="240" w:top="1440" w:right="239" w:bottom="1440" w:gutter="0" w:footer="0" w:header="0"/>
        </w:sectPr>
      </w:pPr>
    </w:p>
    <w:bookmarkStart w:id="217" w:name="page218"/>
    <w:bookmarkEnd w:id="217"/>
    <w:p>
      <w:pPr>
        <w:spacing w:after="0" w:line="2" w:lineRule="exact"/>
        <w:rPr>
          <w:sz w:val="20"/>
          <w:szCs w:val="20"/>
          <w:color w:val="auto"/>
        </w:rPr>
      </w:pPr>
    </w:p>
    <w:p>
      <w:pPr>
        <w:jc w:val="both"/>
        <w:spacing w:after="0" w:line="292" w:lineRule="auto"/>
        <w:rPr>
          <w:sz w:val="20"/>
          <w:szCs w:val="20"/>
          <w:color w:val="auto"/>
        </w:rPr>
      </w:pPr>
      <w:r>
        <w:rPr>
          <w:rFonts w:ascii="Arial" w:cs="Arial" w:eastAsia="Arial" w:hAnsi="Arial"/>
          <w:sz w:val="22"/>
          <w:szCs w:val="22"/>
          <w:color w:val="auto"/>
        </w:rPr>
        <w:t>recognize income, gain or loss for United States federal income tax purposes as a result of such Legal Defeasance and shall be subject to United States federal income tax on the same amounts, in the same manner and at the same times as would have been the case if such Legal Defeasance had not occurred;</w:t>
      </w:r>
    </w:p>
    <w:p>
      <w:pPr>
        <w:spacing w:after="0" w:line="184" w:lineRule="exact"/>
        <w:rPr>
          <w:sz w:val="20"/>
          <w:szCs w:val="20"/>
          <w:color w:val="auto"/>
        </w:rPr>
      </w:pPr>
    </w:p>
    <w:p>
      <w:pPr>
        <w:jc w:val="both"/>
        <w:ind w:firstLine="656"/>
        <w:spacing w:after="0" w:line="287" w:lineRule="auto"/>
        <w:tabs>
          <w:tab w:leader="none" w:pos="960" w:val="left"/>
        </w:tabs>
        <w:numPr>
          <w:ilvl w:val="0"/>
          <w:numId w:val="168"/>
        </w:numPr>
        <w:rPr>
          <w:rFonts w:ascii="Arial" w:cs="Arial" w:eastAsia="Arial" w:hAnsi="Arial"/>
          <w:sz w:val="22"/>
          <w:szCs w:val="22"/>
          <w:color w:val="auto"/>
        </w:rPr>
      </w:pPr>
      <w:r>
        <w:rPr>
          <w:rFonts w:ascii="Arial" w:cs="Arial" w:eastAsia="Arial" w:hAnsi="Arial"/>
          <w:sz w:val="22"/>
          <w:szCs w:val="22"/>
          <w:color w:val="auto"/>
        </w:rPr>
        <w:t>in the case of an election under Section 8.03 hereof, the Issuer has delivered to the Trustee an Opinion of Counsel reasonably acceptable to the Trustee confirming that the Holders of the outstanding Notes shall not recognize income, gain or loss for United States federal income tax purposes as a result of such Covenant Defeasance and shall be subject to United States federal income tax on the same amounts, in the same manner and at the same times as would have been the case if such Covenant Defeasance had not occurred;</w:t>
      </w:r>
    </w:p>
    <w:p>
      <w:pPr>
        <w:spacing w:after="0" w:line="189" w:lineRule="exact"/>
        <w:rPr>
          <w:rFonts w:ascii="Arial" w:cs="Arial" w:eastAsia="Arial" w:hAnsi="Arial"/>
          <w:sz w:val="22"/>
          <w:szCs w:val="22"/>
          <w:color w:val="auto"/>
        </w:rPr>
      </w:pPr>
    </w:p>
    <w:p>
      <w:pPr>
        <w:jc w:val="both"/>
        <w:ind w:firstLine="656"/>
        <w:spacing w:after="0" w:line="357" w:lineRule="auto"/>
        <w:tabs>
          <w:tab w:leader="none" w:pos="945" w:val="left"/>
        </w:tabs>
        <w:numPr>
          <w:ilvl w:val="0"/>
          <w:numId w:val="168"/>
        </w:numPr>
        <w:rPr>
          <w:rFonts w:ascii="Arial" w:cs="Arial" w:eastAsia="Arial" w:hAnsi="Arial"/>
          <w:sz w:val="19"/>
          <w:szCs w:val="19"/>
          <w:color w:val="auto"/>
        </w:rPr>
      </w:pPr>
      <w:r>
        <w:rPr>
          <w:rFonts w:ascii="Arial" w:cs="Arial" w:eastAsia="Arial" w:hAnsi="Arial"/>
          <w:sz w:val="19"/>
          <w:szCs w:val="19"/>
          <w:color w:val="auto"/>
        </w:rPr>
        <w:t>no Default or Event of Default has occurred and is continuing on the date of such deposit (other than a Default or Event of Default resulting from the borrowing of funds to be applied to such deposit) and the deposit shall not result in a breach or violation of, or constitute a default under, any other instrument to which the Issuer is a party or by which the Issuer is bound;</w:t>
      </w:r>
    </w:p>
    <w:p>
      <w:pPr>
        <w:spacing w:after="0" w:line="132" w:lineRule="exact"/>
        <w:rPr>
          <w:rFonts w:ascii="Arial" w:cs="Arial" w:eastAsia="Arial" w:hAnsi="Arial"/>
          <w:sz w:val="19"/>
          <w:szCs w:val="19"/>
          <w:color w:val="auto"/>
        </w:rPr>
      </w:pPr>
    </w:p>
    <w:p>
      <w:pPr>
        <w:jc w:val="both"/>
        <w:ind w:firstLine="656"/>
        <w:spacing w:after="0" w:line="292" w:lineRule="auto"/>
        <w:tabs>
          <w:tab w:leader="none" w:pos="933" w:val="left"/>
        </w:tabs>
        <w:numPr>
          <w:ilvl w:val="0"/>
          <w:numId w:val="168"/>
        </w:numPr>
        <w:rPr>
          <w:rFonts w:ascii="Arial" w:cs="Arial" w:eastAsia="Arial" w:hAnsi="Arial"/>
          <w:sz w:val="22"/>
          <w:szCs w:val="22"/>
          <w:color w:val="auto"/>
        </w:rPr>
      </w:pPr>
      <w:r>
        <w:rPr>
          <w:rFonts w:ascii="Arial" w:cs="Arial" w:eastAsia="Arial" w:hAnsi="Arial"/>
          <w:sz w:val="22"/>
          <w:szCs w:val="22"/>
          <w:color w:val="auto"/>
        </w:rPr>
        <w:t>such Legal Defeasance or Covenant Defeasance shall not result in a breach or violation of, or constitute a default under, any material agreement or instrument (other than this Indenture) to which the Issuer is a party or by which any such Person is bound;</w:t>
      </w:r>
    </w:p>
    <w:p>
      <w:pPr>
        <w:spacing w:after="0" w:line="184" w:lineRule="exact"/>
        <w:rPr>
          <w:rFonts w:ascii="Arial" w:cs="Arial" w:eastAsia="Arial" w:hAnsi="Arial"/>
          <w:sz w:val="22"/>
          <w:szCs w:val="22"/>
          <w:color w:val="auto"/>
        </w:rPr>
      </w:pPr>
    </w:p>
    <w:p>
      <w:pPr>
        <w:jc w:val="both"/>
        <w:ind w:firstLine="656"/>
        <w:spacing w:after="0" w:line="287" w:lineRule="auto"/>
        <w:tabs>
          <w:tab w:leader="none" w:pos="909" w:val="left"/>
        </w:tabs>
        <w:numPr>
          <w:ilvl w:val="0"/>
          <w:numId w:val="168"/>
        </w:numPr>
        <w:rPr>
          <w:rFonts w:ascii="Arial" w:cs="Arial" w:eastAsia="Arial" w:hAnsi="Arial"/>
          <w:sz w:val="22"/>
          <w:szCs w:val="22"/>
          <w:color w:val="auto"/>
        </w:rPr>
      </w:pPr>
      <w:r>
        <w:rPr>
          <w:rFonts w:ascii="Arial" w:cs="Arial" w:eastAsia="Arial" w:hAnsi="Arial"/>
          <w:sz w:val="22"/>
          <w:szCs w:val="22"/>
          <w:color w:val="auto"/>
        </w:rPr>
        <w:t>in the case of an election under Section 8.02 hereof, the Issuer must deliver to the Trustee an Opinion of Counsel to the effect that, assuming no intervening bankruptcy of the Issuer between the date of deposit and the 183rd day following the deposit and assuming that no Holder of Notes is an “insider” of the Issuer under applicable bankruptcy law, after the 183rd day following the deposit, the trust funds shall not be subject to the effect of any applicable bankruptcy, insolvency, reorganization or similar laws affecting creditors’ rights generally;</w:t>
      </w:r>
    </w:p>
    <w:p>
      <w:pPr>
        <w:spacing w:after="0" w:line="189" w:lineRule="exact"/>
        <w:rPr>
          <w:rFonts w:ascii="Arial" w:cs="Arial" w:eastAsia="Arial" w:hAnsi="Arial"/>
          <w:sz w:val="22"/>
          <w:szCs w:val="22"/>
          <w:color w:val="auto"/>
        </w:rPr>
      </w:pPr>
    </w:p>
    <w:p>
      <w:pPr>
        <w:jc w:val="both"/>
        <w:ind w:firstLine="656"/>
        <w:spacing w:after="0" w:line="292" w:lineRule="auto"/>
        <w:tabs>
          <w:tab w:leader="none" w:pos="945" w:val="left"/>
        </w:tabs>
        <w:numPr>
          <w:ilvl w:val="0"/>
          <w:numId w:val="168"/>
        </w:numPr>
        <w:rPr>
          <w:rFonts w:ascii="Arial" w:cs="Arial" w:eastAsia="Arial" w:hAnsi="Arial"/>
          <w:sz w:val="22"/>
          <w:szCs w:val="22"/>
          <w:color w:val="auto"/>
        </w:rPr>
      </w:pPr>
      <w:r>
        <w:rPr>
          <w:rFonts w:ascii="Arial" w:cs="Arial" w:eastAsia="Arial" w:hAnsi="Arial"/>
          <w:sz w:val="22"/>
          <w:szCs w:val="22"/>
          <w:color w:val="auto"/>
        </w:rPr>
        <w:t>the Issuer must deliver to the Trustee an Officer’s Certificate stating that the deposit was not made by the Issuer with the intent of preferring the Holders of Notes over the other creditors of the Issuer with the intent of defeating, hindering, delaying or defrauding any creditors of the Issuer or others; and</w:t>
      </w:r>
    </w:p>
    <w:p>
      <w:pPr>
        <w:spacing w:after="0" w:line="184" w:lineRule="exact"/>
        <w:rPr>
          <w:rFonts w:ascii="Arial" w:cs="Arial" w:eastAsia="Arial" w:hAnsi="Arial"/>
          <w:sz w:val="22"/>
          <w:szCs w:val="22"/>
          <w:color w:val="auto"/>
        </w:rPr>
      </w:pPr>
    </w:p>
    <w:p>
      <w:pPr>
        <w:ind w:firstLine="656"/>
        <w:spacing w:after="0" w:line="302" w:lineRule="auto"/>
        <w:tabs>
          <w:tab w:leader="none" w:pos="945" w:val="left"/>
        </w:tabs>
        <w:numPr>
          <w:ilvl w:val="0"/>
          <w:numId w:val="168"/>
        </w:numPr>
        <w:rPr>
          <w:rFonts w:ascii="Arial" w:cs="Arial" w:eastAsia="Arial" w:hAnsi="Arial"/>
          <w:sz w:val="22"/>
          <w:szCs w:val="22"/>
          <w:color w:val="auto"/>
        </w:rPr>
      </w:pPr>
      <w:r>
        <w:rPr>
          <w:rFonts w:ascii="Arial" w:cs="Arial" w:eastAsia="Arial" w:hAnsi="Arial"/>
          <w:sz w:val="22"/>
          <w:szCs w:val="22"/>
          <w:color w:val="auto"/>
        </w:rPr>
        <w:t>the Issuer must deliver to the Trustee an Officer’s Certificate and an Opinion of Counsel, each stating that all conditions precedent relating to the Legal Defeasance or the Covenant Defeasance have been complied with.</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8.05 </w:t>
      </w:r>
      <w:r>
        <w:rPr>
          <w:rFonts w:ascii="Arial" w:cs="Arial" w:eastAsia="Arial" w:hAnsi="Arial"/>
          <w:sz w:val="22"/>
          <w:szCs w:val="22"/>
          <w:i w:val="1"/>
          <w:iCs w:val="1"/>
          <w:color w:val="auto"/>
        </w:rPr>
        <w:t>Deposited Money and Government Securities to be Held in Trust; Other Miscellaneous Provisions.</w:t>
      </w:r>
    </w:p>
    <w:p>
      <w:pPr>
        <w:spacing w:after="0" w:line="260" w:lineRule="exact"/>
        <w:rPr>
          <w:sz w:val="20"/>
          <w:szCs w:val="20"/>
          <w:color w:val="auto"/>
        </w:rPr>
      </w:pPr>
    </w:p>
    <w:p>
      <w:pPr>
        <w:ind w:right="20" w:firstLine="648"/>
        <w:spacing w:after="0" w:line="302" w:lineRule="auto"/>
        <w:rPr>
          <w:sz w:val="20"/>
          <w:szCs w:val="20"/>
          <w:color w:val="auto"/>
        </w:rPr>
      </w:pPr>
      <w:r>
        <w:rPr>
          <w:rFonts w:ascii="Arial" w:cs="Arial" w:eastAsia="Arial" w:hAnsi="Arial"/>
          <w:sz w:val="22"/>
          <w:szCs w:val="22"/>
          <w:color w:val="auto"/>
        </w:rPr>
        <w:t>Subject to Section 8.06 hereof, all money and Government Securities (including the proceeds thereof) deposited with the Trustee (or other qualifying trustee, collectively for</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3160" w:type="dxa"/>
            <w:vAlign w:val="bottom"/>
          </w:tcPr>
          <w:p>
            <w:pPr>
              <w:spacing w:after="0"/>
              <w:rPr>
                <w:sz w:val="20"/>
                <w:szCs w:val="20"/>
                <w:color w:val="auto"/>
              </w:rPr>
            </w:pPr>
            <w:r>
              <w:rPr>
                <w:rFonts w:ascii="Arial" w:cs="Arial" w:eastAsia="Arial" w:hAnsi="Arial"/>
                <w:sz w:val="11"/>
                <w:szCs w:val="11"/>
                <w:color w:val="auto"/>
              </w:rPr>
              <w:t>ASIA 33616188</w:t>
            </w:r>
          </w:p>
        </w:tc>
        <w:tc>
          <w:tcPr>
            <w:tcW w:w="2660" w:type="dxa"/>
            <w:vAlign w:val="bottom"/>
          </w:tcPr>
          <w:p>
            <w:pPr>
              <w:jc w:val="right"/>
              <w:spacing w:after="0"/>
              <w:rPr>
                <w:sz w:val="20"/>
                <w:szCs w:val="20"/>
                <w:color w:val="auto"/>
              </w:rPr>
            </w:pPr>
            <w:r>
              <w:rPr>
                <w:rFonts w:ascii="Arial" w:cs="Arial" w:eastAsia="Arial" w:hAnsi="Arial"/>
                <w:sz w:val="22"/>
                <w:szCs w:val="22"/>
                <w:color w:val="auto"/>
              </w:rPr>
              <w:t>67</w:t>
            </w:r>
          </w:p>
        </w:tc>
      </w:tr>
    </w:tbl>
    <w:p>
      <w:pPr>
        <w:sectPr>
          <w:pgSz w:w="11900" w:h="16838" w:orient="portrait"/>
          <w:cols w:equalWidth="0" w:num="1">
            <w:col w:w="11420"/>
          </w:cols>
          <w:pgMar w:left="240" w:top="1440" w:right="239" w:bottom="1440" w:gutter="0" w:footer="0" w:header="0"/>
        </w:sectPr>
      </w:pPr>
    </w:p>
    <w:bookmarkStart w:id="218" w:name="page219"/>
    <w:bookmarkEnd w:id="218"/>
    <w:p>
      <w:pPr>
        <w:spacing w:after="0" w:line="2" w:lineRule="exact"/>
        <w:rPr>
          <w:sz w:val="20"/>
          <w:szCs w:val="20"/>
          <w:color w:val="auto"/>
        </w:rPr>
      </w:pPr>
    </w:p>
    <w:p>
      <w:pPr>
        <w:jc w:val="both"/>
        <w:spacing w:after="0" w:line="303" w:lineRule="auto"/>
        <w:rPr>
          <w:sz w:val="20"/>
          <w:szCs w:val="20"/>
          <w:color w:val="auto"/>
        </w:rPr>
      </w:pPr>
      <w:r>
        <w:rPr>
          <w:rFonts w:ascii="Arial" w:cs="Arial" w:eastAsia="Arial" w:hAnsi="Arial"/>
          <w:sz w:val="21"/>
          <w:szCs w:val="21"/>
          <w:color w:val="auto"/>
        </w:rPr>
        <w:t>purposes of this Section 8.05, the “</w:t>
      </w:r>
      <w:r>
        <w:rPr>
          <w:rFonts w:ascii="Arial" w:cs="Arial" w:eastAsia="Arial" w:hAnsi="Arial"/>
          <w:sz w:val="21"/>
          <w:szCs w:val="21"/>
          <w:i w:val="1"/>
          <w:iCs w:val="1"/>
          <w:color w:val="auto"/>
        </w:rPr>
        <w:t>Trustee</w:t>
      </w:r>
      <w:r>
        <w:rPr>
          <w:rFonts w:ascii="Arial" w:cs="Arial" w:eastAsia="Arial" w:hAnsi="Arial"/>
          <w:sz w:val="21"/>
          <w:szCs w:val="21"/>
          <w:color w:val="auto"/>
        </w:rPr>
        <w:t>”) pursuant to Section 8.04 hereof in respect of the outstanding Notes shall be held in trust and applied by the Trustee, in accordance with the provisions of such Notes and this Indenture, to the payment, either directly or through any Paying Agent (including the Issuer acting as Paying Agent) as the Trustee may determine, to the Holders of such Notes of all sums due and to become due thereon in respect of principal, premium, if any, and interest, but such money need not be segregated from other funds except to the extent required by law.</w:t>
      </w:r>
    </w:p>
    <w:p>
      <w:pPr>
        <w:spacing w:after="0" w:line="177" w:lineRule="exact"/>
        <w:rPr>
          <w:sz w:val="20"/>
          <w:szCs w:val="20"/>
          <w:color w:val="auto"/>
        </w:rPr>
      </w:pPr>
    </w:p>
    <w:p>
      <w:pPr>
        <w:jc w:val="both"/>
        <w:ind w:firstLine="648"/>
        <w:spacing w:after="0" w:line="357" w:lineRule="auto"/>
        <w:rPr>
          <w:sz w:val="20"/>
          <w:szCs w:val="20"/>
          <w:color w:val="auto"/>
        </w:rPr>
      </w:pPr>
      <w:r>
        <w:rPr>
          <w:rFonts w:ascii="Arial" w:cs="Arial" w:eastAsia="Arial" w:hAnsi="Arial"/>
          <w:sz w:val="19"/>
          <w:szCs w:val="19"/>
          <w:color w:val="auto"/>
        </w:rPr>
        <w:t>The Issuer shall pay and indemnify the Trustee against any tax, fee or other charge imposed on or assessed against the cash or Government Securities deposited pursuant to Section 8.04 hereof or the principal and interest received in respect thereof other than any such tax, fee or other charge which by law is for the account of the Holders of the outstanding Notes.</w:t>
      </w:r>
    </w:p>
    <w:p>
      <w:pPr>
        <w:spacing w:after="0" w:line="132" w:lineRule="exact"/>
        <w:rPr>
          <w:sz w:val="20"/>
          <w:szCs w:val="20"/>
          <w:color w:val="auto"/>
        </w:rPr>
      </w:pPr>
    </w:p>
    <w:p>
      <w:pPr>
        <w:jc w:val="both"/>
        <w:ind w:firstLine="648"/>
        <w:spacing w:after="0" w:line="341" w:lineRule="auto"/>
        <w:rPr>
          <w:sz w:val="20"/>
          <w:szCs w:val="20"/>
          <w:color w:val="auto"/>
        </w:rPr>
      </w:pPr>
      <w:r>
        <w:rPr>
          <w:rFonts w:ascii="Arial" w:cs="Arial" w:eastAsia="Arial" w:hAnsi="Arial"/>
          <w:sz w:val="19"/>
          <w:szCs w:val="19"/>
          <w:color w:val="auto"/>
        </w:rPr>
        <w:t>Notwithstanding anything in this Article 8 to the contrary, the Trustee shall deliver or pay to the Issuer from time to time upon the request of the Issuer any money or Government Securities held by it as provided in Section 8.04 hereof which, in the opinion of an internationally recognized firm of independent public accountants expressed in a written certification thereof delivered to the Trustee (which may be the opinion delivered under Section 8.04(b) hereof), are in excess of the amount thereof that would then be required to be deposited to effect an equivalent Legal Defeasance or Covenant Defeasance.</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8.06 </w:t>
      </w:r>
      <w:r>
        <w:rPr>
          <w:rFonts w:ascii="Arial" w:cs="Arial" w:eastAsia="Arial" w:hAnsi="Arial"/>
          <w:sz w:val="22"/>
          <w:szCs w:val="22"/>
          <w:i w:val="1"/>
          <w:iCs w:val="1"/>
          <w:color w:val="auto"/>
        </w:rPr>
        <w:t>Repayment to Issuer</w:t>
      </w:r>
      <w:r>
        <w:rPr>
          <w:rFonts w:ascii="Arial" w:cs="Arial" w:eastAsia="Arial" w:hAnsi="Arial"/>
          <w:sz w:val="22"/>
          <w:szCs w:val="22"/>
          <w:color w:val="auto"/>
        </w:rPr>
        <w:t>.</w:t>
      </w:r>
    </w:p>
    <w:p>
      <w:pPr>
        <w:spacing w:after="0" w:line="260" w:lineRule="exact"/>
        <w:rPr>
          <w:sz w:val="20"/>
          <w:szCs w:val="20"/>
          <w:color w:val="auto"/>
        </w:rPr>
      </w:pPr>
    </w:p>
    <w:p>
      <w:pPr>
        <w:jc w:val="both"/>
        <w:ind w:firstLine="648"/>
        <w:spacing w:after="0" w:line="333" w:lineRule="auto"/>
        <w:rPr>
          <w:sz w:val="20"/>
          <w:szCs w:val="20"/>
          <w:color w:val="auto"/>
        </w:rPr>
      </w:pPr>
      <w:r>
        <w:rPr>
          <w:rFonts w:ascii="Arial" w:cs="Arial" w:eastAsia="Arial" w:hAnsi="Arial"/>
          <w:sz w:val="19"/>
          <w:szCs w:val="19"/>
          <w:color w:val="auto"/>
        </w:rPr>
        <w:t xml:space="preserve">Any money deposited with the Trustee or any Paying Agent, or then held by the Issuer, in trust for the payment of the principal of, premium, if any, or interest on any Note and remaining unclaimed for two years after such principal, premium, if any, or interest has become due and payable shall be paid to the Issuer on its request or (if then held by the Issuer) shall be discharged from such trust; and the Holder of such Note shall thereafter be permitted to look only to the Issuer for payment thereof, and all liability of the Trustee or such Paying Agent with respect to such trust money, and all liability of the Issuer as trustee thereof, shall thereupon cease;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Trustee or such Paying Agent, before being required to make any such repayment, may at the expense of the Issuer cause to be published once, in the New York Times (United States national edition) and The Wall Street Journal (United States national edition and The Wall Street Journal Asia), notice that such money remains unclaimed and that, after a date specified therein, which shall not be less than 30 days from the date of such notification or publication, any unclaimed balance of such money then remaining shall be repaid to the Issuer.</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8.07 </w:t>
      </w:r>
      <w:r>
        <w:rPr>
          <w:rFonts w:ascii="Arial" w:cs="Arial" w:eastAsia="Arial" w:hAnsi="Arial"/>
          <w:sz w:val="22"/>
          <w:szCs w:val="22"/>
          <w:i w:val="1"/>
          <w:iCs w:val="1"/>
          <w:color w:val="auto"/>
        </w:rPr>
        <w:t>Reinstatement</w:t>
      </w:r>
      <w:r>
        <w:rPr>
          <w:rFonts w:ascii="Arial" w:cs="Arial" w:eastAsia="Arial" w:hAnsi="Arial"/>
          <w:sz w:val="22"/>
          <w:szCs w:val="22"/>
          <w:color w:val="auto"/>
        </w:rPr>
        <w:t>.</w:t>
      </w:r>
    </w:p>
    <w:p>
      <w:pPr>
        <w:spacing w:after="0" w:line="26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If the Trustee or Paying Agent is unable to apply any United States dollars or non-callable Government Securities in accordance with Section 8.02 or 8.03 hereof, as the case may be, by reason of any order or judgment of any court or governmental authority enjoining,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3160" w:type="dxa"/>
            <w:vAlign w:val="bottom"/>
          </w:tcPr>
          <w:p>
            <w:pPr>
              <w:spacing w:after="0"/>
              <w:rPr>
                <w:sz w:val="20"/>
                <w:szCs w:val="20"/>
                <w:color w:val="auto"/>
              </w:rPr>
            </w:pPr>
            <w:r>
              <w:rPr>
                <w:rFonts w:ascii="Arial" w:cs="Arial" w:eastAsia="Arial" w:hAnsi="Arial"/>
                <w:sz w:val="11"/>
                <w:szCs w:val="11"/>
                <w:color w:val="auto"/>
              </w:rPr>
              <w:t>ASIA 33616188</w:t>
            </w:r>
          </w:p>
        </w:tc>
        <w:tc>
          <w:tcPr>
            <w:tcW w:w="2660" w:type="dxa"/>
            <w:vAlign w:val="bottom"/>
          </w:tcPr>
          <w:p>
            <w:pPr>
              <w:jc w:val="right"/>
              <w:spacing w:after="0"/>
              <w:rPr>
                <w:sz w:val="20"/>
                <w:szCs w:val="20"/>
                <w:color w:val="auto"/>
              </w:rPr>
            </w:pPr>
            <w:r>
              <w:rPr>
                <w:rFonts w:ascii="Arial" w:cs="Arial" w:eastAsia="Arial" w:hAnsi="Arial"/>
                <w:sz w:val="22"/>
                <w:szCs w:val="22"/>
                <w:color w:val="auto"/>
              </w:rPr>
              <w:t>68</w:t>
            </w:r>
          </w:p>
        </w:tc>
      </w:tr>
    </w:tbl>
    <w:p>
      <w:pPr>
        <w:sectPr>
          <w:pgSz w:w="11900" w:h="16838" w:orient="portrait"/>
          <w:cols w:equalWidth="0" w:num="1">
            <w:col w:w="11420"/>
          </w:cols>
          <w:pgMar w:left="240" w:top="1440" w:right="239" w:bottom="1440" w:gutter="0" w:footer="0" w:header="0"/>
        </w:sectPr>
      </w:pPr>
    </w:p>
    <w:bookmarkStart w:id="219" w:name="page220"/>
    <w:bookmarkEnd w:id="219"/>
    <w:p>
      <w:pPr>
        <w:spacing w:after="0" w:line="2" w:lineRule="exact"/>
        <w:rPr>
          <w:sz w:val="20"/>
          <w:szCs w:val="20"/>
          <w:color w:val="auto"/>
        </w:rPr>
      </w:pPr>
    </w:p>
    <w:p>
      <w:pPr>
        <w:jc w:val="both"/>
        <w:spacing w:after="0" w:line="285" w:lineRule="auto"/>
        <w:rPr>
          <w:sz w:val="20"/>
          <w:szCs w:val="20"/>
          <w:color w:val="auto"/>
        </w:rPr>
      </w:pPr>
      <w:r>
        <w:rPr>
          <w:rFonts w:ascii="Arial" w:cs="Arial" w:eastAsia="Arial" w:hAnsi="Arial"/>
          <w:sz w:val="22"/>
          <w:szCs w:val="22"/>
          <w:color w:val="auto"/>
        </w:rPr>
        <w:t xml:space="preserve">restraining or otherwise prohibiting such application, then the Issuer’s obligations under this Indenture and the Notes shall be revived and reinstated as though no deposit had occurred pursuant to Section 8.02 or 8.03 hereof until such time as the Trustee or Paying Agent is permitted to apply all such money in accordance with Section 8.02 or 8.03 hereof, as the case may be;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if the Issuer makes any payment of principal of, premium, if any, or interest on any Note following the reinstatement</w:t>
      </w:r>
      <w:r>
        <w:rPr>
          <w:rFonts w:ascii="Arial" w:cs="Arial" w:eastAsia="Arial" w:hAnsi="Arial"/>
          <w:sz w:val="22"/>
          <w:szCs w:val="22"/>
          <w:i w:val="1"/>
          <w:iCs w:val="1"/>
          <w:color w:val="auto"/>
        </w:rPr>
        <w:t xml:space="preserve"> </w:t>
      </w:r>
      <w:r>
        <w:rPr>
          <w:rFonts w:ascii="Arial" w:cs="Arial" w:eastAsia="Arial" w:hAnsi="Arial"/>
          <w:sz w:val="22"/>
          <w:szCs w:val="22"/>
          <w:color w:val="auto"/>
        </w:rPr>
        <w:t>of its obligations, the Issuer shall be subrogated to the rights of the Holders of such Notes to receive such payment from the money held by the Trustee or Paying Agent.</w:t>
      </w:r>
    </w:p>
    <w:p>
      <w:pPr>
        <w:spacing w:after="0" w:line="19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ARTICLE 9</w:t>
      </w:r>
    </w:p>
    <w:p>
      <w:pPr>
        <w:spacing w:after="0" w:line="247" w:lineRule="exact"/>
        <w:rPr>
          <w:sz w:val="20"/>
          <w:szCs w:val="20"/>
          <w:color w:val="auto"/>
        </w:rPr>
      </w:pPr>
    </w:p>
    <w:p>
      <w:pPr>
        <w:ind w:right="3560" w:firstLine="3553"/>
        <w:spacing w:after="0" w:line="276" w:lineRule="auto"/>
        <w:rPr>
          <w:sz w:val="20"/>
          <w:szCs w:val="20"/>
          <w:color w:val="auto"/>
        </w:rPr>
      </w:pPr>
      <w:r>
        <w:rPr>
          <w:rFonts w:ascii="Arial" w:cs="Arial" w:eastAsia="Arial" w:hAnsi="Arial"/>
          <w:sz w:val="22"/>
          <w:szCs w:val="22"/>
          <w:color w:val="auto"/>
        </w:rPr>
        <w:t xml:space="preserve">AMENDMENT, SUPPLEMENT AND WAIVER Section 9.01 </w:t>
      </w:r>
      <w:r>
        <w:rPr>
          <w:rFonts w:ascii="Arial" w:cs="Arial" w:eastAsia="Arial" w:hAnsi="Arial"/>
          <w:sz w:val="22"/>
          <w:szCs w:val="22"/>
          <w:i w:val="1"/>
          <w:iCs w:val="1"/>
          <w:color w:val="auto"/>
        </w:rPr>
        <w:t>Without Consent of Holders of Notes.</w:t>
      </w:r>
    </w:p>
    <w:p>
      <w:pPr>
        <w:spacing w:after="0" w:line="20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Notwithstanding Section 9.02 hereof, without the consent of any Holder, the Issuer and the Trustee may amend or supplement this Indenture or the Notes to:</w:t>
      </w:r>
    </w:p>
    <w:p>
      <w:pPr>
        <w:spacing w:after="0" w:line="174" w:lineRule="exact"/>
        <w:rPr>
          <w:sz w:val="20"/>
          <w:szCs w:val="20"/>
          <w:color w:val="auto"/>
        </w:rPr>
      </w:pPr>
    </w:p>
    <w:p>
      <w:pPr>
        <w:ind w:left="940" w:hanging="284"/>
        <w:spacing w:after="0"/>
        <w:tabs>
          <w:tab w:leader="none" w:pos="940" w:val="left"/>
        </w:tabs>
        <w:numPr>
          <w:ilvl w:val="0"/>
          <w:numId w:val="169"/>
        </w:numPr>
        <w:rPr>
          <w:rFonts w:ascii="Arial" w:cs="Arial" w:eastAsia="Arial" w:hAnsi="Arial"/>
          <w:sz w:val="22"/>
          <w:szCs w:val="22"/>
          <w:color w:val="auto"/>
        </w:rPr>
      </w:pPr>
      <w:r>
        <w:rPr>
          <w:rFonts w:ascii="Arial" w:cs="Arial" w:eastAsia="Arial" w:hAnsi="Arial"/>
          <w:sz w:val="22"/>
          <w:szCs w:val="22"/>
          <w:color w:val="auto"/>
        </w:rPr>
        <w:t>cure any ambiguity, defect or inconsistency;</w:t>
      </w:r>
    </w:p>
    <w:p>
      <w:pPr>
        <w:spacing w:after="0" w:line="260" w:lineRule="exact"/>
        <w:rPr>
          <w:rFonts w:ascii="Arial" w:cs="Arial" w:eastAsia="Arial" w:hAnsi="Arial"/>
          <w:sz w:val="22"/>
          <w:szCs w:val="22"/>
          <w:color w:val="auto"/>
        </w:rPr>
      </w:pPr>
    </w:p>
    <w:p>
      <w:pPr>
        <w:ind w:firstLine="656"/>
        <w:spacing w:after="0" w:line="387" w:lineRule="auto"/>
        <w:tabs>
          <w:tab w:leader="none" w:pos="945" w:val="left"/>
        </w:tabs>
        <w:numPr>
          <w:ilvl w:val="0"/>
          <w:numId w:val="169"/>
        </w:numPr>
        <w:rPr>
          <w:rFonts w:ascii="Arial" w:cs="Arial" w:eastAsia="Arial" w:hAnsi="Arial"/>
          <w:sz w:val="19"/>
          <w:szCs w:val="19"/>
          <w:color w:val="auto"/>
        </w:rPr>
      </w:pPr>
      <w:r>
        <w:rPr>
          <w:rFonts w:ascii="Arial" w:cs="Arial" w:eastAsia="Arial" w:hAnsi="Arial"/>
          <w:sz w:val="19"/>
          <w:szCs w:val="19"/>
          <w:color w:val="auto"/>
        </w:rPr>
        <w:t>provide for uncertificated Notes in addition to or in place of Definitive Notes (provided that the uncertificated Notes are issued in registered form for purposes of Section 163(f) of the U.S. Internal Revenue Code of 1986, as amended);</w:t>
      </w:r>
    </w:p>
    <w:p>
      <w:pPr>
        <w:spacing w:after="0" w:line="105" w:lineRule="exact"/>
        <w:rPr>
          <w:rFonts w:ascii="Arial" w:cs="Arial" w:eastAsia="Arial" w:hAnsi="Arial"/>
          <w:sz w:val="19"/>
          <w:szCs w:val="19"/>
          <w:color w:val="auto"/>
        </w:rPr>
      </w:pPr>
    </w:p>
    <w:p>
      <w:pPr>
        <w:ind w:firstLine="656"/>
        <w:spacing w:after="0" w:line="328" w:lineRule="auto"/>
        <w:tabs>
          <w:tab w:leader="none" w:pos="933" w:val="left"/>
        </w:tabs>
        <w:numPr>
          <w:ilvl w:val="0"/>
          <w:numId w:val="169"/>
        </w:numPr>
        <w:rPr>
          <w:rFonts w:ascii="Arial" w:cs="Arial" w:eastAsia="Arial" w:hAnsi="Arial"/>
          <w:sz w:val="21"/>
          <w:szCs w:val="21"/>
          <w:color w:val="auto"/>
        </w:rPr>
      </w:pPr>
      <w:r>
        <w:rPr>
          <w:rFonts w:ascii="Arial" w:cs="Arial" w:eastAsia="Arial" w:hAnsi="Arial"/>
          <w:sz w:val="21"/>
          <w:szCs w:val="21"/>
          <w:color w:val="auto"/>
        </w:rPr>
        <w:t>provide for the assumption of the Issuer’s obligations to the Holders of the Notes by a successor to the Issuer in the case of a merger or consolidation or sale of all or substantially all of the Issuer’s assets pursuant to Article 5 hereof;</w:t>
      </w:r>
    </w:p>
    <w:p>
      <w:pPr>
        <w:spacing w:after="0" w:line="150" w:lineRule="exact"/>
        <w:rPr>
          <w:rFonts w:ascii="Arial" w:cs="Arial" w:eastAsia="Arial" w:hAnsi="Arial"/>
          <w:sz w:val="21"/>
          <w:szCs w:val="21"/>
          <w:color w:val="auto"/>
        </w:rPr>
      </w:pPr>
    </w:p>
    <w:p>
      <w:pPr>
        <w:ind w:firstLine="656"/>
        <w:spacing w:after="0" w:line="302" w:lineRule="auto"/>
        <w:tabs>
          <w:tab w:leader="none" w:pos="972" w:val="left"/>
        </w:tabs>
        <w:numPr>
          <w:ilvl w:val="0"/>
          <w:numId w:val="169"/>
        </w:numPr>
        <w:rPr>
          <w:rFonts w:ascii="Arial" w:cs="Arial" w:eastAsia="Arial" w:hAnsi="Arial"/>
          <w:sz w:val="22"/>
          <w:szCs w:val="22"/>
          <w:color w:val="auto"/>
        </w:rPr>
      </w:pPr>
      <w:r>
        <w:rPr>
          <w:rFonts w:ascii="Arial" w:cs="Arial" w:eastAsia="Arial" w:hAnsi="Arial"/>
          <w:sz w:val="22"/>
          <w:szCs w:val="22"/>
          <w:color w:val="auto"/>
        </w:rPr>
        <w:t>make any change that would provide any additional rights or benefits to the Holders of the Notes or that does not adversely affect the legal rights hereunder of any such Holder;</w:t>
      </w:r>
    </w:p>
    <w:p>
      <w:pPr>
        <w:spacing w:after="0" w:line="173" w:lineRule="exact"/>
        <w:rPr>
          <w:rFonts w:ascii="Arial" w:cs="Arial" w:eastAsia="Arial" w:hAnsi="Arial"/>
          <w:sz w:val="22"/>
          <w:szCs w:val="22"/>
          <w:color w:val="auto"/>
        </w:rPr>
      </w:pPr>
    </w:p>
    <w:p>
      <w:pPr>
        <w:jc w:val="both"/>
        <w:ind w:firstLine="656"/>
        <w:spacing w:after="0" w:line="357" w:lineRule="auto"/>
        <w:tabs>
          <w:tab w:leader="none" w:pos="933" w:val="left"/>
        </w:tabs>
        <w:numPr>
          <w:ilvl w:val="0"/>
          <w:numId w:val="169"/>
        </w:numPr>
        <w:rPr>
          <w:rFonts w:ascii="Arial" w:cs="Arial" w:eastAsia="Arial" w:hAnsi="Arial"/>
          <w:sz w:val="19"/>
          <w:szCs w:val="19"/>
          <w:color w:val="auto"/>
        </w:rPr>
      </w:pPr>
      <w:r>
        <w:rPr>
          <w:rFonts w:ascii="Arial" w:cs="Arial" w:eastAsia="Arial" w:hAnsi="Arial"/>
          <w:sz w:val="19"/>
          <w:szCs w:val="19"/>
          <w:color w:val="auto"/>
        </w:rPr>
        <w:t>conform the text of this Indenture or the Notes to any provision of the “Description of the Notes” in the Issuer’s offering memorandum dated as of December 10, 2019, relating to the offering of the Initial Notes, to the extent that such provision in the “Description of the Notes” was intended to be a verbatim recitation of a provision of this Indenture or the Notes;</w:t>
      </w:r>
    </w:p>
    <w:p>
      <w:pPr>
        <w:spacing w:after="0" w:line="132" w:lineRule="exact"/>
        <w:rPr>
          <w:rFonts w:ascii="Arial" w:cs="Arial" w:eastAsia="Arial" w:hAnsi="Arial"/>
          <w:sz w:val="19"/>
          <w:szCs w:val="19"/>
          <w:color w:val="auto"/>
        </w:rPr>
      </w:pPr>
    </w:p>
    <w:p>
      <w:pPr>
        <w:ind w:firstLine="656"/>
        <w:spacing w:after="0" w:line="302" w:lineRule="auto"/>
        <w:tabs>
          <w:tab w:leader="none" w:pos="909" w:val="left"/>
        </w:tabs>
        <w:numPr>
          <w:ilvl w:val="0"/>
          <w:numId w:val="169"/>
        </w:numPr>
        <w:rPr>
          <w:rFonts w:ascii="Arial" w:cs="Arial" w:eastAsia="Arial" w:hAnsi="Arial"/>
          <w:sz w:val="22"/>
          <w:szCs w:val="22"/>
          <w:color w:val="auto"/>
        </w:rPr>
      </w:pPr>
      <w:r>
        <w:rPr>
          <w:rFonts w:ascii="Arial" w:cs="Arial" w:eastAsia="Arial" w:hAnsi="Arial"/>
          <w:sz w:val="22"/>
          <w:szCs w:val="22"/>
          <w:color w:val="auto"/>
        </w:rPr>
        <w:t>provide for the issuance of Additional Notes in accordance with the limitations set forth in this Indenture as of the date of this Indenture;</w:t>
      </w:r>
    </w:p>
    <w:p>
      <w:pPr>
        <w:spacing w:after="0" w:line="173" w:lineRule="exact"/>
        <w:rPr>
          <w:rFonts w:ascii="Arial" w:cs="Arial" w:eastAsia="Arial" w:hAnsi="Arial"/>
          <w:sz w:val="22"/>
          <w:szCs w:val="22"/>
          <w:color w:val="auto"/>
        </w:rPr>
      </w:pPr>
    </w:p>
    <w:p>
      <w:pPr>
        <w:ind w:left="960" w:hanging="304"/>
        <w:spacing w:after="0"/>
        <w:tabs>
          <w:tab w:leader="none" w:pos="960" w:val="left"/>
        </w:tabs>
        <w:numPr>
          <w:ilvl w:val="0"/>
          <w:numId w:val="169"/>
        </w:numPr>
        <w:rPr>
          <w:rFonts w:ascii="Arial" w:cs="Arial" w:eastAsia="Arial" w:hAnsi="Arial"/>
          <w:sz w:val="22"/>
          <w:szCs w:val="22"/>
          <w:color w:val="auto"/>
        </w:rPr>
      </w:pPr>
      <w:r>
        <w:rPr>
          <w:rFonts w:ascii="Arial" w:cs="Arial" w:eastAsia="Arial" w:hAnsi="Arial"/>
          <w:sz w:val="22"/>
          <w:szCs w:val="22"/>
          <w:color w:val="auto"/>
        </w:rPr>
        <w:t>evidence and provide for the acceptance of appointment by a successor Trustee;</w:t>
      </w:r>
    </w:p>
    <w:p>
      <w:pPr>
        <w:spacing w:after="0" w:line="260" w:lineRule="exact"/>
        <w:rPr>
          <w:rFonts w:ascii="Arial" w:cs="Arial" w:eastAsia="Arial" w:hAnsi="Arial"/>
          <w:sz w:val="22"/>
          <w:szCs w:val="22"/>
          <w:color w:val="auto"/>
        </w:rPr>
      </w:pPr>
    </w:p>
    <w:p>
      <w:pPr>
        <w:ind w:left="960" w:hanging="304"/>
        <w:spacing w:after="0"/>
        <w:tabs>
          <w:tab w:leader="none" w:pos="960" w:val="left"/>
        </w:tabs>
        <w:numPr>
          <w:ilvl w:val="0"/>
          <w:numId w:val="169"/>
        </w:numPr>
        <w:rPr>
          <w:rFonts w:ascii="Arial" w:cs="Arial" w:eastAsia="Arial" w:hAnsi="Arial"/>
          <w:sz w:val="22"/>
          <w:szCs w:val="22"/>
          <w:color w:val="auto"/>
        </w:rPr>
      </w:pPr>
      <w:r>
        <w:rPr>
          <w:rFonts w:ascii="Arial" w:cs="Arial" w:eastAsia="Arial" w:hAnsi="Arial"/>
          <w:sz w:val="22"/>
          <w:szCs w:val="22"/>
          <w:color w:val="auto"/>
        </w:rPr>
        <w:t>comply with the procedures of DTC, Euroclear or Clearstream;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3160" w:type="dxa"/>
            <w:vAlign w:val="bottom"/>
          </w:tcPr>
          <w:p>
            <w:pPr>
              <w:spacing w:after="0"/>
              <w:rPr>
                <w:sz w:val="20"/>
                <w:szCs w:val="20"/>
                <w:color w:val="auto"/>
              </w:rPr>
            </w:pPr>
            <w:r>
              <w:rPr>
                <w:rFonts w:ascii="Arial" w:cs="Arial" w:eastAsia="Arial" w:hAnsi="Arial"/>
                <w:sz w:val="11"/>
                <w:szCs w:val="11"/>
                <w:color w:val="auto"/>
              </w:rPr>
              <w:t>ASIA 33616188</w:t>
            </w:r>
          </w:p>
        </w:tc>
        <w:tc>
          <w:tcPr>
            <w:tcW w:w="2660" w:type="dxa"/>
            <w:vAlign w:val="bottom"/>
          </w:tcPr>
          <w:p>
            <w:pPr>
              <w:jc w:val="right"/>
              <w:spacing w:after="0"/>
              <w:rPr>
                <w:sz w:val="20"/>
                <w:szCs w:val="20"/>
                <w:color w:val="auto"/>
              </w:rPr>
            </w:pPr>
            <w:r>
              <w:rPr>
                <w:rFonts w:ascii="Arial" w:cs="Arial" w:eastAsia="Arial" w:hAnsi="Arial"/>
                <w:sz w:val="22"/>
                <w:szCs w:val="22"/>
                <w:color w:val="auto"/>
              </w:rPr>
              <w:t>69</w:t>
            </w:r>
          </w:p>
        </w:tc>
      </w:tr>
    </w:tbl>
    <w:p>
      <w:pPr>
        <w:sectPr>
          <w:pgSz w:w="11900" w:h="16838" w:orient="portrait"/>
          <w:cols w:equalWidth="0" w:num="1">
            <w:col w:w="11420"/>
          </w:cols>
          <w:pgMar w:left="240" w:top="1440" w:right="239" w:bottom="1440" w:gutter="0" w:footer="0" w:header="0"/>
        </w:sectPr>
      </w:pPr>
    </w:p>
    <w:bookmarkStart w:id="220" w:name="page221"/>
    <w:bookmarkEnd w:id="220"/>
    <w:p>
      <w:pPr>
        <w:spacing w:after="0" w:line="2" w:lineRule="exact"/>
        <w:rPr>
          <w:sz w:val="20"/>
          <w:szCs w:val="20"/>
          <w:color w:val="auto"/>
        </w:rPr>
      </w:pPr>
    </w:p>
    <w:p>
      <w:pPr>
        <w:jc w:val="both"/>
        <w:ind w:firstLine="656"/>
        <w:spacing w:after="0" w:line="292" w:lineRule="auto"/>
        <w:tabs>
          <w:tab w:leader="none" w:pos="911" w:val="left"/>
        </w:tabs>
        <w:numPr>
          <w:ilvl w:val="0"/>
          <w:numId w:val="170"/>
        </w:numPr>
        <w:rPr>
          <w:rFonts w:ascii="Arial" w:cs="Arial" w:eastAsia="Arial" w:hAnsi="Arial"/>
          <w:sz w:val="22"/>
          <w:szCs w:val="22"/>
          <w:color w:val="auto"/>
        </w:rPr>
      </w:pPr>
      <w:r>
        <w:rPr>
          <w:rFonts w:ascii="Arial" w:cs="Arial" w:eastAsia="Arial" w:hAnsi="Arial"/>
          <w:sz w:val="22"/>
          <w:szCs w:val="22"/>
          <w:color w:val="auto"/>
        </w:rPr>
        <w:t>allow a Person to Guarantee the Issuer’s obligations under this Indenture and the Notes by executing a supplemental indenture with respect to the Notes (or to release any such Person from such a Guarantee as provided or permitted by the terms of this Indenture and such Guarantee);</w:t>
      </w:r>
    </w:p>
    <w:p>
      <w:pPr>
        <w:spacing w:after="0" w:line="184" w:lineRule="exact"/>
        <w:rPr>
          <w:rFonts w:ascii="Arial" w:cs="Arial" w:eastAsia="Arial" w:hAnsi="Arial"/>
          <w:sz w:val="22"/>
          <w:szCs w:val="22"/>
          <w:color w:val="auto"/>
        </w:rPr>
      </w:pPr>
    </w:p>
    <w:p>
      <w:pPr>
        <w:ind w:firstLine="656"/>
        <w:spacing w:after="0" w:line="302" w:lineRule="auto"/>
        <w:tabs>
          <w:tab w:leader="none" w:pos="897" w:val="left"/>
        </w:tabs>
        <w:numPr>
          <w:ilvl w:val="0"/>
          <w:numId w:val="170"/>
        </w:numPr>
        <w:rPr>
          <w:rFonts w:ascii="Arial" w:cs="Arial" w:eastAsia="Arial" w:hAnsi="Arial"/>
          <w:sz w:val="22"/>
          <w:szCs w:val="22"/>
          <w:color w:val="auto"/>
        </w:rPr>
      </w:pPr>
      <w:r>
        <w:rPr>
          <w:rFonts w:ascii="Arial" w:cs="Arial" w:eastAsia="Arial" w:hAnsi="Arial"/>
          <w:sz w:val="22"/>
          <w:szCs w:val="22"/>
          <w:color w:val="auto"/>
        </w:rPr>
        <w:t>to comply with requirements of applicable Gaming Laws or to provide for requirements imposed by applicable Gaming Authorities; or</w:t>
      </w:r>
    </w:p>
    <w:p>
      <w:pPr>
        <w:spacing w:after="0" w:line="173" w:lineRule="exact"/>
        <w:rPr>
          <w:rFonts w:ascii="Arial" w:cs="Arial" w:eastAsia="Arial" w:hAnsi="Arial"/>
          <w:sz w:val="22"/>
          <w:szCs w:val="22"/>
          <w:color w:val="auto"/>
        </w:rPr>
      </w:pPr>
    </w:p>
    <w:p>
      <w:pPr>
        <w:ind w:firstLine="656"/>
        <w:spacing w:after="0" w:line="302" w:lineRule="auto"/>
        <w:tabs>
          <w:tab w:leader="none" w:pos="959" w:val="left"/>
        </w:tabs>
        <w:numPr>
          <w:ilvl w:val="0"/>
          <w:numId w:val="170"/>
        </w:numPr>
        <w:rPr>
          <w:rFonts w:ascii="Arial" w:cs="Arial" w:eastAsia="Arial" w:hAnsi="Arial"/>
          <w:sz w:val="22"/>
          <w:szCs w:val="22"/>
          <w:color w:val="auto"/>
        </w:rPr>
      </w:pPr>
      <w:r>
        <w:rPr>
          <w:rFonts w:ascii="Arial" w:cs="Arial" w:eastAsia="Arial" w:hAnsi="Arial"/>
          <w:sz w:val="22"/>
          <w:szCs w:val="22"/>
          <w:color w:val="auto"/>
        </w:rPr>
        <w:t>provide for the Notes to become secured (or to release such security as permitted by this Indenture and the applicable security documents).</w:t>
      </w:r>
    </w:p>
    <w:p>
      <w:pPr>
        <w:spacing w:after="0" w:line="17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1"/>
          <w:szCs w:val="21"/>
          <w:color w:val="auto"/>
        </w:rPr>
        <w:t>Upon the request of the Issuer accompanied by a resolution of its Board of Directors authorizing the execution of any such amended or supplemental indenture, and upon receipt by the Trustee of the documents described in Sections 7.02 and 11.02 hereof, the Trustee shall join with the Issuer in the execution of any amended or supplemental indenture authorized or permitted by the terms of this Indenture and to make any further appropriate agreements and stipulations that may be therein contained, but the Trustee shall not be obligated to enter into such amended or supplemental indenture that affects its own rights, duties or immunities under this Indenture or otherwise.</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9.02 </w:t>
      </w:r>
      <w:r>
        <w:rPr>
          <w:rFonts w:ascii="Arial" w:cs="Arial" w:eastAsia="Arial" w:hAnsi="Arial"/>
          <w:sz w:val="22"/>
          <w:szCs w:val="22"/>
          <w:i w:val="1"/>
          <w:iCs w:val="1"/>
          <w:color w:val="auto"/>
        </w:rPr>
        <w:t>With Consent of Holders of Notes</w:t>
      </w:r>
      <w:r>
        <w:rPr>
          <w:rFonts w:ascii="Arial" w:cs="Arial" w:eastAsia="Arial" w:hAnsi="Arial"/>
          <w:sz w:val="22"/>
          <w:szCs w:val="22"/>
          <w:color w:val="auto"/>
        </w:rPr>
        <w:t>.</w:t>
      </w:r>
    </w:p>
    <w:p>
      <w:pPr>
        <w:spacing w:after="0" w:line="260"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21"/>
          <w:szCs w:val="21"/>
          <w:color w:val="auto"/>
        </w:rPr>
        <w:t>Except as provided below in this Section 9.02, the Issuer and the Trustee may amend or supplement this Indenture (including, without limitation, Section 4.08 hereof) and the Notes with the consent of the Holders of at least a majority in aggregate principal amount of the then outstanding Notes (including, without limitation, Additional Notes, if any) voting as a single class (including, without limitation, consents obtained in connection with a purchase of, or tender offer or exchange offer for, Notes), and, subject to Sections 6.04 and 6.07 hereof, any existing Default or Event of Default (other than a Default or Event of Default in the payment of the principal of, premium, if any, or interest on the Notes, except a payment default resulting from an acceleration that has been rescinded) or compliance with any provision of this Indenture or the Notes may be waived with the consent of the Holders of a majority in aggregate principal amount of the then outstanding Notes (including, without limitation, Additional Notes, if any) voting as a single class (including, without limitation, consents obtained in connection with purchase of, or a tender offer or exchange offer for, the Notes). Section 2.08 hereof shall determine which Notes are considered to be “outstanding” for purposes of this Section 9.02.</w:t>
      </w:r>
    </w:p>
    <w:p>
      <w:pPr>
        <w:spacing w:after="0" w:line="18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2"/>
          <w:szCs w:val="22"/>
          <w:color w:val="auto"/>
        </w:rPr>
        <w:t>Upon the request of the Issuer accompanied by a resolution of its Board of Directors authorizing the execution of any such amended or supplemental Indenture, and upon the filing with the Trustee of evidence satisfactory to the Trustee of the consent of the Holders of Notes as aforesaid, and upon receipt by the Trustee of the documents described in Section 7.02 hereof, the Trustee shall join with the Issuer in the execution of such amended or supplemental Indenture unless such amended or supplemental Indenture directly affects the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3160" w:type="dxa"/>
            <w:vAlign w:val="bottom"/>
          </w:tcPr>
          <w:p>
            <w:pPr>
              <w:spacing w:after="0"/>
              <w:rPr>
                <w:sz w:val="20"/>
                <w:szCs w:val="20"/>
                <w:color w:val="auto"/>
              </w:rPr>
            </w:pPr>
            <w:r>
              <w:rPr>
                <w:rFonts w:ascii="Arial" w:cs="Arial" w:eastAsia="Arial" w:hAnsi="Arial"/>
                <w:sz w:val="11"/>
                <w:szCs w:val="11"/>
                <w:color w:val="auto"/>
              </w:rPr>
              <w:t>ASIA 33616188</w:t>
            </w:r>
          </w:p>
        </w:tc>
        <w:tc>
          <w:tcPr>
            <w:tcW w:w="2660" w:type="dxa"/>
            <w:vAlign w:val="bottom"/>
          </w:tcPr>
          <w:p>
            <w:pPr>
              <w:jc w:val="right"/>
              <w:spacing w:after="0"/>
              <w:rPr>
                <w:sz w:val="20"/>
                <w:szCs w:val="20"/>
                <w:color w:val="auto"/>
              </w:rPr>
            </w:pPr>
            <w:r>
              <w:rPr>
                <w:rFonts w:ascii="Arial" w:cs="Arial" w:eastAsia="Arial" w:hAnsi="Arial"/>
                <w:sz w:val="22"/>
                <w:szCs w:val="22"/>
                <w:color w:val="auto"/>
              </w:rPr>
              <w:t>70</w:t>
            </w:r>
          </w:p>
        </w:tc>
      </w:tr>
    </w:tbl>
    <w:p>
      <w:pPr>
        <w:sectPr>
          <w:pgSz w:w="11900" w:h="16838" w:orient="portrait"/>
          <w:cols w:equalWidth="0" w:num="1">
            <w:col w:w="11420"/>
          </w:cols>
          <w:pgMar w:left="240" w:top="1440" w:right="239" w:bottom="1440" w:gutter="0" w:footer="0" w:header="0"/>
        </w:sectPr>
      </w:pPr>
    </w:p>
    <w:bookmarkStart w:id="221" w:name="page222"/>
    <w:bookmarkEnd w:id="221"/>
    <w:p>
      <w:pPr>
        <w:spacing w:after="0" w:line="2" w:lineRule="exact"/>
        <w:rPr>
          <w:sz w:val="20"/>
          <w:szCs w:val="20"/>
          <w:color w:val="auto"/>
        </w:rPr>
      </w:pPr>
    </w:p>
    <w:p>
      <w:pPr>
        <w:jc w:val="both"/>
        <w:spacing w:after="0" w:line="302" w:lineRule="auto"/>
        <w:rPr>
          <w:sz w:val="20"/>
          <w:szCs w:val="20"/>
          <w:color w:val="auto"/>
        </w:rPr>
      </w:pPr>
      <w:r>
        <w:rPr>
          <w:rFonts w:ascii="Arial" w:cs="Arial" w:eastAsia="Arial" w:hAnsi="Arial"/>
          <w:sz w:val="22"/>
          <w:szCs w:val="22"/>
          <w:color w:val="auto"/>
        </w:rPr>
        <w:t>Trustee’s own rights, duties or immunities under this Indenture or otherwise, in which case the Trustee may in its discretion, but shall not be obligated to, enter into such amended or supplemental Indenture.</w:t>
      </w:r>
    </w:p>
    <w:p>
      <w:pPr>
        <w:spacing w:after="0" w:line="174"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22"/>
          <w:szCs w:val="22"/>
          <w:color w:val="auto"/>
        </w:rPr>
        <w:t>It is not necessary for the consent of the Holders of Notes under this Section 9.02 to approve the particular form of any proposed amendment or waiver, but it is sufficient if such consent approves the substance thereof.</w:t>
      </w:r>
    </w:p>
    <w:p>
      <w:pPr>
        <w:spacing w:after="0" w:line="174" w:lineRule="exact"/>
        <w:rPr>
          <w:sz w:val="20"/>
          <w:szCs w:val="20"/>
          <w:color w:val="auto"/>
        </w:rPr>
      </w:pPr>
    </w:p>
    <w:p>
      <w:pPr>
        <w:jc w:val="both"/>
        <w:ind w:firstLine="648"/>
        <w:spacing w:after="0" w:line="336" w:lineRule="auto"/>
        <w:rPr>
          <w:sz w:val="20"/>
          <w:szCs w:val="20"/>
          <w:color w:val="auto"/>
        </w:rPr>
      </w:pPr>
      <w:r>
        <w:rPr>
          <w:rFonts w:ascii="Arial" w:cs="Arial" w:eastAsia="Arial" w:hAnsi="Arial"/>
          <w:sz w:val="19"/>
          <w:szCs w:val="19"/>
          <w:color w:val="auto"/>
        </w:rPr>
        <w:t>After an amendment, supplement or waiver under this Section 9.02 becomes effective, the Issuer shall mail to the Holders of Notes affected thereby a notice briefly describing the amendment, supplement or waiver. Any failure of the Issuer to mail such notice, or any defect therein, shall not, however, in any way impair or affect the validity of any such amended or supplemental indenture or waiver. Subject to Sections 6.04 and 6.07 hereof, the Holders of a majority in aggregate principal amount of the Notes then outstanding voting as a single class may waive compliance in a particular instance by the Issuer with any provision of this Indenture or the Notes. However, without the consent of at least 90% in aggregate principal amount of the then outstanding Notes, an amendment, supplement or waiver under this Section 9.02 may not:</w:t>
      </w:r>
    </w:p>
    <w:p>
      <w:pPr>
        <w:spacing w:after="0" w:line="155" w:lineRule="exact"/>
        <w:rPr>
          <w:sz w:val="20"/>
          <w:szCs w:val="20"/>
          <w:color w:val="auto"/>
        </w:rPr>
      </w:pPr>
    </w:p>
    <w:p>
      <w:pPr>
        <w:ind w:left="940" w:hanging="284"/>
        <w:spacing w:after="0"/>
        <w:tabs>
          <w:tab w:leader="none" w:pos="940" w:val="left"/>
        </w:tabs>
        <w:numPr>
          <w:ilvl w:val="0"/>
          <w:numId w:val="171"/>
        </w:numPr>
        <w:rPr>
          <w:rFonts w:ascii="Arial" w:cs="Arial" w:eastAsia="Arial" w:hAnsi="Arial"/>
          <w:sz w:val="21"/>
          <w:szCs w:val="21"/>
          <w:color w:val="auto"/>
        </w:rPr>
      </w:pPr>
      <w:r>
        <w:rPr>
          <w:rFonts w:ascii="Arial" w:cs="Arial" w:eastAsia="Arial" w:hAnsi="Arial"/>
          <w:sz w:val="21"/>
          <w:szCs w:val="21"/>
          <w:color w:val="auto"/>
        </w:rPr>
        <w:t>reduce the principal amount of Notes whose Holders must consent to an amendment, supplement or waiver;</w:t>
      </w:r>
    </w:p>
    <w:p>
      <w:pPr>
        <w:spacing w:after="0" w:line="271" w:lineRule="exact"/>
        <w:rPr>
          <w:rFonts w:ascii="Arial" w:cs="Arial" w:eastAsia="Arial" w:hAnsi="Arial"/>
          <w:sz w:val="21"/>
          <w:szCs w:val="21"/>
          <w:color w:val="auto"/>
        </w:rPr>
      </w:pPr>
    </w:p>
    <w:p>
      <w:pPr>
        <w:ind w:firstLine="656"/>
        <w:spacing w:after="0" w:line="302" w:lineRule="auto"/>
        <w:tabs>
          <w:tab w:leader="none" w:pos="945" w:val="left"/>
        </w:tabs>
        <w:numPr>
          <w:ilvl w:val="0"/>
          <w:numId w:val="171"/>
        </w:numPr>
        <w:rPr>
          <w:rFonts w:ascii="Arial" w:cs="Arial" w:eastAsia="Arial" w:hAnsi="Arial"/>
          <w:sz w:val="22"/>
          <w:szCs w:val="22"/>
          <w:color w:val="auto"/>
        </w:rPr>
      </w:pPr>
      <w:r>
        <w:rPr>
          <w:rFonts w:ascii="Arial" w:cs="Arial" w:eastAsia="Arial" w:hAnsi="Arial"/>
          <w:sz w:val="22"/>
          <w:szCs w:val="22"/>
          <w:color w:val="auto"/>
        </w:rPr>
        <w:t>reduce the principal of or change the fixed maturity of any Note or alter or waive any of the provisions with respect to the redemption of the Notes, except as provided above with respect to Section 4.08 hereof;</w:t>
      </w:r>
    </w:p>
    <w:p>
      <w:pPr>
        <w:spacing w:after="0" w:line="173" w:lineRule="exact"/>
        <w:rPr>
          <w:rFonts w:ascii="Arial" w:cs="Arial" w:eastAsia="Arial" w:hAnsi="Arial"/>
          <w:sz w:val="22"/>
          <w:szCs w:val="22"/>
          <w:color w:val="auto"/>
        </w:rPr>
      </w:pPr>
    </w:p>
    <w:p>
      <w:pPr>
        <w:ind w:left="940" w:hanging="284"/>
        <w:spacing w:after="0"/>
        <w:tabs>
          <w:tab w:leader="none" w:pos="940" w:val="left"/>
        </w:tabs>
        <w:numPr>
          <w:ilvl w:val="0"/>
          <w:numId w:val="171"/>
        </w:numPr>
        <w:rPr>
          <w:rFonts w:ascii="Arial" w:cs="Arial" w:eastAsia="Arial" w:hAnsi="Arial"/>
          <w:sz w:val="22"/>
          <w:szCs w:val="22"/>
          <w:color w:val="auto"/>
        </w:rPr>
      </w:pPr>
      <w:r>
        <w:rPr>
          <w:rFonts w:ascii="Arial" w:cs="Arial" w:eastAsia="Arial" w:hAnsi="Arial"/>
          <w:sz w:val="22"/>
          <w:szCs w:val="22"/>
          <w:color w:val="auto"/>
        </w:rPr>
        <w:t>reduce the rate of or change the time for payment of interest, including default interest, on any Note;</w:t>
      </w:r>
    </w:p>
    <w:p>
      <w:pPr>
        <w:spacing w:after="0" w:line="260" w:lineRule="exact"/>
        <w:rPr>
          <w:rFonts w:ascii="Arial" w:cs="Arial" w:eastAsia="Arial" w:hAnsi="Arial"/>
          <w:sz w:val="22"/>
          <w:szCs w:val="22"/>
          <w:color w:val="auto"/>
        </w:rPr>
      </w:pPr>
    </w:p>
    <w:p>
      <w:pPr>
        <w:jc w:val="both"/>
        <w:ind w:right="20" w:firstLine="656"/>
        <w:spacing w:after="0" w:line="292" w:lineRule="auto"/>
        <w:tabs>
          <w:tab w:leader="none" w:pos="945" w:val="left"/>
        </w:tabs>
        <w:numPr>
          <w:ilvl w:val="0"/>
          <w:numId w:val="171"/>
        </w:numPr>
        <w:rPr>
          <w:rFonts w:ascii="Arial" w:cs="Arial" w:eastAsia="Arial" w:hAnsi="Arial"/>
          <w:sz w:val="22"/>
          <w:szCs w:val="22"/>
          <w:color w:val="auto"/>
        </w:rPr>
      </w:pPr>
      <w:r>
        <w:rPr>
          <w:rFonts w:ascii="Arial" w:cs="Arial" w:eastAsia="Arial" w:hAnsi="Arial"/>
          <w:sz w:val="22"/>
          <w:szCs w:val="22"/>
          <w:color w:val="auto"/>
        </w:rPr>
        <w:t>waive a Default or Event of Default in the payment of principal of, or interest or premium, if any, on the Notes (except a rescission of acceleration of the Notes by the Holders of at least a majority in aggregate principal amount of the then outstanding Notes and a waiver of the payment default that resulted from such acceleration);</w:t>
      </w:r>
    </w:p>
    <w:p>
      <w:pPr>
        <w:spacing w:after="0" w:line="184" w:lineRule="exact"/>
        <w:rPr>
          <w:rFonts w:ascii="Arial" w:cs="Arial" w:eastAsia="Arial" w:hAnsi="Arial"/>
          <w:sz w:val="22"/>
          <w:szCs w:val="22"/>
          <w:color w:val="auto"/>
        </w:rPr>
      </w:pPr>
    </w:p>
    <w:p>
      <w:pPr>
        <w:ind w:left="940" w:hanging="284"/>
        <w:spacing w:after="0"/>
        <w:tabs>
          <w:tab w:leader="none" w:pos="940" w:val="left"/>
        </w:tabs>
        <w:numPr>
          <w:ilvl w:val="0"/>
          <w:numId w:val="171"/>
        </w:numPr>
        <w:rPr>
          <w:rFonts w:ascii="Arial" w:cs="Arial" w:eastAsia="Arial" w:hAnsi="Arial"/>
          <w:sz w:val="22"/>
          <w:szCs w:val="22"/>
          <w:color w:val="auto"/>
        </w:rPr>
      </w:pPr>
      <w:r>
        <w:rPr>
          <w:rFonts w:ascii="Arial" w:cs="Arial" w:eastAsia="Arial" w:hAnsi="Arial"/>
          <w:sz w:val="22"/>
          <w:szCs w:val="22"/>
          <w:color w:val="auto"/>
        </w:rPr>
        <w:t>make any Note payable in money other than that stated in the Notes;</w:t>
      </w:r>
    </w:p>
    <w:p>
      <w:pPr>
        <w:spacing w:after="0" w:line="260" w:lineRule="exact"/>
        <w:rPr>
          <w:rFonts w:ascii="Arial" w:cs="Arial" w:eastAsia="Arial" w:hAnsi="Arial"/>
          <w:sz w:val="22"/>
          <w:szCs w:val="22"/>
          <w:color w:val="auto"/>
        </w:rPr>
      </w:pPr>
    </w:p>
    <w:p>
      <w:pPr>
        <w:ind w:right="20" w:firstLine="656"/>
        <w:spacing w:after="0" w:line="302" w:lineRule="auto"/>
        <w:tabs>
          <w:tab w:leader="none" w:pos="909" w:val="left"/>
        </w:tabs>
        <w:numPr>
          <w:ilvl w:val="0"/>
          <w:numId w:val="171"/>
        </w:numPr>
        <w:rPr>
          <w:rFonts w:ascii="Arial" w:cs="Arial" w:eastAsia="Arial" w:hAnsi="Arial"/>
          <w:sz w:val="22"/>
          <w:szCs w:val="22"/>
          <w:color w:val="auto"/>
        </w:rPr>
      </w:pPr>
      <w:r>
        <w:rPr>
          <w:rFonts w:ascii="Arial" w:cs="Arial" w:eastAsia="Arial" w:hAnsi="Arial"/>
          <w:sz w:val="22"/>
          <w:szCs w:val="22"/>
          <w:color w:val="auto"/>
        </w:rPr>
        <w:t>make any change in the provisions of this Indenture relating to waivers of past Defaults or the rights of Holders of Notes to receive payments of principal of, or interest or premium, if any, on the Notes;</w:t>
      </w:r>
    </w:p>
    <w:p>
      <w:pPr>
        <w:spacing w:after="0" w:line="173" w:lineRule="exact"/>
        <w:rPr>
          <w:rFonts w:ascii="Arial" w:cs="Arial" w:eastAsia="Arial" w:hAnsi="Arial"/>
          <w:sz w:val="22"/>
          <w:szCs w:val="22"/>
          <w:color w:val="auto"/>
        </w:rPr>
      </w:pPr>
    </w:p>
    <w:p>
      <w:pPr>
        <w:ind w:left="960" w:hanging="304"/>
        <w:spacing w:after="0"/>
        <w:tabs>
          <w:tab w:leader="none" w:pos="960" w:val="left"/>
        </w:tabs>
        <w:numPr>
          <w:ilvl w:val="0"/>
          <w:numId w:val="171"/>
        </w:numPr>
        <w:rPr>
          <w:rFonts w:ascii="Arial" w:cs="Arial" w:eastAsia="Arial" w:hAnsi="Arial"/>
          <w:sz w:val="19"/>
          <w:szCs w:val="19"/>
          <w:color w:val="auto"/>
        </w:rPr>
      </w:pPr>
      <w:r>
        <w:rPr>
          <w:rFonts w:ascii="Arial" w:cs="Arial" w:eastAsia="Arial" w:hAnsi="Arial"/>
          <w:sz w:val="19"/>
          <w:szCs w:val="19"/>
          <w:color w:val="auto"/>
        </w:rPr>
        <w:t>waive a redemption payment with respect to any Note (other than a payment required by Section 4.08 hereof); or</w:t>
      </w:r>
    </w:p>
    <w:p>
      <w:pPr>
        <w:spacing w:after="0" w:line="294" w:lineRule="exact"/>
        <w:rPr>
          <w:rFonts w:ascii="Arial" w:cs="Arial" w:eastAsia="Arial" w:hAnsi="Arial"/>
          <w:sz w:val="19"/>
          <w:szCs w:val="19"/>
          <w:color w:val="auto"/>
        </w:rPr>
      </w:pPr>
    </w:p>
    <w:p>
      <w:pPr>
        <w:ind w:left="960" w:hanging="304"/>
        <w:spacing w:after="0"/>
        <w:tabs>
          <w:tab w:leader="none" w:pos="960" w:val="left"/>
        </w:tabs>
        <w:numPr>
          <w:ilvl w:val="0"/>
          <w:numId w:val="171"/>
        </w:numPr>
        <w:rPr>
          <w:rFonts w:ascii="Arial" w:cs="Arial" w:eastAsia="Arial" w:hAnsi="Arial"/>
          <w:sz w:val="22"/>
          <w:szCs w:val="22"/>
          <w:color w:val="auto"/>
        </w:rPr>
      </w:pPr>
      <w:r>
        <w:rPr>
          <w:rFonts w:ascii="Arial" w:cs="Arial" w:eastAsia="Arial" w:hAnsi="Arial"/>
          <w:sz w:val="22"/>
          <w:szCs w:val="22"/>
          <w:color w:val="auto"/>
        </w:rPr>
        <w:t>make any change in the foregoing amendment and waiver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3160" w:type="dxa"/>
            <w:vAlign w:val="bottom"/>
          </w:tcPr>
          <w:p>
            <w:pPr>
              <w:spacing w:after="0"/>
              <w:rPr>
                <w:sz w:val="20"/>
                <w:szCs w:val="20"/>
                <w:color w:val="auto"/>
              </w:rPr>
            </w:pPr>
            <w:r>
              <w:rPr>
                <w:rFonts w:ascii="Arial" w:cs="Arial" w:eastAsia="Arial" w:hAnsi="Arial"/>
                <w:sz w:val="11"/>
                <w:szCs w:val="11"/>
                <w:color w:val="auto"/>
              </w:rPr>
              <w:t>ASIA 33616188</w:t>
            </w:r>
          </w:p>
        </w:tc>
        <w:tc>
          <w:tcPr>
            <w:tcW w:w="2660" w:type="dxa"/>
            <w:vAlign w:val="bottom"/>
          </w:tcPr>
          <w:p>
            <w:pPr>
              <w:jc w:val="right"/>
              <w:spacing w:after="0"/>
              <w:rPr>
                <w:sz w:val="20"/>
                <w:szCs w:val="20"/>
                <w:color w:val="auto"/>
              </w:rPr>
            </w:pPr>
            <w:r>
              <w:rPr>
                <w:rFonts w:ascii="Arial" w:cs="Arial" w:eastAsia="Arial" w:hAnsi="Arial"/>
                <w:sz w:val="22"/>
                <w:szCs w:val="22"/>
                <w:color w:val="auto"/>
              </w:rPr>
              <w:t>71</w:t>
            </w:r>
          </w:p>
        </w:tc>
      </w:tr>
    </w:tbl>
    <w:p>
      <w:pPr>
        <w:sectPr>
          <w:pgSz w:w="11900" w:h="16838" w:orient="portrait"/>
          <w:cols w:equalWidth="0" w:num="1">
            <w:col w:w="11420"/>
          </w:cols>
          <w:pgMar w:left="240" w:top="1440" w:right="239" w:bottom="1440" w:gutter="0" w:footer="0" w:header="0"/>
        </w:sectPr>
      </w:pPr>
    </w:p>
    <w:bookmarkStart w:id="222" w:name="page223"/>
    <w:bookmarkEnd w:id="222"/>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9.03 </w:t>
      </w:r>
      <w:r>
        <w:rPr>
          <w:rFonts w:ascii="Arial" w:cs="Arial" w:eastAsia="Arial" w:hAnsi="Arial"/>
          <w:sz w:val="22"/>
          <w:szCs w:val="22"/>
          <w:i w:val="1"/>
          <w:iCs w:val="1"/>
          <w:color w:val="auto"/>
        </w:rPr>
        <w:t>Revocation and Effect of Consents.</w:t>
      </w:r>
    </w:p>
    <w:p>
      <w:pPr>
        <w:spacing w:after="0" w:line="26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1"/>
          <w:szCs w:val="21"/>
          <w:color w:val="auto"/>
        </w:rPr>
        <w:t>Until an amendment, supplement or waiver becomes effective, a consent to it by a Holder of a Note is a continuing consent by the Holder of a Note and every subsequent Holder of a Note or portion of a Note that evidences the same debt as the consenting Holder’s Note, even if notation of the consent is not made on any Note. However, any such Holder of a Note or subsequent Holder of a Note may revoke the consent as to its Note if the Trustee receives written notice of revocation before the date the waiver, supplement or amendment becomes effective. An amendment, supplement or waiver becomes effective in accordance with its terms and thereafter binds every Holder.</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9.04 </w:t>
      </w:r>
      <w:r>
        <w:rPr>
          <w:rFonts w:ascii="Arial" w:cs="Arial" w:eastAsia="Arial" w:hAnsi="Arial"/>
          <w:sz w:val="22"/>
          <w:szCs w:val="22"/>
          <w:i w:val="1"/>
          <w:iCs w:val="1"/>
          <w:color w:val="auto"/>
        </w:rPr>
        <w:t>Notation on or Exchange of Notes</w:t>
      </w:r>
      <w:r>
        <w:rPr>
          <w:rFonts w:ascii="Arial" w:cs="Arial" w:eastAsia="Arial" w:hAnsi="Arial"/>
          <w:sz w:val="22"/>
          <w:szCs w:val="22"/>
          <w:color w:val="auto"/>
        </w:rPr>
        <w:t>.</w:t>
      </w:r>
    </w:p>
    <w:p>
      <w:pPr>
        <w:spacing w:after="0" w:line="26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The Trustee may place an appropriate notation about an amendment, supplement or waiver on any Note thereafter authenticated. The Issuer in exchange for all Notes may issue and the Trustee shall, upon receipt of an Authentication Order, authenticate new Notes that reflect the amendment, supplement or waiver.</w:t>
      </w:r>
    </w:p>
    <w:p>
      <w:pPr>
        <w:spacing w:after="0" w:line="184"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22"/>
          <w:szCs w:val="22"/>
          <w:color w:val="auto"/>
        </w:rPr>
        <w:t>Failure to make the appropriate notation or issue a new Note shall not affect the validity and effect of such amendment, supplement or waiver.</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9.05 </w:t>
      </w:r>
      <w:r>
        <w:rPr>
          <w:rFonts w:ascii="Arial" w:cs="Arial" w:eastAsia="Arial" w:hAnsi="Arial"/>
          <w:sz w:val="22"/>
          <w:szCs w:val="22"/>
          <w:i w:val="1"/>
          <w:iCs w:val="1"/>
          <w:color w:val="auto"/>
        </w:rPr>
        <w:t>Trustee to Sign Amendments, etc.</w:t>
      </w:r>
    </w:p>
    <w:p>
      <w:pPr>
        <w:spacing w:after="0" w:line="260" w:lineRule="exact"/>
        <w:rPr>
          <w:sz w:val="20"/>
          <w:szCs w:val="20"/>
          <w:color w:val="auto"/>
        </w:rPr>
      </w:pPr>
    </w:p>
    <w:p>
      <w:pPr>
        <w:jc w:val="both"/>
        <w:ind w:firstLine="648"/>
        <w:spacing w:after="0" w:line="336" w:lineRule="auto"/>
        <w:rPr>
          <w:sz w:val="20"/>
          <w:szCs w:val="20"/>
          <w:color w:val="auto"/>
        </w:rPr>
      </w:pPr>
      <w:r>
        <w:rPr>
          <w:rFonts w:ascii="Arial" w:cs="Arial" w:eastAsia="Arial" w:hAnsi="Arial"/>
          <w:sz w:val="19"/>
          <w:szCs w:val="19"/>
          <w:color w:val="auto"/>
        </w:rPr>
        <w:t>The Trustee shall sign any amended or supplemental indenture authorized pursuant to this Article 9 if the amendment or supplement does not adversely affect the rights, duties, liabilities or immunities of the Trustee. The Issuer may not sign an amendment or supplemental indenture until its Board of Directors approves it. In executing any amended or supplemental indenture, the Trustee shall be entitled to receive and (subject to Section 7.01 hereof) shall be fully protected in relying upon, in addition to the documents required by Section 11.02 hereof, an Officer’s Certificate and an Opinion of Counsel stating that the execution of such amended or supplemental indenture is authorized or permitted by this Indenture and is the legal, valid and binding obligation of the Issuer, enforceable against it in accordance with its terms.</w:t>
      </w:r>
    </w:p>
    <w:p>
      <w:pPr>
        <w:spacing w:after="0" w:line="155"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ARTICLE 10</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SATISFACTION AND DISCHARGE</w:t>
      </w:r>
    </w:p>
    <w:p>
      <w:pPr>
        <w:spacing w:after="0" w:line="200" w:lineRule="exact"/>
        <w:rPr>
          <w:sz w:val="20"/>
          <w:szCs w:val="20"/>
          <w:color w:val="auto"/>
        </w:rPr>
      </w:pPr>
    </w:p>
    <w:p>
      <w:pPr>
        <w:spacing w:after="0" w:line="398"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3160" w:type="dxa"/>
            <w:vAlign w:val="bottom"/>
          </w:tcPr>
          <w:p>
            <w:pPr>
              <w:spacing w:after="0"/>
              <w:rPr>
                <w:sz w:val="20"/>
                <w:szCs w:val="20"/>
                <w:color w:val="auto"/>
              </w:rPr>
            </w:pPr>
            <w:r>
              <w:rPr>
                <w:rFonts w:ascii="Arial" w:cs="Arial" w:eastAsia="Arial" w:hAnsi="Arial"/>
                <w:sz w:val="11"/>
                <w:szCs w:val="11"/>
                <w:color w:val="auto"/>
              </w:rPr>
              <w:t>ASIA 33616188</w:t>
            </w:r>
          </w:p>
        </w:tc>
        <w:tc>
          <w:tcPr>
            <w:tcW w:w="2660" w:type="dxa"/>
            <w:vAlign w:val="bottom"/>
          </w:tcPr>
          <w:p>
            <w:pPr>
              <w:jc w:val="right"/>
              <w:spacing w:after="0"/>
              <w:rPr>
                <w:sz w:val="20"/>
                <w:szCs w:val="20"/>
                <w:color w:val="auto"/>
              </w:rPr>
            </w:pPr>
            <w:r>
              <w:rPr>
                <w:rFonts w:ascii="Arial" w:cs="Arial" w:eastAsia="Arial" w:hAnsi="Arial"/>
                <w:sz w:val="22"/>
                <w:szCs w:val="22"/>
                <w:color w:val="auto"/>
              </w:rPr>
              <w:t>72</w:t>
            </w:r>
          </w:p>
        </w:tc>
      </w:tr>
    </w:tbl>
    <w:p>
      <w:pPr>
        <w:sectPr>
          <w:pgSz w:w="11900" w:h="16838" w:orient="portrait"/>
          <w:cols w:equalWidth="0" w:num="1">
            <w:col w:w="11420"/>
          </w:cols>
          <w:pgMar w:left="240" w:top="1440" w:right="239" w:bottom="1440" w:gutter="0" w:footer="0" w:header="0"/>
        </w:sectPr>
      </w:pPr>
    </w:p>
    <w:bookmarkStart w:id="223" w:name="page224"/>
    <w:bookmarkEnd w:id="223"/>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10.01 </w:t>
      </w:r>
      <w:r>
        <w:rPr>
          <w:rFonts w:ascii="Arial" w:cs="Arial" w:eastAsia="Arial" w:hAnsi="Arial"/>
          <w:sz w:val="22"/>
          <w:szCs w:val="22"/>
          <w:i w:val="1"/>
          <w:iCs w:val="1"/>
          <w:color w:val="auto"/>
        </w:rPr>
        <w:t>Satisfaction and Discharge.</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This Indenture shall be discharged and shall cease to be of further effect as to all Notes issued hereunder, when:</w:t>
      </w:r>
    </w:p>
    <w:p>
      <w:pPr>
        <w:spacing w:after="0" w:line="272" w:lineRule="exact"/>
        <w:rPr>
          <w:sz w:val="20"/>
          <w:szCs w:val="20"/>
          <w:color w:val="auto"/>
        </w:rPr>
      </w:pPr>
    </w:p>
    <w:p>
      <w:pPr>
        <w:ind w:left="940" w:hanging="284"/>
        <w:spacing w:after="0"/>
        <w:tabs>
          <w:tab w:leader="none" w:pos="940" w:val="left"/>
        </w:tabs>
        <w:numPr>
          <w:ilvl w:val="0"/>
          <w:numId w:val="172"/>
        </w:numPr>
        <w:rPr>
          <w:rFonts w:ascii="Arial" w:cs="Arial" w:eastAsia="Arial" w:hAnsi="Arial"/>
          <w:sz w:val="22"/>
          <w:szCs w:val="22"/>
          <w:color w:val="auto"/>
        </w:rPr>
      </w:pPr>
      <w:r>
        <w:rPr>
          <w:rFonts w:ascii="Arial" w:cs="Arial" w:eastAsia="Arial" w:hAnsi="Arial"/>
          <w:sz w:val="22"/>
          <w:szCs w:val="22"/>
          <w:color w:val="auto"/>
        </w:rPr>
        <w:t>either:</w:t>
      </w:r>
    </w:p>
    <w:p>
      <w:pPr>
        <w:spacing w:after="0" w:line="260" w:lineRule="exact"/>
        <w:rPr>
          <w:rFonts w:ascii="Arial" w:cs="Arial" w:eastAsia="Arial" w:hAnsi="Arial"/>
          <w:sz w:val="22"/>
          <w:szCs w:val="22"/>
          <w:color w:val="auto"/>
        </w:rPr>
      </w:pPr>
    </w:p>
    <w:p>
      <w:pPr>
        <w:jc w:val="both"/>
        <w:ind w:left="660" w:firstLine="645"/>
        <w:spacing w:after="0" w:line="292" w:lineRule="auto"/>
        <w:tabs>
          <w:tab w:leader="none" w:pos="1605" w:val="left"/>
        </w:tabs>
        <w:numPr>
          <w:ilvl w:val="1"/>
          <w:numId w:val="172"/>
        </w:numPr>
        <w:rPr>
          <w:rFonts w:ascii="Arial" w:cs="Arial" w:eastAsia="Arial" w:hAnsi="Arial"/>
          <w:sz w:val="22"/>
          <w:szCs w:val="22"/>
          <w:color w:val="auto"/>
        </w:rPr>
      </w:pPr>
      <w:r>
        <w:rPr>
          <w:rFonts w:ascii="Arial" w:cs="Arial" w:eastAsia="Arial" w:hAnsi="Arial"/>
          <w:sz w:val="22"/>
          <w:szCs w:val="22"/>
          <w:color w:val="auto"/>
        </w:rPr>
        <w:t>all Notes that have been authenticated, except lost, stolen or destroyed Notes that have been replaced or paid and Notes for whose payment money has theretofore been deposited in trust and thereafter repaid to the Issuer, have been delivered to the Trustee for cancelation; or</w:t>
      </w:r>
    </w:p>
    <w:p>
      <w:pPr>
        <w:spacing w:after="0" w:line="184" w:lineRule="exact"/>
        <w:rPr>
          <w:rFonts w:ascii="Arial" w:cs="Arial" w:eastAsia="Arial" w:hAnsi="Arial"/>
          <w:sz w:val="22"/>
          <w:szCs w:val="22"/>
          <w:color w:val="auto"/>
        </w:rPr>
      </w:pPr>
    </w:p>
    <w:p>
      <w:pPr>
        <w:jc w:val="both"/>
        <w:ind w:left="660" w:firstLine="645"/>
        <w:spacing w:after="0" w:line="336" w:lineRule="auto"/>
        <w:tabs>
          <w:tab w:leader="none" w:pos="1619" w:val="left"/>
        </w:tabs>
        <w:numPr>
          <w:ilvl w:val="1"/>
          <w:numId w:val="172"/>
        </w:numPr>
        <w:rPr>
          <w:rFonts w:ascii="Arial" w:cs="Arial" w:eastAsia="Arial" w:hAnsi="Arial"/>
          <w:sz w:val="19"/>
          <w:szCs w:val="19"/>
          <w:color w:val="auto"/>
        </w:rPr>
      </w:pPr>
      <w:r>
        <w:rPr>
          <w:rFonts w:ascii="Arial" w:cs="Arial" w:eastAsia="Arial" w:hAnsi="Arial"/>
          <w:sz w:val="19"/>
          <w:szCs w:val="19"/>
          <w:color w:val="auto"/>
        </w:rPr>
        <w:t>all Notes that have not been delivered to the Trustee for cancelation will become due and payable by reason of the delivery of a notice of redemption or otherwise or will become due and payable within one year and the Issuer has irrevocably deposited or caused to be deposited with the Trustee or its designee as trust funds in trust solely for the benefit of the Holders, cash in U.S. dollars, non-callable Government Securities, or a combination of cash in U.S. dollars and non-callable Government Securities, in amounts as shall be sufficient, without consideration of any reinvestment of interest, to pay and discharge the entire Indebtedness on the Notes not delivered to the Trustee for cancelation for principal and premium, if any, and accrued interest to the date of maturity or redemption;</w:t>
      </w:r>
    </w:p>
    <w:p>
      <w:pPr>
        <w:spacing w:after="0" w:line="154" w:lineRule="exact"/>
        <w:rPr>
          <w:rFonts w:ascii="Arial" w:cs="Arial" w:eastAsia="Arial" w:hAnsi="Arial"/>
          <w:sz w:val="19"/>
          <w:szCs w:val="19"/>
          <w:color w:val="auto"/>
        </w:rPr>
      </w:pPr>
    </w:p>
    <w:p>
      <w:pPr>
        <w:jc w:val="both"/>
        <w:ind w:firstLine="656"/>
        <w:spacing w:after="0" w:line="288" w:lineRule="auto"/>
        <w:tabs>
          <w:tab w:leader="none" w:pos="945" w:val="left"/>
        </w:tabs>
        <w:numPr>
          <w:ilvl w:val="0"/>
          <w:numId w:val="172"/>
        </w:numPr>
        <w:rPr>
          <w:rFonts w:ascii="Arial" w:cs="Arial" w:eastAsia="Arial" w:hAnsi="Arial"/>
          <w:sz w:val="22"/>
          <w:szCs w:val="22"/>
          <w:color w:val="auto"/>
        </w:rPr>
      </w:pPr>
      <w:r>
        <w:rPr>
          <w:rFonts w:ascii="Arial" w:cs="Arial" w:eastAsia="Arial" w:hAnsi="Arial"/>
          <w:sz w:val="22"/>
          <w:szCs w:val="22"/>
          <w:color w:val="auto"/>
        </w:rPr>
        <w:t>no Default or Event of Default has occurred and is continuing on the date of the deposit or shall occur as a result of the deposit (other than a Default or Event of Default resulting from the borrowing of funds to be applied to such deposit) and the deposit shall not result in a breach or violation of, or constitute a default under, any other instrument to which the Issuer is a party or by which the Issuer is bound;</w:t>
      </w:r>
    </w:p>
    <w:p>
      <w:pPr>
        <w:spacing w:after="0" w:line="190" w:lineRule="exact"/>
        <w:rPr>
          <w:rFonts w:ascii="Arial" w:cs="Arial" w:eastAsia="Arial" w:hAnsi="Arial"/>
          <w:sz w:val="22"/>
          <w:szCs w:val="22"/>
          <w:color w:val="auto"/>
        </w:rPr>
      </w:pPr>
    </w:p>
    <w:p>
      <w:pPr>
        <w:ind w:left="940" w:hanging="284"/>
        <w:spacing w:after="0"/>
        <w:tabs>
          <w:tab w:leader="none" w:pos="940" w:val="left"/>
        </w:tabs>
        <w:numPr>
          <w:ilvl w:val="0"/>
          <w:numId w:val="172"/>
        </w:numPr>
        <w:rPr>
          <w:rFonts w:ascii="Arial" w:cs="Arial" w:eastAsia="Arial" w:hAnsi="Arial"/>
          <w:sz w:val="22"/>
          <w:szCs w:val="22"/>
          <w:color w:val="auto"/>
        </w:rPr>
      </w:pPr>
      <w:r>
        <w:rPr>
          <w:rFonts w:ascii="Arial" w:cs="Arial" w:eastAsia="Arial" w:hAnsi="Arial"/>
          <w:sz w:val="22"/>
          <w:szCs w:val="22"/>
          <w:color w:val="auto"/>
        </w:rPr>
        <w:t>the Issuer has paid or caused to be paid all sums payable by the Issuer under this Indenture; and</w:t>
      </w:r>
    </w:p>
    <w:p>
      <w:pPr>
        <w:spacing w:after="0" w:line="260" w:lineRule="exact"/>
        <w:rPr>
          <w:rFonts w:ascii="Arial" w:cs="Arial" w:eastAsia="Arial" w:hAnsi="Arial"/>
          <w:sz w:val="22"/>
          <w:szCs w:val="22"/>
          <w:color w:val="auto"/>
        </w:rPr>
      </w:pPr>
    </w:p>
    <w:p>
      <w:pPr>
        <w:ind w:firstLine="656"/>
        <w:spacing w:after="0" w:line="302" w:lineRule="auto"/>
        <w:tabs>
          <w:tab w:leader="none" w:pos="945" w:val="left"/>
        </w:tabs>
        <w:numPr>
          <w:ilvl w:val="0"/>
          <w:numId w:val="172"/>
        </w:numPr>
        <w:rPr>
          <w:rFonts w:ascii="Arial" w:cs="Arial" w:eastAsia="Arial" w:hAnsi="Arial"/>
          <w:sz w:val="22"/>
          <w:szCs w:val="22"/>
          <w:color w:val="auto"/>
        </w:rPr>
      </w:pPr>
      <w:r>
        <w:rPr>
          <w:rFonts w:ascii="Arial" w:cs="Arial" w:eastAsia="Arial" w:hAnsi="Arial"/>
          <w:sz w:val="22"/>
          <w:szCs w:val="22"/>
          <w:color w:val="auto"/>
        </w:rPr>
        <w:t>the Issuer has delivered irrevocable instructions to the Trustee under this Indenture to apply the deposited money toward the payment of the Notes at maturity or on the redemption date, as the case may be.</w:t>
      </w:r>
    </w:p>
    <w:p>
      <w:pPr>
        <w:spacing w:after="0" w:line="17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In addition, the Issuer must deliver an Officer’s Certificate and an Opinion of Counsel to the Trustee stating that all conditions precedent to satisfaction and discharge have been satisfied.</w:t>
      </w:r>
    </w:p>
    <w:p>
      <w:pPr>
        <w:spacing w:after="0" w:line="174"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Notwithstanding the satisfaction and discharge of this Indenture, if money has been deposited with the Trustee pursuant to subclause (2) of clause (a) of this Section, the provisions of Section 10.02 and Section 8.06 hereof shall survive. In addition, nothing in this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3160" w:type="dxa"/>
            <w:vAlign w:val="bottom"/>
          </w:tcPr>
          <w:p>
            <w:pPr>
              <w:spacing w:after="0"/>
              <w:rPr>
                <w:sz w:val="20"/>
                <w:szCs w:val="20"/>
                <w:color w:val="auto"/>
              </w:rPr>
            </w:pPr>
            <w:r>
              <w:rPr>
                <w:rFonts w:ascii="Arial" w:cs="Arial" w:eastAsia="Arial" w:hAnsi="Arial"/>
                <w:sz w:val="11"/>
                <w:szCs w:val="11"/>
                <w:color w:val="auto"/>
              </w:rPr>
              <w:t>ASIA 33616188</w:t>
            </w:r>
          </w:p>
        </w:tc>
        <w:tc>
          <w:tcPr>
            <w:tcW w:w="2660" w:type="dxa"/>
            <w:vAlign w:val="bottom"/>
          </w:tcPr>
          <w:p>
            <w:pPr>
              <w:jc w:val="right"/>
              <w:spacing w:after="0"/>
              <w:rPr>
                <w:sz w:val="20"/>
                <w:szCs w:val="20"/>
                <w:color w:val="auto"/>
              </w:rPr>
            </w:pPr>
            <w:r>
              <w:rPr>
                <w:rFonts w:ascii="Arial" w:cs="Arial" w:eastAsia="Arial" w:hAnsi="Arial"/>
                <w:sz w:val="22"/>
                <w:szCs w:val="22"/>
                <w:color w:val="auto"/>
              </w:rPr>
              <w:t>73</w:t>
            </w:r>
          </w:p>
        </w:tc>
      </w:tr>
    </w:tbl>
    <w:p>
      <w:pPr>
        <w:sectPr>
          <w:pgSz w:w="11900" w:h="16838" w:orient="portrait"/>
          <w:cols w:equalWidth="0" w:num="1">
            <w:col w:w="11420"/>
          </w:cols>
          <w:pgMar w:left="240" w:top="1440" w:right="239" w:bottom="1440" w:gutter="0" w:footer="0" w:header="0"/>
        </w:sectPr>
      </w:pPr>
    </w:p>
    <w:bookmarkStart w:id="224" w:name="page225"/>
    <w:bookmarkEnd w:id="224"/>
    <w:p>
      <w:pPr>
        <w:spacing w:after="0" w:line="2" w:lineRule="exact"/>
        <w:rPr>
          <w:sz w:val="20"/>
          <w:szCs w:val="20"/>
          <w:color w:val="auto"/>
        </w:rPr>
      </w:pPr>
    </w:p>
    <w:p>
      <w:pPr>
        <w:jc w:val="both"/>
        <w:spacing w:after="0" w:line="302" w:lineRule="auto"/>
        <w:rPr>
          <w:sz w:val="20"/>
          <w:szCs w:val="20"/>
          <w:color w:val="auto"/>
        </w:rPr>
      </w:pPr>
      <w:r>
        <w:rPr>
          <w:rFonts w:ascii="Arial" w:cs="Arial" w:eastAsia="Arial" w:hAnsi="Arial"/>
          <w:sz w:val="22"/>
          <w:szCs w:val="22"/>
          <w:color w:val="auto"/>
        </w:rPr>
        <w:t>Section 10.01 shall be deemed to discharge those provisions of Section 7.06 hereof, that, by their terms, survive the satisfaction and discharge of this Indenture.</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10.02 </w:t>
      </w:r>
      <w:r>
        <w:rPr>
          <w:rFonts w:ascii="Arial" w:cs="Arial" w:eastAsia="Arial" w:hAnsi="Arial"/>
          <w:sz w:val="22"/>
          <w:szCs w:val="22"/>
          <w:i w:val="1"/>
          <w:iCs w:val="1"/>
          <w:color w:val="auto"/>
        </w:rPr>
        <w:t>Application of Trust Money</w:t>
      </w:r>
      <w:r>
        <w:rPr>
          <w:rFonts w:ascii="Arial" w:cs="Arial" w:eastAsia="Arial" w:hAnsi="Arial"/>
          <w:sz w:val="22"/>
          <w:szCs w:val="22"/>
          <w:color w:val="auto"/>
        </w:rPr>
        <w:t>.</w:t>
      </w:r>
    </w:p>
    <w:p>
      <w:pPr>
        <w:spacing w:after="0" w:line="260" w:lineRule="exact"/>
        <w:rPr>
          <w:sz w:val="20"/>
          <w:szCs w:val="20"/>
          <w:color w:val="auto"/>
        </w:rPr>
      </w:pPr>
    </w:p>
    <w:p>
      <w:pPr>
        <w:jc w:val="both"/>
        <w:ind w:firstLine="648"/>
        <w:spacing w:after="0" w:line="341" w:lineRule="auto"/>
        <w:rPr>
          <w:sz w:val="20"/>
          <w:szCs w:val="20"/>
          <w:color w:val="auto"/>
        </w:rPr>
      </w:pPr>
      <w:r>
        <w:rPr>
          <w:rFonts w:ascii="Arial" w:cs="Arial" w:eastAsia="Arial" w:hAnsi="Arial"/>
          <w:sz w:val="19"/>
          <w:szCs w:val="19"/>
          <w:color w:val="auto"/>
        </w:rPr>
        <w:t>Subject to the provisions of Section 8.06 hereof, all money deposited with the Trustee pursuant to Section 10.01 hereof shall be held in trust and applied by it, in accordance with the provisions of the Notes and this Indenture, to the payment, either directly or through any Paying Agent (including the Issuer acting as its own Paying Agent) as the Trustee may determine, to the Persons entitled thereto, of the principal (and premium, if any) and interest for whose payment such money has been deposited with the Trustee; but such money need not be segregated from other funds except to the extent required by law.</w:t>
      </w:r>
    </w:p>
    <w:p>
      <w:pPr>
        <w:spacing w:after="0" w:line="14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22"/>
          <w:szCs w:val="22"/>
          <w:color w:val="auto"/>
        </w:rPr>
        <w:t xml:space="preserve">If the Trustee or Paying Agent is unable to apply any money or Government Securities in accordance with Section 10.01 hereof by reason of any legal proceeding or by reason of any order or judgment of any court or governmental authority enjoining, restraining or otherwise prohibiting such application, the Issuer’s obligations under this Indenture and the Notes shall be revived and reinstated as though no deposit had occurred pursuant to Section 10.01 hereof;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if the Issuer has made any payment of principal of, premium, if any, or interest on any Notes because of the reinstatement of its obligations, the Issuer shall be subrogated to the rights of the Holders of such Notes to receive such payment from the money or Government Securities held by the Trustee or Paying Agent.</w:t>
      </w:r>
    </w:p>
    <w:p>
      <w:pPr>
        <w:spacing w:after="0" w:line="193"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ARTICLE 11</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MISCELLANEOUS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11.01 </w:t>
      </w:r>
      <w:r>
        <w:rPr>
          <w:rFonts w:ascii="Arial" w:cs="Arial" w:eastAsia="Arial" w:hAnsi="Arial"/>
          <w:sz w:val="22"/>
          <w:szCs w:val="22"/>
          <w:i w:val="1"/>
          <w:iCs w:val="1"/>
          <w:color w:val="auto"/>
        </w:rPr>
        <w:t>Notices.</w:t>
      </w:r>
    </w:p>
    <w:p>
      <w:pPr>
        <w:spacing w:after="0" w:line="256"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Any notice or communication by the Issuer or the Trustee to the others is duly given if in writing and delivered in Person or mailed by first class mail (registered or certified, return receipt requested), facsimile or overnight air courier guaranteeing next day delivery, to the others’ address: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the Issuer:</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Wynn Macau, Limited</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Avenida da Nave Desportiva</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Cotai</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Macau SAR</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Facsimile No.: +853-8986-5500</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Mr. Jason Schall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3160" w:type="dxa"/>
            <w:vAlign w:val="bottom"/>
          </w:tcPr>
          <w:p>
            <w:pPr>
              <w:spacing w:after="0"/>
              <w:rPr>
                <w:sz w:val="20"/>
                <w:szCs w:val="20"/>
                <w:color w:val="auto"/>
              </w:rPr>
            </w:pPr>
            <w:r>
              <w:rPr>
                <w:rFonts w:ascii="Arial" w:cs="Arial" w:eastAsia="Arial" w:hAnsi="Arial"/>
                <w:sz w:val="11"/>
                <w:szCs w:val="11"/>
                <w:color w:val="auto"/>
              </w:rPr>
              <w:t>ASIA 33616188</w:t>
            </w:r>
          </w:p>
        </w:tc>
        <w:tc>
          <w:tcPr>
            <w:tcW w:w="2660" w:type="dxa"/>
            <w:vAlign w:val="bottom"/>
          </w:tcPr>
          <w:p>
            <w:pPr>
              <w:jc w:val="right"/>
              <w:spacing w:after="0"/>
              <w:rPr>
                <w:sz w:val="20"/>
                <w:szCs w:val="20"/>
                <w:color w:val="auto"/>
              </w:rPr>
            </w:pPr>
            <w:r>
              <w:rPr>
                <w:rFonts w:ascii="Arial" w:cs="Arial" w:eastAsia="Arial" w:hAnsi="Arial"/>
                <w:sz w:val="22"/>
                <w:szCs w:val="22"/>
                <w:color w:val="auto"/>
              </w:rPr>
              <w:t>74</w:t>
            </w:r>
          </w:p>
        </w:tc>
      </w:tr>
    </w:tbl>
    <w:p>
      <w:pPr>
        <w:sectPr>
          <w:pgSz w:w="11900" w:h="16838" w:orient="portrait"/>
          <w:cols w:equalWidth="0" w:num="1">
            <w:col w:w="11420"/>
          </w:cols>
          <w:pgMar w:left="240" w:top="1440" w:right="239" w:bottom="1440" w:gutter="0" w:footer="0" w:header="0"/>
        </w:sectPr>
      </w:pPr>
    </w:p>
    <w:bookmarkStart w:id="225" w:name="page226"/>
    <w:bookmarkEnd w:id="225"/>
    <w:p>
      <w:pPr>
        <w:spacing w:after="0" w:line="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With a copy to:</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Kirkland &amp; Ellis</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26th Floor, Gloucester Tower,The Landmark</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15 Queen’s Road Central</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Hong Kong</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Facsimile No.: +852-3761-3301</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Mr. Ben James</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the Trustee:</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Deutsche Bank Trust Company Americas</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Trust and Agency Services</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60 Wall Street, 24th Floor</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Mail Stop: NYC60-2405</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New York, NY 10005</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USA</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Facsimile No.: +1-732-578-4635</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Corporates Team, Wynn Macau – SF0965</w:t>
      </w:r>
    </w:p>
    <w:p>
      <w:pPr>
        <w:spacing w:after="0" w:line="26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The Issuer or the Trustee, by notice to the other, may designate additional or different addresses for subsequent notices or communications.</w:t>
      </w:r>
    </w:p>
    <w:p>
      <w:pPr>
        <w:spacing w:after="0" w:line="17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color w:val="auto"/>
        </w:rPr>
        <w:t>All notices and communications (other than those sent to Holders) shall be deemed to have been duly given: at the time delivered by hand, if personally delivered; five Business Days after being deposited in the mail, postage prepaid, if mailed; when receipt is acknowledged, if facsimiled; and the next Business Day after timely delivery to the courier, if sent by overnight air courier guaranteeing next day delivery.</w:t>
      </w:r>
    </w:p>
    <w:p>
      <w:pPr>
        <w:spacing w:after="0" w:line="190" w:lineRule="exact"/>
        <w:rPr>
          <w:sz w:val="20"/>
          <w:szCs w:val="20"/>
          <w:color w:val="auto"/>
        </w:rPr>
      </w:pPr>
    </w:p>
    <w:p>
      <w:pPr>
        <w:jc w:val="both"/>
        <w:ind w:firstLine="648"/>
        <w:spacing w:after="0" w:line="357" w:lineRule="auto"/>
        <w:rPr>
          <w:sz w:val="20"/>
          <w:szCs w:val="20"/>
          <w:color w:val="auto"/>
        </w:rPr>
      </w:pPr>
      <w:r>
        <w:rPr>
          <w:rFonts w:ascii="Arial" w:cs="Arial" w:eastAsia="Arial" w:hAnsi="Arial"/>
          <w:sz w:val="19"/>
          <w:szCs w:val="19"/>
          <w:color w:val="auto"/>
        </w:rPr>
        <w:t>Any notice or communication to a Holder shall be mailed by first class mail, certified or registered, return receipt requested, or by overnight air courier guaranteeing next day delivery to its address shown on the register kept by the Registrar. Failure to mail a notice or communication to a Holder or any defect in it shall not affect its sufficiency with respect to other Holders.</w:t>
      </w:r>
    </w:p>
    <w:p>
      <w:pPr>
        <w:spacing w:after="0" w:line="13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If a notice or communication is mailed in the manner provided above within the time prescribed, it is duly given, whether or not the addressee receives it.</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If the Issuer mails a notice or communication to Holders, it shall mail a copy to the Trustee and each Agent at the same</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color w:val="auto"/>
        </w:rPr>
        <w:t>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3160" w:type="dxa"/>
            <w:vAlign w:val="bottom"/>
          </w:tcPr>
          <w:p>
            <w:pPr>
              <w:spacing w:after="0"/>
              <w:rPr>
                <w:sz w:val="20"/>
                <w:szCs w:val="20"/>
                <w:color w:val="auto"/>
              </w:rPr>
            </w:pPr>
            <w:r>
              <w:rPr>
                <w:rFonts w:ascii="Arial" w:cs="Arial" w:eastAsia="Arial" w:hAnsi="Arial"/>
                <w:sz w:val="11"/>
                <w:szCs w:val="11"/>
                <w:color w:val="auto"/>
              </w:rPr>
              <w:t>ASIA 33616188</w:t>
            </w:r>
          </w:p>
        </w:tc>
        <w:tc>
          <w:tcPr>
            <w:tcW w:w="2660" w:type="dxa"/>
            <w:vAlign w:val="bottom"/>
          </w:tcPr>
          <w:p>
            <w:pPr>
              <w:jc w:val="right"/>
              <w:spacing w:after="0"/>
              <w:rPr>
                <w:sz w:val="20"/>
                <w:szCs w:val="20"/>
                <w:color w:val="auto"/>
              </w:rPr>
            </w:pPr>
            <w:r>
              <w:rPr>
                <w:rFonts w:ascii="Arial" w:cs="Arial" w:eastAsia="Arial" w:hAnsi="Arial"/>
                <w:sz w:val="22"/>
                <w:szCs w:val="22"/>
                <w:color w:val="auto"/>
              </w:rPr>
              <w:t>75</w:t>
            </w:r>
          </w:p>
        </w:tc>
      </w:tr>
    </w:tbl>
    <w:p>
      <w:pPr>
        <w:sectPr>
          <w:pgSz w:w="11900" w:h="16838" w:orient="portrait"/>
          <w:cols w:equalWidth="0" w:num="1">
            <w:col w:w="11420"/>
          </w:cols>
          <w:pgMar w:left="240" w:top="1440" w:right="239" w:bottom="1440" w:gutter="0" w:footer="0" w:header="0"/>
        </w:sectPr>
      </w:pPr>
    </w:p>
    <w:bookmarkStart w:id="226" w:name="page227"/>
    <w:bookmarkEnd w:id="226"/>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11.02 </w:t>
      </w:r>
      <w:r>
        <w:rPr>
          <w:rFonts w:ascii="Arial" w:cs="Arial" w:eastAsia="Arial" w:hAnsi="Arial"/>
          <w:sz w:val="22"/>
          <w:szCs w:val="22"/>
          <w:i w:val="1"/>
          <w:iCs w:val="1"/>
          <w:color w:val="auto"/>
        </w:rPr>
        <w:t>Certificate and Opinion as to Conditions Precedent</w:t>
      </w:r>
      <w:r>
        <w:rPr>
          <w:rFonts w:ascii="Arial" w:cs="Arial" w:eastAsia="Arial" w:hAnsi="Arial"/>
          <w:sz w:val="22"/>
          <w:szCs w:val="22"/>
          <w:color w:val="auto"/>
        </w:rPr>
        <w:t>.</w:t>
      </w:r>
    </w:p>
    <w:p>
      <w:pPr>
        <w:spacing w:after="0" w:line="260" w:lineRule="exact"/>
        <w:rPr>
          <w:sz w:val="20"/>
          <w:szCs w:val="20"/>
          <w:color w:val="auto"/>
        </w:rPr>
      </w:pPr>
    </w:p>
    <w:p>
      <w:pPr>
        <w:ind w:right="20" w:firstLine="648"/>
        <w:spacing w:after="0" w:line="328" w:lineRule="auto"/>
        <w:rPr>
          <w:sz w:val="20"/>
          <w:szCs w:val="20"/>
          <w:color w:val="auto"/>
        </w:rPr>
      </w:pPr>
      <w:r>
        <w:rPr>
          <w:rFonts w:ascii="Arial" w:cs="Arial" w:eastAsia="Arial" w:hAnsi="Arial"/>
          <w:sz w:val="21"/>
          <w:szCs w:val="21"/>
          <w:color w:val="auto"/>
        </w:rPr>
        <w:t>Upon any request or application by the Issuer to the Trustee to take any action under this Indenture (except that no Opinion of Counsel shall be required upon the initial issuance of the Notes), the Issuer shall furnish to the Trustee:</w:t>
      </w:r>
    </w:p>
    <w:p>
      <w:pPr>
        <w:spacing w:after="0" w:line="150" w:lineRule="exact"/>
        <w:rPr>
          <w:sz w:val="20"/>
          <w:szCs w:val="20"/>
          <w:color w:val="auto"/>
        </w:rPr>
      </w:pPr>
    </w:p>
    <w:p>
      <w:pPr>
        <w:jc w:val="both"/>
        <w:ind w:firstLine="656"/>
        <w:spacing w:after="0" w:line="292" w:lineRule="auto"/>
        <w:tabs>
          <w:tab w:leader="none" w:pos="933" w:val="left"/>
        </w:tabs>
        <w:numPr>
          <w:ilvl w:val="0"/>
          <w:numId w:val="173"/>
        </w:numPr>
        <w:rPr>
          <w:rFonts w:ascii="Arial" w:cs="Arial" w:eastAsia="Arial" w:hAnsi="Arial"/>
          <w:sz w:val="22"/>
          <w:szCs w:val="22"/>
          <w:color w:val="auto"/>
        </w:rPr>
      </w:pPr>
      <w:r>
        <w:rPr>
          <w:rFonts w:ascii="Arial" w:cs="Arial" w:eastAsia="Arial" w:hAnsi="Arial"/>
          <w:sz w:val="22"/>
          <w:szCs w:val="22"/>
          <w:color w:val="auto"/>
        </w:rPr>
        <w:t>an Officer’s Certificate in form and substance reasonably satisfactory to the Trustee (which must include the statements set forth in Section 11.03 hereof) stating that, in the opinion of the signers, all conditions precedent and covenants, if any, provided for in this Indenture relating to the proposed action have been satisfied; and</w:t>
      </w:r>
    </w:p>
    <w:p>
      <w:pPr>
        <w:spacing w:after="0" w:line="184" w:lineRule="exact"/>
        <w:rPr>
          <w:rFonts w:ascii="Arial" w:cs="Arial" w:eastAsia="Arial" w:hAnsi="Arial"/>
          <w:sz w:val="22"/>
          <w:szCs w:val="22"/>
          <w:color w:val="auto"/>
        </w:rPr>
      </w:pPr>
    </w:p>
    <w:p>
      <w:pPr>
        <w:jc w:val="both"/>
        <w:ind w:firstLine="656"/>
        <w:spacing w:after="0" w:line="292" w:lineRule="auto"/>
        <w:tabs>
          <w:tab w:leader="none" w:pos="945" w:val="left"/>
        </w:tabs>
        <w:numPr>
          <w:ilvl w:val="0"/>
          <w:numId w:val="173"/>
        </w:numPr>
        <w:rPr>
          <w:rFonts w:ascii="Arial" w:cs="Arial" w:eastAsia="Arial" w:hAnsi="Arial"/>
          <w:sz w:val="22"/>
          <w:szCs w:val="22"/>
          <w:color w:val="auto"/>
        </w:rPr>
      </w:pPr>
      <w:r>
        <w:rPr>
          <w:rFonts w:ascii="Arial" w:cs="Arial" w:eastAsia="Arial" w:hAnsi="Arial"/>
          <w:sz w:val="22"/>
          <w:szCs w:val="22"/>
          <w:color w:val="auto"/>
        </w:rPr>
        <w:t>an Opinion of Counsel in form and substance reasonably satisfactory to the Trustee (which must include the statements set forth in Section 11.03 hereof) stating that, in the opinion of such counsel, all such conditions precedent and covenants have been satisfied.</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11.03 </w:t>
      </w:r>
      <w:r>
        <w:rPr>
          <w:rFonts w:ascii="Arial" w:cs="Arial" w:eastAsia="Arial" w:hAnsi="Arial"/>
          <w:sz w:val="22"/>
          <w:szCs w:val="22"/>
          <w:i w:val="1"/>
          <w:iCs w:val="1"/>
          <w:color w:val="auto"/>
        </w:rPr>
        <w:t>Statements Required in Certificate or Opinion</w:t>
      </w:r>
      <w:r>
        <w:rPr>
          <w:rFonts w:ascii="Arial" w:cs="Arial" w:eastAsia="Arial" w:hAnsi="Arial"/>
          <w:sz w:val="22"/>
          <w:szCs w:val="22"/>
          <w:color w:val="auto"/>
        </w:rPr>
        <w:t>.</w:t>
      </w:r>
    </w:p>
    <w:p>
      <w:pPr>
        <w:spacing w:after="0" w:line="260" w:lineRule="exact"/>
        <w:rPr>
          <w:sz w:val="20"/>
          <w:szCs w:val="20"/>
          <w:color w:val="auto"/>
        </w:rPr>
      </w:pPr>
    </w:p>
    <w:p>
      <w:pPr>
        <w:ind w:firstLine="648"/>
        <w:spacing w:after="0" w:line="302" w:lineRule="auto"/>
        <w:rPr>
          <w:sz w:val="20"/>
          <w:szCs w:val="20"/>
          <w:color w:val="auto"/>
        </w:rPr>
      </w:pPr>
      <w:r>
        <w:rPr>
          <w:rFonts w:ascii="Arial" w:cs="Arial" w:eastAsia="Arial" w:hAnsi="Arial"/>
          <w:sz w:val="22"/>
          <w:szCs w:val="22"/>
          <w:color w:val="auto"/>
        </w:rPr>
        <w:t>Each certificate or opinion with respect to compliance with a condition or covenant provided for in this Indenture must include:</w:t>
      </w:r>
    </w:p>
    <w:p>
      <w:pPr>
        <w:spacing w:after="0" w:line="174" w:lineRule="exact"/>
        <w:rPr>
          <w:sz w:val="20"/>
          <w:szCs w:val="20"/>
          <w:color w:val="auto"/>
        </w:rPr>
      </w:pPr>
    </w:p>
    <w:p>
      <w:pPr>
        <w:ind w:left="940" w:hanging="284"/>
        <w:spacing w:after="0"/>
        <w:tabs>
          <w:tab w:leader="none" w:pos="940" w:val="left"/>
        </w:tabs>
        <w:numPr>
          <w:ilvl w:val="0"/>
          <w:numId w:val="174"/>
        </w:numPr>
        <w:rPr>
          <w:rFonts w:ascii="Arial" w:cs="Arial" w:eastAsia="Arial" w:hAnsi="Arial"/>
          <w:sz w:val="22"/>
          <w:szCs w:val="22"/>
          <w:color w:val="auto"/>
        </w:rPr>
      </w:pPr>
      <w:r>
        <w:rPr>
          <w:rFonts w:ascii="Arial" w:cs="Arial" w:eastAsia="Arial" w:hAnsi="Arial"/>
          <w:sz w:val="22"/>
          <w:szCs w:val="22"/>
          <w:color w:val="auto"/>
        </w:rPr>
        <w:t>a statement that the Person making such certificate or opinion has read such covenant or condition;</w:t>
      </w:r>
    </w:p>
    <w:p>
      <w:pPr>
        <w:spacing w:after="0" w:line="260" w:lineRule="exact"/>
        <w:rPr>
          <w:rFonts w:ascii="Arial" w:cs="Arial" w:eastAsia="Arial" w:hAnsi="Arial"/>
          <w:sz w:val="22"/>
          <w:szCs w:val="22"/>
          <w:color w:val="auto"/>
        </w:rPr>
      </w:pPr>
    </w:p>
    <w:p>
      <w:pPr>
        <w:ind w:firstLine="656"/>
        <w:spacing w:after="0" w:line="302" w:lineRule="auto"/>
        <w:tabs>
          <w:tab w:leader="none" w:pos="959" w:val="left"/>
        </w:tabs>
        <w:numPr>
          <w:ilvl w:val="0"/>
          <w:numId w:val="174"/>
        </w:numPr>
        <w:rPr>
          <w:rFonts w:ascii="Arial" w:cs="Arial" w:eastAsia="Arial" w:hAnsi="Arial"/>
          <w:sz w:val="22"/>
          <w:szCs w:val="22"/>
          <w:color w:val="auto"/>
        </w:rPr>
      </w:pPr>
      <w:r>
        <w:rPr>
          <w:rFonts w:ascii="Arial" w:cs="Arial" w:eastAsia="Arial" w:hAnsi="Arial"/>
          <w:sz w:val="22"/>
          <w:szCs w:val="22"/>
          <w:color w:val="auto"/>
        </w:rPr>
        <w:t>a brief statement as to the nature and scope of the examination or investigation upon which the statements or opinions contained in such certificate or opinion are based;</w:t>
      </w:r>
    </w:p>
    <w:p>
      <w:pPr>
        <w:spacing w:after="0" w:line="173" w:lineRule="exact"/>
        <w:rPr>
          <w:rFonts w:ascii="Arial" w:cs="Arial" w:eastAsia="Arial" w:hAnsi="Arial"/>
          <w:sz w:val="22"/>
          <w:szCs w:val="22"/>
          <w:color w:val="auto"/>
        </w:rPr>
      </w:pPr>
    </w:p>
    <w:p>
      <w:pPr>
        <w:ind w:firstLine="656"/>
        <w:spacing w:after="0" w:line="387" w:lineRule="auto"/>
        <w:tabs>
          <w:tab w:leader="none" w:pos="933" w:val="left"/>
        </w:tabs>
        <w:numPr>
          <w:ilvl w:val="0"/>
          <w:numId w:val="174"/>
        </w:numPr>
        <w:rPr>
          <w:rFonts w:ascii="Arial" w:cs="Arial" w:eastAsia="Arial" w:hAnsi="Arial"/>
          <w:sz w:val="19"/>
          <w:szCs w:val="19"/>
          <w:color w:val="auto"/>
        </w:rPr>
      </w:pPr>
      <w:r>
        <w:rPr>
          <w:rFonts w:ascii="Arial" w:cs="Arial" w:eastAsia="Arial" w:hAnsi="Arial"/>
          <w:sz w:val="19"/>
          <w:szCs w:val="19"/>
          <w:color w:val="auto"/>
        </w:rPr>
        <w:t>a statement that, in the opinion of such Person, he or she has made such examination or investigation as is necessary to enable him or her to express an informed opinion as to whether or not such covenant or condition has been satisfied; and</w:t>
      </w:r>
    </w:p>
    <w:p>
      <w:pPr>
        <w:spacing w:after="0" w:line="105" w:lineRule="exact"/>
        <w:rPr>
          <w:rFonts w:ascii="Arial" w:cs="Arial" w:eastAsia="Arial" w:hAnsi="Arial"/>
          <w:sz w:val="19"/>
          <w:szCs w:val="19"/>
          <w:color w:val="auto"/>
        </w:rPr>
      </w:pPr>
    </w:p>
    <w:p>
      <w:pPr>
        <w:ind w:left="960" w:hanging="304"/>
        <w:spacing w:after="0"/>
        <w:tabs>
          <w:tab w:leader="none" w:pos="960" w:val="left"/>
        </w:tabs>
        <w:numPr>
          <w:ilvl w:val="0"/>
          <w:numId w:val="174"/>
        </w:numPr>
        <w:rPr>
          <w:rFonts w:ascii="Arial" w:cs="Arial" w:eastAsia="Arial" w:hAnsi="Arial"/>
          <w:sz w:val="21"/>
          <w:szCs w:val="21"/>
          <w:color w:val="auto"/>
        </w:rPr>
      </w:pPr>
      <w:r>
        <w:rPr>
          <w:rFonts w:ascii="Arial" w:cs="Arial" w:eastAsia="Arial" w:hAnsi="Arial"/>
          <w:sz w:val="21"/>
          <w:szCs w:val="21"/>
          <w:color w:val="auto"/>
        </w:rPr>
        <w:t>a statement as to whether or not, in the opinion of such Person, such condition or covenant has been satisfied.</w:t>
      </w: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11.04 </w:t>
      </w:r>
      <w:r>
        <w:rPr>
          <w:rFonts w:ascii="Arial" w:cs="Arial" w:eastAsia="Arial" w:hAnsi="Arial"/>
          <w:sz w:val="22"/>
          <w:szCs w:val="22"/>
          <w:i w:val="1"/>
          <w:iCs w:val="1"/>
          <w:color w:val="auto"/>
        </w:rPr>
        <w:t>Rules by Trustee and Agents</w:t>
      </w:r>
      <w:r>
        <w:rPr>
          <w:rFonts w:ascii="Arial" w:cs="Arial" w:eastAsia="Arial" w:hAnsi="Arial"/>
          <w:sz w:val="22"/>
          <w:szCs w:val="22"/>
          <w:color w:val="auto"/>
        </w:rPr>
        <w:t>.</w:t>
      </w:r>
    </w:p>
    <w:p>
      <w:pPr>
        <w:spacing w:after="0" w:line="26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The Trustee may make reasonable rules for action by or at a meeting of Holders. The Registrar or Paying Agent may make reasonable rules and set reasonable requirements for its functions.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11.05 </w:t>
      </w:r>
      <w:r>
        <w:rPr>
          <w:rFonts w:ascii="Arial" w:cs="Arial" w:eastAsia="Arial" w:hAnsi="Arial"/>
          <w:sz w:val="22"/>
          <w:szCs w:val="22"/>
          <w:i w:val="1"/>
          <w:iCs w:val="1"/>
          <w:color w:val="auto"/>
        </w:rPr>
        <w:t>No Personal Liability of Directors, Officers, Employees and Equity Holders</w:t>
      </w:r>
      <w:r>
        <w:rPr>
          <w:rFonts w:ascii="Arial" w:cs="Arial" w:eastAsia="Arial" w:hAnsi="Arial"/>
          <w:sz w:val="22"/>
          <w:szCs w:val="22"/>
          <w:color w:val="auto"/>
        </w:rPr>
        <w:t>.</w:t>
      </w:r>
    </w:p>
    <w:p>
      <w:pPr>
        <w:spacing w:after="0" w:line="26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color w:val="auto"/>
        </w:rPr>
        <w:t>No past, present or future director, officer, employee, incorporator, organizer, equity holder or member of the Issuer, as such, shall have any liability for any obligations of the Issuer under the Notes or this Indenture or for any claim based on, in respect of, or by reason of, such obligations or their creation. Each Holder by accepting a Note waives and releases all such liability. The waiver and release are part of the consideration for issuance of the</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3160" w:type="dxa"/>
            <w:vAlign w:val="bottom"/>
          </w:tcPr>
          <w:p>
            <w:pPr>
              <w:spacing w:after="0"/>
              <w:rPr>
                <w:sz w:val="20"/>
                <w:szCs w:val="20"/>
                <w:color w:val="auto"/>
              </w:rPr>
            </w:pPr>
            <w:r>
              <w:rPr>
                <w:rFonts w:ascii="Arial" w:cs="Arial" w:eastAsia="Arial" w:hAnsi="Arial"/>
                <w:sz w:val="11"/>
                <w:szCs w:val="11"/>
                <w:color w:val="auto"/>
              </w:rPr>
              <w:t>ASIA 33616188</w:t>
            </w:r>
          </w:p>
        </w:tc>
        <w:tc>
          <w:tcPr>
            <w:tcW w:w="2660" w:type="dxa"/>
            <w:vAlign w:val="bottom"/>
          </w:tcPr>
          <w:p>
            <w:pPr>
              <w:jc w:val="right"/>
              <w:spacing w:after="0"/>
              <w:rPr>
                <w:sz w:val="20"/>
                <w:szCs w:val="20"/>
                <w:color w:val="auto"/>
              </w:rPr>
            </w:pPr>
            <w:r>
              <w:rPr>
                <w:rFonts w:ascii="Arial" w:cs="Arial" w:eastAsia="Arial" w:hAnsi="Arial"/>
                <w:sz w:val="22"/>
                <w:szCs w:val="22"/>
                <w:color w:val="auto"/>
              </w:rPr>
              <w:t>76</w:t>
            </w:r>
          </w:p>
        </w:tc>
      </w:tr>
    </w:tbl>
    <w:p>
      <w:pPr>
        <w:sectPr>
          <w:pgSz w:w="11900" w:h="16838" w:orient="portrait"/>
          <w:cols w:equalWidth="0" w:num="1">
            <w:col w:w="11420"/>
          </w:cols>
          <w:pgMar w:left="240" w:top="1440" w:right="239" w:bottom="1440" w:gutter="0" w:footer="0" w:header="0"/>
        </w:sectPr>
      </w:pPr>
    </w:p>
    <w:bookmarkStart w:id="227" w:name="page228"/>
    <w:bookmarkEnd w:id="227"/>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Notes. The waiver may not be effective to waive liabilities under the United States federal securities laws.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11.06 </w:t>
      </w:r>
      <w:r>
        <w:rPr>
          <w:rFonts w:ascii="Arial" w:cs="Arial" w:eastAsia="Arial" w:hAnsi="Arial"/>
          <w:sz w:val="22"/>
          <w:szCs w:val="22"/>
          <w:i w:val="1"/>
          <w:iCs w:val="1"/>
          <w:color w:val="auto"/>
        </w:rPr>
        <w:t>Governing Law; Waiver of Jury Trial</w:t>
      </w:r>
      <w:r>
        <w:rPr>
          <w:rFonts w:ascii="Arial" w:cs="Arial" w:eastAsia="Arial" w:hAnsi="Arial"/>
          <w:sz w:val="22"/>
          <w:szCs w:val="22"/>
          <w:color w:val="auto"/>
        </w:rPr>
        <w:t>.</w:t>
      </w:r>
    </w:p>
    <w:p>
      <w:pPr>
        <w:spacing w:after="0" w:line="26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22"/>
          <w:szCs w:val="22"/>
          <w:color w:val="auto"/>
        </w:rPr>
        <w:t>THIS INDENTURE AND THE NOTES SHALL BE GOVERNED BY AND CONSTRUED IN ACCORDANCE WITH THE LAWS OF THE STATE OF NEW YORK, INCLUDING, WITHOUT LIMITATION, SECTION 5-1401 OF THE NEW YORK OBLIGATIONS LAW. TO THE FULLEST EXTENT PERMITTED BY APPLICABLE LAW, EACH OF THE ISSUER AND THE TRUSTEE HEREBY IRREVOCABLY WAIVES ANY AND ALL RIGHT TO TRIAL BY JURY IN ANY LEGAL PROCEEDING ARISING OUT OF OR RELATING TO THIS INDENTURE, THE NOTES OR THE TRANSACTIONS CONTEMPLATED HEREBY.</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11.07 </w:t>
      </w:r>
      <w:r>
        <w:rPr>
          <w:rFonts w:ascii="Arial" w:cs="Arial" w:eastAsia="Arial" w:hAnsi="Arial"/>
          <w:sz w:val="22"/>
          <w:szCs w:val="22"/>
          <w:i w:val="1"/>
          <w:iCs w:val="1"/>
          <w:color w:val="auto"/>
        </w:rPr>
        <w:t>Submission to Jurisdiction; Waiver of Immunities; Agent for Service</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Issuer irrevocably:</w:t>
      </w:r>
    </w:p>
    <w:p>
      <w:pPr>
        <w:spacing w:after="0" w:line="260" w:lineRule="exact"/>
        <w:rPr>
          <w:sz w:val="20"/>
          <w:szCs w:val="20"/>
          <w:color w:val="auto"/>
        </w:rPr>
      </w:pPr>
    </w:p>
    <w:p>
      <w:pPr>
        <w:jc w:val="both"/>
        <w:ind w:firstLine="656"/>
        <w:spacing w:after="0" w:line="292" w:lineRule="auto"/>
        <w:tabs>
          <w:tab w:leader="none" w:pos="933" w:val="left"/>
        </w:tabs>
        <w:numPr>
          <w:ilvl w:val="0"/>
          <w:numId w:val="175"/>
        </w:numPr>
        <w:rPr>
          <w:rFonts w:ascii="Arial" w:cs="Arial" w:eastAsia="Arial" w:hAnsi="Arial"/>
          <w:sz w:val="22"/>
          <w:szCs w:val="22"/>
          <w:color w:val="auto"/>
        </w:rPr>
      </w:pPr>
      <w:r>
        <w:rPr>
          <w:rFonts w:ascii="Arial" w:cs="Arial" w:eastAsia="Arial" w:hAnsi="Arial"/>
          <w:sz w:val="22"/>
          <w:szCs w:val="22"/>
          <w:color w:val="auto"/>
        </w:rPr>
        <w:t>submits to the non-exclusive jurisdiction of any United States federal or New York State court located in the Borough of Manhattan, the City of New York in connection with any suit, action or proceeding arising out of, or relating to this Indenture or the Notes or arising under any United States federal or state securities laws;</w:t>
      </w:r>
    </w:p>
    <w:p>
      <w:pPr>
        <w:spacing w:after="0" w:line="184" w:lineRule="exact"/>
        <w:rPr>
          <w:rFonts w:ascii="Arial" w:cs="Arial" w:eastAsia="Arial" w:hAnsi="Arial"/>
          <w:sz w:val="22"/>
          <w:szCs w:val="22"/>
          <w:color w:val="auto"/>
        </w:rPr>
      </w:pPr>
    </w:p>
    <w:p>
      <w:pPr>
        <w:ind w:firstLine="656"/>
        <w:spacing w:after="0" w:line="302" w:lineRule="auto"/>
        <w:tabs>
          <w:tab w:leader="none" w:pos="945" w:val="left"/>
        </w:tabs>
        <w:numPr>
          <w:ilvl w:val="0"/>
          <w:numId w:val="175"/>
        </w:numPr>
        <w:rPr>
          <w:rFonts w:ascii="Arial" w:cs="Arial" w:eastAsia="Arial" w:hAnsi="Arial"/>
          <w:sz w:val="22"/>
          <w:szCs w:val="22"/>
          <w:color w:val="auto"/>
        </w:rPr>
      </w:pPr>
      <w:r>
        <w:rPr>
          <w:rFonts w:ascii="Arial" w:cs="Arial" w:eastAsia="Arial" w:hAnsi="Arial"/>
          <w:sz w:val="22"/>
          <w:szCs w:val="22"/>
          <w:color w:val="auto"/>
        </w:rPr>
        <w:t>to the fullest extent permitted by law, waives any objection which it may now or hereafter have to the laying of venue of any such suit, action or proceeding; and</w:t>
      </w:r>
    </w:p>
    <w:p>
      <w:pPr>
        <w:spacing w:after="0" w:line="173" w:lineRule="exact"/>
        <w:rPr>
          <w:rFonts w:ascii="Arial" w:cs="Arial" w:eastAsia="Arial" w:hAnsi="Arial"/>
          <w:sz w:val="22"/>
          <w:szCs w:val="22"/>
          <w:color w:val="auto"/>
        </w:rPr>
      </w:pPr>
    </w:p>
    <w:p>
      <w:pPr>
        <w:jc w:val="both"/>
        <w:ind w:firstLine="656"/>
        <w:spacing w:after="0" w:line="287" w:lineRule="auto"/>
        <w:tabs>
          <w:tab w:leader="none" w:pos="933" w:val="left"/>
        </w:tabs>
        <w:numPr>
          <w:ilvl w:val="0"/>
          <w:numId w:val="175"/>
        </w:numPr>
        <w:rPr>
          <w:rFonts w:ascii="Arial" w:cs="Arial" w:eastAsia="Arial" w:hAnsi="Arial"/>
          <w:sz w:val="22"/>
          <w:szCs w:val="22"/>
          <w:color w:val="auto"/>
        </w:rPr>
      </w:pPr>
      <w:r>
        <w:rPr>
          <w:rFonts w:ascii="Arial" w:cs="Arial" w:eastAsia="Arial" w:hAnsi="Arial"/>
          <w:sz w:val="22"/>
          <w:szCs w:val="22"/>
          <w:color w:val="auto"/>
        </w:rPr>
        <w:t>waives any immunity to jurisdiction to which it or any of its properties, assets or revenues may otherwise be entitled or become entitled (including sovereign immunity, immunity to pre-judgment attachment, post-judgment attachment and execution) in any legal suit, action or proceeding, from jurisdiction of any court or from set-off or any legal process (whether service or notice, attachment in aid or otherwise) with respect to itself or any of its property and agrees not to plead or claim such immunity in respect of its obligations under this Indenture.</w:t>
      </w:r>
    </w:p>
    <w:p>
      <w:pPr>
        <w:spacing w:after="0" w:line="18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color w:val="auto"/>
        </w:rPr>
        <w:t>In addition, the Issuer designates and appoints C T Corporation System, whose offices are currently located at 111 Eighth Avenue, New York, New York, as its authorized agent for receipt of service of process in any such suit, action or proceeding, and service of process upon the authorized agent and written notice of such service to the Issuer shall be deemed, in every respect, effective service of process upon the Issuer.</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11.08 </w:t>
      </w:r>
      <w:r>
        <w:rPr>
          <w:rFonts w:ascii="Arial" w:cs="Arial" w:eastAsia="Arial" w:hAnsi="Arial"/>
          <w:sz w:val="22"/>
          <w:szCs w:val="22"/>
          <w:i w:val="1"/>
          <w:iCs w:val="1"/>
          <w:color w:val="auto"/>
        </w:rPr>
        <w:t>Indemnification for Judgment Currency</w:t>
      </w:r>
      <w:r>
        <w:rPr>
          <w:rFonts w:ascii="Arial" w:cs="Arial" w:eastAsia="Arial" w:hAnsi="Arial"/>
          <w:sz w:val="22"/>
          <w:szCs w:val="22"/>
          <w:color w:val="auto"/>
        </w:rPr>
        <w:t>.</w:t>
      </w:r>
    </w:p>
    <w:p>
      <w:pPr>
        <w:spacing w:after="0" w:line="26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The obligations of the Issuer to any Holder of the Notes or the Trustee under this Indenture or the Notes shall, notwithstanding any judgment in a currency (the “</w:t>
      </w:r>
      <w:r>
        <w:rPr>
          <w:rFonts w:ascii="Arial" w:cs="Arial" w:eastAsia="Arial" w:hAnsi="Arial"/>
          <w:sz w:val="22"/>
          <w:szCs w:val="22"/>
          <w:i w:val="1"/>
          <w:iCs w:val="1"/>
          <w:color w:val="auto"/>
        </w:rPr>
        <w:t>Judgment Currency</w:t>
      </w:r>
      <w:r>
        <w:rPr>
          <w:rFonts w:ascii="Arial" w:cs="Arial" w:eastAsia="Arial" w:hAnsi="Arial"/>
          <w:sz w:val="22"/>
          <w:szCs w:val="22"/>
          <w:color w:val="auto"/>
        </w:rPr>
        <w:t>”) other than U.S. dollars, be discharged only to the extent that on the day following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3160" w:type="dxa"/>
            <w:vAlign w:val="bottom"/>
          </w:tcPr>
          <w:p>
            <w:pPr>
              <w:spacing w:after="0"/>
              <w:rPr>
                <w:sz w:val="20"/>
                <w:szCs w:val="20"/>
                <w:color w:val="auto"/>
              </w:rPr>
            </w:pPr>
            <w:r>
              <w:rPr>
                <w:rFonts w:ascii="Arial" w:cs="Arial" w:eastAsia="Arial" w:hAnsi="Arial"/>
                <w:sz w:val="11"/>
                <w:szCs w:val="11"/>
                <w:color w:val="auto"/>
              </w:rPr>
              <w:t>ASIA 33616188</w:t>
            </w:r>
          </w:p>
        </w:tc>
        <w:tc>
          <w:tcPr>
            <w:tcW w:w="2660" w:type="dxa"/>
            <w:vAlign w:val="bottom"/>
          </w:tcPr>
          <w:p>
            <w:pPr>
              <w:jc w:val="right"/>
              <w:spacing w:after="0"/>
              <w:rPr>
                <w:sz w:val="20"/>
                <w:szCs w:val="20"/>
                <w:color w:val="auto"/>
              </w:rPr>
            </w:pPr>
            <w:r>
              <w:rPr>
                <w:rFonts w:ascii="Arial" w:cs="Arial" w:eastAsia="Arial" w:hAnsi="Arial"/>
                <w:sz w:val="22"/>
                <w:szCs w:val="22"/>
                <w:color w:val="auto"/>
              </w:rPr>
              <w:t>77</w:t>
            </w:r>
          </w:p>
        </w:tc>
      </w:tr>
    </w:tbl>
    <w:p>
      <w:pPr>
        <w:sectPr>
          <w:pgSz w:w="11900" w:h="16838" w:orient="portrait"/>
          <w:cols w:equalWidth="0" w:num="1">
            <w:col w:w="11420"/>
          </w:cols>
          <w:pgMar w:left="240" w:top="1440" w:right="239" w:bottom="1440" w:gutter="0" w:footer="0" w:header="0"/>
        </w:sectPr>
      </w:pPr>
    </w:p>
    <w:bookmarkStart w:id="228" w:name="page229"/>
    <w:bookmarkEnd w:id="228"/>
    <w:p>
      <w:pPr>
        <w:spacing w:after="0" w:line="2" w:lineRule="exact"/>
        <w:rPr>
          <w:sz w:val="20"/>
          <w:szCs w:val="20"/>
          <w:color w:val="auto"/>
        </w:rPr>
      </w:pPr>
    </w:p>
    <w:p>
      <w:pPr>
        <w:jc w:val="both"/>
        <w:spacing w:after="0" w:line="302" w:lineRule="auto"/>
        <w:rPr>
          <w:sz w:val="20"/>
          <w:szCs w:val="20"/>
          <w:color w:val="auto"/>
        </w:rPr>
      </w:pPr>
      <w:r>
        <w:rPr>
          <w:rFonts w:ascii="Arial" w:cs="Arial" w:eastAsia="Arial" w:hAnsi="Arial"/>
          <w:sz w:val="22"/>
          <w:szCs w:val="22"/>
          <w:color w:val="auto"/>
        </w:rPr>
        <w:t>receipt by such party of any amount in the Judgment Currency, such party may in accordance with normal banking procedures purchase U.S. dollars with the Judgment Currency.</w:t>
      </w:r>
    </w:p>
    <w:p>
      <w:pPr>
        <w:spacing w:after="0" w:line="17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22"/>
          <w:szCs w:val="22"/>
          <w:color w:val="auto"/>
        </w:rPr>
        <w:t>If the amount of U.S. dollars so purchased is less than the amount originally to be paid to such party in U.S. dollars, the Issuer agrees as a separate obligation and notwithstanding such judgment, to the extent permitted by applicable law, to pay the difference, and, if the amount of U.S. dollars so purchased exceeds the amount originally to be paid to such party, such party agrees to pay to or for the account of such payor such excess; provided that such party shall not have any obligation to pay any such excess as long as an Event of Default has occurred and is continuing, in which case such excess may be applied by such party to such obligations.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11.09 </w:t>
      </w:r>
      <w:r>
        <w:rPr>
          <w:rFonts w:ascii="Arial" w:cs="Arial" w:eastAsia="Arial" w:hAnsi="Arial"/>
          <w:sz w:val="22"/>
          <w:szCs w:val="22"/>
          <w:i w:val="1"/>
          <w:iCs w:val="1"/>
          <w:color w:val="auto"/>
        </w:rPr>
        <w:t>No Adverse Interpretation of Other Agreements</w:t>
      </w:r>
      <w:r>
        <w:rPr>
          <w:rFonts w:ascii="Arial" w:cs="Arial" w:eastAsia="Arial" w:hAnsi="Arial"/>
          <w:sz w:val="22"/>
          <w:szCs w:val="22"/>
          <w:color w:val="auto"/>
        </w:rPr>
        <w:t>.</w:t>
      </w:r>
    </w:p>
    <w:p>
      <w:pPr>
        <w:spacing w:after="0" w:line="260" w:lineRule="exact"/>
        <w:rPr>
          <w:sz w:val="20"/>
          <w:szCs w:val="20"/>
          <w:color w:val="auto"/>
        </w:rPr>
      </w:pPr>
    </w:p>
    <w:p>
      <w:pPr>
        <w:jc w:val="both"/>
        <w:ind w:firstLine="648"/>
        <w:spacing w:after="0" w:line="387" w:lineRule="auto"/>
        <w:rPr>
          <w:sz w:val="20"/>
          <w:szCs w:val="20"/>
          <w:color w:val="auto"/>
        </w:rPr>
      </w:pPr>
      <w:r>
        <w:rPr>
          <w:rFonts w:ascii="Arial" w:cs="Arial" w:eastAsia="Arial" w:hAnsi="Arial"/>
          <w:sz w:val="19"/>
          <w:szCs w:val="19"/>
          <w:color w:val="auto"/>
        </w:rPr>
        <w:t>This Indenture may not be used to interpret any other indenture, loan or debt agreement of the Issuer or its Subsidiaries or of any other Person. Any such indenture, loan or debt agreement may not be used to interpret this Indenture.</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11.10 </w:t>
      </w:r>
      <w:r>
        <w:rPr>
          <w:rFonts w:ascii="Arial" w:cs="Arial" w:eastAsia="Arial" w:hAnsi="Arial"/>
          <w:sz w:val="22"/>
          <w:szCs w:val="22"/>
          <w:i w:val="1"/>
          <w:iCs w:val="1"/>
          <w:color w:val="auto"/>
        </w:rPr>
        <w:t>Successors</w:t>
      </w:r>
      <w:r>
        <w:rPr>
          <w:rFonts w:ascii="Arial" w:cs="Arial" w:eastAsia="Arial" w:hAnsi="Arial"/>
          <w:sz w:val="22"/>
          <w:szCs w:val="22"/>
          <w:color w:val="auto"/>
        </w:rPr>
        <w:t>.</w:t>
      </w:r>
    </w:p>
    <w:p>
      <w:pPr>
        <w:spacing w:after="0" w:line="26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All agreements of the Issuer in this Indenture and the Notes shall bind its successors. All agreements of the Trustee in this Indenture shall bind its successors.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11.11 </w:t>
      </w:r>
      <w:r>
        <w:rPr>
          <w:rFonts w:ascii="Arial" w:cs="Arial" w:eastAsia="Arial" w:hAnsi="Arial"/>
          <w:sz w:val="22"/>
          <w:szCs w:val="22"/>
          <w:i w:val="1"/>
          <w:iCs w:val="1"/>
          <w:color w:val="auto"/>
        </w:rPr>
        <w:t>Severability</w:t>
      </w:r>
      <w:r>
        <w:rPr>
          <w:rFonts w:ascii="Arial" w:cs="Arial" w:eastAsia="Arial" w:hAnsi="Arial"/>
          <w:sz w:val="22"/>
          <w:szCs w:val="22"/>
          <w:color w:val="auto"/>
        </w:rPr>
        <w:t>.</w:t>
      </w:r>
    </w:p>
    <w:p>
      <w:pPr>
        <w:spacing w:after="0" w:line="26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In case any provision in this Indenture or in the Notes is invalid, illegal or unenforceable, the validity, legality and enforceability of the remaining provisions shall not in any way be affected or impaired thereby.</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11.12 </w:t>
      </w:r>
      <w:r>
        <w:rPr>
          <w:rFonts w:ascii="Arial" w:cs="Arial" w:eastAsia="Arial" w:hAnsi="Arial"/>
          <w:sz w:val="22"/>
          <w:szCs w:val="22"/>
          <w:i w:val="1"/>
          <w:iCs w:val="1"/>
          <w:color w:val="auto"/>
        </w:rPr>
        <w:t>Counterpart Originals</w:t>
      </w:r>
      <w:r>
        <w:rPr>
          <w:rFonts w:ascii="Arial" w:cs="Arial" w:eastAsia="Arial" w:hAnsi="Arial"/>
          <w:sz w:val="22"/>
          <w:szCs w:val="22"/>
          <w:color w:val="auto"/>
        </w:rPr>
        <w:t>.</w:t>
      </w:r>
    </w:p>
    <w:p>
      <w:pPr>
        <w:spacing w:after="0" w:line="260" w:lineRule="exact"/>
        <w:rPr>
          <w:sz w:val="20"/>
          <w:szCs w:val="20"/>
          <w:color w:val="auto"/>
        </w:rPr>
      </w:pPr>
    </w:p>
    <w:p>
      <w:pPr>
        <w:jc w:val="both"/>
        <w:ind w:firstLine="648"/>
        <w:spacing w:after="0" w:line="341" w:lineRule="auto"/>
        <w:rPr>
          <w:sz w:val="20"/>
          <w:szCs w:val="20"/>
          <w:color w:val="auto"/>
        </w:rPr>
      </w:pPr>
      <w:r>
        <w:rPr>
          <w:rFonts w:ascii="Arial" w:cs="Arial" w:eastAsia="Arial" w:hAnsi="Arial"/>
          <w:sz w:val="19"/>
          <w:szCs w:val="19"/>
          <w:color w:val="auto"/>
        </w:rPr>
        <w:t>The parties may sign any number of copies of this Indenture. Each signed copy shall be an original, but all of them together represent the same agreement. This Indenture may be executed in two or more counterparts, each of which shall be deemed to be an original and all of which together shall constitute one and the same agreement. The exchange of copies of this Indenture and of signature pages by facsimile or PDF transmission shall constitute effective execution and delivery of this Indenture as to the parties hereto and may be used in lieu of the original Indenture and signature pages for all purposes.</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11.13 </w:t>
      </w:r>
      <w:r>
        <w:rPr>
          <w:rFonts w:ascii="Arial" w:cs="Arial" w:eastAsia="Arial" w:hAnsi="Arial"/>
          <w:sz w:val="22"/>
          <w:szCs w:val="22"/>
          <w:i w:val="1"/>
          <w:iCs w:val="1"/>
          <w:color w:val="auto"/>
        </w:rPr>
        <w:t>Table of Contents, Headings, etc.</w:t>
      </w:r>
    </w:p>
    <w:p>
      <w:pPr>
        <w:spacing w:after="0" w:line="26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The Table of Contents and Headings of the Articles and Sections of this Indenture have been inserted for convenience of reference only, are not to be considered a part of this Indenture and shall in no way modify or restrict any of the terms or provisions hereof.</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3160" w:type="dxa"/>
            <w:vAlign w:val="bottom"/>
          </w:tcPr>
          <w:p>
            <w:pPr>
              <w:spacing w:after="0"/>
              <w:rPr>
                <w:sz w:val="20"/>
                <w:szCs w:val="20"/>
                <w:color w:val="auto"/>
              </w:rPr>
            </w:pPr>
            <w:r>
              <w:rPr>
                <w:rFonts w:ascii="Arial" w:cs="Arial" w:eastAsia="Arial" w:hAnsi="Arial"/>
                <w:sz w:val="11"/>
                <w:szCs w:val="11"/>
                <w:color w:val="auto"/>
              </w:rPr>
              <w:t>ASIA 33616188</w:t>
            </w:r>
          </w:p>
        </w:tc>
        <w:tc>
          <w:tcPr>
            <w:tcW w:w="2660" w:type="dxa"/>
            <w:vAlign w:val="bottom"/>
          </w:tcPr>
          <w:p>
            <w:pPr>
              <w:jc w:val="right"/>
              <w:spacing w:after="0"/>
              <w:rPr>
                <w:sz w:val="20"/>
                <w:szCs w:val="20"/>
                <w:color w:val="auto"/>
              </w:rPr>
            </w:pPr>
            <w:r>
              <w:rPr>
                <w:rFonts w:ascii="Arial" w:cs="Arial" w:eastAsia="Arial" w:hAnsi="Arial"/>
                <w:sz w:val="22"/>
                <w:szCs w:val="22"/>
                <w:color w:val="auto"/>
              </w:rPr>
              <w:t>78</w:t>
            </w:r>
          </w:p>
        </w:tc>
      </w:tr>
    </w:tbl>
    <w:p>
      <w:pPr>
        <w:sectPr>
          <w:pgSz w:w="11900" w:h="16838" w:orient="portrait"/>
          <w:cols w:equalWidth="0" w:num="1">
            <w:col w:w="11420"/>
          </w:cols>
          <w:pgMar w:left="240" w:top="1440" w:right="239" w:bottom="1440" w:gutter="0" w:footer="0" w:header="0"/>
        </w:sectPr>
      </w:pPr>
    </w:p>
    <w:bookmarkStart w:id="229" w:name="page230"/>
    <w:bookmarkEnd w:id="229"/>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11.14 </w:t>
      </w:r>
      <w:r>
        <w:rPr>
          <w:rFonts w:ascii="Arial" w:cs="Arial" w:eastAsia="Arial" w:hAnsi="Arial"/>
          <w:sz w:val="22"/>
          <w:szCs w:val="22"/>
          <w:i w:val="1"/>
          <w:iCs w:val="1"/>
          <w:color w:val="auto"/>
        </w:rPr>
        <w:t>Compliance with Applicable Anti-Terrorism and Money Laundering Regulations.</w:t>
      </w:r>
    </w:p>
    <w:p>
      <w:pPr>
        <w:spacing w:after="0" w:line="26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22"/>
          <w:szCs w:val="22"/>
          <w:color w:val="auto"/>
        </w:rPr>
        <w:t>In order to comply with the laws, rules, regulations and executive orders in effect from time to time applicable to banking institutions, including, without limitation, those relating to the funding of terrorist activities and money laundering, including Section 326 of the USA PATRIOT Act of the United States (“</w:t>
      </w:r>
      <w:r>
        <w:rPr>
          <w:rFonts w:ascii="Arial" w:cs="Arial" w:eastAsia="Arial" w:hAnsi="Arial"/>
          <w:sz w:val="22"/>
          <w:szCs w:val="22"/>
          <w:i w:val="1"/>
          <w:iCs w:val="1"/>
          <w:color w:val="auto"/>
        </w:rPr>
        <w:t>Applicable AML Law</w:t>
      </w:r>
      <w:r>
        <w:rPr>
          <w:rFonts w:ascii="Arial" w:cs="Arial" w:eastAsia="Arial" w:hAnsi="Arial"/>
          <w:sz w:val="22"/>
          <w:szCs w:val="22"/>
          <w:color w:val="auto"/>
        </w:rPr>
        <w:t>”), the Trustee and Agents are required to obtain, verify, record and update certain information relating to individuals and entities which maintain a business relationship with the Trustee and Agents. Accordingly, each of the parties agree to provide to the Trustee and Agents, upon their request from time to time such identifying information and documentation as may be available for such party in order to enable the Trustee and Agents to comply with Applicable AML Law.</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[Signatures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3160" w:type="dxa"/>
            <w:vAlign w:val="bottom"/>
          </w:tcPr>
          <w:p>
            <w:pPr>
              <w:spacing w:after="0"/>
              <w:rPr>
                <w:sz w:val="20"/>
                <w:szCs w:val="20"/>
                <w:color w:val="auto"/>
              </w:rPr>
            </w:pPr>
            <w:r>
              <w:rPr>
                <w:rFonts w:ascii="Arial" w:cs="Arial" w:eastAsia="Arial" w:hAnsi="Arial"/>
                <w:sz w:val="11"/>
                <w:szCs w:val="11"/>
                <w:color w:val="auto"/>
              </w:rPr>
              <w:t>ASIA 33616188</w:t>
            </w:r>
          </w:p>
        </w:tc>
        <w:tc>
          <w:tcPr>
            <w:tcW w:w="2660" w:type="dxa"/>
            <w:vAlign w:val="bottom"/>
          </w:tcPr>
          <w:p>
            <w:pPr>
              <w:jc w:val="right"/>
              <w:spacing w:after="0"/>
              <w:rPr>
                <w:sz w:val="20"/>
                <w:szCs w:val="20"/>
                <w:color w:val="auto"/>
              </w:rPr>
            </w:pPr>
            <w:r>
              <w:rPr>
                <w:rFonts w:ascii="Arial" w:cs="Arial" w:eastAsia="Arial" w:hAnsi="Arial"/>
                <w:sz w:val="22"/>
                <w:szCs w:val="22"/>
                <w:color w:val="auto"/>
              </w:rPr>
              <w:t>79</w:t>
            </w:r>
          </w:p>
        </w:tc>
      </w:tr>
    </w:tbl>
    <w:p>
      <w:pPr>
        <w:sectPr>
          <w:pgSz w:w="11900" w:h="16838" w:orient="portrait"/>
          <w:cols w:equalWidth="0" w:num="1">
            <w:col w:w="11420"/>
          </w:cols>
          <w:pgMar w:left="240" w:top="1440" w:right="239" w:bottom="1440" w:gutter="0" w:footer="0" w:header="0"/>
        </w:sectPr>
      </w:pPr>
    </w:p>
    <w:bookmarkStart w:id="230" w:name="page231"/>
    <w:bookmarkEnd w:id="230"/>
    <w:p>
      <w:pPr>
        <w:ind w:left="5020"/>
        <w:spacing w:after="0"/>
        <w:rPr>
          <w:sz w:val="20"/>
          <w:szCs w:val="20"/>
          <w:color w:val="auto"/>
        </w:rPr>
      </w:pPr>
      <w:r>
        <w:rPr>
          <w:rFonts w:ascii="Arial" w:cs="Arial" w:eastAsia="Arial" w:hAnsi="Arial"/>
          <w:sz w:val="22"/>
          <w:szCs w:val="22"/>
          <w:b w:val="1"/>
          <w:bCs w:val="1"/>
          <w:color w:val="auto"/>
        </w:rPr>
        <w:t>SIGNATURES</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Dated as of December 17, 2019</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ISSUER:</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WYNN MACAU, LIMITED</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By: /s/ Jason Schall</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Name: Jason Schall</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Title: Executive Vice President, General Counsel and Authorized Signatory</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right"/>
        <w:ind w:right="3499"/>
        <w:spacing w:after="0"/>
        <w:rPr>
          <w:sz w:val="20"/>
          <w:szCs w:val="20"/>
          <w:color w:val="auto"/>
        </w:rPr>
      </w:pPr>
      <w:r>
        <w:rPr>
          <w:rFonts w:ascii="Arial" w:cs="Arial" w:eastAsia="Arial" w:hAnsi="Arial"/>
          <w:sz w:val="18"/>
          <w:szCs w:val="18"/>
          <w:color w:val="auto"/>
        </w:rPr>
        <w:t>Signature Page to Indenture</w:t>
      </w:r>
    </w:p>
    <w:p>
      <w:pPr>
        <w:spacing w:after="0" w:line="270" w:lineRule="exact"/>
        <w:rPr>
          <w:sz w:val="20"/>
          <w:szCs w:val="20"/>
          <w:color w:val="auto"/>
        </w:rPr>
      </w:pPr>
    </w:p>
    <w:p>
      <w:pPr>
        <w:ind w:left="20"/>
        <w:spacing w:after="0"/>
        <w:rPr>
          <w:sz w:val="20"/>
          <w:szCs w:val="20"/>
          <w:color w:val="auto"/>
        </w:rPr>
      </w:pPr>
      <w:r>
        <w:rPr>
          <w:rFonts w:ascii="Arial" w:cs="Arial" w:eastAsia="Arial" w:hAnsi="Arial"/>
          <w:sz w:val="11"/>
          <w:szCs w:val="11"/>
          <w:color w:val="auto"/>
        </w:rPr>
        <w:t>ASIA 33616188</w:t>
      </w:r>
    </w:p>
    <w:p>
      <w:pPr>
        <w:sectPr>
          <w:pgSz w:w="11900" w:h="16838" w:orient="portrait"/>
          <w:cols w:equalWidth="0" w:num="1">
            <w:col w:w="10219"/>
          </w:cols>
          <w:pgMar w:left="240" w:top="1436" w:right="1440" w:bottom="1440" w:gutter="0" w:footer="0" w:header="0"/>
        </w:sectPr>
      </w:pPr>
    </w:p>
    <w:bookmarkStart w:id="231" w:name="page232"/>
    <w:bookmarkEnd w:id="231"/>
    <w:p>
      <w:pPr>
        <w:spacing w:after="0" w:line="2" w:lineRule="exact"/>
        <w:rPr>
          <w:sz w:val="20"/>
          <w:szCs w:val="20"/>
          <w:color w:val="auto"/>
        </w:rPr>
      </w:pPr>
    </w:p>
    <w:p>
      <w:pPr>
        <w:ind w:right="1459" w:firstLine="3890"/>
        <w:spacing w:after="0" w:line="494" w:lineRule="auto"/>
        <w:rPr>
          <w:sz w:val="20"/>
          <w:szCs w:val="20"/>
          <w:color w:val="auto"/>
        </w:rPr>
      </w:pPr>
      <w:r>
        <w:rPr>
          <w:rFonts w:ascii="Arial" w:cs="Arial" w:eastAsia="Arial" w:hAnsi="Arial"/>
          <w:sz w:val="22"/>
          <w:szCs w:val="22"/>
          <w:color w:val="auto"/>
        </w:rPr>
        <w:t>DEUTSCHE BANK TRUST COMPANY AMERICAS, not in its individual capacity but solely as Trustee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By: /s/ Bridgette Casasnovas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Name: Bridgette Casasnovas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2"/>
          <w:szCs w:val="22"/>
          <w:color w:val="auto"/>
        </w:rPr>
        <w:t>By: /s/ Jacqueline Bartnick</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color w:val="auto"/>
        </w:rPr>
        <w:t>Name: Jacqueline Bartnick</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Signature Page to Indenture</w:t>
      </w:r>
    </w:p>
    <w:p>
      <w:pPr>
        <w:spacing w:after="0" w:line="270" w:lineRule="exact"/>
        <w:rPr>
          <w:sz w:val="20"/>
          <w:szCs w:val="20"/>
          <w:color w:val="auto"/>
        </w:rPr>
      </w:pPr>
    </w:p>
    <w:p>
      <w:pPr>
        <w:ind w:left="20"/>
        <w:spacing w:after="0"/>
        <w:rPr>
          <w:sz w:val="20"/>
          <w:szCs w:val="20"/>
          <w:color w:val="auto"/>
        </w:rPr>
      </w:pPr>
      <w:r>
        <w:rPr>
          <w:rFonts w:ascii="Arial" w:cs="Arial" w:eastAsia="Arial" w:hAnsi="Arial"/>
          <w:sz w:val="11"/>
          <w:szCs w:val="11"/>
          <w:color w:val="auto"/>
        </w:rPr>
        <w:t>ASIA 33616188</w:t>
      </w:r>
    </w:p>
    <w:p>
      <w:pPr>
        <w:sectPr>
          <w:pgSz w:w="11900" w:h="16838" w:orient="portrait"/>
          <w:cols w:equalWidth="0" w:num="1">
            <w:col w:w="10219"/>
          </w:cols>
          <w:pgMar w:left="240" w:top="1440" w:right="1440" w:bottom="1440" w:gutter="0" w:footer="0" w:header="0"/>
        </w:sectPr>
      </w:pPr>
    </w:p>
    <w:bookmarkStart w:id="232" w:name="page233"/>
    <w:bookmarkEnd w:id="232"/>
    <w:p>
      <w:pPr>
        <w:jc w:val="right"/>
        <w:spacing w:after="0"/>
        <w:rPr>
          <w:sz w:val="20"/>
          <w:szCs w:val="20"/>
          <w:color w:val="auto"/>
        </w:rPr>
      </w:pPr>
      <w:r>
        <w:rPr>
          <w:rFonts w:ascii="Arial" w:cs="Arial" w:eastAsia="Arial" w:hAnsi="Arial"/>
          <w:sz w:val="22"/>
          <w:szCs w:val="22"/>
          <w:b w:val="1"/>
          <w:bCs w:val="1"/>
          <w:color w:val="auto"/>
        </w:rPr>
        <w:t>EXHIBIT A</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[Face of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23773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3">
                      <a:extLst>
                        <a:ext uri="{28A0092B-C50C-407E-A947-70E740481C1C}"/>
                      </a:extLst>
                    </a:blip>
                    <a:srcRect/>
                    <a:stretch>
                      <a:fillRect/>
                    </a:stretch>
                  </pic:blipFill>
                  <pic:spPr bwMode="auto">
                    <a:xfrm>
                      <a:off x="0" y="0"/>
                      <a:ext cx="7237730" cy="17145"/>
                    </a:xfrm>
                    <a:prstGeom prst="rect">
                      <a:avLst/>
                    </a:prstGeom>
                    <a:noFill/>
                  </pic:spPr>
                </pic:pic>
              </a:graphicData>
            </a:graphic>
          </wp:anchor>
        </w:drawing>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CUSIP/CINS</w:t>
      </w:r>
      <w:r>
        <w:rPr>
          <w:rFonts w:ascii="Arial" w:cs="Arial" w:eastAsia="Arial" w:hAnsi="Arial"/>
          <w:sz w:val="22"/>
          <w:szCs w:val="22"/>
          <w:color w:val="auto"/>
        </w:rPr>
        <w:t>: _________________</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ISIN</w:t>
      </w:r>
      <w:r>
        <w:rPr>
          <w:rFonts w:ascii="Arial" w:cs="Arial" w:eastAsia="Arial" w:hAnsi="Arial"/>
          <w:sz w:val="22"/>
          <w:szCs w:val="22"/>
          <w:color w:val="auto"/>
        </w:rPr>
        <w:t>: _________________</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Common Code</w:t>
      </w:r>
      <w:r>
        <w:rPr>
          <w:rFonts w:ascii="Arial" w:cs="Arial" w:eastAsia="Arial" w:hAnsi="Arial"/>
          <w:sz w:val="22"/>
          <w:szCs w:val="22"/>
          <w:color w:val="auto"/>
        </w:rPr>
        <w:t>: _________________</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5.125% Senior Notes due 2029</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No. ___ US$__________</w:t>
      </w:r>
    </w:p>
    <w:p>
      <w:pPr>
        <w:spacing w:after="0" w:line="260"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WYNN MACAU, LIMITED</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promises to pay to _____________________ or registered assigns,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the principal sum of</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DOLLARS on December 15, 2029.</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Interest Payment Dates: June 15 and December 15</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Record Dates: May 31 and November 30</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Dated: 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3180" w:type="dxa"/>
            <w:vAlign w:val="bottom"/>
          </w:tcPr>
          <w:p>
            <w:pPr>
              <w:spacing w:after="0"/>
              <w:rPr>
                <w:sz w:val="20"/>
                <w:szCs w:val="20"/>
                <w:color w:val="auto"/>
              </w:rPr>
            </w:pPr>
            <w:r>
              <w:rPr>
                <w:rFonts w:ascii="Arial" w:cs="Arial" w:eastAsia="Arial" w:hAnsi="Arial"/>
                <w:sz w:val="11"/>
                <w:szCs w:val="11"/>
                <w:color w:val="auto"/>
              </w:rPr>
              <w:t>ASIA 33616188</w:t>
            </w:r>
          </w:p>
        </w:tc>
        <w:tc>
          <w:tcPr>
            <w:tcW w:w="2580" w:type="dxa"/>
            <w:vAlign w:val="bottom"/>
          </w:tcPr>
          <w:p>
            <w:pPr>
              <w:jc w:val="right"/>
              <w:spacing w:after="0"/>
              <w:rPr>
                <w:sz w:val="20"/>
                <w:szCs w:val="20"/>
                <w:color w:val="auto"/>
              </w:rPr>
            </w:pPr>
            <w:r>
              <w:rPr>
                <w:rFonts w:ascii="Arial" w:cs="Arial" w:eastAsia="Arial" w:hAnsi="Arial"/>
                <w:sz w:val="22"/>
                <w:szCs w:val="22"/>
                <w:color w:val="auto"/>
              </w:rPr>
              <w:t>1</w:t>
            </w:r>
          </w:p>
        </w:tc>
      </w:tr>
    </w:tbl>
    <w:p>
      <w:pPr>
        <w:sectPr>
          <w:pgSz w:w="11900" w:h="16838" w:orient="portrait"/>
          <w:cols w:equalWidth="0" w:num="1">
            <w:col w:w="11420"/>
          </w:cols>
          <w:pgMar w:left="240" w:top="1436" w:right="239" w:bottom="1440" w:gutter="0" w:footer="0" w:header="0"/>
        </w:sectPr>
      </w:pPr>
    </w:p>
    <w:bookmarkStart w:id="233" w:name="page234"/>
    <w:bookmarkEnd w:id="233"/>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auto"/>
        </w:rPr>
        <w:t>IN WITNESS WHEREOF, the Issuer has caused this Note to be duly executed.</w:t>
      </w:r>
    </w:p>
    <w:p>
      <w:pPr>
        <w:spacing w:after="0" w:line="200" w:lineRule="exact"/>
        <w:rPr>
          <w:sz w:val="20"/>
          <w:szCs w:val="20"/>
          <w:color w:val="auto"/>
        </w:rPr>
      </w:pPr>
    </w:p>
    <w:p>
      <w:pPr>
        <w:spacing w:after="0" w:line="276"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WYNN MACAU, LIMITED</w:t>
      </w:r>
    </w:p>
    <w:p>
      <w:pPr>
        <w:spacing w:after="0" w:line="200" w:lineRule="exact"/>
        <w:rPr>
          <w:sz w:val="20"/>
          <w:szCs w:val="20"/>
          <w:color w:val="auto"/>
        </w:rPr>
      </w:pPr>
    </w:p>
    <w:p>
      <w:pPr>
        <w:spacing w:after="0" w:line="276"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By: _________________________________</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3180" w:type="dxa"/>
            <w:vAlign w:val="bottom"/>
          </w:tcPr>
          <w:p>
            <w:pPr>
              <w:spacing w:after="0"/>
              <w:rPr>
                <w:sz w:val="20"/>
                <w:szCs w:val="20"/>
                <w:color w:val="auto"/>
              </w:rPr>
            </w:pPr>
            <w:r>
              <w:rPr>
                <w:rFonts w:ascii="Arial" w:cs="Arial" w:eastAsia="Arial" w:hAnsi="Arial"/>
                <w:sz w:val="11"/>
                <w:szCs w:val="11"/>
                <w:color w:val="auto"/>
              </w:rPr>
              <w:t>ASIA 33616188</w:t>
            </w:r>
          </w:p>
        </w:tc>
        <w:tc>
          <w:tcPr>
            <w:tcW w:w="2580" w:type="dxa"/>
            <w:vAlign w:val="bottom"/>
          </w:tcPr>
          <w:p>
            <w:pPr>
              <w:jc w:val="right"/>
              <w:spacing w:after="0"/>
              <w:rPr>
                <w:sz w:val="20"/>
                <w:szCs w:val="20"/>
                <w:color w:val="auto"/>
              </w:rPr>
            </w:pPr>
            <w:r>
              <w:rPr>
                <w:rFonts w:ascii="Arial" w:cs="Arial" w:eastAsia="Arial" w:hAnsi="Arial"/>
                <w:sz w:val="22"/>
                <w:szCs w:val="22"/>
                <w:color w:val="auto"/>
              </w:rPr>
              <w:t>2</w:t>
            </w:r>
          </w:p>
        </w:tc>
      </w:tr>
    </w:tbl>
    <w:p>
      <w:pPr>
        <w:sectPr>
          <w:pgSz w:w="11900" w:h="16838" w:orient="portrait"/>
          <w:cols w:equalWidth="0" w:num="1">
            <w:col w:w="10219"/>
          </w:cols>
          <w:pgMar w:left="240" w:top="1440" w:right="1440" w:bottom="1440" w:gutter="0" w:footer="0" w:header="0"/>
        </w:sectPr>
      </w:pPr>
    </w:p>
    <w:bookmarkStart w:id="234" w:name="page235"/>
    <w:bookmarkEnd w:id="234"/>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This is one of the Notes referred to in the within-mentioned Indenture.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Date: </w:t>
      </w:r>
      <w:r>
        <w:rPr>
          <w:rFonts w:ascii="Arial" w:cs="Arial" w:eastAsia="Arial" w:hAnsi="Arial"/>
          <w:sz w:val="22"/>
          <w:szCs w:val="22"/>
          <w:u w:val="single" w:color="auto"/>
          <w:color w:val="auto"/>
        </w:rPr>
        <w:t>______________________________</w:t>
      </w:r>
    </w:p>
    <w:p>
      <w:pPr>
        <w:spacing w:after="0" w:line="200" w:lineRule="exact"/>
        <w:rPr>
          <w:sz w:val="20"/>
          <w:szCs w:val="20"/>
          <w:color w:val="auto"/>
        </w:rPr>
      </w:pPr>
    </w:p>
    <w:p>
      <w:pPr>
        <w:spacing w:after="0" w:line="303" w:lineRule="exact"/>
        <w:rPr>
          <w:sz w:val="20"/>
          <w:szCs w:val="20"/>
          <w:color w:val="auto"/>
        </w:rPr>
      </w:pPr>
    </w:p>
    <w:p>
      <w:pPr>
        <w:jc w:val="center"/>
        <w:ind w:right="139"/>
        <w:spacing w:after="0"/>
        <w:rPr>
          <w:sz w:val="20"/>
          <w:szCs w:val="20"/>
          <w:color w:val="auto"/>
        </w:rPr>
      </w:pPr>
      <w:r>
        <w:rPr>
          <w:rFonts w:ascii="Arial" w:cs="Arial" w:eastAsia="Arial" w:hAnsi="Arial"/>
          <w:sz w:val="21"/>
          <w:szCs w:val="21"/>
          <w:color w:val="auto"/>
        </w:rPr>
        <w:t>DEUTSCHE BANK TRUST COMPANY AMERICAS,</w:t>
      </w: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as Trustee</w:t>
      </w:r>
    </w:p>
    <w:p>
      <w:pPr>
        <w:spacing w:after="0" w:line="200" w:lineRule="exact"/>
        <w:rPr>
          <w:sz w:val="20"/>
          <w:szCs w:val="20"/>
          <w:color w:val="auto"/>
        </w:rPr>
      </w:pPr>
    </w:p>
    <w:p>
      <w:pPr>
        <w:spacing w:after="0" w:line="276"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By: ______________________________</w:t>
      </w:r>
    </w:p>
    <w:p>
      <w:pPr>
        <w:spacing w:after="0" w:line="44"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3180" w:type="dxa"/>
            <w:vAlign w:val="bottom"/>
          </w:tcPr>
          <w:p>
            <w:pPr>
              <w:spacing w:after="0"/>
              <w:rPr>
                <w:sz w:val="20"/>
                <w:szCs w:val="20"/>
                <w:color w:val="auto"/>
              </w:rPr>
            </w:pPr>
            <w:r>
              <w:rPr>
                <w:rFonts w:ascii="Arial" w:cs="Arial" w:eastAsia="Arial" w:hAnsi="Arial"/>
                <w:sz w:val="11"/>
                <w:szCs w:val="11"/>
                <w:color w:val="auto"/>
              </w:rPr>
              <w:t>ASIA 33616188</w:t>
            </w:r>
          </w:p>
        </w:tc>
        <w:tc>
          <w:tcPr>
            <w:tcW w:w="2580" w:type="dxa"/>
            <w:vAlign w:val="bottom"/>
          </w:tcPr>
          <w:p>
            <w:pPr>
              <w:jc w:val="right"/>
              <w:spacing w:after="0"/>
              <w:rPr>
                <w:sz w:val="20"/>
                <w:szCs w:val="20"/>
                <w:color w:val="auto"/>
              </w:rPr>
            </w:pPr>
            <w:r>
              <w:rPr>
                <w:rFonts w:ascii="Arial" w:cs="Arial" w:eastAsia="Arial" w:hAnsi="Arial"/>
                <w:sz w:val="22"/>
                <w:szCs w:val="22"/>
                <w:color w:val="auto"/>
              </w:rPr>
              <w:t>3</w:t>
            </w:r>
          </w:p>
        </w:tc>
      </w:tr>
    </w:tbl>
    <w:p>
      <w:pPr>
        <w:sectPr>
          <w:pgSz w:w="11900" w:h="16838" w:orient="portrait"/>
          <w:cols w:equalWidth="0" w:num="1">
            <w:col w:w="10219"/>
          </w:cols>
          <w:pgMar w:left="240" w:top="1440" w:right="1440" w:bottom="1440" w:gutter="0" w:footer="0" w:header="0"/>
        </w:sectPr>
      </w:pPr>
    </w:p>
    <w:bookmarkStart w:id="235" w:name="page236"/>
    <w:bookmarkEnd w:id="235"/>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[Back of Note]</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5.125% Senior Notes due 2029</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[Insert the Private Placement Legend, if applicable, pursuant to Section 2.06(f)(1) of the Indenture]</w:t>
      </w: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[Insert the Global Notes Legend, if applicable, pursuant to Section 2.06(f)(2) of the Indenture]</w:t>
      </w:r>
    </w:p>
    <w:p>
      <w:pPr>
        <w:spacing w:after="0" w:line="260" w:lineRule="exact"/>
        <w:rPr>
          <w:sz w:val="20"/>
          <w:szCs w:val="20"/>
          <w:color w:val="auto"/>
        </w:rPr>
      </w:pPr>
    </w:p>
    <w:p>
      <w:pPr>
        <w:ind w:firstLine="648"/>
        <w:spacing w:after="0" w:line="302" w:lineRule="auto"/>
        <w:rPr>
          <w:sz w:val="20"/>
          <w:szCs w:val="20"/>
          <w:color w:val="auto"/>
        </w:rPr>
      </w:pPr>
      <w:r>
        <w:rPr>
          <w:rFonts w:ascii="Arial" w:cs="Arial" w:eastAsia="Arial" w:hAnsi="Arial"/>
          <w:sz w:val="22"/>
          <w:szCs w:val="22"/>
          <w:color w:val="auto"/>
        </w:rPr>
        <w:t>Capitalized terms used herein have the meanings assigned to them in the Indenture referred to below unless otherwise indicated.</w:t>
      </w:r>
    </w:p>
    <w:p>
      <w:pPr>
        <w:spacing w:after="0" w:line="174" w:lineRule="exact"/>
        <w:rPr>
          <w:sz w:val="20"/>
          <w:szCs w:val="20"/>
          <w:color w:val="auto"/>
        </w:rPr>
      </w:pPr>
    </w:p>
    <w:p>
      <w:pPr>
        <w:jc w:val="both"/>
        <w:ind w:left="660" w:firstLine="645"/>
        <w:spacing w:after="0" w:line="326" w:lineRule="auto"/>
        <w:tabs>
          <w:tab w:leader="none" w:pos="1614" w:val="left"/>
        </w:tabs>
        <w:numPr>
          <w:ilvl w:val="0"/>
          <w:numId w:val="176"/>
        </w:numPr>
        <w:rPr>
          <w:rFonts w:ascii="Arial" w:cs="Arial" w:eastAsia="Arial" w:hAnsi="Arial"/>
          <w:sz w:val="19"/>
          <w:szCs w:val="19"/>
          <w:color w:val="auto"/>
        </w:rPr>
      </w:pPr>
      <w:r>
        <w:rPr>
          <w:rFonts w:ascii="Arial" w:cs="Arial" w:eastAsia="Arial" w:hAnsi="Arial"/>
          <w:sz w:val="19"/>
          <w:szCs w:val="19"/>
          <w:i w:val="1"/>
          <w:iCs w:val="1"/>
          <w:color w:val="auto"/>
        </w:rPr>
        <w:t>INTEREST</w:t>
      </w:r>
      <w:r>
        <w:rPr>
          <w:rFonts w:ascii="Arial" w:cs="Arial" w:eastAsia="Arial" w:hAnsi="Arial"/>
          <w:sz w:val="19"/>
          <w:szCs w:val="19"/>
          <w:color w:val="auto"/>
        </w:rPr>
        <w:t>. Wynn Macau, Limited, a company incorporated with limited liability under the laws of the Cayman</w:t>
      </w:r>
      <w:r>
        <w:rPr>
          <w:rFonts w:ascii="Arial" w:cs="Arial" w:eastAsia="Arial" w:hAnsi="Arial"/>
          <w:sz w:val="19"/>
          <w:szCs w:val="19"/>
          <w:i w:val="1"/>
          <w:iCs w:val="1"/>
          <w:color w:val="auto"/>
        </w:rPr>
        <w:t xml:space="preserve"> </w:t>
      </w:r>
      <w:r>
        <w:rPr>
          <w:rFonts w:ascii="Arial" w:cs="Arial" w:eastAsia="Arial" w:hAnsi="Arial"/>
          <w:sz w:val="19"/>
          <w:szCs w:val="19"/>
          <w:color w:val="auto"/>
        </w:rPr>
        <w:t>Islands (the “</w:t>
      </w:r>
      <w:r>
        <w:rPr>
          <w:rFonts w:ascii="Arial" w:cs="Arial" w:eastAsia="Arial" w:hAnsi="Arial"/>
          <w:sz w:val="19"/>
          <w:szCs w:val="19"/>
          <w:i w:val="1"/>
          <w:iCs w:val="1"/>
          <w:color w:val="auto"/>
        </w:rPr>
        <w:t>Issuer</w:t>
      </w:r>
      <w:r>
        <w:rPr>
          <w:rFonts w:ascii="Arial" w:cs="Arial" w:eastAsia="Arial" w:hAnsi="Arial"/>
          <w:sz w:val="19"/>
          <w:szCs w:val="19"/>
          <w:color w:val="auto"/>
        </w:rPr>
        <w:t>”), promises to pay interest on the principal amount of this Note at 5.125% per annum from</w:t>
      </w:r>
    </w:p>
    <w:p>
      <w:pPr>
        <w:jc w:val="both"/>
        <w:ind w:left="660"/>
        <w:spacing w:after="0" w:line="333" w:lineRule="auto"/>
        <w:rPr>
          <w:rFonts w:ascii="Arial" w:cs="Arial" w:eastAsia="Arial" w:hAnsi="Arial"/>
          <w:sz w:val="19"/>
          <w:szCs w:val="19"/>
          <w:color w:val="auto"/>
        </w:rPr>
      </w:pPr>
      <w:r>
        <w:rPr>
          <w:rFonts w:ascii="Arial" w:cs="Arial" w:eastAsia="Arial" w:hAnsi="Arial"/>
          <w:sz w:val="19"/>
          <w:szCs w:val="19"/>
          <w:color w:val="auto"/>
        </w:rPr>
        <w:t>______________, 20__ until maturity. The Issuer shall pay interest semi-annually in arrears on June 15 and December 15 of each year, or if any such day is not a Business Day, on the next succeeding Business Day (each, an “</w:t>
      </w:r>
      <w:r>
        <w:rPr>
          <w:rFonts w:ascii="Arial" w:cs="Arial" w:eastAsia="Arial" w:hAnsi="Arial"/>
          <w:sz w:val="19"/>
          <w:szCs w:val="19"/>
          <w:i w:val="1"/>
          <w:iCs w:val="1"/>
          <w:color w:val="auto"/>
        </w:rPr>
        <w:t>Interest Payment</w:t>
      </w:r>
      <w:r>
        <w:rPr>
          <w:rFonts w:ascii="Arial" w:cs="Arial" w:eastAsia="Arial" w:hAnsi="Arial"/>
          <w:sz w:val="19"/>
          <w:szCs w:val="19"/>
          <w:color w:val="auto"/>
        </w:rPr>
        <w:t xml:space="preserve"> </w:t>
      </w:r>
      <w:r>
        <w:rPr>
          <w:rFonts w:ascii="Arial" w:cs="Arial" w:eastAsia="Arial" w:hAnsi="Arial"/>
          <w:sz w:val="19"/>
          <w:szCs w:val="19"/>
          <w:i w:val="1"/>
          <w:iCs w:val="1"/>
          <w:color w:val="auto"/>
        </w:rPr>
        <w:t>Date</w:t>
      </w:r>
      <w:r>
        <w:rPr>
          <w:rFonts w:ascii="Arial" w:cs="Arial" w:eastAsia="Arial" w:hAnsi="Arial"/>
          <w:sz w:val="19"/>
          <w:szCs w:val="19"/>
          <w:color w:val="auto"/>
        </w:rPr>
        <w:t>”). Interest on the Notes shall accrue from the most recent date to which interest has been paid or, if no interest has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been paid, from the date of issuance;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there is no existing Default in the payment of interest, and if this Note is authenticated between a record date referred to on the face hereof and the next succeeding Interest Payment Date, interest shall accrue from such next succeeding Interest Payment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the first Interest Payment Date shall be _______________, 20__. The Issuer shall pay interest (including post-petition interest in any proceeding under any Bankruptcy Law) on overdue principal and premium, if any, from time to time on demand at a rate that is 1% per annum in excess of the rate then in effect; it shall pay interest (including post-petition interest in any proceeding under any Bankruptcy Law) on overdue installments of interest (without regard to any applicable grace periods) from time to time on demand at the same rate to the extent lawful.</w:t>
      </w:r>
    </w:p>
    <w:p>
      <w:pPr>
        <w:spacing w:after="0" w:line="200" w:lineRule="exact"/>
        <w:rPr>
          <w:sz w:val="20"/>
          <w:szCs w:val="20"/>
          <w:color w:val="auto"/>
        </w:rPr>
      </w:pPr>
    </w:p>
    <w:p>
      <w:pPr>
        <w:spacing w:after="0" w:line="25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Interest shall be computed on the basis of a 360-day year of twelve 30-day months.</w:t>
      </w:r>
    </w:p>
    <w:p>
      <w:pPr>
        <w:spacing w:after="0" w:line="260" w:lineRule="exact"/>
        <w:rPr>
          <w:sz w:val="20"/>
          <w:szCs w:val="20"/>
          <w:color w:val="auto"/>
        </w:rPr>
      </w:pPr>
    </w:p>
    <w:p>
      <w:pPr>
        <w:jc w:val="both"/>
        <w:ind w:left="660" w:firstLine="645"/>
        <w:spacing w:after="0" w:line="285" w:lineRule="auto"/>
        <w:tabs>
          <w:tab w:leader="none" w:pos="1628" w:val="left"/>
        </w:tabs>
        <w:numPr>
          <w:ilvl w:val="0"/>
          <w:numId w:val="177"/>
        </w:numPr>
        <w:rPr>
          <w:rFonts w:ascii="Arial" w:cs="Arial" w:eastAsia="Arial" w:hAnsi="Arial"/>
          <w:sz w:val="22"/>
          <w:szCs w:val="22"/>
          <w:color w:val="auto"/>
        </w:rPr>
      </w:pPr>
      <w:r>
        <w:rPr>
          <w:rFonts w:ascii="Arial" w:cs="Arial" w:eastAsia="Arial" w:hAnsi="Arial"/>
          <w:sz w:val="22"/>
          <w:szCs w:val="22"/>
          <w:i w:val="1"/>
          <w:iCs w:val="1"/>
          <w:color w:val="auto"/>
        </w:rPr>
        <w:t>METHOD OF PAYMENT</w:t>
      </w:r>
      <w:r>
        <w:rPr>
          <w:rFonts w:ascii="Arial" w:cs="Arial" w:eastAsia="Arial" w:hAnsi="Arial"/>
          <w:sz w:val="22"/>
          <w:szCs w:val="22"/>
          <w:color w:val="auto"/>
        </w:rPr>
        <w:t>. The Issuer shall pay interest on the Notes (except defaulted interest) to the Persons</w:t>
      </w:r>
      <w:r>
        <w:rPr>
          <w:rFonts w:ascii="Arial" w:cs="Arial" w:eastAsia="Arial" w:hAnsi="Arial"/>
          <w:sz w:val="22"/>
          <w:szCs w:val="22"/>
          <w:i w:val="1"/>
          <w:iCs w:val="1"/>
          <w:color w:val="auto"/>
        </w:rPr>
        <w:t xml:space="preserve"> </w:t>
      </w:r>
      <w:r>
        <w:rPr>
          <w:rFonts w:ascii="Arial" w:cs="Arial" w:eastAsia="Arial" w:hAnsi="Arial"/>
          <w:sz w:val="22"/>
          <w:szCs w:val="22"/>
          <w:color w:val="auto"/>
        </w:rPr>
        <w:t>who are registered Holders of Notes at the close of business on the May 31 or November 30 next preceding the Interest Payment Date, even if such Notes are canceled after such record date and on or before such Interest Payment Date, except as provided in Section 2.12 of the Indenture with respect to defaulted interest. The Notes shall be payable as to principal, premium, if any, and interest at the office or agency of the Issuer maintained for such purpose within or without the City and State of New York, or, at the option of the Issuer, payment of interest, if any, may be made by check mailed to the Holders at their</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3180" w:type="dxa"/>
            <w:vAlign w:val="bottom"/>
          </w:tcPr>
          <w:p>
            <w:pPr>
              <w:spacing w:after="0"/>
              <w:rPr>
                <w:sz w:val="20"/>
                <w:szCs w:val="20"/>
                <w:color w:val="auto"/>
              </w:rPr>
            </w:pPr>
            <w:r>
              <w:rPr>
                <w:rFonts w:ascii="Arial" w:cs="Arial" w:eastAsia="Arial" w:hAnsi="Arial"/>
                <w:sz w:val="11"/>
                <w:szCs w:val="11"/>
                <w:color w:val="auto"/>
              </w:rPr>
              <w:t>ASIA 33616188</w:t>
            </w:r>
          </w:p>
        </w:tc>
        <w:tc>
          <w:tcPr>
            <w:tcW w:w="2580" w:type="dxa"/>
            <w:vAlign w:val="bottom"/>
          </w:tcPr>
          <w:p>
            <w:pPr>
              <w:jc w:val="right"/>
              <w:spacing w:after="0"/>
              <w:rPr>
                <w:sz w:val="20"/>
                <w:szCs w:val="20"/>
                <w:color w:val="auto"/>
              </w:rPr>
            </w:pPr>
            <w:r>
              <w:rPr>
                <w:rFonts w:ascii="Arial" w:cs="Arial" w:eastAsia="Arial" w:hAnsi="Arial"/>
                <w:sz w:val="22"/>
                <w:szCs w:val="22"/>
                <w:color w:val="auto"/>
              </w:rPr>
              <w:t>4</w:t>
            </w:r>
          </w:p>
        </w:tc>
      </w:tr>
    </w:tbl>
    <w:p>
      <w:pPr>
        <w:sectPr>
          <w:pgSz w:w="11900" w:h="16838" w:orient="portrait"/>
          <w:cols w:equalWidth="0" w:num="1">
            <w:col w:w="11420"/>
          </w:cols>
          <w:pgMar w:left="240" w:top="1440" w:right="239" w:bottom="1440" w:gutter="0" w:footer="0" w:header="0"/>
        </w:sectPr>
      </w:pPr>
    </w:p>
    <w:bookmarkStart w:id="236" w:name="page237"/>
    <w:bookmarkEnd w:id="236"/>
    <w:p>
      <w:pPr>
        <w:spacing w:after="0" w:line="2" w:lineRule="exact"/>
        <w:rPr>
          <w:sz w:val="20"/>
          <w:szCs w:val="20"/>
          <w:color w:val="auto"/>
        </w:rPr>
      </w:pPr>
    </w:p>
    <w:p>
      <w:pPr>
        <w:jc w:val="both"/>
        <w:ind w:left="640"/>
        <w:spacing w:after="0" w:line="287" w:lineRule="auto"/>
        <w:rPr>
          <w:sz w:val="20"/>
          <w:szCs w:val="20"/>
          <w:color w:val="auto"/>
        </w:rPr>
      </w:pPr>
      <w:r>
        <w:rPr>
          <w:rFonts w:ascii="Arial" w:cs="Arial" w:eastAsia="Arial" w:hAnsi="Arial"/>
          <w:sz w:val="22"/>
          <w:szCs w:val="22"/>
          <w:color w:val="auto"/>
        </w:rPr>
        <w:t xml:space="preserve">addresses set forth in the register of Holders;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payment by wire transfer of immediately available funds shall be required with respect to principal of and interest, premium, if any, on, all Global Notes and all other Notes the Holders of which shall have provided wire transfer instructions to the Issuer or the Paying Agent. Such payment shall be in such coin or currency of the United States of America as at the time of payment is legal tender for payment of public and private debts.</w:t>
      </w:r>
    </w:p>
    <w:p>
      <w:pPr>
        <w:spacing w:after="0" w:line="189" w:lineRule="exact"/>
        <w:rPr>
          <w:sz w:val="20"/>
          <w:szCs w:val="20"/>
          <w:color w:val="auto"/>
        </w:rPr>
      </w:pPr>
    </w:p>
    <w:p>
      <w:pPr>
        <w:jc w:val="both"/>
        <w:ind w:left="640" w:firstLine="645"/>
        <w:spacing w:after="0" w:line="292" w:lineRule="auto"/>
        <w:tabs>
          <w:tab w:leader="none" w:pos="1608" w:val="left"/>
        </w:tabs>
        <w:numPr>
          <w:ilvl w:val="0"/>
          <w:numId w:val="178"/>
        </w:numPr>
        <w:rPr>
          <w:rFonts w:ascii="Arial" w:cs="Arial" w:eastAsia="Arial" w:hAnsi="Arial"/>
          <w:sz w:val="22"/>
          <w:szCs w:val="22"/>
          <w:color w:val="auto"/>
        </w:rPr>
      </w:pPr>
      <w:r>
        <w:rPr>
          <w:rFonts w:ascii="Arial" w:cs="Arial" w:eastAsia="Arial" w:hAnsi="Arial"/>
          <w:sz w:val="22"/>
          <w:szCs w:val="22"/>
          <w:i w:val="1"/>
          <w:iCs w:val="1"/>
          <w:color w:val="auto"/>
        </w:rPr>
        <w:t>PAYING AGENT AND REGISTRAR</w:t>
      </w:r>
      <w:r>
        <w:rPr>
          <w:rFonts w:ascii="Arial" w:cs="Arial" w:eastAsia="Arial" w:hAnsi="Arial"/>
          <w:sz w:val="22"/>
          <w:szCs w:val="22"/>
          <w:color w:val="auto"/>
        </w:rPr>
        <w:t>. Initially, Deutsche Bank Trust Company Americas, the Trustee under the</w:t>
      </w:r>
      <w:r>
        <w:rPr>
          <w:rFonts w:ascii="Arial" w:cs="Arial" w:eastAsia="Arial" w:hAnsi="Arial"/>
          <w:sz w:val="22"/>
          <w:szCs w:val="22"/>
          <w:i w:val="1"/>
          <w:iCs w:val="1"/>
          <w:color w:val="auto"/>
        </w:rPr>
        <w:t xml:space="preserve"> </w:t>
      </w:r>
      <w:r>
        <w:rPr>
          <w:rFonts w:ascii="Arial" w:cs="Arial" w:eastAsia="Arial" w:hAnsi="Arial"/>
          <w:sz w:val="22"/>
          <w:szCs w:val="22"/>
          <w:color w:val="auto"/>
        </w:rPr>
        <w:t>Indenture, shall act as Paying Agent and Registrar. The Issuer may change any Paying Agent or Registrar without notice to any Holder. The Issuer may act in any such capacity.</w:t>
      </w:r>
    </w:p>
    <w:p>
      <w:pPr>
        <w:spacing w:after="0" w:line="184" w:lineRule="exact"/>
        <w:rPr>
          <w:rFonts w:ascii="Arial" w:cs="Arial" w:eastAsia="Arial" w:hAnsi="Arial"/>
          <w:sz w:val="22"/>
          <w:szCs w:val="22"/>
          <w:color w:val="auto"/>
        </w:rPr>
      </w:pPr>
    </w:p>
    <w:p>
      <w:pPr>
        <w:jc w:val="both"/>
        <w:ind w:left="640" w:firstLine="645"/>
        <w:spacing w:after="0" w:line="336" w:lineRule="auto"/>
        <w:tabs>
          <w:tab w:leader="none" w:pos="1594" w:val="left"/>
        </w:tabs>
        <w:numPr>
          <w:ilvl w:val="0"/>
          <w:numId w:val="178"/>
        </w:numPr>
        <w:rPr>
          <w:rFonts w:ascii="Arial" w:cs="Arial" w:eastAsia="Arial" w:hAnsi="Arial"/>
          <w:sz w:val="19"/>
          <w:szCs w:val="19"/>
          <w:color w:val="auto"/>
        </w:rPr>
      </w:pPr>
      <w:r>
        <w:rPr>
          <w:rFonts w:ascii="Arial" w:cs="Arial" w:eastAsia="Arial" w:hAnsi="Arial"/>
          <w:sz w:val="19"/>
          <w:szCs w:val="19"/>
          <w:i w:val="1"/>
          <w:iCs w:val="1"/>
          <w:color w:val="auto"/>
        </w:rPr>
        <w:t>INDENTURE</w:t>
      </w:r>
      <w:r>
        <w:rPr>
          <w:rFonts w:ascii="Arial" w:cs="Arial" w:eastAsia="Arial" w:hAnsi="Arial"/>
          <w:sz w:val="19"/>
          <w:szCs w:val="19"/>
          <w:color w:val="auto"/>
        </w:rPr>
        <w:t>. The Issuer issued the Notes under an Indenture dated as of December 17, 2019 (the “</w:t>
      </w:r>
      <w:r>
        <w:rPr>
          <w:rFonts w:ascii="Arial" w:cs="Arial" w:eastAsia="Arial" w:hAnsi="Arial"/>
          <w:sz w:val="19"/>
          <w:szCs w:val="19"/>
          <w:i w:val="1"/>
          <w:iCs w:val="1"/>
          <w:color w:val="auto"/>
        </w:rPr>
        <w:t>Indenture</w:t>
      </w:r>
      <w:r>
        <w:rPr>
          <w:rFonts w:ascii="Arial" w:cs="Arial" w:eastAsia="Arial" w:hAnsi="Arial"/>
          <w:sz w:val="19"/>
          <w:szCs w:val="19"/>
          <w:color w:val="auto"/>
        </w:rPr>
        <w:t>”)</w:t>
      </w:r>
      <w:r>
        <w:rPr>
          <w:rFonts w:ascii="Arial" w:cs="Arial" w:eastAsia="Arial" w:hAnsi="Arial"/>
          <w:sz w:val="19"/>
          <w:szCs w:val="19"/>
          <w:i w:val="1"/>
          <w:iCs w:val="1"/>
          <w:color w:val="auto"/>
        </w:rPr>
        <w:t xml:space="preserve"> </w:t>
      </w:r>
      <w:r>
        <w:rPr>
          <w:rFonts w:ascii="Arial" w:cs="Arial" w:eastAsia="Arial" w:hAnsi="Arial"/>
          <w:sz w:val="19"/>
          <w:szCs w:val="19"/>
          <w:color w:val="auto"/>
        </w:rPr>
        <w:t>between the Issuer and the Trustee. The terms of the Notes include those stated in the Indenture. The Notes are subject to all such terms, and Holders are referred to the Indenture for a statement of such terms. To the extent any provision of this Note conflicts with the express provisions of the Indenture, the provisions of the Indenture shall govern and be controlling. The Notes are unsecured obligations of the Issuer. The Indenture does not limit the aggregate principal amount of Notes that may be issued thereunder. Notes issued after the date of the Indenture in compliance with the applicable requirements of the Indenture are referred to as “</w:t>
      </w:r>
      <w:r>
        <w:rPr>
          <w:rFonts w:ascii="Arial" w:cs="Arial" w:eastAsia="Arial" w:hAnsi="Arial"/>
          <w:sz w:val="19"/>
          <w:szCs w:val="19"/>
          <w:i w:val="1"/>
          <w:iCs w:val="1"/>
          <w:color w:val="auto"/>
        </w:rPr>
        <w:t>Additional Notes</w:t>
      </w:r>
      <w:r>
        <w:rPr>
          <w:rFonts w:ascii="Arial" w:cs="Arial" w:eastAsia="Arial" w:hAnsi="Arial"/>
          <w:sz w:val="19"/>
          <w:szCs w:val="19"/>
          <w:color w:val="auto"/>
        </w:rPr>
        <w:t>.” The term “</w:t>
      </w:r>
      <w:r>
        <w:rPr>
          <w:rFonts w:ascii="Arial" w:cs="Arial" w:eastAsia="Arial" w:hAnsi="Arial"/>
          <w:sz w:val="19"/>
          <w:szCs w:val="19"/>
          <w:i w:val="1"/>
          <w:iCs w:val="1"/>
          <w:color w:val="auto"/>
        </w:rPr>
        <w:t>Notes</w:t>
      </w:r>
      <w:r>
        <w:rPr>
          <w:rFonts w:ascii="Arial" w:cs="Arial" w:eastAsia="Arial" w:hAnsi="Arial"/>
          <w:sz w:val="19"/>
          <w:szCs w:val="19"/>
          <w:color w:val="auto"/>
        </w:rPr>
        <w:t>” includes any Additional Notes hereafter issued.</w:t>
      </w:r>
    </w:p>
    <w:p>
      <w:pPr>
        <w:spacing w:after="0" w:line="154" w:lineRule="exact"/>
        <w:rPr>
          <w:rFonts w:ascii="Arial" w:cs="Arial" w:eastAsia="Arial" w:hAnsi="Arial"/>
          <w:sz w:val="19"/>
          <w:szCs w:val="19"/>
          <w:color w:val="auto"/>
        </w:rPr>
      </w:pPr>
    </w:p>
    <w:p>
      <w:pPr>
        <w:ind w:left="1600" w:hanging="315"/>
        <w:spacing w:after="0"/>
        <w:tabs>
          <w:tab w:leader="none" w:pos="1600" w:val="left"/>
        </w:tabs>
        <w:numPr>
          <w:ilvl w:val="0"/>
          <w:numId w:val="178"/>
        </w:numPr>
        <w:rPr>
          <w:rFonts w:ascii="Arial" w:cs="Arial" w:eastAsia="Arial" w:hAnsi="Arial"/>
          <w:sz w:val="22"/>
          <w:szCs w:val="22"/>
          <w:color w:val="auto"/>
        </w:rPr>
      </w:pPr>
      <w:r>
        <w:rPr>
          <w:rFonts w:ascii="Arial" w:cs="Arial" w:eastAsia="Arial" w:hAnsi="Arial"/>
          <w:sz w:val="22"/>
          <w:szCs w:val="22"/>
          <w:i w:val="1"/>
          <w:iCs w:val="1"/>
          <w:color w:val="auto"/>
        </w:rPr>
        <w:t>OPTIONAL REDEMPTION</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left="640" w:firstLine="1293"/>
        <w:spacing w:after="0" w:line="306" w:lineRule="auto"/>
        <w:tabs>
          <w:tab w:leader="none" w:pos="2240" w:val="left"/>
        </w:tabs>
        <w:numPr>
          <w:ilvl w:val="1"/>
          <w:numId w:val="178"/>
        </w:numPr>
        <w:rPr>
          <w:rFonts w:ascii="Arial" w:cs="Arial" w:eastAsia="Arial" w:hAnsi="Arial"/>
          <w:sz w:val="21"/>
          <w:szCs w:val="21"/>
          <w:color w:val="auto"/>
        </w:rPr>
      </w:pPr>
      <w:r>
        <w:rPr>
          <w:rFonts w:ascii="Arial" w:cs="Arial" w:eastAsia="Arial" w:hAnsi="Arial"/>
          <w:sz w:val="21"/>
          <w:szCs w:val="21"/>
          <w:color w:val="auto"/>
        </w:rPr>
        <w:t>At any time prior to December 15, 2022, the Issuer may, on any one or more occasions, redeem up to 35% of the aggregate principal amount of the Notes issued under this Indenture (including Additional Notes) at a redemption price of 105.125% of the principal amount, plus accrued and unpaid interest, if any, to (but excluding) the redemption date, with the net cash proceeds of one or more Equity Offerings; provided that:</w:t>
      </w:r>
    </w:p>
    <w:p>
      <w:pPr>
        <w:spacing w:after="0" w:line="172" w:lineRule="exact"/>
        <w:rPr>
          <w:rFonts w:ascii="Arial" w:cs="Arial" w:eastAsia="Arial" w:hAnsi="Arial"/>
          <w:sz w:val="21"/>
          <w:szCs w:val="21"/>
          <w:color w:val="auto"/>
        </w:rPr>
      </w:pPr>
    </w:p>
    <w:p>
      <w:pPr>
        <w:jc w:val="both"/>
        <w:ind w:left="1940" w:firstLine="641"/>
        <w:spacing w:after="0" w:line="292" w:lineRule="auto"/>
        <w:tabs>
          <w:tab w:leader="none" w:pos="2855" w:val="left"/>
        </w:tabs>
        <w:numPr>
          <w:ilvl w:val="2"/>
          <w:numId w:val="178"/>
        </w:numPr>
        <w:rPr>
          <w:rFonts w:ascii="Arial" w:cs="Arial" w:eastAsia="Arial" w:hAnsi="Arial"/>
          <w:sz w:val="22"/>
          <w:szCs w:val="22"/>
          <w:color w:val="auto"/>
        </w:rPr>
      </w:pPr>
      <w:r>
        <w:rPr>
          <w:rFonts w:ascii="Arial" w:cs="Arial" w:eastAsia="Arial" w:hAnsi="Arial"/>
          <w:sz w:val="22"/>
          <w:szCs w:val="22"/>
          <w:color w:val="auto"/>
        </w:rPr>
        <w:t>at least 65% of the aggregate principal amount of the Notes originally issued under this Indenture (excluding the Notes held by the Issuer and its Subsidiaries) remains outstanding immediately after the occurrence of such redemption; and</w:t>
      </w:r>
    </w:p>
    <w:p>
      <w:pPr>
        <w:spacing w:after="0" w:line="184" w:lineRule="exact"/>
        <w:rPr>
          <w:rFonts w:ascii="Arial" w:cs="Arial" w:eastAsia="Arial" w:hAnsi="Arial"/>
          <w:sz w:val="22"/>
          <w:szCs w:val="22"/>
          <w:color w:val="auto"/>
        </w:rPr>
      </w:pPr>
    </w:p>
    <w:p>
      <w:pPr>
        <w:ind w:left="2900" w:hanging="319"/>
        <w:spacing w:after="0"/>
        <w:tabs>
          <w:tab w:leader="none" w:pos="2900" w:val="left"/>
        </w:tabs>
        <w:numPr>
          <w:ilvl w:val="2"/>
          <w:numId w:val="178"/>
        </w:numPr>
        <w:rPr>
          <w:rFonts w:ascii="Arial" w:cs="Arial" w:eastAsia="Arial" w:hAnsi="Arial"/>
          <w:sz w:val="22"/>
          <w:szCs w:val="22"/>
          <w:color w:val="auto"/>
        </w:rPr>
      </w:pPr>
      <w:r>
        <w:rPr>
          <w:rFonts w:ascii="Arial" w:cs="Arial" w:eastAsia="Arial" w:hAnsi="Arial"/>
          <w:sz w:val="22"/>
          <w:szCs w:val="22"/>
          <w:color w:val="auto"/>
        </w:rPr>
        <w:t>the redemption occurs within 60 days of the date of the closing of such Equity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180" w:type="dxa"/>
            <w:vAlign w:val="bottom"/>
          </w:tcPr>
          <w:p>
            <w:pPr>
              <w:spacing w:after="0"/>
              <w:rPr>
                <w:sz w:val="20"/>
                <w:szCs w:val="20"/>
                <w:color w:val="auto"/>
              </w:rPr>
            </w:pPr>
            <w:r>
              <w:rPr>
                <w:rFonts w:ascii="Arial" w:cs="Arial" w:eastAsia="Arial" w:hAnsi="Arial"/>
                <w:sz w:val="11"/>
                <w:szCs w:val="11"/>
                <w:color w:val="auto"/>
              </w:rPr>
              <w:t>ASIA 33616188</w:t>
            </w:r>
          </w:p>
        </w:tc>
        <w:tc>
          <w:tcPr>
            <w:tcW w:w="2580" w:type="dxa"/>
            <w:vAlign w:val="bottom"/>
          </w:tcPr>
          <w:p>
            <w:pPr>
              <w:jc w:val="right"/>
              <w:spacing w:after="0"/>
              <w:rPr>
                <w:sz w:val="20"/>
                <w:szCs w:val="20"/>
                <w:color w:val="auto"/>
              </w:rPr>
            </w:pPr>
            <w:r>
              <w:rPr>
                <w:rFonts w:ascii="Arial" w:cs="Arial" w:eastAsia="Arial" w:hAnsi="Arial"/>
                <w:sz w:val="22"/>
                <w:szCs w:val="22"/>
                <w:color w:val="auto"/>
              </w:rPr>
              <w:t>5</w:t>
            </w:r>
          </w:p>
        </w:tc>
      </w:tr>
    </w:tbl>
    <w:p>
      <w:pPr>
        <w:sectPr>
          <w:pgSz w:w="11900" w:h="16838" w:orient="portrait"/>
          <w:cols w:equalWidth="0" w:num="1">
            <w:col w:w="11400"/>
          </w:cols>
          <w:pgMar w:left="260" w:top="1440" w:right="239" w:bottom="1440" w:gutter="0" w:footer="0" w:header="0"/>
        </w:sectPr>
      </w:pPr>
    </w:p>
    <w:bookmarkStart w:id="237" w:name="page238"/>
    <w:bookmarkEnd w:id="237"/>
    <w:p>
      <w:pPr>
        <w:spacing w:after="0" w:line="2" w:lineRule="exact"/>
        <w:rPr>
          <w:sz w:val="20"/>
          <w:szCs w:val="20"/>
          <w:color w:val="auto"/>
        </w:rPr>
      </w:pPr>
    </w:p>
    <w:p>
      <w:pPr>
        <w:ind w:left="640" w:firstLine="1293"/>
        <w:spacing w:after="0" w:line="387" w:lineRule="auto"/>
        <w:tabs>
          <w:tab w:leader="none" w:pos="2236" w:val="left"/>
        </w:tabs>
        <w:numPr>
          <w:ilvl w:val="0"/>
          <w:numId w:val="179"/>
        </w:numPr>
        <w:rPr>
          <w:rFonts w:ascii="Arial" w:cs="Arial" w:eastAsia="Arial" w:hAnsi="Arial"/>
          <w:sz w:val="19"/>
          <w:szCs w:val="19"/>
          <w:color w:val="auto"/>
        </w:rPr>
      </w:pPr>
      <w:r>
        <w:rPr>
          <w:rFonts w:ascii="Arial" w:cs="Arial" w:eastAsia="Arial" w:hAnsi="Arial"/>
          <w:sz w:val="19"/>
          <w:szCs w:val="19"/>
          <w:color w:val="auto"/>
        </w:rPr>
        <w:t>At any time prior to December 15, 2024, the Issuer may on any one or more occasions redeem all or part of the Notes, upon not less than 10 nor more than 60 days’ notice, at a redemption price equal to the greater of:</w:t>
      </w:r>
    </w:p>
    <w:p>
      <w:pPr>
        <w:spacing w:after="0" w:line="105" w:lineRule="exact"/>
        <w:rPr>
          <w:rFonts w:ascii="Arial" w:cs="Arial" w:eastAsia="Arial" w:hAnsi="Arial"/>
          <w:sz w:val="19"/>
          <w:szCs w:val="19"/>
          <w:color w:val="auto"/>
        </w:rPr>
      </w:pPr>
    </w:p>
    <w:p>
      <w:pPr>
        <w:ind w:left="2840" w:hanging="259"/>
        <w:spacing w:after="0"/>
        <w:tabs>
          <w:tab w:leader="none" w:pos="2840" w:val="left"/>
        </w:tabs>
        <w:numPr>
          <w:ilvl w:val="1"/>
          <w:numId w:val="179"/>
        </w:numPr>
        <w:rPr>
          <w:rFonts w:ascii="Arial" w:cs="Arial" w:eastAsia="Arial" w:hAnsi="Arial"/>
          <w:sz w:val="22"/>
          <w:szCs w:val="22"/>
          <w:color w:val="auto"/>
        </w:rPr>
      </w:pPr>
      <w:r>
        <w:rPr>
          <w:rFonts w:ascii="Arial" w:cs="Arial" w:eastAsia="Arial" w:hAnsi="Arial"/>
          <w:sz w:val="22"/>
          <w:szCs w:val="22"/>
          <w:color w:val="auto"/>
        </w:rPr>
        <w:t>100% of the principal amount of the Notes to be redeemed; or</w:t>
      </w:r>
    </w:p>
    <w:p>
      <w:pPr>
        <w:spacing w:after="0" w:line="260" w:lineRule="exact"/>
        <w:rPr>
          <w:rFonts w:ascii="Arial" w:cs="Arial" w:eastAsia="Arial" w:hAnsi="Arial"/>
          <w:sz w:val="22"/>
          <w:szCs w:val="22"/>
          <w:color w:val="auto"/>
        </w:rPr>
      </w:pPr>
    </w:p>
    <w:p>
      <w:pPr>
        <w:jc w:val="both"/>
        <w:ind w:left="1940" w:firstLine="641"/>
        <w:spacing w:after="0" w:line="287" w:lineRule="auto"/>
        <w:tabs>
          <w:tab w:leader="none" w:pos="2958" w:val="left"/>
        </w:tabs>
        <w:numPr>
          <w:ilvl w:val="1"/>
          <w:numId w:val="179"/>
        </w:numPr>
        <w:rPr>
          <w:rFonts w:ascii="Arial" w:cs="Arial" w:eastAsia="Arial" w:hAnsi="Arial"/>
          <w:sz w:val="22"/>
          <w:szCs w:val="22"/>
          <w:color w:val="auto"/>
        </w:rPr>
      </w:pPr>
      <w:r>
        <w:rPr>
          <w:rFonts w:ascii="Arial" w:cs="Arial" w:eastAsia="Arial" w:hAnsi="Arial"/>
          <w:sz w:val="22"/>
          <w:szCs w:val="22"/>
          <w:color w:val="auto"/>
        </w:rPr>
        <w:t>as determined by an Independent Investment Banker, the sum of the present values of the remaining scheduled payments of principal and interest on the Notes to be redeemed (not including any portion of such payments of interest accrued to (but excluding) the date of redemption) discounted to the redemption date on a semi-annual basis (assuming a 360-day year consisting of twelve 30-day months) at the Adjusted Treasury Rate, plus 50 basis points,</w:t>
      </w:r>
    </w:p>
    <w:p>
      <w:pPr>
        <w:spacing w:after="0" w:line="189" w:lineRule="exact"/>
        <w:rPr>
          <w:sz w:val="20"/>
          <w:szCs w:val="20"/>
          <w:color w:val="auto"/>
        </w:rPr>
      </w:pPr>
    </w:p>
    <w:p>
      <w:pPr>
        <w:ind w:left="1940"/>
        <w:spacing w:after="0" w:line="302" w:lineRule="auto"/>
        <w:rPr>
          <w:sz w:val="20"/>
          <w:szCs w:val="20"/>
          <w:color w:val="auto"/>
        </w:rPr>
      </w:pPr>
      <w:r>
        <w:rPr>
          <w:rFonts w:ascii="Arial" w:cs="Arial" w:eastAsia="Arial" w:hAnsi="Arial"/>
          <w:sz w:val="22"/>
          <w:szCs w:val="22"/>
          <w:color w:val="auto"/>
        </w:rPr>
        <w:t>plus, in either of the above cases, accrued and unpaid interest to (but excluding) the date of redemption on the Notes to be redeemed.</w:t>
      </w:r>
    </w:p>
    <w:p>
      <w:pPr>
        <w:spacing w:after="0" w:line="174" w:lineRule="exact"/>
        <w:rPr>
          <w:sz w:val="20"/>
          <w:szCs w:val="20"/>
          <w:color w:val="auto"/>
        </w:rPr>
      </w:pPr>
    </w:p>
    <w:p>
      <w:pPr>
        <w:ind w:left="640" w:right="20" w:firstLine="1293"/>
        <w:spacing w:after="0" w:line="302" w:lineRule="auto"/>
        <w:tabs>
          <w:tab w:leader="none" w:pos="2284" w:val="left"/>
        </w:tabs>
        <w:numPr>
          <w:ilvl w:val="0"/>
          <w:numId w:val="180"/>
        </w:numPr>
        <w:rPr>
          <w:rFonts w:ascii="Arial" w:cs="Arial" w:eastAsia="Arial" w:hAnsi="Arial"/>
          <w:sz w:val="22"/>
          <w:szCs w:val="22"/>
          <w:color w:val="auto"/>
        </w:rPr>
      </w:pPr>
      <w:r>
        <w:rPr>
          <w:rFonts w:ascii="Arial" w:cs="Arial" w:eastAsia="Arial" w:hAnsi="Arial"/>
          <w:sz w:val="22"/>
          <w:szCs w:val="22"/>
          <w:color w:val="auto"/>
        </w:rPr>
        <w:t>Except as described in paragraphs 5(a), (b), (e), (7) and (8) of this Note, the Notes shall not be redeemable at the Issuer’s option prior to December 15, 2024.</w:t>
      </w:r>
    </w:p>
    <w:p>
      <w:pPr>
        <w:spacing w:after="0" w:line="173" w:lineRule="exact"/>
        <w:rPr>
          <w:rFonts w:ascii="Arial" w:cs="Arial" w:eastAsia="Arial" w:hAnsi="Arial"/>
          <w:sz w:val="22"/>
          <w:szCs w:val="22"/>
          <w:color w:val="auto"/>
        </w:rPr>
      </w:pPr>
    </w:p>
    <w:p>
      <w:pPr>
        <w:jc w:val="both"/>
        <w:ind w:left="640" w:firstLine="1293"/>
        <w:spacing w:after="0" w:line="341" w:lineRule="auto"/>
        <w:tabs>
          <w:tab w:leader="none" w:pos="2251" w:val="left"/>
        </w:tabs>
        <w:numPr>
          <w:ilvl w:val="0"/>
          <w:numId w:val="180"/>
        </w:numPr>
        <w:rPr>
          <w:rFonts w:ascii="Arial" w:cs="Arial" w:eastAsia="Arial" w:hAnsi="Arial"/>
          <w:sz w:val="19"/>
          <w:szCs w:val="19"/>
          <w:color w:val="auto"/>
        </w:rPr>
      </w:pPr>
      <w:r>
        <w:rPr>
          <w:rFonts w:ascii="Arial" w:cs="Arial" w:eastAsia="Arial" w:hAnsi="Arial"/>
          <w:sz w:val="19"/>
          <w:szCs w:val="19"/>
          <w:color w:val="auto"/>
        </w:rPr>
        <w:t>On or after December 15, 2024, the Issuer may on any one or more occasions redeem all or a part of the Notes, upon not less than 10 nor more than 60 days’ notice, at the redemption prices (expressed as percentages of principal amount) set forth below, plus accrued and unpaid interest, if any, on the Notes redeemed, to (but excluding) the applicable date of redemption, if redeemed during the twelve-month period beginning on December 15 of the years indicated below, subject to the rights of Holders on the relevant record date to receive interest on the relevant interest payment date:</w:t>
      </w:r>
    </w:p>
    <w:p>
      <w:pPr>
        <w:spacing w:after="0" w:line="148" w:lineRule="exact"/>
        <w:rPr>
          <w:sz w:val="20"/>
          <w:szCs w:val="20"/>
          <w:color w:val="auto"/>
        </w:rPr>
      </w:pPr>
    </w:p>
    <w:tbl>
      <w:tblPr>
        <w:tblLayout w:type="fixed"/>
        <w:tblInd w:w="3680" w:type="dxa"/>
        <w:tblCellMar>
          <w:top w:w="0" w:type="dxa"/>
          <w:left w:w="0" w:type="dxa"/>
          <w:bottom w:w="0" w:type="dxa"/>
          <w:right w:w="0" w:type="dxa"/>
        </w:tblCellMar>
      </w:tblPr>
      <w:tr>
        <w:trPr>
          <w:trHeight w:val="253"/>
        </w:trPr>
        <w:tc>
          <w:tcPr>
            <w:tcW w:w="640" w:type="dxa"/>
            <w:vAlign w:val="bottom"/>
          </w:tcPr>
          <w:p>
            <w:pPr>
              <w:spacing w:after="0"/>
              <w:rPr>
                <w:sz w:val="21"/>
                <w:szCs w:val="21"/>
                <w:color w:val="auto"/>
              </w:rPr>
            </w:pPr>
          </w:p>
        </w:tc>
        <w:tc>
          <w:tcPr>
            <w:tcW w:w="2420" w:type="dxa"/>
            <w:vAlign w:val="bottom"/>
            <w:gridSpan w:val="2"/>
          </w:tcPr>
          <w:p>
            <w:pPr>
              <w:jc w:val="center"/>
              <w:ind w:right="2020"/>
              <w:spacing w:after="0"/>
              <w:rPr>
                <w:sz w:val="20"/>
                <w:szCs w:val="20"/>
                <w:color w:val="auto"/>
              </w:rPr>
            </w:pPr>
            <w:r>
              <w:rPr>
                <w:rFonts w:ascii="Arial" w:cs="Arial" w:eastAsia="Arial" w:hAnsi="Arial"/>
                <w:sz w:val="22"/>
                <w:szCs w:val="22"/>
                <w:color w:val="auto"/>
                <w:w w:val="85"/>
              </w:rPr>
              <w:t>Year</w:t>
            </w:r>
          </w:p>
        </w:tc>
        <w:tc>
          <w:tcPr>
            <w:tcW w:w="2360" w:type="dxa"/>
            <w:vAlign w:val="bottom"/>
            <w:gridSpan w:val="2"/>
          </w:tcPr>
          <w:p>
            <w:pPr>
              <w:jc w:val="right"/>
              <w:spacing w:after="0"/>
              <w:rPr>
                <w:sz w:val="20"/>
                <w:szCs w:val="20"/>
                <w:color w:val="auto"/>
              </w:rPr>
            </w:pPr>
            <w:r>
              <w:rPr>
                <w:rFonts w:ascii="Arial" w:cs="Arial" w:eastAsia="Arial" w:hAnsi="Arial"/>
                <w:sz w:val="22"/>
                <w:szCs w:val="22"/>
                <w:color w:val="auto"/>
              </w:rPr>
              <w:t>Percentage</w:t>
            </w:r>
          </w:p>
        </w:tc>
      </w:tr>
      <w:tr>
        <w:trPr>
          <w:trHeight w:val="20"/>
        </w:trPr>
        <w:tc>
          <w:tcPr>
            <w:tcW w:w="6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r>
      <w:tr>
        <w:trPr>
          <w:trHeight w:val="328"/>
        </w:trPr>
        <w:tc>
          <w:tcPr>
            <w:tcW w:w="3060" w:type="dxa"/>
            <w:vAlign w:val="bottom"/>
            <w:gridSpan w:val="3"/>
          </w:tcPr>
          <w:p>
            <w:pPr>
              <w:jc w:val="center"/>
              <w:ind w:right="1380"/>
              <w:spacing w:after="0"/>
              <w:rPr>
                <w:sz w:val="20"/>
                <w:szCs w:val="20"/>
                <w:color w:val="auto"/>
              </w:rPr>
            </w:pPr>
            <w:r>
              <w:rPr>
                <w:rFonts w:ascii="Arial" w:cs="Arial" w:eastAsia="Arial" w:hAnsi="Arial"/>
                <w:sz w:val="22"/>
                <w:szCs w:val="22"/>
                <w:color w:val="auto"/>
                <w:w w:val="89"/>
              </w:rPr>
              <w:t>2024</w:t>
            </w:r>
          </w:p>
        </w:tc>
        <w:tc>
          <w:tcPr>
            <w:tcW w:w="2360" w:type="dxa"/>
            <w:vAlign w:val="bottom"/>
            <w:gridSpan w:val="2"/>
          </w:tcPr>
          <w:p>
            <w:pPr>
              <w:jc w:val="right"/>
              <w:ind w:right="100"/>
              <w:spacing w:after="0"/>
              <w:rPr>
                <w:sz w:val="20"/>
                <w:szCs w:val="20"/>
                <w:color w:val="auto"/>
              </w:rPr>
            </w:pPr>
            <w:r>
              <w:rPr>
                <w:rFonts w:ascii="Arial" w:cs="Arial" w:eastAsia="Arial" w:hAnsi="Arial"/>
                <w:sz w:val="22"/>
                <w:szCs w:val="22"/>
                <w:color w:val="auto"/>
              </w:rPr>
              <w:t>102.563%</w:t>
            </w:r>
          </w:p>
        </w:tc>
      </w:tr>
      <w:tr>
        <w:trPr>
          <w:trHeight w:val="297"/>
        </w:trPr>
        <w:tc>
          <w:tcPr>
            <w:tcW w:w="3060" w:type="dxa"/>
            <w:vAlign w:val="bottom"/>
            <w:gridSpan w:val="3"/>
          </w:tcPr>
          <w:p>
            <w:pPr>
              <w:jc w:val="center"/>
              <w:ind w:right="1380"/>
              <w:spacing w:after="0"/>
              <w:rPr>
                <w:sz w:val="20"/>
                <w:szCs w:val="20"/>
                <w:color w:val="auto"/>
              </w:rPr>
            </w:pPr>
            <w:r>
              <w:rPr>
                <w:rFonts w:ascii="Arial" w:cs="Arial" w:eastAsia="Arial" w:hAnsi="Arial"/>
                <w:sz w:val="22"/>
                <w:szCs w:val="22"/>
                <w:color w:val="auto"/>
                <w:w w:val="89"/>
              </w:rPr>
              <w:t>2025</w:t>
            </w:r>
          </w:p>
        </w:tc>
        <w:tc>
          <w:tcPr>
            <w:tcW w:w="2360" w:type="dxa"/>
            <w:vAlign w:val="bottom"/>
            <w:gridSpan w:val="2"/>
          </w:tcPr>
          <w:p>
            <w:pPr>
              <w:jc w:val="right"/>
              <w:ind w:right="100"/>
              <w:spacing w:after="0"/>
              <w:rPr>
                <w:sz w:val="20"/>
                <w:szCs w:val="20"/>
                <w:color w:val="auto"/>
              </w:rPr>
            </w:pPr>
            <w:r>
              <w:rPr>
                <w:rFonts w:ascii="Arial" w:cs="Arial" w:eastAsia="Arial" w:hAnsi="Arial"/>
                <w:sz w:val="22"/>
                <w:szCs w:val="22"/>
                <w:color w:val="auto"/>
              </w:rPr>
              <w:t>101.708%</w:t>
            </w:r>
          </w:p>
        </w:tc>
      </w:tr>
      <w:tr>
        <w:trPr>
          <w:trHeight w:val="297"/>
        </w:trPr>
        <w:tc>
          <w:tcPr>
            <w:tcW w:w="3060" w:type="dxa"/>
            <w:vAlign w:val="bottom"/>
            <w:gridSpan w:val="3"/>
          </w:tcPr>
          <w:p>
            <w:pPr>
              <w:jc w:val="center"/>
              <w:ind w:right="1380"/>
              <w:spacing w:after="0"/>
              <w:rPr>
                <w:sz w:val="20"/>
                <w:szCs w:val="20"/>
                <w:color w:val="auto"/>
              </w:rPr>
            </w:pPr>
            <w:r>
              <w:rPr>
                <w:rFonts w:ascii="Arial" w:cs="Arial" w:eastAsia="Arial" w:hAnsi="Arial"/>
                <w:sz w:val="22"/>
                <w:szCs w:val="22"/>
                <w:color w:val="auto"/>
                <w:w w:val="89"/>
              </w:rPr>
              <w:t>2026</w:t>
            </w:r>
          </w:p>
        </w:tc>
        <w:tc>
          <w:tcPr>
            <w:tcW w:w="2360" w:type="dxa"/>
            <w:vAlign w:val="bottom"/>
            <w:gridSpan w:val="2"/>
          </w:tcPr>
          <w:p>
            <w:pPr>
              <w:jc w:val="right"/>
              <w:ind w:right="100"/>
              <w:spacing w:after="0"/>
              <w:rPr>
                <w:sz w:val="20"/>
                <w:szCs w:val="20"/>
                <w:color w:val="auto"/>
              </w:rPr>
            </w:pPr>
            <w:r>
              <w:rPr>
                <w:rFonts w:ascii="Arial" w:cs="Arial" w:eastAsia="Arial" w:hAnsi="Arial"/>
                <w:sz w:val="22"/>
                <w:szCs w:val="22"/>
                <w:color w:val="auto"/>
              </w:rPr>
              <w:t>100.854%</w:t>
            </w:r>
          </w:p>
        </w:tc>
      </w:tr>
      <w:tr>
        <w:trPr>
          <w:trHeight w:val="311"/>
        </w:trPr>
        <w:tc>
          <w:tcPr>
            <w:tcW w:w="3060" w:type="dxa"/>
            <w:vAlign w:val="bottom"/>
            <w:gridSpan w:val="3"/>
          </w:tcPr>
          <w:p>
            <w:pPr>
              <w:jc w:val="center"/>
              <w:ind w:right="1380"/>
              <w:spacing w:after="0"/>
              <w:rPr>
                <w:sz w:val="20"/>
                <w:szCs w:val="20"/>
                <w:color w:val="auto"/>
              </w:rPr>
            </w:pPr>
            <w:r>
              <w:rPr>
                <w:rFonts w:ascii="Arial" w:cs="Arial" w:eastAsia="Arial" w:hAnsi="Arial"/>
                <w:sz w:val="22"/>
                <w:szCs w:val="22"/>
                <w:color w:val="auto"/>
                <w:w w:val="87"/>
              </w:rPr>
              <w:t>2027 and thereafter</w:t>
            </w:r>
          </w:p>
        </w:tc>
        <w:tc>
          <w:tcPr>
            <w:tcW w:w="2360" w:type="dxa"/>
            <w:vAlign w:val="bottom"/>
            <w:gridSpan w:val="2"/>
          </w:tcPr>
          <w:p>
            <w:pPr>
              <w:jc w:val="right"/>
              <w:ind w:right="100"/>
              <w:spacing w:after="0"/>
              <w:rPr>
                <w:sz w:val="20"/>
                <w:szCs w:val="20"/>
                <w:color w:val="auto"/>
              </w:rPr>
            </w:pPr>
            <w:r>
              <w:rPr>
                <w:rFonts w:ascii="Arial" w:cs="Arial" w:eastAsia="Arial" w:hAnsi="Arial"/>
                <w:sz w:val="22"/>
                <w:szCs w:val="22"/>
                <w:color w:val="auto"/>
              </w:rPr>
              <w:t>100.000%</w:t>
            </w:r>
          </w:p>
        </w:tc>
      </w:tr>
    </w:tbl>
    <w:p>
      <w:pPr>
        <w:spacing w:after="0" w:line="239" w:lineRule="exact"/>
        <w:rPr>
          <w:sz w:val="20"/>
          <w:szCs w:val="20"/>
          <w:color w:val="auto"/>
        </w:rPr>
      </w:pPr>
    </w:p>
    <w:p>
      <w:pPr>
        <w:ind w:left="640" w:right="20"/>
        <w:spacing w:after="0" w:line="302" w:lineRule="auto"/>
        <w:rPr>
          <w:sz w:val="20"/>
          <w:szCs w:val="20"/>
          <w:color w:val="auto"/>
        </w:rPr>
      </w:pPr>
      <w:r>
        <w:rPr>
          <w:rFonts w:ascii="Arial" w:cs="Arial" w:eastAsia="Arial" w:hAnsi="Arial"/>
          <w:sz w:val="22"/>
          <w:szCs w:val="22"/>
          <w:color w:val="auto"/>
        </w:rPr>
        <w:t>Unless the Issuer defaults in the payment of the redemption price, interest will cease to accrue on the Notes or portions thereof called for redemption on the applicable redemption date.</w:t>
      </w:r>
    </w:p>
    <w:p>
      <w:pPr>
        <w:spacing w:after="0" w:line="174" w:lineRule="exact"/>
        <w:rPr>
          <w:sz w:val="20"/>
          <w:szCs w:val="20"/>
          <w:color w:val="auto"/>
        </w:rPr>
      </w:pPr>
    </w:p>
    <w:p>
      <w:pPr>
        <w:jc w:val="both"/>
        <w:ind w:left="640" w:firstLine="1293"/>
        <w:spacing w:after="0" w:line="292" w:lineRule="auto"/>
        <w:tabs>
          <w:tab w:leader="none" w:pos="2234" w:val="left"/>
        </w:tabs>
        <w:numPr>
          <w:ilvl w:val="0"/>
          <w:numId w:val="181"/>
        </w:numPr>
        <w:rPr>
          <w:rFonts w:ascii="Arial" w:cs="Arial" w:eastAsia="Arial" w:hAnsi="Arial"/>
          <w:sz w:val="22"/>
          <w:szCs w:val="22"/>
          <w:color w:val="auto"/>
        </w:rPr>
      </w:pPr>
      <w:r>
        <w:rPr>
          <w:rFonts w:ascii="Arial" w:cs="Arial" w:eastAsia="Arial" w:hAnsi="Arial"/>
          <w:sz w:val="22"/>
          <w:szCs w:val="22"/>
          <w:color w:val="auto"/>
        </w:rPr>
        <w:t>Any redemption set forth under Section 3.07(a), (b) or (d) of the Indenture may, at the discretion of the Issuer, be subject to the satisfaction of one or more conditions precedent. If such redemption is so subject to satisfaction of one or</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180" w:type="dxa"/>
            <w:vAlign w:val="bottom"/>
          </w:tcPr>
          <w:p>
            <w:pPr>
              <w:spacing w:after="0"/>
              <w:rPr>
                <w:sz w:val="20"/>
                <w:szCs w:val="20"/>
                <w:color w:val="auto"/>
              </w:rPr>
            </w:pPr>
            <w:r>
              <w:rPr>
                <w:rFonts w:ascii="Arial" w:cs="Arial" w:eastAsia="Arial" w:hAnsi="Arial"/>
                <w:sz w:val="11"/>
                <w:szCs w:val="11"/>
                <w:color w:val="auto"/>
              </w:rPr>
              <w:t>ASIA 33616188</w:t>
            </w:r>
          </w:p>
        </w:tc>
        <w:tc>
          <w:tcPr>
            <w:tcW w:w="2580" w:type="dxa"/>
            <w:vAlign w:val="bottom"/>
          </w:tcPr>
          <w:p>
            <w:pPr>
              <w:jc w:val="right"/>
              <w:spacing w:after="0"/>
              <w:rPr>
                <w:sz w:val="20"/>
                <w:szCs w:val="20"/>
                <w:color w:val="auto"/>
              </w:rPr>
            </w:pPr>
            <w:r>
              <w:rPr>
                <w:rFonts w:ascii="Arial" w:cs="Arial" w:eastAsia="Arial" w:hAnsi="Arial"/>
                <w:sz w:val="22"/>
                <w:szCs w:val="22"/>
                <w:color w:val="auto"/>
              </w:rPr>
              <w:t>6</w:t>
            </w:r>
          </w:p>
        </w:tc>
      </w:tr>
    </w:tbl>
    <w:p>
      <w:pPr>
        <w:sectPr>
          <w:pgSz w:w="11900" w:h="16838" w:orient="portrait"/>
          <w:cols w:equalWidth="0" w:num="1">
            <w:col w:w="11400"/>
          </w:cols>
          <w:pgMar w:left="260" w:top="1440" w:right="239" w:bottom="1440" w:gutter="0" w:footer="0" w:header="0"/>
        </w:sectPr>
      </w:pPr>
    </w:p>
    <w:bookmarkStart w:id="238" w:name="page239"/>
    <w:bookmarkEnd w:id="238"/>
    <w:p>
      <w:pPr>
        <w:spacing w:after="0" w:line="2" w:lineRule="exact"/>
        <w:rPr>
          <w:sz w:val="20"/>
          <w:szCs w:val="20"/>
          <w:color w:val="auto"/>
        </w:rPr>
      </w:pPr>
    </w:p>
    <w:p>
      <w:pPr>
        <w:jc w:val="both"/>
        <w:ind w:left="640"/>
        <w:spacing w:after="0" w:line="336" w:lineRule="auto"/>
        <w:rPr>
          <w:sz w:val="20"/>
          <w:szCs w:val="20"/>
          <w:color w:val="auto"/>
        </w:rPr>
      </w:pPr>
      <w:r>
        <w:rPr>
          <w:rFonts w:ascii="Arial" w:cs="Arial" w:eastAsia="Arial" w:hAnsi="Arial"/>
          <w:sz w:val="19"/>
          <w:szCs w:val="19"/>
          <w:color w:val="auto"/>
        </w:rPr>
        <w:t>more conditions precedent, such notice shall describe each such condition, and if applicable, shall state that, in the Issuer’s discretion, the redemption date may be delayed until such time (provided, however, that any delayed redemption date shall not be more than 60 days after the date the relevant notice of redemption was sent) as any or all such conditions shall be satisfied, or such redemption or purchase may not occur and such notice may be rescinded in the event that any or all such conditions shall not have been satisfied by the redemption date or by the redemption date as so delayed. In addition, the Issuer may provide in such notice that payment of the redemption price and performance of the Issuer’s obligations with respect to such redemption may be performed by another Person.</w:t>
      </w:r>
    </w:p>
    <w:p>
      <w:pPr>
        <w:spacing w:after="0" w:line="155" w:lineRule="exact"/>
        <w:rPr>
          <w:sz w:val="20"/>
          <w:szCs w:val="20"/>
          <w:color w:val="auto"/>
        </w:rPr>
      </w:pPr>
    </w:p>
    <w:p>
      <w:pPr>
        <w:ind w:left="640" w:firstLine="645"/>
        <w:spacing w:after="0" w:line="302" w:lineRule="auto"/>
        <w:tabs>
          <w:tab w:leader="none" w:pos="1635" w:val="left"/>
        </w:tabs>
        <w:numPr>
          <w:ilvl w:val="0"/>
          <w:numId w:val="182"/>
        </w:numPr>
        <w:rPr>
          <w:rFonts w:ascii="Arial" w:cs="Arial" w:eastAsia="Arial" w:hAnsi="Arial"/>
          <w:sz w:val="22"/>
          <w:szCs w:val="22"/>
          <w:color w:val="auto"/>
        </w:rPr>
      </w:pPr>
      <w:r>
        <w:rPr>
          <w:rFonts w:ascii="Arial" w:cs="Arial" w:eastAsia="Arial" w:hAnsi="Arial"/>
          <w:sz w:val="22"/>
          <w:szCs w:val="22"/>
          <w:i w:val="1"/>
          <w:iCs w:val="1"/>
          <w:color w:val="auto"/>
        </w:rPr>
        <w:t xml:space="preserve">MANDATORY REDEMPTION. </w:t>
      </w:r>
      <w:r>
        <w:rPr>
          <w:rFonts w:ascii="Arial" w:cs="Arial" w:eastAsia="Arial" w:hAnsi="Arial"/>
          <w:sz w:val="22"/>
          <w:szCs w:val="22"/>
          <w:color w:val="auto"/>
        </w:rPr>
        <w:t>The Issuer is not required to make mandatory redemption or sinking fund</w:t>
      </w:r>
      <w:r>
        <w:rPr>
          <w:rFonts w:ascii="Arial" w:cs="Arial" w:eastAsia="Arial" w:hAnsi="Arial"/>
          <w:sz w:val="22"/>
          <w:szCs w:val="22"/>
          <w:i w:val="1"/>
          <w:iCs w:val="1"/>
          <w:color w:val="auto"/>
        </w:rPr>
        <w:t xml:space="preserve"> </w:t>
      </w:r>
      <w:r>
        <w:rPr>
          <w:rFonts w:ascii="Arial" w:cs="Arial" w:eastAsia="Arial" w:hAnsi="Arial"/>
          <w:sz w:val="22"/>
          <w:szCs w:val="22"/>
          <w:color w:val="auto"/>
        </w:rPr>
        <w:t>payments with respect to the Notes.</w:t>
      </w:r>
    </w:p>
    <w:p>
      <w:pPr>
        <w:spacing w:after="0" w:line="173" w:lineRule="exact"/>
        <w:rPr>
          <w:rFonts w:ascii="Arial" w:cs="Arial" w:eastAsia="Arial" w:hAnsi="Arial"/>
          <w:sz w:val="22"/>
          <w:szCs w:val="22"/>
          <w:color w:val="auto"/>
        </w:rPr>
      </w:pPr>
    </w:p>
    <w:p>
      <w:pPr>
        <w:jc w:val="both"/>
        <w:ind w:left="640" w:firstLine="645"/>
        <w:spacing w:after="0" w:line="330" w:lineRule="auto"/>
        <w:tabs>
          <w:tab w:leader="none" w:pos="1594" w:val="left"/>
        </w:tabs>
        <w:numPr>
          <w:ilvl w:val="0"/>
          <w:numId w:val="182"/>
        </w:numPr>
        <w:rPr>
          <w:rFonts w:ascii="Arial" w:cs="Arial" w:eastAsia="Arial" w:hAnsi="Arial"/>
          <w:sz w:val="19"/>
          <w:szCs w:val="19"/>
          <w:color w:val="auto"/>
        </w:rPr>
      </w:pPr>
      <w:r>
        <w:rPr>
          <w:rFonts w:ascii="Arial" w:cs="Arial" w:eastAsia="Arial" w:hAnsi="Arial"/>
          <w:sz w:val="19"/>
          <w:szCs w:val="19"/>
          <w:i w:val="1"/>
          <w:iCs w:val="1"/>
          <w:color w:val="auto"/>
        </w:rPr>
        <w:t>MANDATORY DISPOSITION OR REDEMPTION PURSUANT TO GAMING LAWS</w:t>
      </w:r>
      <w:r>
        <w:rPr>
          <w:rFonts w:ascii="Arial" w:cs="Arial" w:eastAsia="Arial" w:hAnsi="Arial"/>
          <w:sz w:val="19"/>
          <w:szCs w:val="19"/>
          <w:color w:val="auto"/>
        </w:rPr>
        <w:t>. Notwithstanding any other</w:t>
      </w:r>
      <w:r>
        <w:rPr>
          <w:rFonts w:ascii="Arial" w:cs="Arial" w:eastAsia="Arial" w:hAnsi="Arial"/>
          <w:sz w:val="19"/>
          <w:szCs w:val="19"/>
          <w:i w:val="1"/>
          <w:iCs w:val="1"/>
          <w:color w:val="auto"/>
        </w:rPr>
        <w:t xml:space="preserve"> </w:t>
      </w:r>
      <w:r>
        <w:rPr>
          <w:rFonts w:ascii="Arial" w:cs="Arial" w:eastAsia="Arial" w:hAnsi="Arial"/>
          <w:sz w:val="19"/>
          <w:szCs w:val="19"/>
          <w:color w:val="auto"/>
        </w:rPr>
        <w:t>provision of the Indenture or this Note, if any Gaming Authority requires a Holder or Beneficial Owner of Notes to be licensed, qualified or found suitable under any applicable Gaming Law and the Holder or Beneficial Owner (a) fails to apply for a license, qualification or finding of suitability within 30 days after being requested to do so (or such lesser period as required by the Gaming Authority) or (b) is notified by a Gaming Authority that it shall not be licensed, qualified or found suitable, the Issuer shall have the right, at its option, to: (1) require the Holder or Beneficial Owner to dispose of its Notes within 30 days (or such lesser period as required by the Gaming Authority) following the earlier of: (a) the termination of the period described above for the Holder or Beneficial Owner to apply for a license, qualification or finding of suitability if the Holder fails to apply for a license, qualification or finding of suitability during such period or (b) the receipt of the notice from the Gaming Authority that the Holder or Beneficial Owner shall not be licensed, qualified or found suitable by the Gaming Authority; or (2) redeem the Notes of the Holder or Beneficial Owner at a redemption price equal to: (a) the price required by applicable law or by order of any Gaming Authority or (b) the lesser of: (i) the principal amount of the Notes and (ii) the price that the Holder or Beneficial Owner paid for the Notes, in either case, together with accrued and unpaid interest, if any, on the Notes to (but excluding) the earlier of (A) the date of redemption or such earlier date as is required by the Gaming Authority or (B) the date of the finding of unsuitability by the Gaming Authority, which may be less than 30 days following the notice of redemption. The Issuer shall notify the Trustee in writing of any redemption pursuant to this paragraph 7 as soon as reasonably practicable.</w:t>
      </w:r>
    </w:p>
    <w:p>
      <w:pPr>
        <w:spacing w:after="0" w:line="200" w:lineRule="exact"/>
        <w:rPr>
          <w:sz w:val="20"/>
          <w:szCs w:val="20"/>
          <w:color w:val="auto"/>
        </w:rPr>
      </w:pPr>
    </w:p>
    <w:p>
      <w:pPr>
        <w:spacing w:after="0" w:line="260" w:lineRule="exact"/>
        <w:rPr>
          <w:sz w:val="20"/>
          <w:szCs w:val="20"/>
          <w:color w:val="auto"/>
        </w:rPr>
      </w:pPr>
    </w:p>
    <w:p>
      <w:pPr>
        <w:ind w:left="640"/>
        <w:spacing w:after="0" w:line="387" w:lineRule="auto"/>
        <w:rPr>
          <w:sz w:val="20"/>
          <w:szCs w:val="20"/>
          <w:color w:val="auto"/>
        </w:rPr>
      </w:pPr>
      <w:r>
        <w:rPr>
          <w:rFonts w:ascii="Arial" w:cs="Arial" w:eastAsia="Arial" w:hAnsi="Arial"/>
          <w:sz w:val="19"/>
          <w:szCs w:val="19"/>
          <w:color w:val="auto"/>
        </w:rPr>
        <w:t>Immediately upon a determination by a Gaming Authority that a Holder or Beneficial Owner of Notes shall not be licensed, qualified or found suitable, the Holder or Beneficial Owner shall not have any further rights with respect to the Notes to:</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180" w:type="dxa"/>
            <w:vAlign w:val="bottom"/>
          </w:tcPr>
          <w:p>
            <w:pPr>
              <w:spacing w:after="0"/>
              <w:rPr>
                <w:sz w:val="20"/>
                <w:szCs w:val="20"/>
                <w:color w:val="auto"/>
              </w:rPr>
            </w:pPr>
            <w:r>
              <w:rPr>
                <w:rFonts w:ascii="Arial" w:cs="Arial" w:eastAsia="Arial" w:hAnsi="Arial"/>
                <w:sz w:val="11"/>
                <w:szCs w:val="11"/>
                <w:color w:val="auto"/>
              </w:rPr>
              <w:t>ASIA 33616188</w:t>
            </w:r>
          </w:p>
        </w:tc>
        <w:tc>
          <w:tcPr>
            <w:tcW w:w="2580" w:type="dxa"/>
            <w:vAlign w:val="bottom"/>
          </w:tcPr>
          <w:p>
            <w:pPr>
              <w:jc w:val="right"/>
              <w:spacing w:after="0"/>
              <w:rPr>
                <w:sz w:val="20"/>
                <w:szCs w:val="20"/>
                <w:color w:val="auto"/>
              </w:rPr>
            </w:pPr>
            <w:r>
              <w:rPr>
                <w:rFonts w:ascii="Arial" w:cs="Arial" w:eastAsia="Arial" w:hAnsi="Arial"/>
                <w:sz w:val="22"/>
                <w:szCs w:val="22"/>
                <w:color w:val="auto"/>
              </w:rPr>
              <w:t>7</w:t>
            </w:r>
          </w:p>
        </w:tc>
      </w:tr>
    </w:tbl>
    <w:p>
      <w:pPr>
        <w:sectPr>
          <w:pgSz w:w="11900" w:h="16838" w:orient="portrait"/>
          <w:cols w:equalWidth="0" w:num="1">
            <w:col w:w="11400"/>
          </w:cols>
          <w:pgMar w:left="260" w:top="1440" w:right="239" w:bottom="1440" w:gutter="0" w:footer="0" w:header="0"/>
        </w:sectPr>
      </w:pPr>
    </w:p>
    <w:bookmarkStart w:id="239" w:name="page240"/>
    <w:bookmarkEnd w:id="239"/>
    <w:p>
      <w:pPr>
        <w:spacing w:after="0" w:line="2" w:lineRule="exact"/>
        <w:rPr>
          <w:sz w:val="20"/>
          <w:szCs w:val="20"/>
          <w:color w:val="auto"/>
        </w:rPr>
      </w:pPr>
    </w:p>
    <w:p>
      <w:pPr>
        <w:jc w:val="both"/>
        <w:ind w:left="640" w:hanging="4"/>
        <w:spacing w:after="0" w:line="292" w:lineRule="auto"/>
        <w:tabs>
          <w:tab w:leader="none" w:pos="949" w:val="left"/>
        </w:tabs>
        <w:numPr>
          <w:ilvl w:val="0"/>
          <w:numId w:val="183"/>
        </w:numPr>
        <w:rPr>
          <w:rFonts w:ascii="Arial" w:cs="Arial" w:eastAsia="Arial" w:hAnsi="Arial"/>
          <w:sz w:val="22"/>
          <w:szCs w:val="22"/>
          <w:color w:val="auto"/>
        </w:rPr>
      </w:pPr>
      <w:r>
        <w:rPr>
          <w:rFonts w:ascii="Arial" w:cs="Arial" w:eastAsia="Arial" w:hAnsi="Arial"/>
          <w:sz w:val="22"/>
          <w:szCs w:val="22"/>
          <w:color w:val="auto"/>
        </w:rPr>
        <w:t>exercise, directly or indirectly, through any Person, any right conferred by the Notes or (b) receive any interest or any other distribution or payment with respect to the Notes, or any remuneration in any form from the Issuer for services rendered or otherwise, except the redemption price of the Notes.</w:t>
      </w:r>
    </w:p>
    <w:p>
      <w:pPr>
        <w:spacing w:after="0" w:line="184" w:lineRule="exact"/>
        <w:rPr>
          <w:sz w:val="20"/>
          <w:szCs w:val="20"/>
          <w:color w:val="auto"/>
        </w:rPr>
      </w:pPr>
    </w:p>
    <w:p>
      <w:pPr>
        <w:jc w:val="both"/>
        <w:ind w:left="640"/>
        <w:spacing w:after="0" w:line="292" w:lineRule="auto"/>
        <w:rPr>
          <w:sz w:val="20"/>
          <w:szCs w:val="20"/>
          <w:color w:val="auto"/>
        </w:rPr>
      </w:pPr>
      <w:r>
        <w:rPr>
          <w:rFonts w:ascii="Arial" w:cs="Arial" w:eastAsia="Arial" w:hAnsi="Arial"/>
          <w:sz w:val="22"/>
          <w:szCs w:val="22"/>
          <w:color w:val="auto"/>
        </w:rPr>
        <w:t>The Issuer is not required to pay or reimburse any Holder or Beneficial Owner of Notes who is required to apply for such license, qualification or finding of suitability for the costs relating thereto. Those expenses shall be the obligation of the Holder or Beneficial Owner.</w:t>
      </w:r>
    </w:p>
    <w:p>
      <w:pPr>
        <w:spacing w:after="0" w:line="184" w:lineRule="exact"/>
        <w:rPr>
          <w:sz w:val="20"/>
          <w:szCs w:val="20"/>
          <w:color w:val="auto"/>
        </w:rPr>
      </w:pPr>
    </w:p>
    <w:p>
      <w:pPr>
        <w:jc w:val="both"/>
        <w:ind w:left="640" w:hanging="4"/>
        <w:spacing w:after="0" w:line="346" w:lineRule="auto"/>
        <w:tabs>
          <w:tab w:leader="none" w:pos="946" w:val="left"/>
        </w:tabs>
        <w:numPr>
          <w:ilvl w:val="0"/>
          <w:numId w:val="184"/>
        </w:numPr>
        <w:rPr>
          <w:rFonts w:ascii="Arial" w:cs="Arial" w:eastAsia="Arial" w:hAnsi="Arial"/>
          <w:sz w:val="19"/>
          <w:szCs w:val="19"/>
          <w:color w:val="auto"/>
        </w:rPr>
      </w:pPr>
      <w:r>
        <w:rPr>
          <w:rFonts w:ascii="Arial" w:cs="Arial" w:eastAsia="Arial" w:hAnsi="Arial"/>
          <w:sz w:val="19"/>
          <w:szCs w:val="19"/>
          <w:i w:val="1"/>
          <w:iCs w:val="1"/>
          <w:color w:val="auto"/>
        </w:rPr>
        <w:t>REDEMPTION FOR TAX REASONS</w:t>
      </w:r>
      <w:r>
        <w:rPr>
          <w:rFonts w:ascii="Arial" w:cs="Arial" w:eastAsia="Arial" w:hAnsi="Arial"/>
          <w:sz w:val="19"/>
          <w:szCs w:val="19"/>
          <w:color w:val="auto"/>
        </w:rPr>
        <w:t>. The Notes may be redeemed, at the option of the Issuer, as a whole but not in part,</w:t>
      </w:r>
      <w:r>
        <w:rPr>
          <w:rFonts w:ascii="Arial" w:cs="Arial" w:eastAsia="Arial" w:hAnsi="Arial"/>
          <w:sz w:val="19"/>
          <w:szCs w:val="19"/>
          <w:i w:val="1"/>
          <w:iCs w:val="1"/>
          <w:color w:val="auto"/>
        </w:rPr>
        <w:t xml:space="preserve"> </w:t>
      </w:r>
      <w:r>
        <w:rPr>
          <w:rFonts w:ascii="Arial" w:cs="Arial" w:eastAsia="Arial" w:hAnsi="Arial"/>
          <w:sz w:val="19"/>
          <w:szCs w:val="19"/>
          <w:color w:val="auto"/>
        </w:rPr>
        <w:t>upon giving not less than 10 days’ nor more than 60 days’ notice to the Holders (which notice shall be irrevocable), at a redemption price equal to 100% of the principal amount thereof, together with accrued and unpaid interest, if any, to (but excluding) the date fixed by the Issuer or the Surviving Person, as the case may be, for redemption if, as a result of:</w:t>
      </w:r>
    </w:p>
    <w:p>
      <w:pPr>
        <w:spacing w:after="0" w:line="144" w:lineRule="exact"/>
        <w:rPr>
          <w:rFonts w:ascii="Arial" w:cs="Arial" w:eastAsia="Arial" w:hAnsi="Arial"/>
          <w:sz w:val="19"/>
          <w:szCs w:val="19"/>
          <w:color w:val="auto"/>
        </w:rPr>
      </w:pPr>
    </w:p>
    <w:p>
      <w:pPr>
        <w:ind w:left="640" w:firstLine="1293"/>
        <w:spacing w:after="0" w:line="302" w:lineRule="auto"/>
        <w:tabs>
          <w:tab w:leader="none" w:pos="2255" w:val="left"/>
        </w:tabs>
        <w:numPr>
          <w:ilvl w:val="1"/>
          <w:numId w:val="184"/>
        </w:numPr>
        <w:rPr>
          <w:rFonts w:ascii="Arial" w:cs="Arial" w:eastAsia="Arial" w:hAnsi="Arial"/>
          <w:sz w:val="22"/>
          <w:szCs w:val="22"/>
          <w:color w:val="auto"/>
        </w:rPr>
      </w:pPr>
      <w:r>
        <w:rPr>
          <w:rFonts w:ascii="Arial" w:cs="Arial" w:eastAsia="Arial" w:hAnsi="Arial"/>
          <w:sz w:val="22"/>
          <w:szCs w:val="22"/>
          <w:color w:val="auto"/>
        </w:rPr>
        <w:t>any change in, or amendment to, the laws (or any regulations or rulings promulgated thereunder) of a Relevant Jurisdiction affecting taxation; or</w:t>
      </w:r>
    </w:p>
    <w:p>
      <w:pPr>
        <w:spacing w:after="0" w:line="173" w:lineRule="exact"/>
        <w:rPr>
          <w:rFonts w:ascii="Arial" w:cs="Arial" w:eastAsia="Arial" w:hAnsi="Arial"/>
          <w:sz w:val="22"/>
          <w:szCs w:val="22"/>
          <w:color w:val="auto"/>
        </w:rPr>
      </w:pPr>
    </w:p>
    <w:p>
      <w:pPr>
        <w:jc w:val="both"/>
        <w:ind w:left="640" w:firstLine="1293"/>
        <w:spacing w:after="0" w:line="292" w:lineRule="auto"/>
        <w:tabs>
          <w:tab w:leader="none" w:pos="2284" w:val="left"/>
        </w:tabs>
        <w:numPr>
          <w:ilvl w:val="1"/>
          <w:numId w:val="184"/>
        </w:numPr>
        <w:rPr>
          <w:rFonts w:ascii="Arial" w:cs="Arial" w:eastAsia="Arial" w:hAnsi="Arial"/>
          <w:sz w:val="22"/>
          <w:szCs w:val="22"/>
          <w:color w:val="auto"/>
        </w:rPr>
      </w:pPr>
      <w:r>
        <w:rPr>
          <w:rFonts w:ascii="Arial" w:cs="Arial" w:eastAsia="Arial" w:hAnsi="Arial"/>
          <w:sz w:val="22"/>
          <w:szCs w:val="22"/>
          <w:color w:val="auto"/>
        </w:rPr>
        <w:t>any change in, or amendment to, an existing official position, or the stating of an official position, regarding the application, administration or interpretation of such laws, regulations or rulings (including a holding, judgment or order by a court of competent jurisdiction),</w:t>
      </w:r>
    </w:p>
    <w:p>
      <w:pPr>
        <w:spacing w:after="0" w:line="184" w:lineRule="exact"/>
        <w:rPr>
          <w:sz w:val="20"/>
          <w:szCs w:val="20"/>
          <w:color w:val="auto"/>
        </w:rPr>
      </w:pPr>
    </w:p>
    <w:p>
      <w:pPr>
        <w:jc w:val="both"/>
        <w:ind w:left="640"/>
        <w:spacing w:after="0" w:line="333" w:lineRule="auto"/>
        <w:rPr>
          <w:sz w:val="20"/>
          <w:szCs w:val="20"/>
          <w:color w:val="auto"/>
        </w:rPr>
      </w:pPr>
      <w:r>
        <w:rPr>
          <w:rFonts w:ascii="Arial" w:cs="Arial" w:eastAsia="Arial" w:hAnsi="Arial"/>
          <w:sz w:val="19"/>
          <w:szCs w:val="19"/>
          <w:color w:val="auto"/>
        </w:rPr>
        <w:t>which change, amendment, application or interpretation is proposed and becomes effective or, in the case of an official positions, is announced, on or after (i) with respect to the Issuer, the date of the Indenture or (ii) with respect to any Surviving Person, the date such Surviving Person becomes a Surviving Person with respect to any payment due or to become due under the Notes or the Indenture, the Issuer or the Surviving Person, as the case may be, is, or on the next interest payment date would be, required to pay Additional Amounts, and such requirement cannot be avoided by the Issuer or the Surviving Person, as the case may be, taking reasonable measures available to it; provided that changing the jurisdiction of incorporation of the Issuer or any Subsidiary shall not be considered a reasonable measure; and provided, further, that no such notice of redemption shall be given earlier than 90 days prior to the earliest date on which the Issuer or the Surviving Person, as the case may be, would be obligated to pay such Additional Amounts if a payment in respect of the Notes were then due and unless at the time such notice is given, the obligation to pay Additional Amounts remains in effect.</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180" w:type="dxa"/>
            <w:vAlign w:val="bottom"/>
          </w:tcPr>
          <w:p>
            <w:pPr>
              <w:spacing w:after="0"/>
              <w:rPr>
                <w:sz w:val="20"/>
                <w:szCs w:val="20"/>
                <w:color w:val="auto"/>
              </w:rPr>
            </w:pPr>
            <w:r>
              <w:rPr>
                <w:rFonts w:ascii="Arial" w:cs="Arial" w:eastAsia="Arial" w:hAnsi="Arial"/>
                <w:sz w:val="11"/>
                <w:szCs w:val="11"/>
                <w:color w:val="auto"/>
              </w:rPr>
              <w:t>ASIA 33616188</w:t>
            </w:r>
          </w:p>
        </w:tc>
        <w:tc>
          <w:tcPr>
            <w:tcW w:w="2580" w:type="dxa"/>
            <w:vAlign w:val="bottom"/>
          </w:tcPr>
          <w:p>
            <w:pPr>
              <w:jc w:val="right"/>
              <w:spacing w:after="0"/>
              <w:rPr>
                <w:sz w:val="20"/>
                <w:szCs w:val="20"/>
                <w:color w:val="auto"/>
              </w:rPr>
            </w:pPr>
            <w:r>
              <w:rPr>
                <w:rFonts w:ascii="Arial" w:cs="Arial" w:eastAsia="Arial" w:hAnsi="Arial"/>
                <w:sz w:val="22"/>
                <w:szCs w:val="22"/>
                <w:color w:val="auto"/>
              </w:rPr>
              <w:t>8</w:t>
            </w:r>
          </w:p>
        </w:tc>
      </w:tr>
    </w:tbl>
    <w:p>
      <w:pPr>
        <w:sectPr>
          <w:pgSz w:w="11900" w:h="16838" w:orient="portrait"/>
          <w:cols w:equalWidth="0" w:num="1">
            <w:col w:w="11400"/>
          </w:cols>
          <w:pgMar w:left="260" w:top="1440" w:right="239" w:bottom="1440" w:gutter="0" w:footer="0" w:header="0"/>
        </w:sectPr>
      </w:pPr>
    </w:p>
    <w:bookmarkStart w:id="240" w:name="page241"/>
    <w:bookmarkEnd w:id="240"/>
    <w:p>
      <w:pPr>
        <w:spacing w:after="0" w:line="2" w:lineRule="exact"/>
        <w:rPr>
          <w:sz w:val="20"/>
          <w:szCs w:val="20"/>
          <w:color w:val="auto"/>
        </w:rPr>
      </w:pPr>
    </w:p>
    <w:p>
      <w:pPr>
        <w:ind w:left="640"/>
        <w:spacing w:after="0" w:line="302" w:lineRule="auto"/>
        <w:rPr>
          <w:sz w:val="20"/>
          <w:szCs w:val="20"/>
          <w:color w:val="auto"/>
        </w:rPr>
      </w:pPr>
      <w:r>
        <w:rPr>
          <w:rFonts w:ascii="Arial" w:cs="Arial" w:eastAsia="Arial" w:hAnsi="Arial"/>
          <w:sz w:val="22"/>
          <w:szCs w:val="22"/>
          <w:color w:val="auto"/>
        </w:rPr>
        <w:t>Prior to the delivery of any notice of redemption of the Notes pursuant to the foregoing, the Issuer or the Surviving Person, as the case may be, shall deliver to the Trustee:</w:t>
      </w:r>
    </w:p>
    <w:p>
      <w:pPr>
        <w:spacing w:after="0" w:line="174" w:lineRule="exact"/>
        <w:rPr>
          <w:sz w:val="20"/>
          <w:szCs w:val="20"/>
          <w:color w:val="auto"/>
        </w:rPr>
      </w:pPr>
    </w:p>
    <w:p>
      <w:pPr>
        <w:jc w:val="both"/>
        <w:ind w:left="640" w:firstLine="645"/>
        <w:spacing w:after="0" w:line="292" w:lineRule="auto"/>
        <w:tabs>
          <w:tab w:leader="none" w:pos="1600" w:val="left"/>
        </w:tabs>
        <w:numPr>
          <w:ilvl w:val="0"/>
          <w:numId w:val="185"/>
        </w:numPr>
        <w:rPr>
          <w:rFonts w:ascii="Arial" w:cs="Arial" w:eastAsia="Arial" w:hAnsi="Arial"/>
          <w:sz w:val="22"/>
          <w:szCs w:val="22"/>
          <w:color w:val="auto"/>
        </w:rPr>
      </w:pPr>
      <w:r>
        <w:rPr>
          <w:rFonts w:ascii="Arial" w:cs="Arial" w:eastAsia="Arial" w:hAnsi="Arial"/>
          <w:sz w:val="22"/>
          <w:szCs w:val="22"/>
          <w:color w:val="auto"/>
        </w:rPr>
        <w:t>an Officer’s Certificate stating that such change or amendment referred to in the prior paragraph has occurred, describing the facts related thereto and stating that such requirement cannot be avoided by the Issuer or the Surviving Person, as the case may be, taking reasonable measures available to it; and</w:t>
      </w:r>
    </w:p>
    <w:p>
      <w:pPr>
        <w:spacing w:after="0" w:line="184" w:lineRule="exact"/>
        <w:rPr>
          <w:rFonts w:ascii="Arial" w:cs="Arial" w:eastAsia="Arial" w:hAnsi="Arial"/>
          <w:sz w:val="22"/>
          <w:szCs w:val="22"/>
          <w:color w:val="auto"/>
        </w:rPr>
      </w:pPr>
    </w:p>
    <w:p>
      <w:pPr>
        <w:ind w:left="640" w:firstLine="645"/>
        <w:spacing w:after="0" w:line="302" w:lineRule="auto"/>
        <w:tabs>
          <w:tab w:leader="none" w:pos="1639" w:val="left"/>
        </w:tabs>
        <w:numPr>
          <w:ilvl w:val="0"/>
          <w:numId w:val="185"/>
        </w:numPr>
        <w:rPr>
          <w:rFonts w:ascii="Arial" w:cs="Arial" w:eastAsia="Arial" w:hAnsi="Arial"/>
          <w:sz w:val="22"/>
          <w:szCs w:val="22"/>
          <w:color w:val="auto"/>
        </w:rPr>
      </w:pPr>
      <w:r>
        <w:rPr>
          <w:rFonts w:ascii="Arial" w:cs="Arial" w:eastAsia="Arial" w:hAnsi="Arial"/>
          <w:sz w:val="22"/>
          <w:szCs w:val="22"/>
          <w:color w:val="auto"/>
        </w:rPr>
        <w:t>an Opinion of Counsel of recognized international standing to the effect that the requirement to pay such Additional Amounts results from the circumstances referred to in the prior paragraph.</w:t>
      </w:r>
    </w:p>
    <w:p>
      <w:pPr>
        <w:spacing w:after="0" w:line="174" w:lineRule="exact"/>
        <w:rPr>
          <w:sz w:val="20"/>
          <w:szCs w:val="20"/>
          <w:color w:val="auto"/>
        </w:rPr>
      </w:pPr>
    </w:p>
    <w:p>
      <w:pPr>
        <w:ind w:left="640"/>
        <w:spacing w:after="0" w:line="302" w:lineRule="auto"/>
        <w:rPr>
          <w:sz w:val="20"/>
          <w:szCs w:val="20"/>
          <w:color w:val="auto"/>
        </w:rPr>
      </w:pPr>
      <w:r>
        <w:rPr>
          <w:rFonts w:ascii="Arial" w:cs="Arial" w:eastAsia="Arial" w:hAnsi="Arial"/>
          <w:sz w:val="22"/>
          <w:szCs w:val="22"/>
          <w:color w:val="auto"/>
        </w:rPr>
        <w:t>The Trustee shall accept such certificate and opinion as sufficient evidence of the satisfaction of the conditions precedent described above, in which event it shall be conclusive and binding on the Holders.</w:t>
      </w:r>
    </w:p>
    <w:p>
      <w:pPr>
        <w:spacing w:after="0" w:line="174" w:lineRule="exact"/>
        <w:rPr>
          <w:sz w:val="20"/>
          <w:szCs w:val="20"/>
          <w:color w:val="auto"/>
        </w:rPr>
      </w:pPr>
    </w:p>
    <w:p>
      <w:pPr>
        <w:ind w:left="640" w:right="20" w:firstLine="645"/>
        <w:spacing w:after="0" w:line="302" w:lineRule="auto"/>
        <w:tabs>
          <w:tab w:leader="none" w:pos="1608" w:val="left"/>
        </w:tabs>
        <w:numPr>
          <w:ilvl w:val="1"/>
          <w:numId w:val="186"/>
        </w:numPr>
        <w:rPr>
          <w:rFonts w:ascii="Arial" w:cs="Arial" w:eastAsia="Arial" w:hAnsi="Arial"/>
          <w:sz w:val="22"/>
          <w:szCs w:val="22"/>
          <w:color w:val="auto"/>
        </w:rPr>
      </w:pPr>
      <w:r>
        <w:rPr>
          <w:rFonts w:ascii="Arial" w:cs="Arial" w:eastAsia="Arial" w:hAnsi="Arial"/>
          <w:sz w:val="22"/>
          <w:szCs w:val="22"/>
          <w:i w:val="1"/>
          <w:iCs w:val="1"/>
          <w:color w:val="auto"/>
        </w:rPr>
        <w:t>REPURCHASE AT THE OPTION OF HOLDER</w:t>
      </w:r>
      <w:r>
        <w:rPr>
          <w:rFonts w:ascii="Arial" w:cs="Arial" w:eastAsia="Arial" w:hAnsi="Arial"/>
          <w:sz w:val="22"/>
          <w:szCs w:val="22"/>
          <w:color w:val="auto"/>
        </w:rPr>
        <w:t>. The Notes may be subject to a Change of Control Offer or a</w:t>
      </w:r>
      <w:r>
        <w:rPr>
          <w:rFonts w:ascii="Arial" w:cs="Arial" w:eastAsia="Arial" w:hAnsi="Arial"/>
          <w:sz w:val="22"/>
          <w:szCs w:val="22"/>
          <w:i w:val="1"/>
          <w:iCs w:val="1"/>
          <w:color w:val="auto"/>
        </w:rPr>
        <w:t xml:space="preserve"> </w:t>
      </w:r>
      <w:r>
        <w:rPr>
          <w:rFonts w:ascii="Arial" w:cs="Arial" w:eastAsia="Arial" w:hAnsi="Arial"/>
          <w:sz w:val="22"/>
          <w:szCs w:val="22"/>
          <w:color w:val="auto"/>
        </w:rPr>
        <w:t>Special Put Option Offer, as further described in Section 4.08 and 4.10 of the Indenture.</w:t>
      </w:r>
    </w:p>
    <w:p>
      <w:pPr>
        <w:spacing w:after="0" w:line="173" w:lineRule="exact"/>
        <w:rPr>
          <w:rFonts w:ascii="Arial" w:cs="Arial" w:eastAsia="Arial" w:hAnsi="Arial"/>
          <w:sz w:val="22"/>
          <w:szCs w:val="22"/>
          <w:color w:val="auto"/>
        </w:rPr>
      </w:pPr>
    </w:p>
    <w:p>
      <w:pPr>
        <w:jc w:val="both"/>
        <w:ind w:left="640" w:firstLine="645"/>
        <w:spacing w:after="0" w:line="326" w:lineRule="auto"/>
        <w:tabs>
          <w:tab w:leader="none" w:pos="1729" w:val="left"/>
        </w:tabs>
        <w:numPr>
          <w:ilvl w:val="1"/>
          <w:numId w:val="186"/>
        </w:numPr>
        <w:rPr>
          <w:rFonts w:ascii="Arial" w:cs="Arial" w:eastAsia="Arial" w:hAnsi="Arial"/>
          <w:sz w:val="19"/>
          <w:szCs w:val="19"/>
          <w:color w:val="auto"/>
        </w:rPr>
      </w:pPr>
      <w:r>
        <w:rPr>
          <w:rFonts w:ascii="Arial" w:cs="Arial" w:eastAsia="Arial" w:hAnsi="Arial"/>
          <w:sz w:val="19"/>
          <w:szCs w:val="19"/>
          <w:i w:val="1"/>
          <w:iCs w:val="1"/>
          <w:color w:val="auto"/>
        </w:rPr>
        <w:t>NOTICE OF REDEMPTION</w:t>
      </w:r>
      <w:r>
        <w:rPr>
          <w:rFonts w:ascii="Arial" w:cs="Arial" w:eastAsia="Arial" w:hAnsi="Arial"/>
          <w:sz w:val="19"/>
          <w:szCs w:val="19"/>
          <w:color w:val="auto"/>
        </w:rPr>
        <w:t>. Notice of redemption shall be delivered at least 10 days but not more than</w:t>
      </w:r>
      <w:r>
        <w:rPr>
          <w:rFonts w:ascii="Arial" w:cs="Arial" w:eastAsia="Arial" w:hAnsi="Arial"/>
          <w:sz w:val="19"/>
          <w:szCs w:val="19"/>
          <w:i w:val="1"/>
          <w:iCs w:val="1"/>
          <w:color w:val="auto"/>
        </w:rPr>
        <w:t xml:space="preserve"> </w:t>
      </w:r>
      <w:r>
        <w:rPr>
          <w:rFonts w:ascii="Arial" w:cs="Arial" w:eastAsia="Arial" w:hAnsi="Arial"/>
          <w:sz w:val="19"/>
          <w:szCs w:val="19"/>
          <w:color w:val="auto"/>
        </w:rPr>
        <w:t>60 days before the redemption date to each Holder whose Notes are to be redeemed at its registered address, except that</w:t>
      </w:r>
    </w:p>
    <w:p>
      <w:pPr>
        <w:jc w:val="both"/>
        <w:ind w:left="640" w:hanging="4"/>
        <w:spacing w:after="0" w:line="341" w:lineRule="auto"/>
        <w:tabs>
          <w:tab w:leader="none" w:pos="910" w:val="left"/>
        </w:tabs>
        <w:numPr>
          <w:ilvl w:val="0"/>
          <w:numId w:val="187"/>
        </w:numPr>
        <w:rPr>
          <w:rFonts w:ascii="Arial" w:cs="Arial" w:eastAsia="Arial" w:hAnsi="Arial"/>
          <w:sz w:val="19"/>
          <w:szCs w:val="19"/>
          <w:color w:val="auto"/>
        </w:rPr>
      </w:pPr>
      <w:r>
        <w:rPr>
          <w:rFonts w:ascii="Arial" w:cs="Arial" w:eastAsia="Arial" w:hAnsi="Arial"/>
          <w:sz w:val="19"/>
          <w:szCs w:val="19"/>
          <w:color w:val="auto"/>
        </w:rPr>
        <w:t>redemption notices may be delivered more than 60 days prior to a redemption date if the notice is issued in connection with a defeasance of the Notes or a satisfaction and discharge of the Indenture and (ii) no minimum notice period is required for redemption under Section 3.09 of the Indenture. Notes in denominations larger than US$200,000 may be redeemed in part but only in whole multiples of US$1,000 in excess of US$200,000 unless all of the Notes held by a Holder are to be redeemed. On and after the redemption date interest ceases to accrue on Notes or portions thereof called for redemption.</w:t>
      </w:r>
    </w:p>
    <w:p>
      <w:pPr>
        <w:spacing w:after="0" w:line="149" w:lineRule="exact"/>
        <w:rPr>
          <w:rFonts w:ascii="Arial" w:cs="Arial" w:eastAsia="Arial" w:hAnsi="Arial"/>
          <w:sz w:val="19"/>
          <w:szCs w:val="19"/>
          <w:color w:val="auto"/>
        </w:rPr>
      </w:pPr>
    </w:p>
    <w:p>
      <w:pPr>
        <w:jc w:val="both"/>
        <w:ind w:left="640" w:firstLine="645"/>
        <w:spacing w:after="0" w:line="336" w:lineRule="auto"/>
        <w:tabs>
          <w:tab w:leader="none" w:pos="1775" w:val="left"/>
        </w:tabs>
        <w:numPr>
          <w:ilvl w:val="1"/>
          <w:numId w:val="187"/>
        </w:numPr>
        <w:rPr>
          <w:rFonts w:ascii="Arial" w:cs="Arial" w:eastAsia="Arial" w:hAnsi="Arial"/>
          <w:sz w:val="19"/>
          <w:szCs w:val="19"/>
          <w:color w:val="auto"/>
        </w:rPr>
      </w:pPr>
      <w:r>
        <w:rPr>
          <w:rFonts w:ascii="Arial" w:cs="Arial" w:eastAsia="Arial" w:hAnsi="Arial"/>
          <w:sz w:val="19"/>
          <w:szCs w:val="19"/>
          <w:i w:val="1"/>
          <w:iCs w:val="1"/>
          <w:color w:val="auto"/>
        </w:rPr>
        <w:t>DENOMINATIONS, TRANSFER, EXCHANGE</w:t>
      </w:r>
      <w:r>
        <w:rPr>
          <w:rFonts w:ascii="Arial" w:cs="Arial" w:eastAsia="Arial" w:hAnsi="Arial"/>
          <w:sz w:val="19"/>
          <w:szCs w:val="19"/>
          <w:color w:val="auto"/>
        </w:rPr>
        <w:t>. The Notes are in registered form without coupons in</w:t>
      </w:r>
      <w:r>
        <w:rPr>
          <w:rFonts w:ascii="Arial" w:cs="Arial" w:eastAsia="Arial" w:hAnsi="Arial"/>
          <w:sz w:val="19"/>
          <w:szCs w:val="19"/>
          <w:i w:val="1"/>
          <w:iCs w:val="1"/>
          <w:color w:val="auto"/>
        </w:rPr>
        <w:t xml:space="preserve"> </w:t>
      </w:r>
      <w:r>
        <w:rPr>
          <w:rFonts w:ascii="Arial" w:cs="Arial" w:eastAsia="Arial" w:hAnsi="Arial"/>
          <w:sz w:val="19"/>
          <w:szCs w:val="19"/>
          <w:color w:val="auto"/>
        </w:rPr>
        <w:t>denominations of US$200,000 and integral multiples of US$1,000 in excess of US$200,000. The transfer of Notes may be registered and Notes may be exchanged as provided in the Indenture. The Registrar and the Trustee may require a Holder, among other things, to furnish appropriate endorsements and transfer documents and the Issuer may require a Holder to pay any taxes and fees required by law or permitted by the Indenture. The Issuer need not exchange or register the transfer of any Note or portion of a Note selected for redemption, except for the unredeemed portion of any Note being redeemed in part. Also, the Issuer need not exchange or register the transfer of any Notes for a period of</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180" w:type="dxa"/>
            <w:vAlign w:val="bottom"/>
          </w:tcPr>
          <w:p>
            <w:pPr>
              <w:spacing w:after="0"/>
              <w:rPr>
                <w:sz w:val="20"/>
                <w:szCs w:val="20"/>
                <w:color w:val="auto"/>
              </w:rPr>
            </w:pPr>
            <w:r>
              <w:rPr>
                <w:rFonts w:ascii="Arial" w:cs="Arial" w:eastAsia="Arial" w:hAnsi="Arial"/>
                <w:sz w:val="11"/>
                <w:szCs w:val="11"/>
                <w:color w:val="auto"/>
              </w:rPr>
              <w:t>ASIA 33616188</w:t>
            </w:r>
          </w:p>
        </w:tc>
        <w:tc>
          <w:tcPr>
            <w:tcW w:w="2580" w:type="dxa"/>
            <w:vAlign w:val="bottom"/>
          </w:tcPr>
          <w:p>
            <w:pPr>
              <w:jc w:val="right"/>
              <w:spacing w:after="0"/>
              <w:rPr>
                <w:sz w:val="20"/>
                <w:szCs w:val="20"/>
                <w:color w:val="auto"/>
              </w:rPr>
            </w:pPr>
            <w:r>
              <w:rPr>
                <w:rFonts w:ascii="Arial" w:cs="Arial" w:eastAsia="Arial" w:hAnsi="Arial"/>
                <w:sz w:val="22"/>
                <w:szCs w:val="22"/>
                <w:color w:val="auto"/>
              </w:rPr>
              <w:t>9</w:t>
            </w:r>
          </w:p>
        </w:tc>
      </w:tr>
    </w:tbl>
    <w:p>
      <w:pPr>
        <w:sectPr>
          <w:pgSz w:w="11900" w:h="16838" w:orient="portrait"/>
          <w:cols w:equalWidth="0" w:num="1">
            <w:col w:w="11400"/>
          </w:cols>
          <w:pgMar w:left="260" w:top="1440" w:right="239" w:bottom="1440" w:gutter="0" w:footer="0" w:header="0"/>
        </w:sectPr>
      </w:pPr>
    </w:p>
    <w:bookmarkStart w:id="241" w:name="page242"/>
    <w:bookmarkEnd w:id="241"/>
    <w:p>
      <w:pPr>
        <w:spacing w:after="0" w:line="2" w:lineRule="exact"/>
        <w:rPr>
          <w:sz w:val="20"/>
          <w:szCs w:val="20"/>
          <w:color w:val="auto"/>
        </w:rPr>
      </w:pPr>
    </w:p>
    <w:p>
      <w:pPr>
        <w:ind w:left="640" w:right="20"/>
        <w:spacing w:after="0" w:line="302" w:lineRule="auto"/>
        <w:rPr>
          <w:sz w:val="20"/>
          <w:szCs w:val="20"/>
          <w:color w:val="auto"/>
        </w:rPr>
      </w:pPr>
      <w:r>
        <w:rPr>
          <w:rFonts w:ascii="Arial" w:cs="Arial" w:eastAsia="Arial" w:hAnsi="Arial"/>
          <w:sz w:val="22"/>
          <w:szCs w:val="22"/>
          <w:color w:val="auto"/>
        </w:rPr>
        <w:t>15 days before a selection of Notes to be redeemed or during the period between a record date and the corresponding Interest Payment Date.</w:t>
      </w:r>
    </w:p>
    <w:p>
      <w:pPr>
        <w:spacing w:after="0" w:line="174" w:lineRule="exact"/>
        <w:rPr>
          <w:sz w:val="20"/>
          <w:szCs w:val="20"/>
          <w:color w:val="auto"/>
        </w:rPr>
      </w:pPr>
    </w:p>
    <w:p>
      <w:pPr>
        <w:ind w:left="1700" w:hanging="415"/>
        <w:spacing w:after="0"/>
        <w:tabs>
          <w:tab w:leader="none" w:pos="1700" w:val="left"/>
        </w:tabs>
        <w:numPr>
          <w:ilvl w:val="1"/>
          <w:numId w:val="188"/>
        </w:numPr>
        <w:rPr>
          <w:rFonts w:ascii="Arial" w:cs="Arial" w:eastAsia="Arial" w:hAnsi="Arial"/>
          <w:sz w:val="19"/>
          <w:szCs w:val="19"/>
          <w:color w:val="auto"/>
        </w:rPr>
      </w:pPr>
      <w:r>
        <w:rPr>
          <w:rFonts w:ascii="Arial" w:cs="Arial" w:eastAsia="Arial" w:hAnsi="Arial"/>
          <w:sz w:val="19"/>
          <w:szCs w:val="19"/>
          <w:i w:val="1"/>
          <w:iCs w:val="1"/>
          <w:color w:val="auto"/>
        </w:rPr>
        <w:t>PERSONS DEEMED OWNERS</w:t>
      </w:r>
      <w:r>
        <w:rPr>
          <w:rFonts w:ascii="Arial" w:cs="Arial" w:eastAsia="Arial" w:hAnsi="Arial"/>
          <w:sz w:val="19"/>
          <w:szCs w:val="19"/>
          <w:color w:val="auto"/>
        </w:rPr>
        <w:t>. The registered Holder of a Note may be treated as its owner for all purposes.</w:t>
      </w:r>
    </w:p>
    <w:p>
      <w:pPr>
        <w:spacing w:after="0" w:line="294" w:lineRule="exact"/>
        <w:rPr>
          <w:rFonts w:ascii="Arial" w:cs="Arial" w:eastAsia="Arial" w:hAnsi="Arial"/>
          <w:sz w:val="19"/>
          <w:szCs w:val="19"/>
          <w:color w:val="auto"/>
        </w:rPr>
      </w:pPr>
    </w:p>
    <w:p>
      <w:pPr>
        <w:ind w:left="1700" w:hanging="415"/>
        <w:spacing w:after="0"/>
        <w:tabs>
          <w:tab w:leader="none" w:pos="1700" w:val="left"/>
        </w:tabs>
        <w:numPr>
          <w:ilvl w:val="1"/>
          <w:numId w:val="188"/>
        </w:numPr>
        <w:rPr>
          <w:rFonts w:ascii="Arial" w:cs="Arial" w:eastAsia="Arial" w:hAnsi="Arial"/>
          <w:sz w:val="22"/>
          <w:szCs w:val="22"/>
          <w:color w:val="auto"/>
        </w:rPr>
      </w:pPr>
      <w:r>
        <w:rPr>
          <w:rFonts w:ascii="Arial" w:cs="Arial" w:eastAsia="Arial" w:hAnsi="Arial"/>
          <w:sz w:val="22"/>
          <w:szCs w:val="22"/>
          <w:i w:val="1"/>
          <w:iCs w:val="1"/>
          <w:color w:val="auto"/>
        </w:rPr>
        <w:t>AMENDMENT, SUPPLEMENT AND WAIVER</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left="640" w:firstLine="1293"/>
        <w:spacing w:after="0" w:line="287" w:lineRule="auto"/>
        <w:tabs>
          <w:tab w:leader="none" w:pos="2244" w:val="left"/>
        </w:tabs>
        <w:numPr>
          <w:ilvl w:val="2"/>
          <w:numId w:val="188"/>
        </w:numPr>
        <w:rPr>
          <w:rFonts w:ascii="Arial" w:cs="Arial" w:eastAsia="Arial" w:hAnsi="Arial"/>
          <w:sz w:val="22"/>
          <w:szCs w:val="22"/>
          <w:color w:val="auto"/>
        </w:rPr>
      </w:pPr>
      <w:r>
        <w:rPr>
          <w:rFonts w:ascii="Arial" w:cs="Arial" w:eastAsia="Arial" w:hAnsi="Arial"/>
          <w:sz w:val="22"/>
          <w:szCs w:val="22"/>
          <w:color w:val="auto"/>
        </w:rPr>
        <w:t>Subject to certain exceptions set forth in the Indenture, the Indenture and the Notes may be amended or supplemented with the consent of the Holders of at least a majority in principal amount of the then outstanding Notes, voting as a single class, and any existing Default or Event of Default or compliance with any provision of the Indenture and the Notes may be waived with the consent of the Holders of a majority in principal amount of the then outstanding Notes, voting as a single class.</w:t>
      </w:r>
    </w:p>
    <w:p>
      <w:pPr>
        <w:spacing w:after="0" w:line="189" w:lineRule="exact"/>
        <w:rPr>
          <w:rFonts w:ascii="Arial" w:cs="Arial" w:eastAsia="Arial" w:hAnsi="Arial"/>
          <w:sz w:val="22"/>
          <w:szCs w:val="22"/>
          <w:color w:val="auto"/>
        </w:rPr>
      </w:pPr>
    </w:p>
    <w:p>
      <w:pPr>
        <w:jc w:val="both"/>
        <w:ind w:left="640" w:firstLine="1293"/>
        <w:spacing w:after="0" w:line="326" w:lineRule="auto"/>
        <w:tabs>
          <w:tab w:leader="none" w:pos="2264" w:val="left"/>
        </w:tabs>
        <w:numPr>
          <w:ilvl w:val="2"/>
          <w:numId w:val="188"/>
        </w:numPr>
        <w:rPr>
          <w:rFonts w:ascii="Arial" w:cs="Arial" w:eastAsia="Arial" w:hAnsi="Arial"/>
          <w:sz w:val="19"/>
          <w:szCs w:val="19"/>
          <w:color w:val="auto"/>
        </w:rPr>
      </w:pPr>
      <w:r>
        <w:rPr>
          <w:rFonts w:ascii="Arial" w:cs="Arial" w:eastAsia="Arial" w:hAnsi="Arial"/>
          <w:sz w:val="19"/>
          <w:szCs w:val="19"/>
          <w:color w:val="auto"/>
        </w:rPr>
        <w:t>Without the consent of Holders of at least 90% in aggregate principal amount of the then outstanding Notes, an amendment, supplement or waiver may not (i) reduce the principal amount of Notes whose Holders must consent to an amendment, supplement or waiver, (ii) reduce the principal of or change the fixed maturity of any Note or alter or waive any of the provisions with respect to the redemption of the Notes (other than Section 4.08 of the Indenture),</w:t>
      </w:r>
    </w:p>
    <w:p>
      <w:pPr>
        <w:spacing w:after="0" w:line="1" w:lineRule="exact"/>
        <w:rPr>
          <w:rFonts w:ascii="Arial" w:cs="Arial" w:eastAsia="Arial" w:hAnsi="Arial"/>
          <w:sz w:val="19"/>
          <w:szCs w:val="19"/>
          <w:color w:val="auto"/>
        </w:rPr>
      </w:pPr>
    </w:p>
    <w:p>
      <w:pPr>
        <w:jc w:val="both"/>
        <w:ind w:left="640" w:hanging="4"/>
        <w:spacing w:after="0" w:line="299" w:lineRule="auto"/>
        <w:tabs>
          <w:tab w:leader="none" w:pos="1048" w:val="left"/>
        </w:tabs>
        <w:numPr>
          <w:ilvl w:val="0"/>
          <w:numId w:val="189"/>
        </w:numPr>
        <w:rPr>
          <w:rFonts w:ascii="Arial" w:cs="Arial" w:eastAsia="Arial" w:hAnsi="Arial"/>
          <w:sz w:val="21"/>
          <w:szCs w:val="21"/>
          <w:color w:val="auto"/>
        </w:rPr>
      </w:pPr>
      <w:r>
        <w:rPr>
          <w:rFonts w:ascii="Arial" w:cs="Arial" w:eastAsia="Arial" w:hAnsi="Arial"/>
          <w:sz w:val="21"/>
          <w:szCs w:val="21"/>
          <w:color w:val="auto"/>
        </w:rPr>
        <w:t>reduce the rate of or change the time for payment of interest, including default interest, on any Note, (iv) waive a Default or Event of Default in the payment of principal of, or interest or premium, if any, on the Notes (except a rescission of acceleration of the Notes by the Holders of at least a majority in aggregate principal amount of the then outstanding Notes and a waiver of the payment default that resulted from such acceleration), (v) make any Note payable in money other than that stated herein, (vi) make any change in Section 6.04 of the Indenture or the rights of Holders of Notes to receive payments of principal of, or interest or premium, if any, on the Notes, (vii) waive a redemption payment with respect to any Note (other than a payment required by Section 4.08 of the Indenture) or (viii) make any change in the preceding amendment and waiver provisions.</w:t>
      </w:r>
    </w:p>
    <w:p>
      <w:pPr>
        <w:spacing w:after="0" w:line="186" w:lineRule="exact"/>
        <w:rPr>
          <w:rFonts w:ascii="Arial" w:cs="Arial" w:eastAsia="Arial" w:hAnsi="Arial"/>
          <w:sz w:val="21"/>
          <w:szCs w:val="21"/>
          <w:color w:val="auto"/>
        </w:rPr>
      </w:pPr>
    </w:p>
    <w:p>
      <w:pPr>
        <w:jc w:val="both"/>
        <w:ind w:left="640" w:firstLine="1293"/>
        <w:spacing w:after="0" w:line="285" w:lineRule="auto"/>
        <w:tabs>
          <w:tab w:leader="none" w:pos="2245" w:val="left"/>
        </w:tabs>
        <w:numPr>
          <w:ilvl w:val="2"/>
          <w:numId w:val="189"/>
        </w:numPr>
        <w:rPr>
          <w:rFonts w:ascii="Arial" w:cs="Arial" w:eastAsia="Arial" w:hAnsi="Arial"/>
          <w:sz w:val="22"/>
          <w:szCs w:val="22"/>
          <w:color w:val="auto"/>
        </w:rPr>
      </w:pPr>
      <w:r>
        <w:rPr>
          <w:rFonts w:ascii="Arial" w:cs="Arial" w:eastAsia="Arial" w:hAnsi="Arial"/>
          <w:sz w:val="22"/>
          <w:szCs w:val="22"/>
          <w:color w:val="auto"/>
        </w:rPr>
        <w:t>Without the consent of any Holder of a Note, the Issuer and the Trustee may amend or supplement the Indenture or the Notes to (i) cure any ambiguity, defect or inconsistency, (ii) provide for uncertificated Notes in addition to or in place of Definitive Notes (provided that the uncertificated Notes are issued in registered form for purposes of Section 163(f) of the U.S. Internal Revenue Code of 1986, as amended), (iii) provide for the assumption of the Issuer’s obligations to the Holders of the Notes by a successor to the Issuer in the case of a merger or consolidation or sale of all or substantially all of the Issuer’s assets pursuant to Article 5 of the Indenture, (iv) make any change that would provide any additional rights or</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160" w:type="dxa"/>
            <w:vAlign w:val="bottom"/>
          </w:tcPr>
          <w:p>
            <w:pPr>
              <w:spacing w:after="0"/>
              <w:rPr>
                <w:sz w:val="20"/>
                <w:szCs w:val="20"/>
                <w:color w:val="auto"/>
              </w:rPr>
            </w:pPr>
            <w:r>
              <w:rPr>
                <w:rFonts w:ascii="Arial" w:cs="Arial" w:eastAsia="Arial" w:hAnsi="Arial"/>
                <w:sz w:val="11"/>
                <w:szCs w:val="11"/>
                <w:color w:val="auto"/>
              </w:rPr>
              <w:t>ASIA 33616188</w:t>
            </w:r>
          </w:p>
        </w:tc>
        <w:tc>
          <w:tcPr>
            <w:tcW w:w="2660" w:type="dxa"/>
            <w:vAlign w:val="bottom"/>
          </w:tcPr>
          <w:p>
            <w:pPr>
              <w:jc w:val="right"/>
              <w:spacing w:after="0"/>
              <w:rPr>
                <w:sz w:val="20"/>
                <w:szCs w:val="20"/>
                <w:color w:val="auto"/>
              </w:rPr>
            </w:pPr>
            <w:r>
              <w:rPr>
                <w:rFonts w:ascii="Arial" w:cs="Arial" w:eastAsia="Arial" w:hAnsi="Arial"/>
                <w:sz w:val="22"/>
                <w:szCs w:val="22"/>
                <w:color w:val="auto"/>
              </w:rPr>
              <w:t>10</w:t>
            </w:r>
          </w:p>
        </w:tc>
      </w:tr>
    </w:tbl>
    <w:p>
      <w:pPr>
        <w:sectPr>
          <w:pgSz w:w="11900" w:h="16838" w:orient="portrait"/>
          <w:cols w:equalWidth="0" w:num="1">
            <w:col w:w="11400"/>
          </w:cols>
          <w:pgMar w:left="260" w:top="1440" w:right="239" w:bottom="1440" w:gutter="0" w:footer="0" w:header="0"/>
        </w:sectPr>
      </w:pPr>
    </w:p>
    <w:bookmarkStart w:id="242" w:name="page243"/>
    <w:bookmarkEnd w:id="242"/>
    <w:p>
      <w:pPr>
        <w:spacing w:after="0" w:line="2" w:lineRule="exact"/>
        <w:rPr>
          <w:sz w:val="20"/>
          <w:szCs w:val="20"/>
          <w:color w:val="auto"/>
        </w:rPr>
      </w:pPr>
    </w:p>
    <w:p>
      <w:pPr>
        <w:ind w:left="640"/>
        <w:spacing w:after="0"/>
        <w:rPr>
          <w:sz w:val="20"/>
          <w:szCs w:val="20"/>
          <w:color w:val="auto"/>
        </w:rPr>
      </w:pPr>
      <w:r>
        <w:rPr>
          <w:rFonts w:ascii="Arial" w:cs="Arial" w:eastAsia="Arial" w:hAnsi="Arial"/>
          <w:sz w:val="19"/>
          <w:szCs w:val="19"/>
          <w:color w:val="auto"/>
        </w:rPr>
        <w:t>benefits to the Holders of the Notes or that does not adversely affect the legal rights of any such Holder under the Indenture,</w:t>
      </w:r>
    </w:p>
    <w:p>
      <w:pPr>
        <w:spacing w:after="0" w:line="79" w:lineRule="exact"/>
        <w:rPr>
          <w:sz w:val="20"/>
          <w:szCs w:val="20"/>
          <w:color w:val="auto"/>
        </w:rPr>
      </w:pPr>
    </w:p>
    <w:p>
      <w:pPr>
        <w:jc w:val="both"/>
        <w:ind w:left="640" w:hanging="4"/>
        <w:spacing w:after="0" w:line="326" w:lineRule="auto"/>
        <w:tabs>
          <w:tab w:leader="none" w:pos="950" w:val="left"/>
        </w:tabs>
        <w:numPr>
          <w:ilvl w:val="0"/>
          <w:numId w:val="190"/>
        </w:numPr>
        <w:rPr>
          <w:rFonts w:ascii="Arial" w:cs="Arial" w:eastAsia="Arial" w:hAnsi="Arial"/>
          <w:sz w:val="19"/>
          <w:szCs w:val="19"/>
          <w:color w:val="auto"/>
        </w:rPr>
      </w:pPr>
      <w:r>
        <w:rPr>
          <w:rFonts w:ascii="Arial" w:cs="Arial" w:eastAsia="Arial" w:hAnsi="Arial"/>
          <w:sz w:val="19"/>
          <w:szCs w:val="19"/>
          <w:color w:val="auto"/>
        </w:rPr>
        <w:t>conform the text of the Indenture or the Notes to any provision of the “Description of the Notes” in the Issuer’s offering memorandum, dated as of December 10, 2019, relating to the offering of the Initial Notes, to the extent that such provision in the “Description of the Notes” was intended to be a verbatim recitation of a provision of the Indenture or the Notes, which intent may be evidenced by an Officer’s Certificate to that effect, (vi) provide for the issuance of Additional Notes in accordance with the limitations set forth in the Indenture as of the date of the Indenture, (vii) evidence and provide for the acceptance of appointment by a successor Trustee, (viii) comply with the procedures of DTC, Euroclear or Clearstream,</w:t>
      </w:r>
    </w:p>
    <w:p>
      <w:pPr>
        <w:spacing w:after="0" w:line="2" w:lineRule="exact"/>
        <w:rPr>
          <w:rFonts w:ascii="Arial" w:cs="Arial" w:eastAsia="Arial" w:hAnsi="Arial"/>
          <w:sz w:val="19"/>
          <w:szCs w:val="19"/>
          <w:color w:val="auto"/>
        </w:rPr>
      </w:pPr>
    </w:p>
    <w:p>
      <w:pPr>
        <w:jc w:val="both"/>
        <w:ind w:left="640" w:hanging="4"/>
        <w:spacing w:after="0" w:line="288" w:lineRule="auto"/>
        <w:tabs>
          <w:tab w:leader="none" w:pos="1028" w:val="left"/>
        </w:tabs>
        <w:numPr>
          <w:ilvl w:val="0"/>
          <w:numId w:val="191"/>
        </w:numPr>
        <w:rPr>
          <w:rFonts w:ascii="Arial" w:cs="Arial" w:eastAsia="Arial" w:hAnsi="Arial"/>
          <w:sz w:val="22"/>
          <w:szCs w:val="22"/>
          <w:color w:val="auto"/>
        </w:rPr>
      </w:pPr>
      <w:r>
        <w:rPr>
          <w:rFonts w:ascii="Arial" w:cs="Arial" w:eastAsia="Arial" w:hAnsi="Arial"/>
          <w:sz w:val="22"/>
          <w:szCs w:val="22"/>
          <w:color w:val="auto"/>
        </w:rPr>
        <w:t>allow a Person to Guarantee the Issuer’s obligations under the Indenture and the Notes by executing a supplemental indenture with respect to the Notes (or to release any such Person from such a Guarantee as provided or permitted by the terms of the Indenture and such Guarantee) or (x) provide for the Notes to be secured (or to release such security as permitted by the Indenture and the applicable security documents).</w:t>
      </w:r>
    </w:p>
    <w:p>
      <w:pPr>
        <w:spacing w:after="0" w:line="190" w:lineRule="exact"/>
        <w:rPr>
          <w:rFonts w:ascii="Arial" w:cs="Arial" w:eastAsia="Arial" w:hAnsi="Arial"/>
          <w:sz w:val="22"/>
          <w:szCs w:val="22"/>
          <w:color w:val="auto"/>
        </w:rPr>
      </w:pPr>
    </w:p>
    <w:p>
      <w:pPr>
        <w:jc w:val="both"/>
        <w:ind w:left="640" w:firstLine="645"/>
        <w:spacing w:after="0" w:line="330" w:lineRule="auto"/>
        <w:tabs>
          <w:tab w:leader="none" w:pos="1716" w:val="left"/>
        </w:tabs>
        <w:numPr>
          <w:ilvl w:val="1"/>
          <w:numId w:val="191"/>
        </w:numPr>
        <w:rPr>
          <w:rFonts w:ascii="Arial" w:cs="Arial" w:eastAsia="Arial" w:hAnsi="Arial"/>
          <w:sz w:val="19"/>
          <w:szCs w:val="19"/>
          <w:color w:val="auto"/>
        </w:rPr>
      </w:pPr>
      <w:r>
        <w:rPr>
          <w:rFonts w:ascii="Arial" w:cs="Arial" w:eastAsia="Arial" w:hAnsi="Arial"/>
          <w:sz w:val="19"/>
          <w:szCs w:val="19"/>
          <w:i w:val="1"/>
          <w:iCs w:val="1"/>
          <w:color w:val="auto"/>
        </w:rPr>
        <w:t>DEFAULTS AND REMEDIES</w:t>
      </w:r>
      <w:r>
        <w:rPr>
          <w:rFonts w:ascii="Arial" w:cs="Arial" w:eastAsia="Arial" w:hAnsi="Arial"/>
          <w:sz w:val="19"/>
          <w:szCs w:val="19"/>
          <w:color w:val="auto"/>
        </w:rPr>
        <w:t>. Events of Default include: (i) default for 30 days in the payment when due of</w:t>
      </w:r>
      <w:r>
        <w:rPr>
          <w:rFonts w:ascii="Arial" w:cs="Arial" w:eastAsia="Arial" w:hAnsi="Arial"/>
          <w:sz w:val="19"/>
          <w:szCs w:val="19"/>
          <w:i w:val="1"/>
          <w:iCs w:val="1"/>
          <w:color w:val="auto"/>
        </w:rPr>
        <w:t xml:space="preserve"> </w:t>
      </w:r>
      <w:r>
        <w:rPr>
          <w:rFonts w:ascii="Arial" w:cs="Arial" w:eastAsia="Arial" w:hAnsi="Arial"/>
          <w:sz w:val="19"/>
          <w:szCs w:val="19"/>
          <w:color w:val="auto"/>
        </w:rPr>
        <w:t>interest, if any, with respect to the Notes; (ii) default in payment when due of principal of, or premium, if any, on the Notes when the same becomes due and payable at maturity, upon redemption (including in connection with an offer to purchase) or otherwise, (iii) failure by the Issuer to comply with Sections 4.08, Section 4.10 or 5.01 of the Indenture; (iv) failure by the Issuer for 60 days after written notice from the Trustee or Holders of at least 25% in aggregate principal amount of the Notes then outstanding voting as a single class to comply with any of the other agreements in the Indenture or the Notes, not set forth in clauses (i), (ii) or (iii) above; (v) default under any mortgage, indenture or instrument under which there may be issued or by which there may be secured or evidenced any Indebtedness for money borrowed by the Issuer or any of its Subsidiaries (or the payment of which is guaranteed by the Issuer) whether such Indebtedness or guarantee existed on the date of the Indenture, or is created after the date of the Indenture, if that default results in the acceleration of such Indebtedness prior to its express maturity, and, in each case, the principal amount of any such Indebtedness, together with the principal amount of any other such Indebtedness the maturity of which has been so accelerated, aggregates US$50.0 million (or the Dollar Equivalent thereof) or more, if such acceleration is not annulled within 30 days after written notice as provided in the Indenture; (vi) failure by the Issuer or any of its Significant Subsidiaries to pay final non-appealable judgments (not paid or covered by insurance as to which the relevant insurance company has not denied responsibility) rendered against Wynn Macau or any Significant Subsidiary aggregating in excess of US$50.0 million (or the Dollar Equivalent thereof), which judgments are not paid, bonded, discharged or stayed for a period of 60 days; and (vii) certain events of bankruptcy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160" w:type="dxa"/>
            <w:vAlign w:val="bottom"/>
          </w:tcPr>
          <w:p>
            <w:pPr>
              <w:spacing w:after="0"/>
              <w:rPr>
                <w:sz w:val="20"/>
                <w:szCs w:val="20"/>
                <w:color w:val="auto"/>
              </w:rPr>
            </w:pPr>
            <w:r>
              <w:rPr>
                <w:rFonts w:ascii="Arial" w:cs="Arial" w:eastAsia="Arial" w:hAnsi="Arial"/>
                <w:sz w:val="11"/>
                <w:szCs w:val="11"/>
                <w:color w:val="auto"/>
              </w:rPr>
              <w:t>ASIA 33616188</w:t>
            </w:r>
          </w:p>
        </w:tc>
        <w:tc>
          <w:tcPr>
            <w:tcW w:w="2660" w:type="dxa"/>
            <w:vAlign w:val="bottom"/>
          </w:tcPr>
          <w:p>
            <w:pPr>
              <w:jc w:val="right"/>
              <w:spacing w:after="0"/>
              <w:rPr>
                <w:sz w:val="20"/>
                <w:szCs w:val="20"/>
                <w:color w:val="auto"/>
              </w:rPr>
            </w:pPr>
            <w:r>
              <w:rPr>
                <w:rFonts w:ascii="Arial" w:cs="Arial" w:eastAsia="Arial" w:hAnsi="Arial"/>
                <w:sz w:val="22"/>
                <w:szCs w:val="22"/>
                <w:color w:val="auto"/>
              </w:rPr>
              <w:t>11</w:t>
            </w:r>
          </w:p>
        </w:tc>
      </w:tr>
    </w:tbl>
    <w:p>
      <w:pPr>
        <w:sectPr>
          <w:pgSz w:w="11900" w:h="16838" w:orient="portrait"/>
          <w:cols w:equalWidth="0" w:num="1">
            <w:col w:w="11400"/>
          </w:cols>
          <w:pgMar w:left="260" w:top="1440" w:right="239" w:bottom="1440" w:gutter="0" w:footer="0" w:header="0"/>
        </w:sectPr>
      </w:pPr>
    </w:p>
    <w:bookmarkStart w:id="243" w:name="page244"/>
    <w:bookmarkEnd w:id="243"/>
    <w:p>
      <w:pPr>
        <w:spacing w:after="0" w:line="2" w:lineRule="exact"/>
        <w:rPr>
          <w:sz w:val="20"/>
          <w:szCs w:val="20"/>
          <w:color w:val="auto"/>
        </w:rPr>
      </w:pPr>
    </w:p>
    <w:p>
      <w:pPr>
        <w:jc w:val="both"/>
        <w:ind w:left="640"/>
        <w:spacing w:after="0" w:line="330" w:lineRule="auto"/>
        <w:rPr>
          <w:sz w:val="20"/>
          <w:szCs w:val="20"/>
          <w:color w:val="auto"/>
        </w:rPr>
      </w:pPr>
      <w:r>
        <w:rPr>
          <w:rFonts w:ascii="Arial" w:cs="Arial" w:eastAsia="Arial" w:hAnsi="Arial"/>
          <w:sz w:val="19"/>
          <w:szCs w:val="19"/>
          <w:color w:val="auto"/>
        </w:rPr>
        <w:t>insolvency specified in the Indenture with respect to the Issuer or any of its Subsidiaries that is a Significant Subsidiary or any group of Subsidiaries that, taken together, would constitute a Significant Subsidiary. In the case of an Event of Default arising from certain events of bankruptcy or insolvency with respect to the Issuer specified in the Indenture, any Subsidiary of the Issuer that is a Significant Subsidiary or any group of Subsidiaries of the Issuer that, taken together, would constitute a Significant Subsidiary, all outstanding Notes shall become due and payable immediately without further action or notice. If any other Event of Default occurs and is continuing, the Trustee or the Holders of at least 25% in principal amount of the then outstanding Notes may declare all the Notes to be due and payable immediately. Holders of the Notes may not enforce the Indenture or the Notes except as provided in the Indenture. Subject to certain limitations specified in the Indenture, Holders of a majority in principal amount of the then outstanding Notes may direct the Trustee in its exercise of any trust or power. The Trustee may withhold from Holders of the Notes notice of any continuing Default or Event of Default if it determines that withholding notice is in their interest, except a Default or Event of Default relating to the payment of principal or interest or premium, if any. The Holders of a majority in aggregate principal amount of the then outstanding Notes by notice to the Trustee may, on behalf of the Holders of all of the Notes, waive any existing Default or Event of Default and its consequences under the Indenture, except a continuing Default or Event of Default in the payment of interest or premium, if any, on, or the principal of, the Notes. The Issuer is required to deliver to the Trustee annually a statement regarding compliance with the Indenture. Upon becoming aware of any Default or Event of Default, the Issuer is required to deliver to the Trustee a statement specifying such Default or Event of Default.</w:t>
      </w:r>
    </w:p>
    <w:p>
      <w:pPr>
        <w:spacing w:after="0" w:line="160" w:lineRule="exact"/>
        <w:rPr>
          <w:sz w:val="20"/>
          <w:szCs w:val="20"/>
          <w:color w:val="auto"/>
        </w:rPr>
      </w:pPr>
    </w:p>
    <w:p>
      <w:pPr>
        <w:jc w:val="both"/>
        <w:ind w:left="640" w:firstLine="645"/>
        <w:spacing w:after="0" w:line="287" w:lineRule="auto"/>
        <w:tabs>
          <w:tab w:leader="none" w:pos="1716" w:val="left"/>
        </w:tabs>
        <w:numPr>
          <w:ilvl w:val="0"/>
          <w:numId w:val="192"/>
        </w:numPr>
        <w:rPr>
          <w:rFonts w:ascii="Arial" w:cs="Arial" w:eastAsia="Arial" w:hAnsi="Arial"/>
          <w:sz w:val="22"/>
          <w:szCs w:val="22"/>
          <w:color w:val="auto"/>
        </w:rPr>
      </w:pPr>
      <w:r>
        <w:rPr>
          <w:rFonts w:ascii="Arial" w:cs="Arial" w:eastAsia="Arial" w:hAnsi="Arial"/>
          <w:sz w:val="22"/>
          <w:szCs w:val="22"/>
          <w:i w:val="1"/>
          <w:iCs w:val="1"/>
          <w:color w:val="auto"/>
        </w:rPr>
        <w:t>TRUSTEE DEALINGS WITH ISSUER</w:t>
      </w:r>
      <w:r>
        <w:rPr>
          <w:rFonts w:ascii="Arial" w:cs="Arial" w:eastAsia="Arial" w:hAnsi="Arial"/>
          <w:sz w:val="22"/>
          <w:szCs w:val="22"/>
          <w:color w:val="auto"/>
        </w:rPr>
        <w:t>. The Trustee, in its individual or any other capacity, may become the</w:t>
      </w:r>
      <w:r>
        <w:rPr>
          <w:rFonts w:ascii="Arial" w:cs="Arial" w:eastAsia="Arial" w:hAnsi="Arial"/>
          <w:sz w:val="22"/>
          <w:szCs w:val="22"/>
          <w:i w:val="1"/>
          <w:iCs w:val="1"/>
          <w:color w:val="auto"/>
        </w:rPr>
        <w:t xml:space="preserve"> </w:t>
      </w:r>
      <w:r>
        <w:rPr>
          <w:rFonts w:ascii="Arial" w:cs="Arial" w:eastAsia="Arial" w:hAnsi="Arial"/>
          <w:sz w:val="22"/>
          <w:szCs w:val="22"/>
          <w:color w:val="auto"/>
        </w:rPr>
        <w:t>owner or pledgee of Notes and may otherwise deal with the Issuer or any Affiliate of the Issuer with the same rights it would have if it were not Trustee. However, in the event that the Trustee acquires any conflicting interest it must eliminate such conflict within 90 days, apply to the SEC for permission to continue as trustee or resign. Any Agent may do the same with like rights and duties.</w:t>
      </w:r>
    </w:p>
    <w:p>
      <w:pPr>
        <w:spacing w:after="0" w:line="189" w:lineRule="exact"/>
        <w:rPr>
          <w:rFonts w:ascii="Arial" w:cs="Arial" w:eastAsia="Arial" w:hAnsi="Arial"/>
          <w:sz w:val="22"/>
          <w:szCs w:val="22"/>
          <w:color w:val="auto"/>
        </w:rPr>
      </w:pPr>
    </w:p>
    <w:p>
      <w:pPr>
        <w:jc w:val="both"/>
        <w:ind w:left="640" w:firstLine="645"/>
        <w:spacing w:after="0" w:line="341" w:lineRule="auto"/>
        <w:tabs>
          <w:tab w:leader="none" w:pos="1743" w:val="left"/>
        </w:tabs>
        <w:numPr>
          <w:ilvl w:val="0"/>
          <w:numId w:val="192"/>
        </w:numPr>
        <w:rPr>
          <w:rFonts w:ascii="Arial" w:cs="Arial" w:eastAsia="Arial" w:hAnsi="Arial"/>
          <w:sz w:val="19"/>
          <w:szCs w:val="19"/>
          <w:color w:val="auto"/>
        </w:rPr>
      </w:pPr>
      <w:r>
        <w:rPr>
          <w:rFonts w:ascii="Arial" w:cs="Arial" w:eastAsia="Arial" w:hAnsi="Arial"/>
          <w:sz w:val="19"/>
          <w:szCs w:val="19"/>
          <w:i w:val="1"/>
          <w:iCs w:val="1"/>
          <w:color w:val="auto"/>
        </w:rPr>
        <w:t>NO RECOURSE AGAINST OTHERS</w:t>
      </w:r>
      <w:r>
        <w:rPr>
          <w:rFonts w:ascii="Arial" w:cs="Arial" w:eastAsia="Arial" w:hAnsi="Arial"/>
          <w:sz w:val="19"/>
          <w:szCs w:val="19"/>
          <w:color w:val="auto"/>
        </w:rPr>
        <w:t>. No past, present or future director, officer, employee, incorporator,</w:t>
      </w:r>
      <w:r>
        <w:rPr>
          <w:rFonts w:ascii="Arial" w:cs="Arial" w:eastAsia="Arial" w:hAnsi="Arial"/>
          <w:sz w:val="19"/>
          <w:szCs w:val="19"/>
          <w:i w:val="1"/>
          <w:iCs w:val="1"/>
          <w:color w:val="auto"/>
        </w:rPr>
        <w:t xml:space="preserve"> </w:t>
      </w:r>
      <w:r>
        <w:rPr>
          <w:rFonts w:ascii="Arial" w:cs="Arial" w:eastAsia="Arial" w:hAnsi="Arial"/>
          <w:sz w:val="19"/>
          <w:szCs w:val="19"/>
          <w:color w:val="auto"/>
        </w:rPr>
        <w:t>organizer, equity holder or member of the Issuer, as such, shall have any liability for any obligations of the Issuer under the Notes or the Indenture or for any claim based on, in respect of, or by reason of, such obligations or their creation. Each Holder by accepting a Note waives and releases all such liability. The waiver and release are part of the consideration for issuance of the Notes. The waiver may not be effective to waive liabilities under the United States federal securities laws.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160" w:type="dxa"/>
            <w:vAlign w:val="bottom"/>
          </w:tcPr>
          <w:p>
            <w:pPr>
              <w:spacing w:after="0"/>
              <w:rPr>
                <w:sz w:val="20"/>
                <w:szCs w:val="20"/>
                <w:color w:val="auto"/>
              </w:rPr>
            </w:pPr>
            <w:r>
              <w:rPr>
                <w:rFonts w:ascii="Arial" w:cs="Arial" w:eastAsia="Arial" w:hAnsi="Arial"/>
                <w:sz w:val="11"/>
                <w:szCs w:val="11"/>
                <w:color w:val="auto"/>
              </w:rPr>
              <w:t>ASIA 33616188</w:t>
            </w:r>
          </w:p>
        </w:tc>
        <w:tc>
          <w:tcPr>
            <w:tcW w:w="2660" w:type="dxa"/>
            <w:vAlign w:val="bottom"/>
          </w:tcPr>
          <w:p>
            <w:pPr>
              <w:jc w:val="right"/>
              <w:spacing w:after="0"/>
              <w:rPr>
                <w:sz w:val="20"/>
                <w:szCs w:val="20"/>
                <w:color w:val="auto"/>
              </w:rPr>
            </w:pPr>
            <w:r>
              <w:rPr>
                <w:rFonts w:ascii="Arial" w:cs="Arial" w:eastAsia="Arial" w:hAnsi="Arial"/>
                <w:sz w:val="22"/>
                <w:szCs w:val="22"/>
                <w:color w:val="auto"/>
              </w:rPr>
              <w:t>12</w:t>
            </w:r>
          </w:p>
        </w:tc>
      </w:tr>
    </w:tbl>
    <w:p>
      <w:pPr>
        <w:sectPr>
          <w:pgSz w:w="11900" w:h="16838" w:orient="portrait"/>
          <w:cols w:equalWidth="0" w:num="1">
            <w:col w:w="11400"/>
          </w:cols>
          <w:pgMar w:left="260" w:top="1440" w:right="239" w:bottom="1440" w:gutter="0" w:footer="0" w:header="0"/>
        </w:sectPr>
      </w:pPr>
    </w:p>
    <w:bookmarkStart w:id="244" w:name="page245"/>
    <w:bookmarkEnd w:id="244"/>
    <w:p>
      <w:pPr>
        <w:spacing w:after="0" w:line="2" w:lineRule="exact"/>
        <w:rPr>
          <w:sz w:val="20"/>
          <w:szCs w:val="20"/>
          <w:color w:val="auto"/>
        </w:rPr>
      </w:pPr>
    </w:p>
    <w:p>
      <w:pPr>
        <w:ind w:left="660" w:right="20" w:firstLine="645"/>
        <w:spacing w:after="0" w:line="302" w:lineRule="auto"/>
        <w:tabs>
          <w:tab w:leader="none" w:pos="1722" w:val="left"/>
        </w:tabs>
        <w:numPr>
          <w:ilvl w:val="0"/>
          <w:numId w:val="193"/>
        </w:numPr>
        <w:rPr>
          <w:rFonts w:ascii="Arial" w:cs="Arial" w:eastAsia="Arial" w:hAnsi="Arial"/>
          <w:sz w:val="22"/>
          <w:szCs w:val="22"/>
          <w:color w:val="auto"/>
        </w:rPr>
      </w:pPr>
      <w:r>
        <w:rPr>
          <w:rFonts w:ascii="Arial" w:cs="Arial" w:eastAsia="Arial" w:hAnsi="Arial"/>
          <w:sz w:val="22"/>
          <w:szCs w:val="22"/>
          <w:i w:val="1"/>
          <w:iCs w:val="1"/>
          <w:color w:val="auto"/>
        </w:rPr>
        <w:t>AUTHENTICATION</w:t>
      </w:r>
      <w:r>
        <w:rPr>
          <w:rFonts w:ascii="Arial" w:cs="Arial" w:eastAsia="Arial" w:hAnsi="Arial"/>
          <w:sz w:val="22"/>
          <w:szCs w:val="22"/>
          <w:color w:val="auto"/>
        </w:rPr>
        <w:t>. This Note shall not be valid until authenticated by the manual signature of the Trustee or</w:t>
      </w:r>
      <w:r>
        <w:rPr>
          <w:rFonts w:ascii="Arial" w:cs="Arial" w:eastAsia="Arial" w:hAnsi="Arial"/>
          <w:sz w:val="22"/>
          <w:szCs w:val="22"/>
          <w:i w:val="1"/>
          <w:iCs w:val="1"/>
          <w:color w:val="auto"/>
        </w:rPr>
        <w:t xml:space="preserve"> </w:t>
      </w:r>
      <w:r>
        <w:rPr>
          <w:rFonts w:ascii="Arial" w:cs="Arial" w:eastAsia="Arial" w:hAnsi="Arial"/>
          <w:sz w:val="22"/>
          <w:szCs w:val="22"/>
          <w:color w:val="auto"/>
        </w:rPr>
        <w:t>an authenticating agent.</w:t>
      </w:r>
    </w:p>
    <w:p>
      <w:pPr>
        <w:spacing w:after="0" w:line="173" w:lineRule="exact"/>
        <w:rPr>
          <w:rFonts w:ascii="Arial" w:cs="Arial" w:eastAsia="Arial" w:hAnsi="Arial"/>
          <w:sz w:val="22"/>
          <w:szCs w:val="22"/>
          <w:color w:val="auto"/>
        </w:rPr>
      </w:pPr>
    </w:p>
    <w:p>
      <w:pPr>
        <w:jc w:val="both"/>
        <w:ind w:left="660" w:firstLine="645"/>
        <w:spacing w:after="0" w:line="311" w:lineRule="auto"/>
        <w:tabs>
          <w:tab w:leader="none" w:pos="1722" w:val="left"/>
        </w:tabs>
        <w:numPr>
          <w:ilvl w:val="0"/>
          <w:numId w:val="193"/>
        </w:numPr>
        <w:rPr>
          <w:rFonts w:ascii="Arial" w:cs="Arial" w:eastAsia="Arial" w:hAnsi="Arial"/>
          <w:sz w:val="21"/>
          <w:szCs w:val="21"/>
          <w:color w:val="auto"/>
        </w:rPr>
      </w:pPr>
      <w:r>
        <w:rPr>
          <w:rFonts w:ascii="Arial" w:cs="Arial" w:eastAsia="Arial" w:hAnsi="Arial"/>
          <w:sz w:val="21"/>
          <w:szCs w:val="21"/>
          <w:i w:val="1"/>
          <w:iCs w:val="1"/>
          <w:color w:val="auto"/>
        </w:rPr>
        <w:t>ABBREVIATIONS</w:t>
      </w:r>
      <w:r>
        <w:rPr>
          <w:rFonts w:ascii="Arial" w:cs="Arial" w:eastAsia="Arial" w:hAnsi="Arial"/>
          <w:sz w:val="21"/>
          <w:szCs w:val="21"/>
          <w:color w:val="auto"/>
        </w:rPr>
        <w:t>. Customary abbreviations may be used in the name of a Holder or an assignee, such as: TEN</w:t>
      </w:r>
      <w:r>
        <w:rPr>
          <w:rFonts w:ascii="Arial" w:cs="Arial" w:eastAsia="Arial" w:hAnsi="Arial"/>
          <w:sz w:val="21"/>
          <w:szCs w:val="21"/>
          <w:i w:val="1"/>
          <w:iCs w:val="1"/>
          <w:color w:val="auto"/>
        </w:rPr>
        <w:t xml:space="preserve"> </w:t>
      </w:r>
      <w:r>
        <w:rPr>
          <w:rFonts w:ascii="Arial" w:cs="Arial" w:eastAsia="Arial" w:hAnsi="Arial"/>
          <w:sz w:val="21"/>
          <w:szCs w:val="21"/>
          <w:color w:val="auto"/>
        </w:rPr>
        <w:t>COM (= tenants in common), TEN ENT (= tenants by the entireties), JT TEN (= joint tenants with right of survivorship and not as tenants in common), CUST (= Custodian), and U/G/M/A (= Uniform Gifts to Minors Act).</w:t>
      </w:r>
    </w:p>
    <w:p>
      <w:pPr>
        <w:spacing w:after="0" w:line="168" w:lineRule="exact"/>
        <w:rPr>
          <w:rFonts w:ascii="Arial" w:cs="Arial" w:eastAsia="Arial" w:hAnsi="Arial"/>
          <w:sz w:val="21"/>
          <w:szCs w:val="21"/>
          <w:color w:val="auto"/>
        </w:rPr>
      </w:pPr>
    </w:p>
    <w:p>
      <w:pPr>
        <w:jc w:val="both"/>
        <w:ind w:left="660" w:right="20" w:firstLine="645"/>
        <w:spacing w:after="0" w:line="292" w:lineRule="auto"/>
        <w:tabs>
          <w:tab w:leader="none" w:pos="1817" w:val="left"/>
        </w:tabs>
        <w:numPr>
          <w:ilvl w:val="0"/>
          <w:numId w:val="193"/>
        </w:numPr>
        <w:rPr>
          <w:rFonts w:ascii="Arial" w:cs="Arial" w:eastAsia="Arial" w:hAnsi="Arial"/>
          <w:sz w:val="22"/>
          <w:szCs w:val="22"/>
          <w:color w:val="auto"/>
        </w:rPr>
      </w:pPr>
      <w:r>
        <w:rPr>
          <w:rFonts w:ascii="Arial" w:cs="Arial" w:eastAsia="Arial" w:hAnsi="Arial"/>
          <w:sz w:val="22"/>
          <w:szCs w:val="22"/>
          <w:i w:val="1"/>
          <w:iCs w:val="1"/>
          <w:color w:val="auto"/>
        </w:rPr>
        <w:t>GOVERNING LAW</w:t>
      </w:r>
      <w:r>
        <w:rPr>
          <w:rFonts w:ascii="Arial" w:cs="Arial" w:eastAsia="Arial" w:hAnsi="Arial"/>
          <w:sz w:val="22"/>
          <w:szCs w:val="22"/>
          <w:color w:val="auto"/>
        </w:rPr>
        <w:t>. THE INDENTURE AND THIS NOTE SHALL BE GOVERNED BY AND</w:t>
      </w:r>
      <w:r>
        <w:rPr>
          <w:rFonts w:ascii="Arial" w:cs="Arial" w:eastAsia="Arial" w:hAnsi="Arial"/>
          <w:sz w:val="22"/>
          <w:szCs w:val="22"/>
          <w:i w:val="1"/>
          <w:iCs w:val="1"/>
          <w:color w:val="auto"/>
        </w:rPr>
        <w:t xml:space="preserve"> </w:t>
      </w:r>
      <w:r>
        <w:rPr>
          <w:rFonts w:ascii="Arial" w:cs="Arial" w:eastAsia="Arial" w:hAnsi="Arial"/>
          <w:sz w:val="22"/>
          <w:szCs w:val="22"/>
          <w:color w:val="auto"/>
        </w:rPr>
        <w:t>CONSTRUED IN ACCORDANCE WITH THE LAWS OF THE STATE OF NEW YORK, INCLUDING, WITHOUT LIMITATION, SECTION 5-1401 OF THE NEW YORK OBLIGATIONS LAW.</w:t>
      </w:r>
    </w:p>
    <w:p>
      <w:pPr>
        <w:spacing w:after="0" w:line="184" w:lineRule="exact"/>
        <w:rPr>
          <w:rFonts w:ascii="Arial" w:cs="Arial" w:eastAsia="Arial" w:hAnsi="Arial"/>
          <w:sz w:val="22"/>
          <w:szCs w:val="22"/>
          <w:color w:val="auto"/>
        </w:rPr>
      </w:pPr>
    </w:p>
    <w:p>
      <w:pPr>
        <w:jc w:val="both"/>
        <w:ind w:left="660" w:firstLine="645"/>
        <w:spacing w:after="0" w:line="287" w:lineRule="auto"/>
        <w:tabs>
          <w:tab w:leader="none" w:pos="1776" w:val="left"/>
        </w:tabs>
        <w:numPr>
          <w:ilvl w:val="0"/>
          <w:numId w:val="193"/>
        </w:numPr>
        <w:rPr>
          <w:rFonts w:ascii="Arial" w:cs="Arial" w:eastAsia="Arial" w:hAnsi="Arial"/>
          <w:sz w:val="22"/>
          <w:szCs w:val="22"/>
          <w:color w:val="auto"/>
        </w:rPr>
      </w:pPr>
      <w:r>
        <w:rPr>
          <w:rFonts w:ascii="Arial" w:cs="Arial" w:eastAsia="Arial" w:hAnsi="Arial"/>
          <w:sz w:val="22"/>
          <w:szCs w:val="22"/>
          <w:i w:val="1"/>
          <w:iCs w:val="1"/>
          <w:color w:val="auto"/>
        </w:rPr>
        <w:t>CUSIP NUMBERS</w:t>
      </w:r>
      <w:r>
        <w:rPr>
          <w:rFonts w:ascii="Arial" w:cs="Arial" w:eastAsia="Arial" w:hAnsi="Arial"/>
          <w:sz w:val="22"/>
          <w:szCs w:val="22"/>
          <w:color w:val="auto"/>
        </w:rPr>
        <w:t>. Pursuant to a recommendation promulgated by the Committee on Uniform Security</w:t>
      </w:r>
      <w:r>
        <w:rPr>
          <w:rFonts w:ascii="Arial" w:cs="Arial" w:eastAsia="Arial" w:hAnsi="Arial"/>
          <w:sz w:val="22"/>
          <w:szCs w:val="22"/>
          <w:i w:val="1"/>
          <w:iCs w:val="1"/>
          <w:color w:val="auto"/>
        </w:rPr>
        <w:t xml:space="preserve"> </w:t>
      </w:r>
      <w:r>
        <w:rPr>
          <w:rFonts w:ascii="Arial" w:cs="Arial" w:eastAsia="Arial" w:hAnsi="Arial"/>
          <w:sz w:val="22"/>
          <w:szCs w:val="22"/>
          <w:color w:val="auto"/>
        </w:rPr>
        <w:t>Identification Procedures, the Issuer has caused CUSIP numbers to be printed on the Notes and the Trustee may use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firstLine="648"/>
        <w:spacing w:after="0" w:line="302" w:lineRule="auto"/>
        <w:rPr>
          <w:sz w:val="20"/>
          <w:szCs w:val="20"/>
          <w:color w:val="auto"/>
        </w:rPr>
      </w:pPr>
      <w:r>
        <w:rPr>
          <w:rFonts w:ascii="Arial" w:cs="Arial" w:eastAsia="Arial" w:hAnsi="Arial"/>
          <w:sz w:val="22"/>
          <w:szCs w:val="22"/>
          <w:color w:val="auto"/>
        </w:rPr>
        <w:t>The Issuer shall furnish a copy of the Indenture to any Holder upon written request and without charge. Requests may be made to:</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Wynn Macau, Limited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Avenida da Nave Desportiva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Cotai</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Macau SAR</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Attention: Mr. Jason Schall</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3160" w:type="dxa"/>
            <w:vAlign w:val="bottom"/>
          </w:tcPr>
          <w:p>
            <w:pPr>
              <w:spacing w:after="0"/>
              <w:rPr>
                <w:sz w:val="20"/>
                <w:szCs w:val="20"/>
                <w:color w:val="auto"/>
              </w:rPr>
            </w:pPr>
            <w:r>
              <w:rPr>
                <w:rFonts w:ascii="Arial" w:cs="Arial" w:eastAsia="Arial" w:hAnsi="Arial"/>
                <w:sz w:val="11"/>
                <w:szCs w:val="11"/>
                <w:color w:val="auto"/>
              </w:rPr>
              <w:t>ASIA 33616188</w:t>
            </w:r>
          </w:p>
        </w:tc>
        <w:tc>
          <w:tcPr>
            <w:tcW w:w="2660" w:type="dxa"/>
            <w:vAlign w:val="bottom"/>
          </w:tcPr>
          <w:p>
            <w:pPr>
              <w:jc w:val="right"/>
              <w:spacing w:after="0"/>
              <w:rPr>
                <w:sz w:val="20"/>
                <w:szCs w:val="20"/>
                <w:color w:val="auto"/>
              </w:rPr>
            </w:pPr>
            <w:r>
              <w:rPr>
                <w:rFonts w:ascii="Arial" w:cs="Arial" w:eastAsia="Arial" w:hAnsi="Arial"/>
                <w:sz w:val="22"/>
                <w:szCs w:val="22"/>
                <w:color w:val="auto"/>
              </w:rPr>
              <w:t>13</w:t>
            </w:r>
          </w:p>
        </w:tc>
      </w:tr>
    </w:tbl>
    <w:p>
      <w:pPr>
        <w:sectPr>
          <w:pgSz w:w="11900" w:h="16838" w:orient="portrait"/>
          <w:cols w:equalWidth="0" w:num="1">
            <w:col w:w="11420"/>
          </w:cols>
          <w:pgMar w:left="240" w:top="1440" w:right="239" w:bottom="1440" w:gutter="0" w:footer="0" w:header="0"/>
        </w:sectPr>
      </w:pPr>
    </w:p>
    <w:bookmarkStart w:id="245" w:name="page246"/>
    <w:bookmarkEnd w:id="245"/>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ASSIGNMENT FORM</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To assign this Note, fill in the form below:</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(I) or (we) assign and transfer this Note to: ________________________________________</w:t>
      </w:r>
    </w:p>
    <w:p>
      <w:pPr>
        <w:spacing w:after="0" w:line="44" w:lineRule="exact"/>
        <w:rPr>
          <w:sz w:val="20"/>
          <w:szCs w:val="20"/>
          <w:color w:val="auto"/>
        </w:rPr>
      </w:pPr>
    </w:p>
    <w:p>
      <w:pPr>
        <w:ind w:left="6380"/>
        <w:spacing w:after="0"/>
        <w:rPr>
          <w:sz w:val="20"/>
          <w:szCs w:val="20"/>
          <w:color w:val="auto"/>
        </w:rPr>
      </w:pPr>
      <w:r>
        <w:rPr>
          <w:rFonts w:ascii="Arial" w:cs="Arial" w:eastAsia="Arial" w:hAnsi="Arial"/>
          <w:sz w:val="22"/>
          <w:szCs w:val="22"/>
          <w:color w:val="auto"/>
        </w:rPr>
        <w:t>(Insert assignee’s legal name)</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___________________________________________________________________________</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(Insert assignee’s soc. sec. or tax I.D. no.)</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___________________________________________________________________________</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___________________________________________________________________________</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___________________________________________________________________________</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___________________________________________________________________________</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(Print or type assignee’s name, address and zip code)</w:t>
      </w:r>
    </w:p>
    <w:p>
      <w:pPr>
        <w:spacing w:after="0" w:line="260" w:lineRule="exact"/>
        <w:rPr>
          <w:sz w:val="20"/>
          <w:szCs w:val="20"/>
          <w:color w:val="auto"/>
        </w:rPr>
      </w:pPr>
    </w:p>
    <w:p>
      <w:pPr>
        <w:spacing w:after="0"/>
        <w:rPr>
          <w:sz w:val="20"/>
          <w:szCs w:val="20"/>
          <w:color w:val="auto"/>
        </w:rPr>
      </w:pPr>
      <w:r>
        <w:rPr>
          <w:rFonts w:ascii="Arial" w:cs="Arial" w:eastAsia="Arial" w:hAnsi="Arial"/>
          <w:sz w:val="19"/>
          <w:szCs w:val="19"/>
          <w:color w:val="auto"/>
        </w:rPr>
        <w:t>and irrevocably appoint ______________________________________________________ to transfer this Note on the books of</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color w:val="auto"/>
        </w:rPr>
        <w:t>the Issuer. The agent may substitute another to act for him.</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Date: ______________</w:t>
      </w:r>
    </w:p>
    <w:p>
      <w:pPr>
        <w:spacing w:after="0" w:line="260"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Your Signature: ___________________________</w:t>
      </w:r>
    </w:p>
    <w:p>
      <w:pPr>
        <w:spacing w:after="0" w:line="4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(Sign exactly as your name appears on the face of this Note)</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Signature Guarantee*: _______________________</w:t>
      </w:r>
    </w:p>
    <w:p>
      <w:pPr>
        <w:spacing w:after="0" w:line="260" w:lineRule="exact"/>
        <w:rPr>
          <w:sz w:val="20"/>
          <w:szCs w:val="20"/>
          <w:color w:val="auto"/>
        </w:rPr>
      </w:pPr>
    </w:p>
    <w:p>
      <w:pPr>
        <w:spacing w:after="0"/>
        <w:rPr>
          <w:sz w:val="20"/>
          <w:szCs w:val="20"/>
          <w:color w:val="auto"/>
        </w:rPr>
      </w:pPr>
      <w:r>
        <w:rPr>
          <w:rFonts w:ascii="Arial" w:cs="Arial" w:eastAsia="Arial" w:hAnsi="Arial"/>
          <w:sz w:val="19"/>
          <w:szCs w:val="19"/>
          <w:color w:val="auto"/>
        </w:rPr>
        <w:t>* Participant in a recognized Signature Guarantee Medallion Program (or other signature guarantor acceptable to the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3160" w:type="dxa"/>
            <w:vAlign w:val="bottom"/>
          </w:tcPr>
          <w:p>
            <w:pPr>
              <w:spacing w:after="0"/>
              <w:rPr>
                <w:sz w:val="20"/>
                <w:szCs w:val="20"/>
                <w:color w:val="auto"/>
              </w:rPr>
            </w:pPr>
            <w:r>
              <w:rPr>
                <w:rFonts w:ascii="Arial" w:cs="Arial" w:eastAsia="Arial" w:hAnsi="Arial"/>
                <w:sz w:val="11"/>
                <w:szCs w:val="11"/>
                <w:color w:val="auto"/>
              </w:rPr>
              <w:t>ASIA 33616188</w:t>
            </w:r>
          </w:p>
        </w:tc>
        <w:tc>
          <w:tcPr>
            <w:tcW w:w="2660" w:type="dxa"/>
            <w:vAlign w:val="bottom"/>
          </w:tcPr>
          <w:p>
            <w:pPr>
              <w:jc w:val="right"/>
              <w:spacing w:after="0"/>
              <w:rPr>
                <w:sz w:val="20"/>
                <w:szCs w:val="20"/>
                <w:color w:val="auto"/>
              </w:rPr>
            </w:pPr>
            <w:r>
              <w:rPr>
                <w:rFonts w:ascii="Arial" w:cs="Arial" w:eastAsia="Arial" w:hAnsi="Arial"/>
                <w:sz w:val="22"/>
                <w:szCs w:val="22"/>
                <w:color w:val="auto"/>
              </w:rPr>
              <w:t>14</w:t>
            </w:r>
          </w:p>
        </w:tc>
      </w:tr>
    </w:tbl>
    <w:p>
      <w:pPr>
        <w:sectPr>
          <w:pgSz w:w="11900" w:h="16838" w:orient="portrait"/>
          <w:cols w:equalWidth="0" w:num="1">
            <w:col w:w="11420"/>
          </w:cols>
          <w:pgMar w:left="240" w:top="1440" w:right="239" w:bottom="1440" w:gutter="0" w:footer="0" w:header="0"/>
        </w:sectPr>
      </w:pPr>
    </w:p>
    <w:bookmarkStart w:id="246" w:name="page247"/>
    <w:bookmarkEnd w:id="246"/>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Option of Holder to Elect Purchase</w:t>
      </w:r>
    </w:p>
    <w:p>
      <w:pPr>
        <w:spacing w:after="0" w:line="368" w:lineRule="exact"/>
        <w:rPr>
          <w:sz w:val="20"/>
          <w:szCs w:val="20"/>
          <w:color w:val="auto"/>
        </w:rPr>
      </w:pPr>
    </w:p>
    <w:p>
      <w:pPr>
        <w:ind w:firstLine="648"/>
        <w:spacing w:after="0" w:line="302" w:lineRule="auto"/>
        <w:rPr>
          <w:sz w:val="20"/>
          <w:szCs w:val="20"/>
          <w:color w:val="auto"/>
        </w:rPr>
      </w:pPr>
      <w:r>
        <w:rPr>
          <w:rFonts w:ascii="Arial" w:cs="Arial" w:eastAsia="Arial" w:hAnsi="Arial"/>
          <w:sz w:val="22"/>
          <w:szCs w:val="22"/>
          <w:color w:val="auto"/>
        </w:rPr>
        <w:t>If you want to elect to have this Note purchased by the Issuer pursuant to Section 4.08 or Section 4.10 of the Indenture, check the appropriate box below:</w:t>
      </w:r>
    </w:p>
    <w:p>
      <w:pPr>
        <w:spacing w:after="0" w:line="282" w:lineRule="exact"/>
        <w:rPr>
          <w:sz w:val="20"/>
          <w:szCs w:val="20"/>
          <w:color w:val="auto"/>
        </w:rPr>
      </w:pPr>
    </w:p>
    <w:p>
      <w:pPr>
        <w:ind w:left="1960"/>
        <w:spacing w:after="0"/>
        <w:tabs>
          <w:tab w:leader="none" w:pos="3400" w:val="left"/>
        </w:tabs>
        <w:rPr>
          <w:sz w:val="20"/>
          <w:szCs w:val="20"/>
          <w:color w:val="auto"/>
        </w:rPr>
      </w:pPr>
      <w:r>
        <w:rPr>
          <w:rFonts w:ascii="Arial" w:cs="Arial" w:eastAsia="Arial" w:hAnsi="Arial"/>
          <w:sz w:val="22"/>
          <w:szCs w:val="22"/>
          <w:color w:val="auto"/>
        </w:rPr>
        <w:t>£ Section 4.08</w:t>
      </w:r>
      <w:r>
        <w:rPr>
          <w:sz w:val="20"/>
          <w:szCs w:val="20"/>
          <w:color w:val="auto"/>
        </w:rPr>
        <w:tab/>
      </w:r>
      <w:r>
        <w:rPr>
          <w:rFonts w:ascii="Arial" w:cs="Arial" w:eastAsia="Arial" w:hAnsi="Arial"/>
          <w:sz w:val="19"/>
          <w:szCs w:val="19"/>
          <w:color w:val="auto"/>
        </w:rPr>
        <w:t>£ Section 4.10</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If you want to elect to have only part of the Note purchased by the Issuer pursuant to Section 4.08 or Section 4.10 of the</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color w:val="auto"/>
        </w:rPr>
        <w:t>Indenture, state the amount you elect to have purchased:</w:t>
      </w:r>
    </w:p>
    <w:p>
      <w:pPr>
        <w:spacing w:after="0" w:line="260"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US$________________</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Date: ________________</w:t>
      </w:r>
    </w:p>
    <w:p>
      <w:pPr>
        <w:spacing w:after="0" w:line="260"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Your Signature:___________________________</w:t>
      </w:r>
    </w:p>
    <w:p>
      <w:pPr>
        <w:spacing w:after="0" w:line="44" w:lineRule="exact"/>
        <w:rPr>
          <w:sz w:val="20"/>
          <w:szCs w:val="20"/>
          <w:color w:val="auto"/>
        </w:rPr>
      </w:pPr>
    </w:p>
    <w:p>
      <w:pPr>
        <w:ind w:left="6200"/>
        <w:spacing w:after="0"/>
        <w:rPr>
          <w:sz w:val="20"/>
          <w:szCs w:val="20"/>
          <w:color w:val="auto"/>
        </w:rPr>
      </w:pPr>
      <w:r>
        <w:rPr>
          <w:rFonts w:ascii="Arial" w:cs="Arial" w:eastAsia="Arial" w:hAnsi="Arial"/>
          <w:sz w:val="19"/>
          <w:szCs w:val="19"/>
          <w:color w:val="auto"/>
        </w:rPr>
        <w:t>(Sign exactly as your name appears on the face of this Note)</w:t>
      </w:r>
    </w:p>
    <w:p>
      <w:pPr>
        <w:spacing w:after="0" w:line="295"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Tax Identification No.:______________________</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Signature Guarantee*: _______________________</w:t>
      </w:r>
    </w:p>
    <w:p>
      <w:pPr>
        <w:spacing w:after="0" w:line="260" w:lineRule="exact"/>
        <w:rPr>
          <w:sz w:val="20"/>
          <w:szCs w:val="20"/>
          <w:color w:val="auto"/>
        </w:rPr>
      </w:pPr>
    </w:p>
    <w:p>
      <w:pPr>
        <w:spacing w:after="0"/>
        <w:rPr>
          <w:sz w:val="20"/>
          <w:szCs w:val="20"/>
          <w:color w:val="auto"/>
        </w:rPr>
      </w:pPr>
      <w:r>
        <w:rPr>
          <w:rFonts w:ascii="Arial" w:cs="Arial" w:eastAsia="Arial" w:hAnsi="Arial"/>
          <w:sz w:val="19"/>
          <w:szCs w:val="19"/>
          <w:color w:val="auto"/>
        </w:rPr>
        <w:t>* Participant in a recognized Signature Guarantee Medallion Program (or other signature guarantor acceptable to the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3160" w:type="dxa"/>
            <w:vAlign w:val="bottom"/>
          </w:tcPr>
          <w:p>
            <w:pPr>
              <w:spacing w:after="0"/>
              <w:rPr>
                <w:sz w:val="20"/>
                <w:szCs w:val="20"/>
                <w:color w:val="auto"/>
              </w:rPr>
            </w:pPr>
            <w:r>
              <w:rPr>
                <w:rFonts w:ascii="Arial" w:cs="Arial" w:eastAsia="Arial" w:hAnsi="Arial"/>
                <w:sz w:val="11"/>
                <w:szCs w:val="11"/>
                <w:color w:val="auto"/>
              </w:rPr>
              <w:t>ASIA 33616188</w:t>
            </w:r>
          </w:p>
        </w:tc>
        <w:tc>
          <w:tcPr>
            <w:tcW w:w="2660" w:type="dxa"/>
            <w:vAlign w:val="bottom"/>
          </w:tcPr>
          <w:p>
            <w:pPr>
              <w:jc w:val="right"/>
              <w:spacing w:after="0"/>
              <w:rPr>
                <w:sz w:val="20"/>
                <w:szCs w:val="20"/>
                <w:color w:val="auto"/>
              </w:rPr>
            </w:pPr>
            <w:r>
              <w:rPr>
                <w:rFonts w:ascii="Arial" w:cs="Arial" w:eastAsia="Arial" w:hAnsi="Arial"/>
                <w:sz w:val="22"/>
                <w:szCs w:val="22"/>
                <w:color w:val="auto"/>
              </w:rPr>
              <w:t>15</w:t>
            </w:r>
          </w:p>
        </w:tc>
      </w:tr>
    </w:tbl>
    <w:p>
      <w:pPr>
        <w:sectPr>
          <w:pgSz w:w="11900" w:h="16838" w:orient="portrait"/>
          <w:cols w:equalWidth="0" w:num="1">
            <w:col w:w="11420"/>
          </w:cols>
          <w:pgMar w:left="240" w:top="1440" w:right="239" w:bottom="1440" w:gutter="0" w:footer="0" w:header="0"/>
        </w:sectPr>
      </w:pPr>
    </w:p>
    <w:bookmarkStart w:id="247" w:name="page248"/>
    <w:bookmarkEnd w:id="247"/>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SCHEDULE OF EXCHANGES OF INTERESTS IN THE GLOBAL NOTE*</w:t>
      </w:r>
    </w:p>
    <w:p>
      <w:pPr>
        <w:spacing w:after="0" w:line="260" w:lineRule="exact"/>
        <w:rPr>
          <w:sz w:val="20"/>
          <w:szCs w:val="20"/>
          <w:color w:val="auto"/>
        </w:rPr>
      </w:pPr>
    </w:p>
    <w:p>
      <w:pPr>
        <w:ind w:firstLine="648"/>
        <w:spacing w:after="0" w:line="328" w:lineRule="auto"/>
        <w:rPr>
          <w:sz w:val="20"/>
          <w:szCs w:val="20"/>
          <w:color w:val="auto"/>
        </w:rPr>
      </w:pPr>
      <w:r>
        <w:rPr>
          <w:rFonts w:ascii="Arial" w:cs="Arial" w:eastAsia="Arial" w:hAnsi="Arial"/>
          <w:sz w:val="21"/>
          <w:szCs w:val="21"/>
          <w:color w:val="auto"/>
        </w:rPr>
        <w:t>The following exchanges of a part of this Global Note for an interest in another Global Note or for a Definitive Note, or exchanges of a part of another Global Note or Definitive Note for an interest in this Global Note, have been made:</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250"/>
        </w:trPr>
        <w:tc>
          <w:tcPr>
            <w:tcW w:w="1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60" w:type="dxa"/>
            <w:vAlign w:val="bottom"/>
            <w:gridSpan w:val="3"/>
          </w:tcPr>
          <w:p>
            <w:pPr>
              <w:jc w:val="center"/>
              <w:spacing w:after="0"/>
              <w:rPr>
                <w:sz w:val="20"/>
                <w:szCs w:val="20"/>
                <w:color w:val="auto"/>
              </w:rPr>
            </w:pPr>
            <w:r>
              <w:rPr>
                <w:rFonts w:ascii="Arial" w:cs="Arial" w:eastAsia="Arial" w:hAnsi="Arial"/>
                <w:sz w:val="20"/>
                <w:szCs w:val="20"/>
                <w:color w:val="auto"/>
                <w:w w:val="94"/>
              </w:rPr>
              <w:t>Amount of</w:t>
            </w:r>
          </w:p>
        </w:tc>
        <w:tc>
          <w:tcPr>
            <w:tcW w:w="2320" w:type="dxa"/>
            <w:vAlign w:val="bottom"/>
            <w:gridSpan w:val="3"/>
            <w:vMerge w:val="restart"/>
          </w:tcPr>
          <w:p>
            <w:pPr>
              <w:jc w:val="center"/>
              <w:spacing w:after="0"/>
              <w:rPr>
                <w:sz w:val="20"/>
                <w:szCs w:val="20"/>
                <w:color w:val="auto"/>
              </w:rPr>
            </w:pPr>
            <w:r>
              <w:rPr>
                <w:rFonts w:ascii="Arial" w:cs="Arial" w:eastAsia="Arial" w:hAnsi="Arial"/>
                <w:sz w:val="20"/>
                <w:szCs w:val="20"/>
                <w:color w:val="auto"/>
                <w:w w:val="94"/>
              </w:rPr>
              <w:t>Amount of</w:t>
            </w:r>
          </w:p>
        </w:tc>
        <w:tc>
          <w:tcPr>
            <w:tcW w:w="2200" w:type="dxa"/>
            <w:vAlign w:val="bottom"/>
            <w:gridSpan w:val="3"/>
          </w:tcPr>
          <w:p>
            <w:pPr>
              <w:jc w:val="center"/>
              <w:spacing w:after="0"/>
              <w:rPr>
                <w:sz w:val="20"/>
                <w:szCs w:val="20"/>
                <w:color w:val="auto"/>
              </w:rPr>
            </w:pPr>
            <w:r>
              <w:rPr>
                <w:rFonts w:ascii="Arial" w:cs="Arial" w:eastAsia="Arial" w:hAnsi="Arial"/>
                <w:sz w:val="20"/>
                <w:szCs w:val="20"/>
                <w:color w:val="auto"/>
                <w:w w:val="92"/>
              </w:rPr>
              <w:t>Principal Amount</w:t>
            </w:r>
          </w:p>
        </w:tc>
        <w:tc>
          <w:tcPr>
            <w:tcW w:w="2000" w:type="dxa"/>
            <w:vAlign w:val="bottom"/>
            <w:gridSpan w:val="3"/>
            <w:vMerge w:val="restart"/>
          </w:tcPr>
          <w:p>
            <w:pPr>
              <w:jc w:val="center"/>
              <w:ind w:left="283"/>
              <w:spacing w:after="0"/>
              <w:rPr>
                <w:sz w:val="20"/>
                <w:szCs w:val="20"/>
                <w:color w:val="auto"/>
              </w:rPr>
            </w:pPr>
            <w:r>
              <w:rPr>
                <w:rFonts w:ascii="Arial" w:cs="Arial" w:eastAsia="Arial" w:hAnsi="Arial"/>
                <w:sz w:val="20"/>
                <w:szCs w:val="20"/>
                <w:color w:val="auto"/>
                <w:w w:val="90"/>
              </w:rPr>
              <w:t>Signature of</w:t>
            </w:r>
          </w:p>
        </w:tc>
        <w:tc>
          <w:tcPr>
            <w:tcW w:w="0" w:type="dxa"/>
            <w:vAlign w:val="bottom"/>
          </w:tcPr>
          <w:p>
            <w:pPr>
              <w:spacing w:after="0"/>
              <w:rPr>
                <w:sz w:val="1"/>
                <w:szCs w:val="1"/>
                <w:color w:val="auto"/>
              </w:rPr>
            </w:pPr>
          </w:p>
        </w:tc>
      </w:tr>
      <w:tr>
        <w:trPr>
          <w:trHeight w:val="189"/>
        </w:trPr>
        <w:tc>
          <w:tcPr>
            <w:tcW w:w="1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60" w:type="dxa"/>
            <w:vAlign w:val="bottom"/>
            <w:gridSpan w:val="3"/>
            <w:vMerge w:val="restart"/>
          </w:tcPr>
          <w:p>
            <w:pPr>
              <w:jc w:val="center"/>
              <w:spacing w:after="0"/>
              <w:rPr>
                <w:sz w:val="20"/>
                <w:szCs w:val="20"/>
                <w:color w:val="auto"/>
              </w:rPr>
            </w:pPr>
            <w:r>
              <w:rPr>
                <w:rFonts w:ascii="Arial" w:cs="Arial" w:eastAsia="Arial" w:hAnsi="Arial"/>
                <w:sz w:val="20"/>
                <w:szCs w:val="20"/>
                <w:color w:val="auto"/>
                <w:w w:val="85"/>
              </w:rPr>
              <w:t>decrease in</w:t>
            </w:r>
          </w:p>
        </w:tc>
        <w:tc>
          <w:tcPr>
            <w:tcW w:w="2320" w:type="dxa"/>
            <w:vAlign w:val="bottom"/>
            <w:gridSpan w:val="3"/>
            <w:vMerge w:val="continue"/>
          </w:tcPr>
          <w:p>
            <w:pPr>
              <w:spacing w:after="0"/>
              <w:rPr>
                <w:sz w:val="16"/>
                <w:szCs w:val="16"/>
                <w:color w:val="auto"/>
              </w:rPr>
            </w:pPr>
          </w:p>
        </w:tc>
        <w:tc>
          <w:tcPr>
            <w:tcW w:w="2200" w:type="dxa"/>
            <w:vAlign w:val="bottom"/>
            <w:gridSpan w:val="3"/>
            <w:vMerge w:val="restart"/>
          </w:tcPr>
          <w:p>
            <w:pPr>
              <w:jc w:val="center"/>
              <w:spacing w:after="0"/>
              <w:rPr>
                <w:sz w:val="20"/>
                <w:szCs w:val="20"/>
                <w:color w:val="auto"/>
              </w:rPr>
            </w:pPr>
            <w:r>
              <w:rPr>
                <w:rFonts w:ascii="Arial" w:cs="Arial" w:eastAsia="Arial" w:hAnsi="Arial"/>
                <w:sz w:val="20"/>
                <w:szCs w:val="20"/>
                <w:color w:val="auto"/>
                <w:w w:val="92"/>
              </w:rPr>
              <w:t>of this Global</w:t>
            </w:r>
          </w:p>
        </w:tc>
        <w:tc>
          <w:tcPr>
            <w:tcW w:w="20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60" w:type="dxa"/>
            <w:vAlign w:val="bottom"/>
            <w:gridSpan w:val="3"/>
            <w:vMerge w:val="continue"/>
          </w:tcPr>
          <w:p>
            <w:pPr>
              <w:spacing w:after="0"/>
              <w:rPr>
                <w:sz w:val="16"/>
                <w:szCs w:val="16"/>
                <w:color w:val="auto"/>
              </w:rPr>
            </w:pPr>
          </w:p>
        </w:tc>
        <w:tc>
          <w:tcPr>
            <w:tcW w:w="2320" w:type="dxa"/>
            <w:vAlign w:val="bottom"/>
            <w:gridSpan w:val="3"/>
            <w:vMerge w:val="restart"/>
          </w:tcPr>
          <w:p>
            <w:pPr>
              <w:jc w:val="center"/>
              <w:spacing w:after="0"/>
              <w:rPr>
                <w:sz w:val="20"/>
                <w:szCs w:val="20"/>
                <w:color w:val="auto"/>
              </w:rPr>
            </w:pPr>
            <w:r>
              <w:rPr>
                <w:rFonts w:ascii="Arial" w:cs="Arial" w:eastAsia="Arial" w:hAnsi="Arial"/>
                <w:sz w:val="20"/>
                <w:szCs w:val="20"/>
                <w:color w:val="auto"/>
                <w:w w:val="88"/>
              </w:rPr>
              <w:t>increase in</w:t>
            </w:r>
          </w:p>
        </w:tc>
        <w:tc>
          <w:tcPr>
            <w:tcW w:w="2200" w:type="dxa"/>
            <w:vAlign w:val="bottom"/>
            <w:gridSpan w:val="3"/>
            <w:vMerge w:val="continue"/>
          </w:tcPr>
          <w:p>
            <w:pPr>
              <w:spacing w:after="0"/>
              <w:rPr>
                <w:sz w:val="16"/>
                <w:szCs w:val="16"/>
                <w:color w:val="auto"/>
              </w:rPr>
            </w:pPr>
          </w:p>
        </w:tc>
        <w:tc>
          <w:tcPr>
            <w:tcW w:w="2000" w:type="dxa"/>
            <w:vAlign w:val="bottom"/>
            <w:gridSpan w:val="3"/>
            <w:vMerge w:val="restart"/>
          </w:tcPr>
          <w:p>
            <w:pPr>
              <w:jc w:val="center"/>
              <w:ind w:left="283"/>
              <w:spacing w:after="0"/>
              <w:rPr>
                <w:sz w:val="20"/>
                <w:szCs w:val="20"/>
                <w:color w:val="auto"/>
              </w:rPr>
            </w:pPr>
            <w:r>
              <w:rPr>
                <w:rFonts w:ascii="Arial" w:cs="Arial" w:eastAsia="Arial" w:hAnsi="Arial"/>
                <w:sz w:val="20"/>
                <w:szCs w:val="20"/>
                <w:color w:val="auto"/>
                <w:w w:val="89"/>
              </w:rPr>
              <w:t>authorized signatory</w:t>
            </w:r>
          </w:p>
        </w:tc>
        <w:tc>
          <w:tcPr>
            <w:tcW w:w="0" w:type="dxa"/>
            <w:vAlign w:val="bottom"/>
          </w:tcPr>
          <w:p>
            <w:pPr>
              <w:spacing w:after="0"/>
              <w:rPr>
                <w:sz w:val="1"/>
                <w:szCs w:val="1"/>
                <w:color w:val="auto"/>
              </w:rPr>
            </w:pPr>
          </w:p>
        </w:tc>
      </w:tr>
      <w:tr>
        <w:trPr>
          <w:trHeight w:val="189"/>
        </w:trPr>
        <w:tc>
          <w:tcPr>
            <w:tcW w:w="1420" w:type="dxa"/>
            <w:vAlign w:val="bottom"/>
            <w:vMerge w:val="restart"/>
          </w:tcPr>
          <w:p>
            <w:pPr>
              <w:spacing w:after="0"/>
              <w:rPr>
                <w:sz w:val="20"/>
                <w:szCs w:val="20"/>
                <w:color w:val="auto"/>
              </w:rPr>
            </w:pPr>
            <w:r>
              <w:rPr>
                <w:rFonts w:ascii="Arial" w:cs="Arial" w:eastAsia="Arial" w:hAnsi="Arial"/>
                <w:sz w:val="20"/>
                <w:szCs w:val="20"/>
                <w:color w:val="auto"/>
                <w:w w:val="88"/>
              </w:rPr>
              <w:t>Date of Exchange</w:t>
            </w:r>
          </w:p>
        </w:tc>
        <w:tc>
          <w:tcPr>
            <w:tcW w:w="440" w:type="dxa"/>
            <w:vAlign w:val="bottom"/>
          </w:tcPr>
          <w:p>
            <w:pPr>
              <w:spacing w:after="0"/>
              <w:rPr>
                <w:sz w:val="16"/>
                <w:szCs w:val="16"/>
                <w:color w:val="auto"/>
              </w:rPr>
            </w:pPr>
          </w:p>
        </w:tc>
        <w:tc>
          <w:tcPr>
            <w:tcW w:w="2260" w:type="dxa"/>
            <w:vAlign w:val="bottom"/>
            <w:gridSpan w:val="3"/>
          </w:tcPr>
          <w:p>
            <w:pPr>
              <w:jc w:val="center"/>
              <w:spacing w:after="0" w:line="189" w:lineRule="exact"/>
              <w:rPr>
                <w:sz w:val="20"/>
                <w:szCs w:val="20"/>
                <w:color w:val="auto"/>
              </w:rPr>
            </w:pPr>
            <w:r>
              <w:rPr>
                <w:rFonts w:ascii="Arial" w:cs="Arial" w:eastAsia="Arial" w:hAnsi="Arial"/>
                <w:sz w:val="20"/>
                <w:szCs w:val="20"/>
                <w:color w:val="auto"/>
                <w:w w:val="93"/>
              </w:rPr>
              <w:t>Principal Amount</w:t>
            </w:r>
          </w:p>
        </w:tc>
        <w:tc>
          <w:tcPr>
            <w:tcW w:w="2320" w:type="dxa"/>
            <w:vAlign w:val="bottom"/>
            <w:gridSpan w:val="3"/>
            <w:vMerge w:val="continue"/>
          </w:tcPr>
          <w:p>
            <w:pPr>
              <w:spacing w:after="0"/>
              <w:rPr>
                <w:sz w:val="16"/>
                <w:szCs w:val="16"/>
                <w:color w:val="auto"/>
              </w:rPr>
            </w:pPr>
          </w:p>
        </w:tc>
        <w:tc>
          <w:tcPr>
            <w:tcW w:w="2200" w:type="dxa"/>
            <w:vAlign w:val="bottom"/>
            <w:gridSpan w:val="3"/>
          </w:tcPr>
          <w:p>
            <w:pPr>
              <w:jc w:val="center"/>
              <w:spacing w:after="0" w:line="189" w:lineRule="exact"/>
              <w:rPr>
                <w:sz w:val="20"/>
                <w:szCs w:val="20"/>
                <w:color w:val="auto"/>
              </w:rPr>
            </w:pPr>
            <w:r>
              <w:rPr>
                <w:rFonts w:ascii="Arial" w:cs="Arial" w:eastAsia="Arial" w:hAnsi="Arial"/>
                <w:sz w:val="20"/>
                <w:szCs w:val="20"/>
                <w:color w:val="auto"/>
                <w:w w:val="95"/>
              </w:rPr>
              <w:t>Note following</w:t>
            </w:r>
          </w:p>
        </w:tc>
        <w:tc>
          <w:tcPr>
            <w:tcW w:w="20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420" w:type="dxa"/>
            <w:vAlign w:val="bottom"/>
            <w:tcBorders>
              <w:bottom w:val="single" w:sz="8" w:color="auto"/>
            </w:tcBorders>
            <w:vMerge w:val="continue"/>
          </w:tcPr>
          <w:p>
            <w:pPr>
              <w:spacing w:after="0"/>
              <w:rPr>
                <w:sz w:val="15"/>
                <w:szCs w:val="15"/>
                <w:color w:val="auto"/>
              </w:rPr>
            </w:pPr>
          </w:p>
        </w:tc>
        <w:tc>
          <w:tcPr>
            <w:tcW w:w="440" w:type="dxa"/>
            <w:vAlign w:val="bottom"/>
          </w:tcPr>
          <w:p>
            <w:pPr>
              <w:spacing w:after="0"/>
              <w:rPr>
                <w:sz w:val="15"/>
                <w:szCs w:val="15"/>
                <w:color w:val="auto"/>
              </w:rPr>
            </w:pPr>
          </w:p>
        </w:tc>
        <w:tc>
          <w:tcPr>
            <w:tcW w:w="2260" w:type="dxa"/>
            <w:vAlign w:val="bottom"/>
            <w:gridSpan w:val="3"/>
          </w:tcPr>
          <w:p>
            <w:pPr>
              <w:jc w:val="center"/>
              <w:spacing w:after="0" w:line="169" w:lineRule="exact"/>
              <w:rPr>
                <w:sz w:val="20"/>
                <w:szCs w:val="20"/>
                <w:color w:val="auto"/>
              </w:rPr>
            </w:pPr>
            <w:r>
              <w:rPr>
                <w:rFonts w:ascii="Arial" w:cs="Arial" w:eastAsia="Arial" w:hAnsi="Arial"/>
                <w:sz w:val="19"/>
                <w:szCs w:val="19"/>
                <w:color w:val="auto"/>
                <w:w w:val="97"/>
              </w:rPr>
              <w:t>of this Global</w:t>
            </w:r>
          </w:p>
        </w:tc>
        <w:tc>
          <w:tcPr>
            <w:tcW w:w="2320" w:type="dxa"/>
            <w:vAlign w:val="bottom"/>
            <w:gridSpan w:val="3"/>
          </w:tcPr>
          <w:p>
            <w:pPr>
              <w:jc w:val="center"/>
              <w:spacing w:after="0" w:line="169" w:lineRule="exact"/>
              <w:rPr>
                <w:sz w:val="20"/>
                <w:szCs w:val="20"/>
                <w:color w:val="auto"/>
              </w:rPr>
            </w:pPr>
            <w:r>
              <w:rPr>
                <w:rFonts w:ascii="Arial" w:cs="Arial" w:eastAsia="Arial" w:hAnsi="Arial"/>
                <w:sz w:val="19"/>
                <w:szCs w:val="19"/>
                <w:color w:val="auto"/>
                <w:w w:val="98"/>
              </w:rPr>
              <w:t>Principal Amount</w:t>
            </w:r>
          </w:p>
        </w:tc>
        <w:tc>
          <w:tcPr>
            <w:tcW w:w="2200" w:type="dxa"/>
            <w:vAlign w:val="bottom"/>
            <w:gridSpan w:val="3"/>
          </w:tcPr>
          <w:p>
            <w:pPr>
              <w:jc w:val="center"/>
              <w:spacing w:after="0" w:line="169" w:lineRule="exact"/>
              <w:rPr>
                <w:sz w:val="20"/>
                <w:szCs w:val="20"/>
                <w:color w:val="auto"/>
              </w:rPr>
            </w:pPr>
            <w:r>
              <w:rPr>
                <w:rFonts w:ascii="Arial" w:cs="Arial" w:eastAsia="Arial" w:hAnsi="Arial"/>
                <w:sz w:val="19"/>
                <w:szCs w:val="19"/>
                <w:color w:val="auto"/>
                <w:w w:val="88"/>
              </w:rPr>
              <w:t>such decrease</w:t>
            </w:r>
          </w:p>
        </w:tc>
        <w:tc>
          <w:tcPr>
            <w:tcW w:w="2000" w:type="dxa"/>
            <w:vAlign w:val="bottom"/>
            <w:gridSpan w:val="3"/>
          </w:tcPr>
          <w:p>
            <w:pPr>
              <w:jc w:val="center"/>
              <w:ind w:left="283"/>
              <w:spacing w:after="0" w:line="169" w:lineRule="exact"/>
              <w:rPr>
                <w:sz w:val="20"/>
                <w:szCs w:val="20"/>
                <w:color w:val="auto"/>
              </w:rPr>
            </w:pPr>
            <w:r>
              <w:rPr>
                <w:rFonts w:ascii="Arial" w:cs="Arial" w:eastAsia="Arial" w:hAnsi="Arial"/>
                <w:sz w:val="19"/>
                <w:szCs w:val="19"/>
                <w:color w:val="auto"/>
                <w:w w:val="94"/>
              </w:rPr>
              <w:t>of Trustee or</w:t>
            </w: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jc w:val="center"/>
              <w:spacing w:after="0" w:line="196" w:lineRule="exact"/>
              <w:rPr>
                <w:sz w:val="20"/>
                <w:szCs w:val="20"/>
                <w:color w:val="auto"/>
              </w:rPr>
            </w:pPr>
            <w:r>
              <w:rPr>
                <w:rFonts w:ascii="Arial" w:cs="Arial" w:eastAsia="Arial" w:hAnsi="Arial"/>
                <w:sz w:val="20"/>
                <w:szCs w:val="20"/>
                <w:color w:val="auto"/>
                <w:w w:val="89"/>
              </w:rPr>
              <w:t>Note</w:t>
            </w:r>
          </w:p>
        </w:tc>
        <w:tc>
          <w:tcPr>
            <w:tcW w:w="920" w:type="dxa"/>
            <w:vAlign w:val="bottom"/>
          </w:tcPr>
          <w:p>
            <w:pPr>
              <w:spacing w:after="0"/>
              <w:rPr>
                <w:sz w:val="17"/>
                <w:szCs w:val="17"/>
                <w:color w:val="auto"/>
              </w:rPr>
            </w:pPr>
          </w:p>
        </w:tc>
        <w:tc>
          <w:tcPr>
            <w:tcW w:w="2320" w:type="dxa"/>
            <w:vAlign w:val="bottom"/>
            <w:gridSpan w:val="3"/>
          </w:tcPr>
          <w:p>
            <w:pPr>
              <w:jc w:val="center"/>
              <w:spacing w:after="0" w:line="196" w:lineRule="exact"/>
              <w:rPr>
                <w:sz w:val="20"/>
                <w:szCs w:val="20"/>
                <w:color w:val="auto"/>
              </w:rPr>
            </w:pPr>
            <w:r>
              <w:rPr>
                <w:rFonts w:ascii="Arial" w:cs="Arial" w:eastAsia="Arial" w:hAnsi="Arial"/>
                <w:sz w:val="20"/>
                <w:szCs w:val="20"/>
                <w:color w:val="auto"/>
                <w:w w:val="92"/>
              </w:rPr>
              <w:t>of this Global Note</w:t>
            </w:r>
          </w:p>
        </w:tc>
        <w:tc>
          <w:tcPr>
            <w:tcW w:w="2200" w:type="dxa"/>
            <w:vAlign w:val="bottom"/>
            <w:gridSpan w:val="3"/>
          </w:tcPr>
          <w:p>
            <w:pPr>
              <w:jc w:val="center"/>
              <w:spacing w:after="0" w:line="196" w:lineRule="exact"/>
              <w:rPr>
                <w:sz w:val="20"/>
                <w:szCs w:val="20"/>
                <w:color w:val="auto"/>
              </w:rPr>
            </w:pPr>
            <w:r>
              <w:rPr>
                <w:rFonts w:ascii="Arial" w:cs="Arial" w:eastAsia="Arial" w:hAnsi="Arial"/>
                <w:sz w:val="20"/>
                <w:szCs w:val="20"/>
                <w:color w:val="auto"/>
                <w:w w:val="89"/>
              </w:rPr>
              <w:t>(or increase)</w:t>
            </w:r>
          </w:p>
        </w:tc>
        <w:tc>
          <w:tcPr>
            <w:tcW w:w="780" w:type="dxa"/>
            <w:vAlign w:val="bottom"/>
          </w:tcPr>
          <w:p>
            <w:pPr>
              <w:spacing w:after="0"/>
              <w:rPr>
                <w:sz w:val="17"/>
                <w:szCs w:val="17"/>
                <w:color w:val="auto"/>
              </w:rPr>
            </w:pPr>
          </w:p>
        </w:tc>
        <w:tc>
          <w:tcPr>
            <w:tcW w:w="1220" w:type="dxa"/>
            <w:vAlign w:val="bottom"/>
            <w:gridSpan w:val="2"/>
          </w:tcPr>
          <w:p>
            <w:pPr>
              <w:jc w:val="center"/>
              <w:ind w:right="420"/>
              <w:spacing w:after="0" w:line="196" w:lineRule="exact"/>
              <w:rPr>
                <w:sz w:val="20"/>
                <w:szCs w:val="20"/>
                <w:color w:val="auto"/>
              </w:rPr>
            </w:pPr>
            <w:r>
              <w:rPr>
                <w:rFonts w:ascii="Arial" w:cs="Arial" w:eastAsia="Arial" w:hAnsi="Arial"/>
                <w:sz w:val="20"/>
                <w:szCs w:val="20"/>
                <w:color w:val="auto"/>
                <w:w w:val="88"/>
              </w:rPr>
              <w:t>Custodian</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80" w:hanging="172"/>
        <w:spacing w:after="0"/>
        <w:tabs>
          <w:tab w:leader="none" w:pos="180" w:val="left"/>
        </w:tabs>
        <w:numPr>
          <w:ilvl w:val="0"/>
          <w:numId w:val="194"/>
        </w:numPr>
        <w:rPr>
          <w:rFonts w:ascii="Arial" w:cs="Arial" w:eastAsia="Arial" w:hAnsi="Arial"/>
          <w:sz w:val="22"/>
          <w:szCs w:val="22"/>
          <w:color w:val="auto"/>
        </w:rPr>
      </w:pPr>
      <w:r>
        <w:rPr>
          <w:rFonts w:ascii="Arial" w:cs="Arial" w:eastAsia="Arial" w:hAnsi="Arial"/>
          <w:sz w:val="22"/>
          <w:szCs w:val="22"/>
          <w:i w:val="1"/>
          <w:iCs w:val="1"/>
          <w:color w:val="auto"/>
        </w:rPr>
        <w:t>This schedule should be included only if the Note is issued in global form</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3160" w:type="dxa"/>
            <w:vAlign w:val="bottom"/>
          </w:tcPr>
          <w:p>
            <w:pPr>
              <w:spacing w:after="0"/>
              <w:rPr>
                <w:sz w:val="20"/>
                <w:szCs w:val="20"/>
                <w:color w:val="auto"/>
              </w:rPr>
            </w:pPr>
            <w:r>
              <w:rPr>
                <w:rFonts w:ascii="Arial" w:cs="Arial" w:eastAsia="Arial" w:hAnsi="Arial"/>
                <w:sz w:val="11"/>
                <w:szCs w:val="11"/>
                <w:color w:val="auto"/>
              </w:rPr>
              <w:t>ASIA 33616188</w:t>
            </w:r>
          </w:p>
        </w:tc>
        <w:tc>
          <w:tcPr>
            <w:tcW w:w="2660" w:type="dxa"/>
            <w:vAlign w:val="bottom"/>
          </w:tcPr>
          <w:p>
            <w:pPr>
              <w:jc w:val="right"/>
              <w:spacing w:after="0"/>
              <w:rPr>
                <w:sz w:val="20"/>
                <w:szCs w:val="20"/>
                <w:color w:val="auto"/>
              </w:rPr>
            </w:pPr>
            <w:r>
              <w:rPr>
                <w:rFonts w:ascii="Arial" w:cs="Arial" w:eastAsia="Arial" w:hAnsi="Arial"/>
                <w:sz w:val="22"/>
                <w:szCs w:val="22"/>
                <w:color w:val="auto"/>
              </w:rPr>
              <w:t>16</w:t>
            </w:r>
          </w:p>
        </w:tc>
      </w:tr>
    </w:tbl>
    <w:p>
      <w:pPr>
        <w:sectPr>
          <w:pgSz w:w="11900" w:h="16838" w:orient="portrait"/>
          <w:cols w:equalWidth="0" w:num="1">
            <w:col w:w="11420"/>
          </w:cols>
          <w:pgMar w:left="240" w:top="1440" w:right="239" w:bottom="1440" w:gutter="0" w:footer="0" w:header="0"/>
        </w:sectPr>
      </w:pPr>
    </w:p>
    <w:bookmarkStart w:id="248" w:name="page249"/>
    <w:bookmarkEnd w:id="248"/>
    <w:p>
      <w:pPr>
        <w:spacing w:after="0" w:line="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B</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 CERTIFICATE OF TRANSFER</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Wynn Macau, Limited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Avenida da Nave Desportiva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Cotai</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Macau SAR</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Attention: Mr. Jason Schall</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color w:val="auto"/>
        </w:rPr>
        <w:t>Deutsche Bank Trust Company Americas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c/o DB Services Americas, Inc.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5022 Gate Parkway, Suite 200</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Jacksonville, FL 32256</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Attn: Transfer Department, Wynn Macau – SF0965</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Re: 5.125% Senior Notes due 2029</w:t>
      </w:r>
    </w:p>
    <w:p>
      <w:pPr>
        <w:spacing w:after="0" w:line="26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Reference is hereby made to the Indenture, dated as of December 17, 2019 (the “</w:t>
      </w:r>
      <w:r>
        <w:rPr>
          <w:rFonts w:ascii="Arial" w:cs="Arial" w:eastAsia="Arial" w:hAnsi="Arial"/>
          <w:sz w:val="22"/>
          <w:szCs w:val="22"/>
          <w:i w:val="1"/>
          <w:iCs w:val="1"/>
          <w:color w:val="auto"/>
        </w:rPr>
        <w:t>Indenture</w:t>
      </w:r>
      <w:r>
        <w:rPr>
          <w:rFonts w:ascii="Arial" w:cs="Arial" w:eastAsia="Arial" w:hAnsi="Arial"/>
          <w:sz w:val="22"/>
          <w:szCs w:val="22"/>
          <w:color w:val="auto"/>
        </w:rPr>
        <w:t>”), between Wynn Macau Limited, as issuer (the “</w:t>
      </w:r>
      <w:r>
        <w:rPr>
          <w:rFonts w:ascii="Arial" w:cs="Arial" w:eastAsia="Arial" w:hAnsi="Arial"/>
          <w:sz w:val="22"/>
          <w:szCs w:val="22"/>
          <w:i w:val="1"/>
          <w:iCs w:val="1"/>
          <w:color w:val="auto"/>
        </w:rPr>
        <w:t>Issuer</w:t>
      </w:r>
      <w:r>
        <w:rPr>
          <w:rFonts w:ascii="Arial" w:cs="Arial" w:eastAsia="Arial" w:hAnsi="Arial"/>
          <w:sz w:val="22"/>
          <w:szCs w:val="22"/>
          <w:color w:val="auto"/>
        </w:rPr>
        <w:t>”), and Deutsche Bank Trust Company Americas, as trustee. Capitalized terms used but not defined herein shall have the meanings given to them in the Indenture.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_________________, (the “</w:t>
      </w:r>
      <w:r>
        <w:rPr>
          <w:rFonts w:ascii="Arial" w:cs="Arial" w:eastAsia="Arial" w:hAnsi="Arial"/>
          <w:sz w:val="19"/>
          <w:szCs w:val="19"/>
          <w:i w:val="1"/>
          <w:iCs w:val="1"/>
          <w:color w:val="auto"/>
        </w:rPr>
        <w:t>Transferor</w:t>
      </w:r>
      <w:r>
        <w:rPr>
          <w:rFonts w:ascii="Arial" w:cs="Arial" w:eastAsia="Arial" w:hAnsi="Arial"/>
          <w:sz w:val="19"/>
          <w:szCs w:val="19"/>
          <w:color w:val="auto"/>
        </w:rPr>
        <w:t>”) owns and proposes to transfer the Note[s] or interest in such Note[s] specified in</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Annex A hereto, in the principal amount of US$________ in such Note[s] or interests (the “</w:t>
      </w:r>
      <w:r>
        <w:rPr>
          <w:rFonts w:ascii="Arial" w:cs="Arial" w:eastAsia="Arial" w:hAnsi="Arial"/>
          <w:sz w:val="19"/>
          <w:szCs w:val="19"/>
          <w:i w:val="1"/>
          <w:iCs w:val="1"/>
          <w:color w:val="auto"/>
        </w:rPr>
        <w:t>Transfer</w:t>
      </w:r>
      <w:r>
        <w:rPr>
          <w:rFonts w:ascii="Arial" w:cs="Arial" w:eastAsia="Arial" w:hAnsi="Arial"/>
          <w:sz w:val="19"/>
          <w:szCs w:val="19"/>
          <w:color w:val="auto"/>
        </w:rPr>
        <w:t>”), to (the “</w:t>
      </w:r>
      <w:r>
        <w:rPr>
          <w:rFonts w:ascii="Arial" w:cs="Arial" w:eastAsia="Arial" w:hAnsi="Arial"/>
          <w:sz w:val="19"/>
          <w:szCs w:val="19"/>
          <w:i w:val="1"/>
          <w:iCs w:val="1"/>
          <w:color w:val="auto"/>
        </w:rPr>
        <w:t>Transferee</w:t>
      </w:r>
      <w:r>
        <w:rPr>
          <w:rFonts w:ascii="Arial" w:cs="Arial" w:eastAsia="Arial" w:hAnsi="Arial"/>
          <w:sz w:val="19"/>
          <w:szCs w:val="19"/>
          <w:color w:val="auto"/>
        </w:rPr>
        <w:t>”), as</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color w:val="auto"/>
        </w:rPr>
        <w:t>further specified in Annex A hereto. In connection with the Transfer, the Transferor hereby certifies that:</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[CHECK ALL THAT APPLY]</w:t>
      </w:r>
    </w:p>
    <w:p>
      <w:pPr>
        <w:spacing w:after="0" w:line="254" w:lineRule="exact"/>
        <w:rPr>
          <w:sz w:val="20"/>
          <w:szCs w:val="20"/>
          <w:color w:val="auto"/>
        </w:rPr>
      </w:pPr>
    </w:p>
    <w:p>
      <w:pPr>
        <w:jc w:val="both"/>
        <w:ind w:firstLine="656"/>
        <w:spacing w:after="0" w:line="300" w:lineRule="auto"/>
        <w:tabs>
          <w:tab w:leader="none" w:pos="864" w:val="left"/>
        </w:tabs>
        <w:numPr>
          <w:ilvl w:val="0"/>
          <w:numId w:val="195"/>
        </w:numPr>
        <w:rPr>
          <w:rFonts w:ascii="Arial" w:cs="Arial" w:eastAsia="Arial" w:hAnsi="Arial"/>
          <w:sz w:val="21"/>
          <w:szCs w:val="21"/>
          <w:color w:val="auto"/>
        </w:rPr>
      </w:pPr>
      <w:r>
        <w:rPr>
          <w:rFonts w:ascii="Arial" w:cs="Arial" w:eastAsia="Arial" w:hAnsi="Arial"/>
          <w:sz w:val="21"/>
          <w:szCs w:val="21"/>
          <w:color w:val="auto"/>
        </w:rPr>
        <w:t xml:space="preserve">c </w:t>
      </w:r>
      <w:r>
        <w:rPr>
          <w:rFonts w:ascii="Arial" w:cs="Arial" w:eastAsia="Arial" w:hAnsi="Arial"/>
          <w:sz w:val="21"/>
          <w:szCs w:val="21"/>
          <w:b w:val="1"/>
          <w:bCs w:val="1"/>
          <w:u w:val="single" w:color="auto"/>
          <w:color w:val="auto"/>
        </w:rPr>
        <w:t>Check if Transferee will take delivery of a beneficial interest in the 144A Global Note or a Restricted Definitive</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auto"/>
        </w:rPr>
        <w:t>Note pursuant to Rule 144A</w:t>
      </w:r>
      <w:r>
        <w:rPr>
          <w:rFonts w:ascii="Arial" w:cs="Arial" w:eastAsia="Arial" w:hAnsi="Arial"/>
          <w:sz w:val="21"/>
          <w:szCs w:val="21"/>
          <w:color w:val="auto"/>
        </w:rPr>
        <w:t>. The Transfer is being effected pursuant to and in accordance with Rule 144A under the United</w:t>
      </w:r>
      <w:r>
        <w:rPr>
          <w:rFonts w:ascii="Arial" w:cs="Arial" w:eastAsia="Arial" w:hAnsi="Arial"/>
          <w:sz w:val="21"/>
          <w:szCs w:val="21"/>
          <w:b w:val="1"/>
          <w:bCs w:val="1"/>
          <w:color w:val="auto"/>
        </w:rPr>
        <w:t xml:space="preserve"> </w:t>
      </w:r>
      <w:r>
        <w:rPr>
          <w:rFonts w:ascii="Arial" w:cs="Arial" w:eastAsia="Arial" w:hAnsi="Arial"/>
          <w:sz w:val="21"/>
          <w:szCs w:val="21"/>
          <w:color w:val="auto"/>
        </w:rPr>
        <w:t>States Securities Act of 1933, as amended (the “</w:t>
      </w:r>
      <w:r>
        <w:rPr>
          <w:rFonts w:ascii="Arial" w:cs="Arial" w:eastAsia="Arial" w:hAnsi="Arial"/>
          <w:sz w:val="21"/>
          <w:szCs w:val="21"/>
          <w:i w:val="1"/>
          <w:iCs w:val="1"/>
          <w:color w:val="auto"/>
        </w:rPr>
        <w:t>Securities Act</w:t>
      </w:r>
      <w:r>
        <w:rPr>
          <w:rFonts w:ascii="Arial" w:cs="Arial" w:eastAsia="Arial" w:hAnsi="Arial"/>
          <w:sz w:val="21"/>
          <w:szCs w:val="21"/>
          <w:color w:val="auto"/>
        </w:rPr>
        <w:t>”), and, accordingly, the Transferor hereby further certifies that the beneficial interest or Definitive Note is being transferred to a Person that the Transferor reasonably believes is purchasing the beneficial interest or Definitive Note for its own account, or for one or more accounts with respect to which such Person exercises sole investment discretion, and such Person and each such account is a “qualified institutional buyer” within the meaning of Rule 144A in a transaction meeting the requirements of Rule 144A, and such Transfer is in compliance with any applicable blue sky securities laws of any state of the United States. Upon consummation of the proposed Transfer in accordance with the terms of the Indenture, the transferred beneficial interest or</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3180" w:type="dxa"/>
            <w:vAlign w:val="bottom"/>
          </w:tcPr>
          <w:p>
            <w:pPr>
              <w:spacing w:after="0"/>
              <w:rPr>
                <w:sz w:val="20"/>
                <w:szCs w:val="20"/>
                <w:color w:val="auto"/>
              </w:rPr>
            </w:pPr>
            <w:r>
              <w:rPr>
                <w:rFonts w:ascii="Arial" w:cs="Arial" w:eastAsia="Arial" w:hAnsi="Arial"/>
                <w:sz w:val="11"/>
                <w:szCs w:val="11"/>
                <w:color w:val="auto"/>
              </w:rPr>
              <w:t>ASIA 33616188</w:t>
            </w:r>
          </w:p>
        </w:tc>
        <w:tc>
          <w:tcPr>
            <w:tcW w:w="2580" w:type="dxa"/>
            <w:vAlign w:val="bottom"/>
          </w:tcPr>
          <w:p>
            <w:pPr>
              <w:jc w:val="right"/>
              <w:spacing w:after="0"/>
              <w:rPr>
                <w:sz w:val="20"/>
                <w:szCs w:val="20"/>
                <w:color w:val="auto"/>
              </w:rPr>
            </w:pPr>
            <w:r>
              <w:rPr>
                <w:rFonts w:ascii="Arial" w:cs="Arial" w:eastAsia="Arial" w:hAnsi="Arial"/>
                <w:sz w:val="22"/>
                <w:szCs w:val="22"/>
                <w:color w:val="auto"/>
              </w:rPr>
              <w:t>1</w:t>
            </w:r>
          </w:p>
        </w:tc>
      </w:tr>
    </w:tbl>
    <w:p>
      <w:pPr>
        <w:sectPr>
          <w:pgSz w:w="11900" w:h="16838" w:orient="portrait"/>
          <w:cols w:equalWidth="0" w:num="1">
            <w:col w:w="11420"/>
          </w:cols>
          <w:pgMar w:left="240" w:top="1440" w:right="239" w:bottom="1440" w:gutter="0" w:footer="0" w:header="0"/>
        </w:sectPr>
      </w:pPr>
    </w:p>
    <w:bookmarkStart w:id="249" w:name="page250"/>
    <w:bookmarkEnd w:id="249"/>
    <w:p>
      <w:pPr>
        <w:spacing w:after="0" w:line="2" w:lineRule="exact"/>
        <w:rPr>
          <w:sz w:val="20"/>
          <w:szCs w:val="20"/>
          <w:color w:val="auto"/>
        </w:rPr>
      </w:pPr>
    </w:p>
    <w:p>
      <w:pPr>
        <w:ind w:right="20"/>
        <w:spacing w:after="0" w:line="302" w:lineRule="auto"/>
        <w:rPr>
          <w:sz w:val="20"/>
          <w:szCs w:val="20"/>
          <w:color w:val="auto"/>
        </w:rPr>
      </w:pPr>
      <w:r>
        <w:rPr>
          <w:rFonts w:ascii="Arial" w:cs="Arial" w:eastAsia="Arial" w:hAnsi="Arial"/>
          <w:sz w:val="22"/>
          <w:szCs w:val="22"/>
          <w:color w:val="auto"/>
        </w:rPr>
        <w:t>Definitive Note will be subject to the restrictions on transfer enumerated in the Private Placement Legend printed on the 144A Global Note and/or the Restricted Definitive Note and in the Indenture and the Securities Act.</w:t>
      </w:r>
    </w:p>
    <w:p>
      <w:pPr>
        <w:spacing w:after="0" w:line="168" w:lineRule="exact"/>
        <w:rPr>
          <w:sz w:val="20"/>
          <w:szCs w:val="20"/>
          <w:color w:val="auto"/>
        </w:rPr>
      </w:pPr>
    </w:p>
    <w:p>
      <w:pPr>
        <w:jc w:val="both"/>
        <w:ind w:firstLine="656"/>
        <w:spacing w:after="0" w:line="327" w:lineRule="auto"/>
        <w:tabs>
          <w:tab w:leader="none" w:pos="878" w:val="left"/>
        </w:tabs>
        <w:numPr>
          <w:ilvl w:val="1"/>
          <w:numId w:val="196"/>
        </w:numPr>
        <w:rPr>
          <w:rFonts w:ascii="Arial" w:cs="Arial" w:eastAsia="Arial" w:hAnsi="Arial"/>
          <w:sz w:val="19"/>
          <w:szCs w:val="19"/>
          <w:color w:val="auto"/>
        </w:rPr>
      </w:pPr>
      <w:r>
        <w:rPr>
          <w:rFonts w:ascii="Arial" w:cs="Arial" w:eastAsia="Arial" w:hAnsi="Arial"/>
          <w:sz w:val="19"/>
          <w:szCs w:val="19"/>
          <w:color w:val="auto"/>
        </w:rPr>
        <w:t xml:space="preserve">c </w:t>
      </w:r>
      <w:r>
        <w:rPr>
          <w:rFonts w:ascii="Arial" w:cs="Arial" w:eastAsia="Arial" w:hAnsi="Arial"/>
          <w:sz w:val="19"/>
          <w:szCs w:val="19"/>
          <w:b w:val="1"/>
          <w:bCs w:val="1"/>
          <w:u w:val="single" w:color="auto"/>
          <w:color w:val="auto"/>
        </w:rPr>
        <w:t>Check if Transferee will take delivery of a beneficial interest in the Regulation S Global Note or a Restricted</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Definitive Note pursuant to Regulation S</w:t>
      </w:r>
      <w:r>
        <w:rPr>
          <w:rFonts w:ascii="Arial" w:cs="Arial" w:eastAsia="Arial" w:hAnsi="Arial"/>
          <w:sz w:val="19"/>
          <w:szCs w:val="19"/>
          <w:color w:val="auto"/>
        </w:rPr>
        <w:t>. The Transfer is being effected pursuant to and in accordance with Rule 903 or Rule</w:t>
      </w:r>
      <w:r>
        <w:rPr>
          <w:rFonts w:ascii="Arial" w:cs="Arial" w:eastAsia="Arial" w:hAnsi="Arial"/>
          <w:sz w:val="19"/>
          <w:szCs w:val="19"/>
          <w:b w:val="1"/>
          <w:bCs w:val="1"/>
          <w:color w:val="auto"/>
        </w:rPr>
        <w:t xml:space="preserve"> </w:t>
      </w:r>
      <w:r>
        <w:rPr>
          <w:rFonts w:ascii="Arial" w:cs="Arial" w:eastAsia="Arial" w:hAnsi="Arial"/>
          <w:sz w:val="19"/>
          <w:szCs w:val="19"/>
          <w:color w:val="auto"/>
        </w:rPr>
        <w:t>904 under the Securities Act and, accordingly, the Transferor hereby further certifies that (i) the Transfer is not being made to a Person in the United States and (x) at the time the buy order was originated, the Transferee was outside the United States or such Transferor and any Person acting on its behalf reasonably believed and believes that the Transferee was outside the United States or</w:t>
      </w:r>
    </w:p>
    <w:p>
      <w:pPr>
        <w:spacing w:after="0" w:line="3" w:lineRule="exact"/>
        <w:rPr>
          <w:rFonts w:ascii="Arial" w:cs="Arial" w:eastAsia="Arial" w:hAnsi="Arial"/>
          <w:sz w:val="19"/>
          <w:szCs w:val="19"/>
          <w:color w:val="auto"/>
        </w:rPr>
      </w:pPr>
    </w:p>
    <w:p>
      <w:pPr>
        <w:jc w:val="both"/>
        <w:ind w:firstLine="8"/>
        <w:spacing w:after="0" w:line="334" w:lineRule="auto"/>
        <w:tabs>
          <w:tab w:leader="none" w:pos="352" w:val="left"/>
        </w:tabs>
        <w:numPr>
          <w:ilvl w:val="0"/>
          <w:numId w:val="197"/>
        </w:numPr>
        <w:rPr>
          <w:rFonts w:ascii="Arial" w:cs="Arial" w:eastAsia="Arial" w:hAnsi="Arial"/>
          <w:sz w:val="19"/>
          <w:szCs w:val="19"/>
          <w:color w:val="auto"/>
        </w:rPr>
      </w:pPr>
      <w:r>
        <w:rPr>
          <w:rFonts w:ascii="Arial" w:cs="Arial" w:eastAsia="Arial" w:hAnsi="Arial"/>
          <w:sz w:val="19"/>
          <w:szCs w:val="19"/>
          <w:color w:val="auto"/>
        </w:rPr>
        <w:t>the transaction was executed in, on or through the facilities of a designated offshore securities market and neither such Transferor nor any Person acting on its behalf knows that the transaction was prearranged with a buyer in the United States, (ii) no directed selling efforts have been made in contravention of the requirements of Rule 903(b) or Rule 904(b) of Regulation S under the Securities Act, (iii) the transaction is not part of a plan or scheme to evade the registration requirements of the Securities Act and (iv) if the proposed transfer is being made prior to the expiration of the Restricted Period, the transfer is not being made to a U.S. Person or for the account or benefit of a U.S. Person (other than by the Issuer to an Initial Purchaser). Upon consummation of the proposed transfer in accordance with the terms of the Indenture, the transferred beneficial interest or Definitive Note will be subject to the restrictions on Transfer enumerated in the Private Placement Legend printed on the Regulation S Global Note and/or the Restricted Definitive Note and in the Indenture and the Securities Act.</w:t>
      </w:r>
    </w:p>
    <w:p>
      <w:pPr>
        <w:spacing w:after="0" w:line="147" w:lineRule="exact"/>
        <w:rPr>
          <w:rFonts w:ascii="Arial" w:cs="Arial" w:eastAsia="Arial" w:hAnsi="Arial"/>
          <w:sz w:val="19"/>
          <w:szCs w:val="19"/>
          <w:color w:val="auto"/>
        </w:rPr>
      </w:pPr>
    </w:p>
    <w:p>
      <w:pPr>
        <w:jc w:val="both"/>
        <w:ind w:firstLine="656"/>
        <w:spacing w:after="0" w:line="304" w:lineRule="auto"/>
        <w:tabs>
          <w:tab w:leader="none" w:pos="878" w:val="left"/>
        </w:tabs>
        <w:numPr>
          <w:ilvl w:val="1"/>
          <w:numId w:val="197"/>
        </w:numPr>
        <w:rPr>
          <w:rFonts w:ascii="Arial" w:cs="Arial" w:eastAsia="Arial" w:hAnsi="Arial"/>
          <w:sz w:val="21"/>
          <w:szCs w:val="21"/>
          <w:color w:val="auto"/>
        </w:rPr>
      </w:pPr>
      <w:r>
        <w:rPr>
          <w:rFonts w:ascii="Arial" w:cs="Arial" w:eastAsia="Arial" w:hAnsi="Arial"/>
          <w:sz w:val="21"/>
          <w:szCs w:val="21"/>
          <w:color w:val="auto"/>
        </w:rPr>
        <w:t xml:space="preserve">c </w:t>
      </w:r>
      <w:r>
        <w:rPr>
          <w:rFonts w:ascii="Arial" w:cs="Arial" w:eastAsia="Arial" w:hAnsi="Arial"/>
          <w:sz w:val="21"/>
          <w:szCs w:val="21"/>
          <w:b w:val="1"/>
          <w:bCs w:val="1"/>
          <w:u w:val="single" w:color="auto"/>
          <w:color w:val="auto"/>
        </w:rPr>
        <w:t>Check and complete if Transferee will take delivery of a beneficial interest in the a Restricted Definitive Note</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auto"/>
        </w:rPr>
        <w:t>pursuant to any provision of the Securities Act other than Rule 144A or Regulation S</w:t>
      </w:r>
      <w:r>
        <w:rPr>
          <w:rFonts w:ascii="Arial" w:cs="Arial" w:eastAsia="Arial" w:hAnsi="Arial"/>
          <w:sz w:val="21"/>
          <w:szCs w:val="21"/>
          <w:color w:val="auto"/>
        </w:rPr>
        <w:t>. The Transfer is being effected in</w:t>
      </w:r>
      <w:r>
        <w:rPr>
          <w:rFonts w:ascii="Arial" w:cs="Arial" w:eastAsia="Arial" w:hAnsi="Arial"/>
          <w:sz w:val="21"/>
          <w:szCs w:val="21"/>
          <w:b w:val="1"/>
          <w:bCs w:val="1"/>
          <w:color w:val="auto"/>
        </w:rPr>
        <w:t xml:space="preserve"> </w:t>
      </w:r>
      <w:r>
        <w:rPr>
          <w:rFonts w:ascii="Arial" w:cs="Arial" w:eastAsia="Arial" w:hAnsi="Arial"/>
          <w:sz w:val="21"/>
          <w:szCs w:val="21"/>
          <w:color w:val="auto"/>
        </w:rPr>
        <w:t>compliance with the transfer restrictions applicable to beneficial interests in Restricted Global Notes and Restricted Definitive Notes and pursuant to and in accordance with the Securities Act and any applicable blue sky securities laws of any state of the United States, and accordingly the Transferor hereby further certifies that (check one):</w:t>
      </w:r>
    </w:p>
    <w:p>
      <w:pPr>
        <w:spacing w:after="0" w:line="178" w:lineRule="exact"/>
        <w:rPr>
          <w:rFonts w:ascii="Arial" w:cs="Arial" w:eastAsia="Arial" w:hAnsi="Arial"/>
          <w:sz w:val="21"/>
          <w:szCs w:val="21"/>
          <w:color w:val="auto"/>
        </w:rPr>
      </w:pPr>
    </w:p>
    <w:p>
      <w:pPr>
        <w:ind w:left="1600" w:hanging="295"/>
        <w:spacing w:after="0"/>
        <w:tabs>
          <w:tab w:leader="none" w:pos="1600" w:val="left"/>
        </w:tabs>
        <w:numPr>
          <w:ilvl w:val="2"/>
          <w:numId w:val="197"/>
        </w:numPr>
        <w:rPr>
          <w:rFonts w:ascii="Arial" w:cs="Arial" w:eastAsia="Arial" w:hAnsi="Arial"/>
          <w:sz w:val="21"/>
          <w:szCs w:val="21"/>
          <w:color w:val="auto"/>
        </w:rPr>
      </w:pPr>
      <w:r>
        <w:rPr>
          <w:rFonts w:ascii="Arial" w:cs="Arial" w:eastAsia="Arial" w:hAnsi="Arial"/>
          <w:sz w:val="21"/>
          <w:szCs w:val="21"/>
          <w:color w:val="auto"/>
        </w:rPr>
        <w:t>c such Transfer is being effected pursuant to and in accordance with Rule 144 under the Securities Act;</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or</w:t>
      </w:r>
    </w:p>
    <w:p>
      <w:pPr>
        <w:spacing w:after="0" w:line="260" w:lineRule="exact"/>
        <w:rPr>
          <w:sz w:val="20"/>
          <w:szCs w:val="20"/>
          <w:color w:val="auto"/>
        </w:rPr>
      </w:pPr>
    </w:p>
    <w:p>
      <w:pPr>
        <w:ind w:left="5620" w:right="3840" w:hanging="4315"/>
        <w:spacing w:after="0" w:line="507" w:lineRule="auto"/>
        <w:tabs>
          <w:tab w:leader="none" w:pos="1607" w:val="left"/>
        </w:tabs>
        <w:numPr>
          <w:ilvl w:val="0"/>
          <w:numId w:val="198"/>
        </w:numPr>
        <w:rPr>
          <w:rFonts w:ascii="Arial" w:cs="Arial" w:eastAsia="Arial" w:hAnsi="Arial"/>
          <w:sz w:val="22"/>
          <w:szCs w:val="22"/>
          <w:color w:val="auto"/>
        </w:rPr>
      </w:pPr>
      <w:r>
        <w:rPr>
          <w:rFonts w:ascii="Arial" w:cs="Arial" w:eastAsia="Arial" w:hAnsi="Arial"/>
          <w:sz w:val="22"/>
          <w:szCs w:val="22"/>
          <w:color w:val="auto"/>
        </w:rPr>
        <w:t>c such Transfer is being effected to the Issuer or a subsidiary thereof; or</w:t>
      </w:r>
    </w:p>
    <w:p>
      <w:pPr>
        <w:spacing w:after="0" w:line="200" w:lineRule="exact"/>
        <w:rPr>
          <w:sz w:val="20"/>
          <w:szCs w:val="20"/>
          <w:color w:val="auto"/>
        </w:rPr>
      </w:pPr>
    </w:p>
    <w:p>
      <w:pPr>
        <w:spacing w:after="0" w:line="338"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3180" w:type="dxa"/>
            <w:vAlign w:val="bottom"/>
          </w:tcPr>
          <w:p>
            <w:pPr>
              <w:spacing w:after="0"/>
              <w:rPr>
                <w:sz w:val="20"/>
                <w:szCs w:val="20"/>
                <w:color w:val="auto"/>
              </w:rPr>
            </w:pPr>
            <w:r>
              <w:rPr>
                <w:rFonts w:ascii="Arial" w:cs="Arial" w:eastAsia="Arial" w:hAnsi="Arial"/>
                <w:sz w:val="11"/>
                <w:szCs w:val="11"/>
                <w:color w:val="auto"/>
              </w:rPr>
              <w:t>ASIA 33616188</w:t>
            </w:r>
          </w:p>
        </w:tc>
        <w:tc>
          <w:tcPr>
            <w:tcW w:w="2580" w:type="dxa"/>
            <w:vAlign w:val="bottom"/>
          </w:tcPr>
          <w:p>
            <w:pPr>
              <w:jc w:val="right"/>
              <w:spacing w:after="0"/>
              <w:rPr>
                <w:sz w:val="20"/>
                <w:szCs w:val="20"/>
                <w:color w:val="auto"/>
              </w:rPr>
            </w:pPr>
            <w:r>
              <w:rPr>
                <w:rFonts w:ascii="Arial" w:cs="Arial" w:eastAsia="Arial" w:hAnsi="Arial"/>
                <w:sz w:val="22"/>
                <w:szCs w:val="22"/>
                <w:color w:val="auto"/>
              </w:rPr>
              <w:t>2</w:t>
            </w:r>
          </w:p>
        </w:tc>
      </w:tr>
    </w:tbl>
    <w:p>
      <w:pPr>
        <w:sectPr>
          <w:pgSz w:w="11900" w:h="16838" w:orient="portrait"/>
          <w:cols w:equalWidth="0" w:num="1">
            <w:col w:w="11420"/>
          </w:cols>
          <w:pgMar w:left="240" w:top="1440" w:right="239" w:bottom="1440" w:gutter="0" w:footer="0" w:header="0"/>
        </w:sectPr>
      </w:pPr>
    </w:p>
    <w:bookmarkStart w:id="250" w:name="page251"/>
    <w:bookmarkEnd w:id="250"/>
    <w:p>
      <w:pPr>
        <w:spacing w:after="0" w:line="2" w:lineRule="exact"/>
        <w:rPr>
          <w:sz w:val="20"/>
          <w:szCs w:val="20"/>
          <w:color w:val="auto"/>
        </w:rPr>
      </w:pPr>
    </w:p>
    <w:p>
      <w:pPr>
        <w:ind w:left="640" w:firstLine="645"/>
        <w:spacing w:after="0" w:line="302" w:lineRule="auto"/>
        <w:tabs>
          <w:tab w:leader="none" w:pos="1596" w:val="left"/>
        </w:tabs>
        <w:numPr>
          <w:ilvl w:val="1"/>
          <w:numId w:val="199"/>
        </w:numPr>
        <w:rPr>
          <w:rFonts w:ascii="Arial" w:cs="Arial" w:eastAsia="Arial" w:hAnsi="Arial"/>
          <w:sz w:val="22"/>
          <w:szCs w:val="22"/>
          <w:color w:val="auto"/>
        </w:rPr>
      </w:pPr>
      <w:r>
        <w:rPr>
          <w:rFonts w:ascii="Arial" w:cs="Arial" w:eastAsia="Arial" w:hAnsi="Arial"/>
          <w:sz w:val="22"/>
          <w:szCs w:val="22"/>
          <w:color w:val="auto"/>
        </w:rPr>
        <w:t>c such Transfer is being effected pursuant to an effective registration statement under the Securities Act and in compliance with the prospectus delivery requirements of the Securities Act.</w:t>
      </w:r>
    </w:p>
    <w:p>
      <w:pPr>
        <w:spacing w:after="0" w:line="167" w:lineRule="exact"/>
        <w:rPr>
          <w:rFonts w:ascii="Arial" w:cs="Arial" w:eastAsia="Arial" w:hAnsi="Arial"/>
          <w:sz w:val="22"/>
          <w:szCs w:val="22"/>
          <w:color w:val="auto"/>
        </w:rPr>
      </w:pPr>
    </w:p>
    <w:p>
      <w:pPr>
        <w:ind w:left="-20" w:firstLine="656"/>
        <w:spacing w:after="0" w:line="308" w:lineRule="auto"/>
        <w:tabs>
          <w:tab w:leader="none" w:pos="844" w:val="left"/>
        </w:tabs>
        <w:numPr>
          <w:ilvl w:val="0"/>
          <w:numId w:val="200"/>
        </w:numPr>
        <w:rPr>
          <w:rFonts w:ascii="Arial" w:cs="Arial" w:eastAsia="Arial" w:hAnsi="Arial"/>
          <w:sz w:val="22"/>
          <w:szCs w:val="22"/>
          <w:color w:val="auto"/>
        </w:rPr>
      </w:pPr>
      <w:r>
        <w:rPr>
          <w:rFonts w:ascii="Arial" w:cs="Arial" w:eastAsia="Arial" w:hAnsi="Arial"/>
          <w:sz w:val="22"/>
          <w:szCs w:val="22"/>
          <w:b w:val="1"/>
          <w:bCs w:val="1"/>
          <w:u w:val="single" w:color="auto"/>
          <w:color w:val="auto"/>
        </w:rPr>
        <w:t>Check if Transferee will take delivery of a beneficial interest in an Unrestricted Global Note or of an Unrestricted Definitive Note</w:t>
      </w:r>
      <w:r>
        <w:rPr>
          <w:rFonts w:ascii="Arial" w:cs="Arial" w:eastAsia="Arial" w:hAnsi="Arial"/>
          <w:sz w:val="22"/>
          <w:szCs w:val="22"/>
          <w:color w:val="auto"/>
        </w:rPr>
        <w:t>.</w:t>
      </w:r>
    </w:p>
    <w:p>
      <w:pPr>
        <w:spacing w:after="0" w:line="161" w:lineRule="exact"/>
        <w:rPr>
          <w:rFonts w:ascii="Arial" w:cs="Arial" w:eastAsia="Arial" w:hAnsi="Arial"/>
          <w:sz w:val="22"/>
          <w:szCs w:val="22"/>
          <w:color w:val="auto"/>
        </w:rPr>
      </w:pPr>
    </w:p>
    <w:p>
      <w:pPr>
        <w:jc w:val="both"/>
        <w:ind w:left="640" w:firstLine="645"/>
        <w:spacing w:after="0" w:line="337" w:lineRule="auto"/>
        <w:tabs>
          <w:tab w:leader="none" w:pos="1582" w:val="left"/>
        </w:tabs>
        <w:numPr>
          <w:ilvl w:val="1"/>
          <w:numId w:val="200"/>
        </w:numPr>
        <w:rPr>
          <w:rFonts w:ascii="Arial" w:cs="Arial" w:eastAsia="Arial" w:hAnsi="Arial"/>
          <w:sz w:val="19"/>
          <w:szCs w:val="19"/>
          <w:color w:val="auto"/>
        </w:rPr>
      </w:pPr>
      <w:r>
        <w:rPr>
          <w:rFonts w:ascii="Arial" w:cs="Arial" w:eastAsia="Arial" w:hAnsi="Arial"/>
          <w:sz w:val="19"/>
          <w:szCs w:val="19"/>
          <w:color w:val="auto"/>
        </w:rPr>
        <w:t xml:space="preserve">c </w:t>
      </w:r>
      <w:r>
        <w:rPr>
          <w:rFonts w:ascii="Arial" w:cs="Arial" w:eastAsia="Arial" w:hAnsi="Arial"/>
          <w:sz w:val="19"/>
          <w:szCs w:val="19"/>
          <w:b w:val="1"/>
          <w:bCs w:val="1"/>
          <w:color w:val="auto"/>
        </w:rPr>
        <w:t>Check if Transfer is pursuant to Rule 144</w:t>
      </w:r>
      <w:r>
        <w:rPr>
          <w:rFonts w:ascii="Arial" w:cs="Arial" w:eastAsia="Arial" w:hAnsi="Arial"/>
          <w:sz w:val="19"/>
          <w:szCs w:val="19"/>
          <w:color w:val="auto"/>
        </w:rPr>
        <w:t>. (i) The Transfer is being effected pursuant to and in accordance with Rule 144 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148" w:lineRule="exact"/>
        <w:rPr>
          <w:rFonts w:ascii="Arial" w:cs="Arial" w:eastAsia="Arial" w:hAnsi="Arial"/>
          <w:sz w:val="19"/>
          <w:szCs w:val="19"/>
          <w:color w:val="auto"/>
        </w:rPr>
      </w:pPr>
    </w:p>
    <w:p>
      <w:pPr>
        <w:jc w:val="both"/>
        <w:ind w:left="640" w:firstLine="645"/>
        <w:spacing w:after="0" w:line="337" w:lineRule="auto"/>
        <w:tabs>
          <w:tab w:leader="none" w:pos="1635" w:val="left"/>
        </w:tabs>
        <w:numPr>
          <w:ilvl w:val="1"/>
          <w:numId w:val="200"/>
        </w:numPr>
        <w:rPr>
          <w:rFonts w:ascii="Arial" w:cs="Arial" w:eastAsia="Arial" w:hAnsi="Arial"/>
          <w:sz w:val="19"/>
          <w:szCs w:val="19"/>
          <w:color w:val="auto"/>
        </w:rPr>
      </w:pPr>
      <w:r>
        <w:rPr>
          <w:rFonts w:ascii="Arial" w:cs="Arial" w:eastAsia="Arial" w:hAnsi="Arial"/>
          <w:sz w:val="19"/>
          <w:szCs w:val="19"/>
          <w:color w:val="auto"/>
        </w:rPr>
        <w:t xml:space="preserve">c </w:t>
      </w:r>
      <w:r>
        <w:rPr>
          <w:rFonts w:ascii="Arial" w:cs="Arial" w:eastAsia="Arial" w:hAnsi="Arial"/>
          <w:sz w:val="19"/>
          <w:szCs w:val="19"/>
          <w:b w:val="1"/>
          <w:bCs w:val="1"/>
          <w:color w:val="auto"/>
        </w:rPr>
        <w:t>Check if Transfer is Pursuant to Regulation S</w:t>
      </w:r>
      <w:r>
        <w:rPr>
          <w:rFonts w:ascii="Arial" w:cs="Arial" w:eastAsia="Arial" w:hAnsi="Arial"/>
          <w:sz w:val="19"/>
          <w:szCs w:val="19"/>
          <w:color w:val="auto"/>
        </w:rPr>
        <w:t>. (i) The Transfer is being effected pursuant to and in accordance with Rule 903 or Rule 904 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148" w:lineRule="exact"/>
        <w:rPr>
          <w:rFonts w:ascii="Arial" w:cs="Arial" w:eastAsia="Arial" w:hAnsi="Arial"/>
          <w:sz w:val="19"/>
          <w:szCs w:val="19"/>
          <w:color w:val="auto"/>
        </w:rPr>
      </w:pPr>
    </w:p>
    <w:p>
      <w:pPr>
        <w:jc w:val="both"/>
        <w:ind w:left="640" w:firstLine="645"/>
        <w:spacing w:after="0" w:line="300" w:lineRule="auto"/>
        <w:tabs>
          <w:tab w:leader="none" w:pos="1596" w:val="left"/>
        </w:tabs>
        <w:numPr>
          <w:ilvl w:val="1"/>
          <w:numId w:val="200"/>
        </w:numPr>
        <w:rPr>
          <w:rFonts w:ascii="Arial" w:cs="Arial" w:eastAsia="Arial" w:hAnsi="Arial"/>
          <w:sz w:val="21"/>
          <w:szCs w:val="21"/>
          <w:color w:val="auto"/>
        </w:rPr>
      </w:pPr>
      <w:r>
        <w:rPr>
          <w:rFonts w:ascii="Arial" w:cs="Arial" w:eastAsia="Arial" w:hAnsi="Arial"/>
          <w:sz w:val="21"/>
          <w:szCs w:val="21"/>
          <w:color w:val="auto"/>
        </w:rPr>
        <w:t xml:space="preserve">c </w:t>
      </w:r>
      <w:r>
        <w:rPr>
          <w:rFonts w:ascii="Arial" w:cs="Arial" w:eastAsia="Arial" w:hAnsi="Arial"/>
          <w:sz w:val="21"/>
          <w:szCs w:val="21"/>
          <w:b w:val="1"/>
          <w:bCs w:val="1"/>
          <w:color w:val="auto"/>
        </w:rPr>
        <w:t>Check if Transfer is Pursuant to Other Exemption</w:t>
      </w:r>
      <w:r>
        <w:rPr>
          <w:rFonts w:ascii="Arial" w:cs="Arial" w:eastAsia="Arial" w:hAnsi="Arial"/>
          <w:sz w:val="21"/>
          <w:szCs w:val="21"/>
          <w:color w:val="auto"/>
        </w:rPr>
        <w:t>. (i) The Transfer is being effected pursuant to and in compliance with an exemption from the registration requirements of the Securities Act other than Rule 144, Rule 903 or Rule 904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not be subject to the restrictions on transfer enumerated in the Private Placement Legend printed on the Restricted Global Notes or Restricted Definitive Notes and in the Indenture.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180" w:type="dxa"/>
            <w:vAlign w:val="bottom"/>
          </w:tcPr>
          <w:p>
            <w:pPr>
              <w:spacing w:after="0"/>
              <w:rPr>
                <w:sz w:val="20"/>
                <w:szCs w:val="20"/>
                <w:color w:val="auto"/>
              </w:rPr>
            </w:pPr>
            <w:r>
              <w:rPr>
                <w:rFonts w:ascii="Arial" w:cs="Arial" w:eastAsia="Arial" w:hAnsi="Arial"/>
                <w:sz w:val="11"/>
                <w:szCs w:val="11"/>
                <w:color w:val="auto"/>
              </w:rPr>
              <w:t>ASIA 33616188</w:t>
            </w:r>
          </w:p>
        </w:tc>
        <w:tc>
          <w:tcPr>
            <w:tcW w:w="2580" w:type="dxa"/>
            <w:vAlign w:val="bottom"/>
          </w:tcPr>
          <w:p>
            <w:pPr>
              <w:jc w:val="right"/>
              <w:spacing w:after="0"/>
              <w:rPr>
                <w:sz w:val="20"/>
                <w:szCs w:val="20"/>
                <w:color w:val="auto"/>
              </w:rPr>
            </w:pPr>
            <w:r>
              <w:rPr>
                <w:rFonts w:ascii="Arial" w:cs="Arial" w:eastAsia="Arial" w:hAnsi="Arial"/>
                <w:sz w:val="22"/>
                <w:szCs w:val="22"/>
                <w:color w:val="auto"/>
              </w:rPr>
              <w:t>3</w:t>
            </w:r>
          </w:p>
        </w:tc>
      </w:tr>
    </w:tbl>
    <w:p>
      <w:pPr>
        <w:sectPr>
          <w:pgSz w:w="11900" w:h="16838" w:orient="portrait"/>
          <w:cols w:equalWidth="0" w:num="1">
            <w:col w:w="11400"/>
          </w:cols>
          <w:pgMar w:left="260" w:top="1440" w:right="239" w:bottom="1440" w:gutter="0" w:footer="0" w:header="0"/>
        </w:sectPr>
      </w:pPr>
    </w:p>
    <w:bookmarkStart w:id="251" w:name="page252"/>
    <w:bookmarkEnd w:id="251"/>
    <w:p>
      <w:pPr>
        <w:spacing w:after="0" w:line="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This certificate and the statements contained herein are made for your benefit and the benefit of the Issuer.</w:t>
      </w:r>
    </w:p>
    <w:p>
      <w:pPr>
        <w:spacing w:after="0" w:line="29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_______________________________________</w:t>
      </w:r>
    </w:p>
    <w:p>
      <w:pPr>
        <w:spacing w:after="0" w:line="4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[Insert Name of Transferor]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940"/>
        <w:spacing w:after="0"/>
        <w:rPr>
          <w:sz w:val="20"/>
          <w:szCs w:val="20"/>
          <w:color w:val="auto"/>
        </w:rPr>
      </w:pPr>
      <w:r>
        <w:rPr>
          <w:rFonts w:ascii="Arial" w:cs="Arial" w:eastAsia="Arial" w:hAnsi="Arial"/>
          <w:sz w:val="22"/>
          <w:szCs w:val="22"/>
          <w:color w:val="auto"/>
        </w:rPr>
        <w:t>By:____________________________________</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Dated: 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3180" w:type="dxa"/>
            <w:vAlign w:val="bottom"/>
          </w:tcPr>
          <w:p>
            <w:pPr>
              <w:spacing w:after="0"/>
              <w:rPr>
                <w:sz w:val="20"/>
                <w:szCs w:val="20"/>
                <w:color w:val="auto"/>
              </w:rPr>
            </w:pPr>
            <w:r>
              <w:rPr>
                <w:rFonts w:ascii="Arial" w:cs="Arial" w:eastAsia="Arial" w:hAnsi="Arial"/>
                <w:sz w:val="11"/>
                <w:szCs w:val="11"/>
                <w:color w:val="auto"/>
              </w:rPr>
              <w:t>ASIA 33616188</w:t>
            </w:r>
          </w:p>
        </w:tc>
        <w:tc>
          <w:tcPr>
            <w:tcW w:w="2580" w:type="dxa"/>
            <w:vAlign w:val="bottom"/>
          </w:tcPr>
          <w:p>
            <w:pPr>
              <w:jc w:val="right"/>
              <w:spacing w:after="0"/>
              <w:rPr>
                <w:sz w:val="20"/>
                <w:szCs w:val="20"/>
                <w:color w:val="auto"/>
              </w:rPr>
            </w:pPr>
            <w:r>
              <w:rPr>
                <w:rFonts w:ascii="Arial" w:cs="Arial" w:eastAsia="Arial" w:hAnsi="Arial"/>
                <w:sz w:val="22"/>
                <w:szCs w:val="22"/>
                <w:color w:val="auto"/>
              </w:rPr>
              <w:t>4</w:t>
            </w:r>
          </w:p>
        </w:tc>
      </w:tr>
    </w:tbl>
    <w:p>
      <w:pPr>
        <w:sectPr>
          <w:pgSz w:w="11900" w:h="16838" w:orient="portrait"/>
          <w:cols w:equalWidth="0" w:num="1">
            <w:col w:w="10219"/>
          </w:cols>
          <w:pgMar w:left="240" w:top="1440" w:right="1440" w:bottom="1440" w:gutter="0" w:footer="0" w:header="0"/>
        </w:sectPr>
      </w:pPr>
    </w:p>
    <w:bookmarkStart w:id="252" w:name="page253"/>
    <w:bookmarkEnd w:id="252"/>
    <w:p>
      <w:pPr>
        <w:spacing w:after="0" w:line="2" w:lineRule="exact"/>
        <w:rPr>
          <w:sz w:val="20"/>
          <w:szCs w:val="20"/>
          <w:color w:val="auto"/>
        </w:rPr>
      </w:pPr>
    </w:p>
    <w:p>
      <w:pPr>
        <w:ind w:left="3620"/>
        <w:spacing w:after="0"/>
        <w:rPr>
          <w:sz w:val="20"/>
          <w:szCs w:val="20"/>
          <w:color w:val="auto"/>
        </w:rPr>
      </w:pPr>
      <w:r>
        <w:rPr>
          <w:rFonts w:ascii="Arial" w:cs="Arial" w:eastAsia="Arial" w:hAnsi="Arial"/>
          <w:sz w:val="19"/>
          <w:szCs w:val="19"/>
          <w:color w:val="auto"/>
        </w:rPr>
        <w:t>ANNEX A TO CERTIFICATE OF TRANSFER</w:t>
      </w: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color w:val="auto"/>
        </w:rPr>
        <w:t>1. The Transferor owns and proposes to transfer the following:</w:t>
      </w:r>
    </w:p>
    <w:p>
      <w:pPr>
        <w:spacing w:after="0" w:line="260"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[CHECK ONE OF (a) OR (b)]</w:t>
      </w:r>
    </w:p>
    <w:p>
      <w:pPr>
        <w:spacing w:after="0" w:line="260" w:lineRule="exact"/>
        <w:rPr>
          <w:sz w:val="20"/>
          <w:szCs w:val="20"/>
          <w:color w:val="auto"/>
        </w:rPr>
      </w:pPr>
    </w:p>
    <w:p>
      <w:pPr>
        <w:ind w:left="960" w:hanging="304"/>
        <w:spacing w:after="0"/>
        <w:tabs>
          <w:tab w:leader="none" w:pos="960" w:val="left"/>
        </w:tabs>
        <w:numPr>
          <w:ilvl w:val="1"/>
          <w:numId w:val="201"/>
        </w:numPr>
        <w:rPr>
          <w:rFonts w:ascii="Arial" w:cs="Arial" w:eastAsia="Arial" w:hAnsi="Arial"/>
          <w:sz w:val="22"/>
          <w:szCs w:val="22"/>
          <w:color w:val="auto"/>
        </w:rPr>
      </w:pPr>
      <w:r>
        <w:rPr>
          <w:rFonts w:ascii="Arial" w:cs="Arial" w:eastAsia="Arial" w:hAnsi="Arial"/>
          <w:sz w:val="22"/>
          <w:szCs w:val="22"/>
          <w:color w:val="auto"/>
        </w:rPr>
        <w:t>c a beneficial interest in the:</w:t>
      </w:r>
    </w:p>
    <w:p>
      <w:pPr>
        <w:spacing w:after="0" w:line="260" w:lineRule="exact"/>
        <w:rPr>
          <w:rFonts w:ascii="Arial" w:cs="Arial" w:eastAsia="Arial" w:hAnsi="Arial"/>
          <w:sz w:val="22"/>
          <w:szCs w:val="22"/>
          <w:color w:val="auto"/>
        </w:rPr>
      </w:pPr>
    </w:p>
    <w:p>
      <w:pPr>
        <w:ind w:left="1560" w:hanging="255"/>
        <w:spacing w:after="0"/>
        <w:tabs>
          <w:tab w:leader="none" w:pos="1560" w:val="left"/>
        </w:tabs>
        <w:numPr>
          <w:ilvl w:val="2"/>
          <w:numId w:val="201"/>
        </w:numPr>
        <w:rPr>
          <w:rFonts w:ascii="Arial" w:cs="Arial" w:eastAsia="Arial" w:hAnsi="Arial"/>
          <w:sz w:val="22"/>
          <w:szCs w:val="22"/>
          <w:color w:val="auto"/>
        </w:rPr>
      </w:pPr>
      <w:r>
        <w:rPr>
          <w:rFonts w:ascii="Arial" w:cs="Arial" w:eastAsia="Arial" w:hAnsi="Arial"/>
          <w:sz w:val="22"/>
          <w:szCs w:val="22"/>
          <w:color w:val="auto"/>
        </w:rPr>
        <w:t>c 144A Global Note (CUSIP __________), or</w:t>
      </w:r>
    </w:p>
    <w:p>
      <w:pPr>
        <w:spacing w:after="0" w:line="260" w:lineRule="exact"/>
        <w:rPr>
          <w:rFonts w:ascii="Arial" w:cs="Arial" w:eastAsia="Arial" w:hAnsi="Arial"/>
          <w:sz w:val="22"/>
          <w:szCs w:val="22"/>
          <w:color w:val="auto"/>
        </w:rPr>
      </w:pPr>
    </w:p>
    <w:p>
      <w:pPr>
        <w:ind w:left="1620" w:hanging="315"/>
        <w:spacing w:after="0"/>
        <w:tabs>
          <w:tab w:leader="none" w:pos="1620" w:val="left"/>
        </w:tabs>
        <w:numPr>
          <w:ilvl w:val="2"/>
          <w:numId w:val="201"/>
        </w:numPr>
        <w:rPr>
          <w:rFonts w:ascii="Arial" w:cs="Arial" w:eastAsia="Arial" w:hAnsi="Arial"/>
          <w:sz w:val="22"/>
          <w:szCs w:val="22"/>
          <w:color w:val="auto"/>
        </w:rPr>
      </w:pPr>
      <w:r>
        <w:rPr>
          <w:rFonts w:ascii="Arial" w:cs="Arial" w:eastAsia="Arial" w:hAnsi="Arial"/>
          <w:sz w:val="22"/>
          <w:szCs w:val="22"/>
          <w:color w:val="auto"/>
        </w:rPr>
        <w:t>c Regulation S Global Note (CUSIP __________), or</w:t>
      </w:r>
    </w:p>
    <w:p>
      <w:pPr>
        <w:spacing w:after="0" w:line="260" w:lineRule="exact"/>
        <w:rPr>
          <w:rFonts w:ascii="Arial" w:cs="Arial" w:eastAsia="Arial" w:hAnsi="Arial"/>
          <w:sz w:val="22"/>
          <w:szCs w:val="22"/>
          <w:color w:val="auto"/>
        </w:rPr>
      </w:pPr>
    </w:p>
    <w:p>
      <w:pPr>
        <w:ind w:left="960" w:hanging="304"/>
        <w:spacing w:after="0"/>
        <w:tabs>
          <w:tab w:leader="none" w:pos="960" w:val="left"/>
        </w:tabs>
        <w:numPr>
          <w:ilvl w:val="1"/>
          <w:numId w:val="201"/>
        </w:numPr>
        <w:rPr>
          <w:rFonts w:ascii="Arial" w:cs="Arial" w:eastAsia="Arial" w:hAnsi="Arial"/>
          <w:sz w:val="22"/>
          <w:szCs w:val="22"/>
          <w:color w:val="auto"/>
        </w:rPr>
      </w:pPr>
      <w:r>
        <w:rPr>
          <w:rFonts w:ascii="Arial" w:cs="Arial" w:eastAsia="Arial" w:hAnsi="Arial"/>
          <w:sz w:val="22"/>
          <w:szCs w:val="22"/>
          <w:color w:val="auto"/>
        </w:rPr>
        <w:t>c a Restricted Definitive Note.</w:t>
      </w:r>
    </w:p>
    <w:p>
      <w:pPr>
        <w:spacing w:after="0" w:line="260" w:lineRule="exact"/>
        <w:rPr>
          <w:rFonts w:ascii="Arial" w:cs="Arial" w:eastAsia="Arial" w:hAnsi="Arial"/>
          <w:sz w:val="22"/>
          <w:szCs w:val="22"/>
          <w:color w:val="auto"/>
        </w:rPr>
      </w:pPr>
    </w:p>
    <w:p>
      <w:pPr>
        <w:ind w:left="220" w:hanging="212"/>
        <w:spacing w:after="0"/>
        <w:tabs>
          <w:tab w:leader="none" w:pos="220" w:val="left"/>
        </w:tabs>
        <w:numPr>
          <w:ilvl w:val="0"/>
          <w:numId w:val="202"/>
        </w:numPr>
        <w:rPr>
          <w:rFonts w:ascii="Arial" w:cs="Arial" w:eastAsia="Arial" w:hAnsi="Arial"/>
          <w:sz w:val="22"/>
          <w:szCs w:val="22"/>
          <w:color w:val="auto"/>
        </w:rPr>
      </w:pPr>
      <w:r>
        <w:rPr>
          <w:rFonts w:ascii="Arial" w:cs="Arial" w:eastAsia="Arial" w:hAnsi="Arial"/>
          <w:sz w:val="22"/>
          <w:szCs w:val="22"/>
          <w:color w:val="auto"/>
        </w:rPr>
        <w:t>After the Transfer the Transferee will hold:</w:t>
      </w:r>
    </w:p>
    <w:p>
      <w:pPr>
        <w:spacing w:after="0" w:line="260"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[CHECK ONE]</w:t>
      </w:r>
    </w:p>
    <w:p>
      <w:pPr>
        <w:spacing w:after="0" w:line="260" w:lineRule="exact"/>
        <w:rPr>
          <w:sz w:val="20"/>
          <w:szCs w:val="20"/>
          <w:color w:val="auto"/>
        </w:rPr>
      </w:pPr>
    </w:p>
    <w:p>
      <w:pPr>
        <w:ind w:left="960" w:hanging="304"/>
        <w:spacing w:after="0"/>
        <w:tabs>
          <w:tab w:leader="none" w:pos="960" w:val="left"/>
        </w:tabs>
        <w:numPr>
          <w:ilvl w:val="0"/>
          <w:numId w:val="203"/>
        </w:numPr>
        <w:rPr>
          <w:rFonts w:ascii="Arial" w:cs="Arial" w:eastAsia="Arial" w:hAnsi="Arial"/>
          <w:sz w:val="22"/>
          <w:szCs w:val="22"/>
          <w:color w:val="auto"/>
        </w:rPr>
      </w:pPr>
      <w:r>
        <w:rPr>
          <w:rFonts w:ascii="Arial" w:cs="Arial" w:eastAsia="Arial" w:hAnsi="Arial"/>
          <w:sz w:val="22"/>
          <w:szCs w:val="22"/>
          <w:color w:val="auto"/>
        </w:rPr>
        <w:t>c a beneficial interest in the:</w:t>
      </w:r>
    </w:p>
    <w:p>
      <w:pPr>
        <w:spacing w:after="0" w:line="260" w:lineRule="exact"/>
        <w:rPr>
          <w:rFonts w:ascii="Arial" w:cs="Arial" w:eastAsia="Arial" w:hAnsi="Arial"/>
          <w:sz w:val="22"/>
          <w:szCs w:val="22"/>
          <w:color w:val="auto"/>
        </w:rPr>
      </w:pPr>
    </w:p>
    <w:p>
      <w:pPr>
        <w:ind w:left="1560" w:hanging="255"/>
        <w:spacing w:after="0"/>
        <w:tabs>
          <w:tab w:leader="none" w:pos="1560" w:val="left"/>
        </w:tabs>
        <w:numPr>
          <w:ilvl w:val="1"/>
          <w:numId w:val="203"/>
        </w:numPr>
        <w:rPr>
          <w:rFonts w:ascii="Arial" w:cs="Arial" w:eastAsia="Arial" w:hAnsi="Arial"/>
          <w:sz w:val="22"/>
          <w:szCs w:val="22"/>
          <w:color w:val="auto"/>
        </w:rPr>
      </w:pPr>
      <w:r>
        <w:rPr>
          <w:rFonts w:ascii="Arial" w:cs="Arial" w:eastAsia="Arial" w:hAnsi="Arial"/>
          <w:sz w:val="22"/>
          <w:szCs w:val="22"/>
          <w:color w:val="auto"/>
        </w:rPr>
        <w:t>c 144A Global Note (CUSIP __________), or</w:t>
      </w:r>
    </w:p>
    <w:p>
      <w:pPr>
        <w:spacing w:after="0" w:line="260" w:lineRule="exact"/>
        <w:rPr>
          <w:rFonts w:ascii="Arial" w:cs="Arial" w:eastAsia="Arial" w:hAnsi="Arial"/>
          <w:sz w:val="22"/>
          <w:szCs w:val="22"/>
          <w:color w:val="auto"/>
        </w:rPr>
      </w:pPr>
    </w:p>
    <w:p>
      <w:pPr>
        <w:ind w:left="1620" w:hanging="315"/>
        <w:spacing w:after="0"/>
        <w:tabs>
          <w:tab w:leader="none" w:pos="1620" w:val="left"/>
        </w:tabs>
        <w:numPr>
          <w:ilvl w:val="1"/>
          <w:numId w:val="203"/>
        </w:numPr>
        <w:rPr>
          <w:rFonts w:ascii="Arial" w:cs="Arial" w:eastAsia="Arial" w:hAnsi="Arial"/>
          <w:sz w:val="22"/>
          <w:szCs w:val="22"/>
          <w:color w:val="auto"/>
        </w:rPr>
      </w:pPr>
      <w:r>
        <w:rPr>
          <w:rFonts w:ascii="Arial" w:cs="Arial" w:eastAsia="Arial" w:hAnsi="Arial"/>
          <w:sz w:val="22"/>
          <w:szCs w:val="22"/>
          <w:color w:val="auto"/>
        </w:rPr>
        <w:t>c Regulation S Global Note (CUSIP __________), or</w:t>
      </w:r>
    </w:p>
    <w:p>
      <w:pPr>
        <w:spacing w:after="0" w:line="260" w:lineRule="exact"/>
        <w:rPr>
          <w:rFonts w:ascii="Arial" w:cs="Arial" w:eastAsia="Arial" w:hAnsi="Arial"/>
          <w:sz w:val="22"/>
          <w:szCs w:val="22"/>
          <w:color w:val="auto"/>
        </w:rPr>
      </w:pPr>
    </w:p>
    <w:p>
      <w:pPr>
        <w:ind w:left="1680" w:hanging="375"/>
        <w:spacing w:after="0"/>
        <w:tabs>
          <w:tab w:leader="none" w:pos="1680" w:val="left"/>
        </w:tabs>
        <w:numPr>
          <w:ilvl w:val="1"/>
          <w:numId w:val="203"/>
        </w:numPr>
        <w:rPr>
          <w:rFonts w:ascii="Arial" w:cs="Arial" w:eastAsia="Arial" w:hAnsi="Arial"/>
          <w:sz w:val="22"/>
          <w:szCs w:val="22"/>
          <w:color w:val="auto"/>
        </w:rPr>
      </w:pPr>
      <w:r>
        <w:rPr>
          <w:rFonts w:ascii="Arial" w:cs="Arial" w:eastAsia="Arial" w:hAnsi="Arial"/>
          <w:sz w:val="22"/>
          <w:szCs w:val="22"/>
          <w:color w:val="auto"/>
        </w:rPr>
        <w:t>c Unrestricted Global Note (CUSIP __________); or</w:t>
      </w:r>
    </w:p>
    <w:p>
      <w:pPr>
        <w:spacing w:after="0" w:line="260" w:lineRule="exact"/>
        <w:rPr>
          <w:rFonts w:ascii="Arial" w:cs="Arial" w:eastAsia="Arial" w:hAnsi="Arial"/>
          <w:sz w:val="22"/>
          <w:szCs w:val="22"/>
          <w:color w:val="auto"/>
        </w:rPr>
      </w:pPr>
    </w:p>
    <w:p>
      <w:pPr>
        <w:ind w:left="960" w:hanging="304"/>
        <w:spacing w:after="0"/>
        <w:tabs>
          <w:tab w:leader="none" w:pos="960" w:val="left"/>
        </w:tabs>
        <w:numPr>
          <w:ilvl w:val="0"/>
          <w:numId w:val="203"/>
        </w:numPr>
        <w:rPr>
          <w:rFonts w:ascii="Arial" w:cs="Arial" w:eastAsia="Arial" w:hAnsi="Arial"/>
          <w:sz w:val="22"/>
          <w:szCs w:val="22"/>
          <w:color w:val="auto"/>
        </w:rPr>
      </w:pPr>
      <w:r>
        <w:rPr>
          <w:rFonts w:ascii="Arial" w:cs="Arial" w:eastAsia="Arial" w:hAnsi="Arial"/>
          <w:sz w:val="22"/>
          <w:szCs w:val="22"/>
          <w:color w:val="auto"/>
        </w:rPr>
        <w:t>c a Restricted Definitive Note; or</w:t>
      </w:r>
    </w:p>
    <w:p>
      <w:pPr>
        <w:spacing w:after="0" w:line="260" w:lineRule="exact"/>
        <w:rPr>
          <w:rFonts w:ascii="Arial" w:cs="Arial" w:eastAsia="Arial" w:hAnsi="Arial"/>
          <w:sz w:val="22"/>
          <w:szCs w:val="22"/>
          <w:color w:val="auto"/>
        </w:rPr>
      </w:pPr>
    </w:p>
    <w:p>
      <w:pPr>
        <w:ind w:left="960" w:hanging="304"/>
        <w:spacing w:after="0"/>
        <w:tabs>
          <w:tab w:leader="none" w:pos="960" w:val="left"/>
        </w:tabs>
        <w:numPr>
          <w:ilvl w:val="0"/>
          <w:numId w:val="203"/>
        </w:numPr>
        <w:rPr>
          <w:rFonts w:ascii="Arial" w:cs="Arial" w:eastAsia="Arial" w:hAnsi="Arial"/>
          <w:sz w:val="22"/>
          <w:szCs w:val="22"/>
          <w:color w:val="auto"/>
        </w:rPr>
      </w:pPr>
      <w:r>
        <w:rPr>
          <w:rFonts w:ascii="Arial" w:cs="Arial" w:eastAsia="Arial" w:hAnsi="Arial"/>
          <w:sz w:val="22"/>
          <w:szCs w:val="22"/>
          <w:color w:val="auto"/>
        </w:rPr>
        <w:t>c an Unrestricted Definitive Note,</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accordance with the terms of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3180" w:type="dxa"/>
            <w:vAlign w:val="bottom"/>
          </w:tcPr>
          <w:p>
            <w:pPr>
              <w:spacing w:after="0"/>
              <w:rPr>
                <w:sz w:val="20"/>
                <w:szCs w:val="20"/>
                <w:color w:val="auto"/>
              </w:rPr>
            </w:pPr>
            <w:r>
              <w:rPr>
                <w:rFonts w:ascii="Arial" w:cs="Arial" w:eastAsia="Arial" w:hAnsi="Arial"/>
                <w:sz w:val="11"/>
                <w:szCs w:val="11"/>
                <w:color w:val="auto"/>
              </w:rPr>
              <w:t>ASIA 33616188</w:t>
            </w:r>
          </w:p>
        </w:tc>
        <w:tc>
          <w:tcPr>
            <w:tcW w:w="2580" w:type="dxa"/>
            <w:vAlign w:val="bottom"/>
          </w:tcPr>
          <w:p>
            <w:pPr>
              <w:jc w:val="right"/>
              <w:spacing w:after="0"/>
              <w:rPr>
                <w:sz w:val="20"/>
                <w:szCs w:val="20"/>
                <w:color w:val="auto"/>
              </w:rPr>
            </w:pPr>
            <w:r>
              <w:rPr>
                <w:rFonts w:ascii="Arial" w:cs="Arial" w:eastAsia="Arial" w:hAnsi="Arial"/>
                <w:sz w:val="22"/>
                <w:szCs w:val="22"/>
                <w:color w:val="auto"/>
              </w:rPr>
              <w:t>5</w:t>
            </w:r>
          </w:p>
        </w:tc>
      </w:tr>
    </w:tbl>
    <w:p>
      <w:pPr>
        <w:sectPr>
          <w:pgSz w:w="11900" w:h="16838" w:orient="portrait"/>
          <w:cols w:equalWidth="0" w:num="1">
            <w:col w:w="10219"/>
          </w:cols>
          <w:pgMar w:left="240" w:top="1440" w:right="1440" w:bottom="1440" w:gutter="0" w:footer="0" w:header="0"/>
        </w:sectPr>
      </w:pPr>
    </w:p>
    <w:bookmarkStart w:id="253" w:name="page254"/>
    <w:bookmarkEnd w:id="253"/>
    <w:p>
      <w:pPr>
        <w:spacing w:after="0" w:line="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C</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 CERTIFICATE OF EXCHANGE</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Wynn Macau, Limited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Avenida da Nave Desportiva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Cotai</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Macau SAR</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Attention: Mr. Jason Schall</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color w:val="auto"/>
        </w:rPr>
        <w:t>Deutsche Bank Trust Company Americas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c/o DB Services Americas, Inc.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5022 Gate Parkway, Suite 200</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Jacksonville, FL 32256</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Attn: Transfer Department, Wynn Macau – SF0965</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Re: 5.125% Senior Notes due 2029</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(CUSIP [ ])</w:t>
      </w:r>
    </w:p>
    <w:p>
      <w:pPr>
        <w:spacing w:after="0" w:line="26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Reference is hereby made to the Indenture, dated as of December 17, 2019 (the “</w:t>
      </w:r>
      <w:r>
        <w:rPr>
          <w:rFonts w:ascii="Arial" w:cs="Arial" w:eastAsia="Arial" w:hAnsi="Arial"/>
          <w:sz w:val="22"/>
          <w:szCs w:val="22"/>
          <w:i w:val="1"/>
          <w:iCs w:val="1"/>
          <w:color w:val="auto"/>
        </w:rPr>
        <w:t>Indenture</w:t>
      </w:r>
      <w:r>
        <w:rPr>
          <w:rFonts w:ascii="Arial" w:cs="Arial" w:eastAsia="Arial" w:hAnsi="Arial"/>
          <w:sz w:val="22"/>
          <w:szCs w:val="22"/>
          <w:color w:val="auto"/>
        </w:rPr>
        <w:t>”), between Wynn Macau, Limited, as issuer (the “</w:t>
      </w:r>
      <w:r>
        <w:rPr>
          <w:rFonts w:ascii="Arial" w:cs="Arial" w:eastAsia="Arial" w:hAnsi="Arial"/>
          <w:sz w:val="22"/>
          <w:szCs w:val="22"/>
          <w:i w:val="1"/>
          <w:iCs w:val="1"/>
          <w:color w:val="auto"/>
        </w:rPr>
        <w:t>Issuer</w:t>
      </w:r>
      <w:r>
        <w:rPr>
          <w:rFonts w:ascii="Arial" w:cs="Arial" w:eastAsia="Arial" w:hAnsi="Arial"/>
          <w:sz w:val="22"/>
          <w:szCs w:val="22"/>
          <w:color w:val="auto"/>
        </w:rPr>
        <w:t>”), and Deutsche Bank Trust Company Americas, as trustee. Capitalized terms used but not defined herein shall have the meanings given to them in the Indenture.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___________________________, (the “</w:t>
      </w:r>
      <w:r>
        <w:rPr>
          <w:rFonts w:ascii="Arial" w:cs="Arial" w:eastAsia="Arial" w:hAnsi="Arial"/>
          <w:sz w:val="19"/>
          <w:szCs w:val="19"/>
          <w:i w:val="1"/>
          <w:iCs w:val="1"/>
          <w:color w:val="auto"/>
        </w:rPr>
        <w:t>Owner</w:t>
      </w:r>
      <w:r>
        <w:rPr>
          <w:rFonts w:ascii="Arial" w:cs="Arial" w:eastAsia="Arial" w:hAnsi="Arial"/>
          <w:sz w:val="19"/>
          <w:szCs w:val="19"/>
          <w:color w:val="auto"/>
        </w:rPr>
        <w:t>”) owns and proposes to exchange the Note[s] or interest in such Note[s]</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specified herein, in the principal amount of US$_________ in such Note[s] or interests (the “</w:t>
      </w:r>
      <w:r>
        <w:rPr>
          <w:rFonts w:ascii="Arial" w:cs="Arial" w:eastAsia="Arial" w:hAnsi="Arial"/>
          <w:sz w:val="19"/>
          <w:szCs w:val="19"/>
          <w:i w:val="1"/>
          <w:iCs w:val="1"/>
          <w:color w:val="auto"/>
        </w:rPr>
        <w:t>Exchange</w:t>
      </w:r>
      <w:r>
        <w:rPr>
          <w:rFonts w:ascii="Arial" w:cs="Arial" w:eastAsia="Arial" w:hAnsi="Arial"/>
          <w:sz w:val="19"/>
          <w:szCs w:val="19"/>
          <w:color w:val="auto"/>
        </w:rPr>
        <w:t>”). In connection with the</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color w:val="auto"/>
        </w:rPr>
        <w:t>Exchange, the Owner hereby certifies that:</w:t>
      </w:r>
    </w:p>
    <w:p>
      <w:pPr>
        <w:spacing w:after="0" w:line="254" w:lineRule="exact"/>
        <w:rPr>
          <w:sz w:val="20"/>
          <w:szCs w:val="20"/>
          <w:color w:val="auto"/>
        </w:rPr>
      </w:pPr>
    </w:p>
    <w:p>
      <w:pPr>
        <w:ind w:right="20" w:firstLine="656"/>
        <w:spacing w:after="0" w:line="308" w:lineRule="auto"/>
        <w:tabs>
          <w:tab w:leader="none" w:pos="905" w:val="left"/>
        </w:tabs>
        <w:numPr>
          <w:ilvl w:val="0"/>
          <w:numId w:val="204"/>
        </w:numPr>
        <w:rPr>
          <w:rFonts w:ascii="Arial" w:cs="Arial" w:eastAsia="Arial" w:hAnsi="Arial"/>
          <w:sz w:val="22"/>
          <w:szCs w:val="22"/>
          <w:color w:val="auto"/>
        </w:rPr>
      </w:pPr>
      <w:r>
        <w:rPr>
          <w:rFonts w:ascii="Arial" w:cs="Arial" w:eastAsia="Arial" w:hAnsi="Arial"/>
          <w:sz w:val="22"/>
          <w:szCs w:val="22"/>
          <w:b w:val="1"/>
          <w:bCs w:val="1"/>
          <w:u w:val="single" w:color="auto"/>
          <w:color w:val="auto"/>
        </w:rPr>
        <w:t>Exchange of Restricted Definitive Notes or Beneficial Interests in a Restricted Global Note for Unrestricted Definitive Notes or Beneficial Interests in an Unrestricted Global Note</w:t>
      </w:r>
    </w:p>
    <w:p>
      <w:pPr>
        <w:spacing w:after="0" w:line="161" w:lineRule="exact"/>
        <w:rPr>
          <w:sz w:val="20"/>
          <w:szCs w:val="20"/>
          <w:color w:val="auto"/>
        </w:rPr>
      </w:pPr>
    </w:p>
    <w:p>
      <w:pPr>
        <w:jc w:val="both"/>
        <w:ind w:firstLine="656"/>
        <w:spacing w:after="0" w:line="286" w:lineRule="auto"/>
        <w:tabs>
          <w:tab w:leader="none" w:pos="996" w:val="left"/>
        </w:tabs>
        <w:numPr>
          <w:ilvl w:val="0"/>
          <w:numId w:val="205"/>
        </w:numPr>
        <w:rPr>
          <w:rFonts w:ascii="Arial" w:cs="Arial" w:eastAsia="Arial" w:hAnsi="Arial"/>
          <w:sz w:val="22"/>
          <w:szCs w:val="22"/>
          <w:color w:val="auto"/>
        </w:rPr>
      </w:pPr>
      <w:r>
        <w:rPr>
          <w:rFonts w:ascii="Arial" w:cs="Arial" w:eastAsia="Arial" w:hAnsi="Arial"/>
          <w:sz w:val="22"/>
          <w:szCs w:val="22"/>
          <w:color w:val="auto"/>
        </w:rPr>
        <w:t xml:space="preserve">c </w:t>
      </w:r>
      <w:r>
        <w:rPr>
          <w:rFonts w:ascii="Arial" w:cs="Arial" w:eastAsia="Arial" w:hAnsi="Arial"/>
          <w:sz w:val="22"/>
          <w:szCs w:val="22"/>
          <w:b w:val="1"/>
          <w:bCs w:val="1"/>
          <w:color w:val="auto"/>
        </w:rPr>
        <w:t>Check if Exchange is from beneficial interest in a Restricted Global Note to beneficial interest in an</w:t>
      </w:r>
      <w:r>
        <w:rPr>
          <w:rFonts w:ascii="Arial" w:cs="Arial" w:eastAsia="Arial" w:hAnsi="Arial"/>
          <w:sz w:val="22"/>
          <w:szCs w:val="22"/>
          <w:color w:val="auto"/>
        </w:rPr>
        <w:t xml:space="preserve"> </w:t>
      </w:r>
      <w:r>
        <w:rPr>
          <w:rFonts w:ascii="Arial" w:cs="Arial" w:eastAsia="Arial" w:hAnsi="Arial"/>
          <w:sz w:val="22"/>
          <w:szCs w:val="22"/>
          <w:b w:val="1"/>
          <w:bCs w:val="1"/>
          <w:color w:val="auto"/>
        </w:rPr>
        <w:t>Unrestricted Global Note</w:t>
      </w:r>
      <w:r>
        <w:rPr>
          <w:rFonts w:ascii="Arial" w:cs="Arial" w:eastAsia="Arial" w:hAnsi="Arial"/>
          <w:sz w:val="22"/>
          <w:szCs w:val="22"/>
          <w:color w:val="auto"/>
        </w:rPr>
        <w:t>. In connection with the Exchange of the Owner’s beneficial interest in a Restricted Global Note for a</w:t>
      </w:r>
      <w:r>
        <w:rPr>
          <w:rFonts w:ascii="Arial" w:cs="Arial" w:eastAsia="Arial" w:hAnsi="Arial"/>
          <w:sz w:val="22"/>
          <w:szCs w:val="22"/>
          <w:b w:val="1"/>
          <w:bCs w:val="1"/>
          <w:color w:val="auto"/>
        </w:rPr>
        <w:t xml:space="preserve"> </w:t>
      </w:r>
      <w:r>
        <w:rPr>
          <w:rFonts w:ascii="Arial" w:cs="Arial" w:eastAsia="Arial" w:hAnsi="Arial"/>
          <w:sz w:val="22"/>
          <w:szCs w:val="22"/>
          <w:color w:val="auto"/>
        </w:rPr>
        <w:t>beneficial interest in an Unrestricted Global Note in an equal principal amount, the Owner hereby certifies (i) the beneficial interest is being acquired for the Owner’s own account without transfer, (ii) such Exchange has been effected in compliance with the transfer restrictions applicable to the Global Notes and pursuant to and in accordance with the United States Securities Act of 1933, as amended (the “</w:t>
      </w:r>
      <w:r>
        <w:rPr>
          <w:rFonts w:ascii="Arial" w:cs="Arial" w:eastAsia="Arial" w:hAnsi="Arial"/>
          <w:sz w:val="22"/>
          <w:szCs w:val="22"/>
          <w:i w:val="1"/>
          <w:iCs w:val="1"/>
          <w:color w:val="auto"/>
        </w:rPr>
        <w:t>Securities Act</w:t>
      </w:r>
      <w:r>
        <w:rPr>
          <w:rFonts w:ascii="Arial" w:cs="Arial" w:eastAsia="Arial" w:hAnsi="Arial"/>
          <w:sz w:val="22"/>
          <w:szCs w:val="22"/>
          <w:color w:val="auto"/>
        </w:rPr>
        <w:t>”), (iii) the restrictions on transfer contained in the Indenture and the Private Placement Legend are not required in order to</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3180" w:type="dxa"/>
            <w:vAlign w:val="bottom"/>
          </w:tcPr>
          <w:p>
            <w:pPr>
              <w:spacing w:after="0"/>
              <w:rPr>
                <w:sz w:val="20"/>
                <w:szCs w:val="20"/>
                <w:color w:val="auto"/>
              </w:rPr>
            </w:pPr>
            <w:r>
              <w:rPr>
                <w:rFonts w:ascii="Arial" w:cs="Arial" w:eastAsia="Arial" w:hAnsi="Arial"/>
                <w:sz w:val="11"/>
                <w:szCs w:val="11"/>
                <w:color w:val="auto"/>
              </w:rPr>
              <w:t>ASIA 33616188</w:t>
            </w:r>
          </w:p>
        </w:tc>
        <w:tc>
          <w:tcPr>
            <w:tcW w:w="2580" w:type="dxa"/>
            <w:vAlign w:val="bottom"/>
          </w:tcPr>
          <w:p>
            <w:pPr>
              <w:jc w:val="right"/>
              <w:spacing w:after="0"/>
              <w:rPr>
                <w:sz w:val="20"/>
                <w:szCs w:val="20"/>
                <w:color w:val="auto"/>
              </w:rPr>
            </w:pPr>
            <w:r>
              <w:rPr>
                <w:rFonts w:ascii="Arial" w:cs="Arial" w:eastAsia="Arial" w:hAnsi="Arial"/>
                <w:sz w:val="22"/>
                <w:szCs w:val="22"/>
                <w:color w:val="auto"/>
              </w:rPr>
              <w:t>1</w:t>
            </w:r>
          </w:p>
        </w:tc>
      </w:tr>
    </w:tbl>
    <w:p>
      <w:pPr>
        <w:sectPr>
          <w:pgSz w:w="11900" w:h="16838" w:orient="portrait"/>
          <w:cols w:equalWidth="0" w:num="1">
            <w:col w:w="11420"/>
          </w:cols>
          <w:pgMar w:left="240" w:top="1440" w:right="239" w:bottom="1440" w:gutter="0" w:footer="0" w:header="0"/>
        </w:sectPr>
      </w:pPr>
    </w:p>
    <w:bookmarkStart w:id="254" w:name="page255"/>
    <w:bookmarkEnd w:id="254"/>
    <w:p>
      <w:pPr>
        <w:spacing w:after="0" w:line="2" w:lineRule="exact"/>
        <w:rPr>
          <w:sz w:val="20"/>
          <w:szCs w:val="20"/>
          <w:color w:val="auto"/>
        </w:rPr>
      </w:pPr>
    </w:p>
    <w:p>
      <w:pPr>
        <w:spacing w:after="0" w:line="302" w:lineRule="auto"/>
        <w:rPr>
          <w:sz w:val="20"/>
          <w:szCs w:val="20"/>
          <w:color w:val="auto"/>
        </w:rPr>
      </w:pPr>
      <w:r>
        <w:rPr>
          <w:rFonts w:ascii="Arial" w:cs="Arial" w:eastAsia="Arial" w:hAnsi="Arial"/>
          <w:sz w:val="22"/>
          <w:szCs w:val="22"/>
          <w:color w:val="auto"/>
        </w:rPr>
        <w:t>maintain compliance with the Securities Act and (iv) the beneficial interest in an Unrestricted Global Note is being acquired in compliance with any applicable blue sky securities laws of any state of the United States.</w:t>
      </w:r>
    </w:p>
    <w:p>
      <w:pPr>
        <w:spacing w:after="0" w:line="168" w:lineRule="exact"/>
        <w:rPr>
          <w:sz w:val="20"/>
          <w:szCs w:val="20"/>
          <w:color w:val="auto"/>
        </w:rPr>
      </w:pPr>
    </w:p>
    <w:p>
      <w:pPr>
        <w:jc w:val="both"/>
        <w:ind w:firstLine="656"/>
        <w:spacing w:after="0" w:line="337" w:lineRule="auto"/>
        <w:tabs>
          <w:tab w:leader="none" w:pos="968" w:val="left"/>
        </w:tabs>
        <w:numPr>
          <w:ilvl w:val="0"/>
          <w:numId w:val="206"/>
        </w:numPr>
        <w:rPr>
          <w:rFonts w:ascii="Arial" w:cs="Arial" w:eastAsia="Arial" w:hAnsi="Arial"/>
          <w:sz w:val="19"/>
          <w:szCs w:val="19"/>
          <w:color w:val="auto"/>
        </w:rPr>
      </w:pPr>
      <w:r>
        <w:rPr>
          <w:rFonts w:ascii="Arial" w:cs="Arial" w:eastAsia="Arial" w:hAnsi="Arial"/>
          <w:sz w:val="19"/>
          <w:szCs w:val="19"/>
          <w:color w:val="auto"/>
        </w:rPr>
        <w:t xml:space="preserve">c </w:t>
      </w:r>
      <w:r>
        <w:rPr>
          <w:rFonts w:ascii="Arial" w:cs="Arial" w:eastAsia="Arial" w:hAnsi="Arial"/>
          <w:sz w:val="19"/>
          <w:szCs w:val="19"/>
          <w:b w:val="1"/>
          <w:bCs w:val="1"/>
          <w:color w:val="auto"/>
        </w:rPr>
        <w:t>Check if Exchange is from beneficial interest in a Restricted Global Note to Unrestricted Definitive Note</w:t>
      </w:r>
      <w:r>
        <w:rPr>
          <w:rFonts w:ascii="Arial" w:cs="Arial" w:eastAsia="Arial" w:hAnsi="Arial"/>
          <w:sz w:val="19"/>
          <w:szCs w:val="19"/>
          <w:color w:val="auto"/>
        </w:rPr>
        <w:t>. In connection with the Exchange of the Owner’s beneficial interest in a Restricted Global Note for an Unrestricted Definitive Note, the Owner hereby certifies (i) the Definitive Note is being acquired for the Owner’s own account without transfer, (ii) such Exchange has been effected in compliance with the transfer restrictions applicable to the Restricted Global Notes and pursuant to and in accordance with the Securities Act, (iii) the restrictions on transfer contained in the Indenture and the Private Placement Legend are not required in order to maintain compliance with the Securities Act and (iv) the Definitive Note is being acquired in compliance with any applicable blue sky securities laws of any state of the United States.</w:t>
      </w:r>
    </w:p>
    <w:p>
      <w:pPr>
        <w:spacing w:after="0" w:line="148" w:lineRule="exact"/>
        <w:rPr>
          <w:rFonts w:ascii="Arial" w:cs="Arial" w:eastAsia="Arial" w:hAnsi="Arial"/>
          <w:sz w:val="19"/>
          <w:szCs w:val="19"/>
          <w:color w:val="auto"/>
        </w:rPr>
      </w:pPr>
    </w:p>
    <w:p>
      <w:pPr>
        <w:jc w:val="both"/>
        <w:ind w:firstLine="656"/>
        <w:spacing w:after="0" w:line="337" w:lineRule="auto"/>
        <w:tabs>
          <w:tab w:leader="none" w:pos="956" w:val="left"/>
        </w:tabs>
        <w:numPr>
          <w:ilvl w:val="0"/>
          <w:numId w:val="206"/>
        </w:numPr>
        <w:rPr>
          <w:rFonts w:ascii="Arial" w:cs="Arial" w:eastAsia="Arial" w:hAnsi="Arial"/>
          <w:sz w:val="19"/>
          <w:szCs w:val="19"/>
          <w:color w:val="auto"/>
        </w:rPr>
      </w:pPr>
      <w:r>
        <w:rPr>
          <w:rFonts w:ascii="Arial" w:cs="Arial" w:eastAsia="Arial" w:hAnsi="Arial"/>
          <w:sz w:val="19"/>
          <w:szCs w:val="19"/>
          <w:color w:val="auto"/>
        </w:rPr>
        <w:t xml:space="preserve">c </w:t>
      </w:r>
      <w:r>
        <w:rPr>
          <w:rFonts w:ascii="Arial" w:cs="Arial" w:eastAsia="Arial" w:hAnsi="Arial"/>
          <w:sz w:val="19"/>
          <w:szCs w:val="19"/>
          <w:b w:val="1"/>
          <w:bCs w:val="1"/>
          <w:color w:val="auto"/>
        </w:rPr>
        <w:t>Check if Exchange is from Restricted Definitive Note to beneficial interest in an Unrestricted Global Note</w:t>
      </w:r>
      <w:r>
        <w:rPr>
          <w:rFonts w:ascii="Arial" w:cs="Arial" w:eastAsia="Arial" w:hAnsi="Arial"/>
          <w:sz w:val="19"/>
          <w:szCs w:val="19"/>
          <w:color w:val="auto"/>
        </w:rPr>
        <w:t>. In connection with the Owner’s Exchange of a Restricted Definitive Note for a beneficial interest in an Unrestricted Global Note, the Owner hereby certifies (i) the beneficial interest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beneficial interest is being acquired in compliance with any applicable blue sky securities laws of any state of the United States.</w:t>
      </w:r>
    </w:p>
    <w:p>
      <w:pPr>
        <w:spacing w:after="0" w:line="148" w:lineRule="exact"/>
        <w:rPr>
          <w:rFonts w:ascii="Arial" w:cs="Arial" w:eastAsia="Arial" w:hAnsi="Arial"/>
          <w:sz w:val="19"/>
          <w:szCs w:val="19"/>
          <w:color w:val="auto"/>
        </w:rPr>
      </w:pPr>
    </w:p>
    <w:p>
      <w:pPr>
        <w:jc w:val="both"/>
        <w:ind w:firstLine="656"/>
        <w:spacing w:after="0" w:line="301" w:lineRule="auto"/>
        <w:tabs>
          <w:tab w:leader="none" w:pos="981" w:val="left"/>
        </w:tabs>
        <w:numPr>
          <w:ilvl w:val="0"/>
          <w:numId w:val="206"/>
        </w:numPr>
        <w:rPr>
          <w:rFonts w:ascii="Arial" w:cs="Arial" w:eastAsia="Arial" w:hAnsi="Arial"/>
          <w:sz w:val="21"/>
          <w:szCs w:val="21"/>
          <w:color w:val="auto"/>
        </w:rPr>
      </w:pPr>
      <w:r>
        <w:rPr>
          <w:rFonts w:ascii="Arial" w:cs="Arial" w:eastAsia="Arial" w:hAnsi="Arial"/>
          <w:sz w:val="21"/>
          <w:szCs w:val="21"/>
          <w:color w:val="auto"/>
        </w:rPr>
        <w:t xml:space="preserve">c </w:t>
      </w:r>
      <w:r>
        <w:rPr>
          <w:rFonts w:ascii="Arial" w:cs="Arial" w:eastAsia="Arial" w:hAnsi="Arial"/>
          <w:sz w:val="21"/>
          <w:szCs w:val="21"/>
          <w:b w:val="1"/>
          <w:bCs w:val="1"/>
          <w:color w:val="auto"/>
        </w:rPr>
        <w:t>Check if Exchange is from Restricted Definitive Note to Unrestricted Definitive Note</w:t>
      </w:r>
      <w:r>
        <w:rPr>
          <w:rFonts w:ascii="Arial" w:cs="Arial" w:eastAsia="Arial" w:hAnsi="Arial"/>
          <w:sz w:val="21"/>
          <w:szCs w:val="21"/>
          <w:color w:val="auto"/>
        </w:rPr>
        <w:t>. In connection with the Owner’s Exchange of a Restricted Definitive Note for an Unrestricted Definitive Note, the Owner hereby certifies (i) the Unrestricted Definitive Note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Unrestricted Definitive Note is being acquired in compliance with any applicable blue sky securities laws of any state of the United States.</w:t>
      </w:r>
    </w:p>
    <w:p>
      <w:pPr>
        <w:spacing w:after="0" w:line="176" w:lineRule="exact"/>
        <w:rPr>
          <w:sz w:val="20"/>
          <w:szCs w:val="20"/>
          <w:color w:val="auto"/>
        </w:rPr>
      </w:pPr>
    </w:p>
    <w:p>
      <w:pPr>
        <w:ind w:right="20" w:firstLine="656"/>
        <w:spacing w:after="0" w:line="308" w:lineRule="auto"/>
        <w:tabs>
          <w:tab w:leader="none" w:pos="864" w:val="left"/>
        </w:tabs>
        <w:numPr>
          <w:ilvl w:val="0"/>
          <w:numId w:val="207"/>
        </w:numPr>
        <w:rPr>
          <w:rFonts w:ascii="Arial" w:cs="Arial" w:eastAsia="Arial" w:hAnsi="Arial"/>
          <w:sz w:val="22"/>
          <w:szCs w:val="22"/>
          <w:color w:val="auto"/>
        </w:rPr>
      </w:pPr>
      <w:r>
        <w:rPr>
          <w:rFonts w:ascii="Arial" w:cs="Arial" w:eastAsia="Arial" w:hAnsi="Arial"/>
          <w:sz w:val="22"/>
          <w:szCs w:val="22"/>
          <w:b w:val="1"/>
          <w:bCs w:val="1"/>
          <w:u w:val="single" w:color="auto"/>
          <w:color w:val="auto"/>
        </w:rPr>
        <w:t>Exchange of Restricted Definitive Notes or Beneficial Interests in Restricted Global Notes for Restricted Definitive Notes or Beneficial Interests in Restricted Global Notes</w:t>
      </w:r>
    </w:p>
    <w:p>
      <w:pPr>
        <w:spacing w:after="0" w:line="161" w:lineRule="exact"/>
        <w:rPr>
          <w:sz w:val="20"/>
          <w:szCs w:val="20"/>
          <w:color w:val="auto"/>
        </w:rPr>
      </w:pPr>
    </w:p>
    <w:p>
      <w:pPr>
        <w:ind w:right="20" w:firstLine="656"/>
        <w:spacing w:after="0" w:line="308" w:lineRule="auto"/>
        <w:tabs>
          <w:tab w:leader="none" w:pos="969" w:val="left"/>
        </w:tabs>
        <w:numPr>
          <w:ilvl w:val="0"/>
          <w:numId w:val="208"/>
        </w:numPr>
        <w:rPr>
          <w:rFonts w:ascii="Arial" w:cs="Arial" w:eastAsia="Arial" w:hAnsi="Arial"/>
          <w:sz w:val="22"/>
          <w:szCs w:val="22"/>
          <w:color w:val="auto"/>
        </w:rPr>
      </w:pPr>
      <w:r>
        <w:rPr>
          <w:rFonts w:ascii="Arial" w:cs="Arial" w:eastAsia="Arial" w:hAnsi="Arial"/>
          <w:sz w:val="22"/>
          <w:szCs w:val="22"/>
          <w:color w:val="auto"/>
        </w:rPr>
        <w:t xml:space="preserve">c </w:t>
      </w:r>
      <w:r>
        <w:rPr>
          <w:rFonts w:ascii="Arial" w:cs="Arial" w:eastAsia="Arial" w:hAnsi="Arial"/>
          <w:sz w:val="22"/>
          <w:szCs w:val="22"/>
          <w:b w:val="1"/>
          <w:bCs w:val="1"/>
          <w:color w:val="auto"/>
        </w:rPr>
        <w:t>Check if Exchange is from beneficial interest in a Restricted Global Note to Restricted Definitive Note</w:t>
      </w:r>
      <w:r>
        <w:rPr>
          <w:rFonts w:ascii="Arial" w:cs="Arial" w:eastAsia="Arial" w:hAnsi="Arial"/>
          <w:sz w:val="22"/>
          <w:szCs w:val="22"/>
          <w:color w:val="auto"/>
        </w:rPr>
        <w:t>. In connection with the Exchange of the Owner’s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3180" w:type="dxa"/>
            <w:vAlign w:val="bottom"/>
          </w:tcPr>
          <w:p>
            <w:pPr>
              <w:spacing w:after="0"/>
              <w:rPr>
                <w:sz w:val="20"/>
                <w:szCs w:val="20"/>
                <w:color w:val="auto"/>
              </w:rPr>
            </w:pPr>
            <w:r>
              <w:rPr>
                <w:rFonts w:ascii="Arial" w:cs="Arial" w:eastAsia="Arial" w:hAnsi="Arial"/>
                <w:sz w:val="11"/>
                <w:szCs w:val="11"/>
                <w:color w:val="auto"/>
              </w:rPr>
              <w:t>ASIA 33616188</w:t>
            </w:r>
          </w:p>
        </w:tc>
        <w:tc>
          <w:tcPr>
            <w:tcW w:w="2580" w:type="dxa"/>
            <w:vAlign w:val="bottom"/>
          </w:tcPr>
          <w:p>
            <w:pPr>
              <w:jc w:val="right"/>
              <w:spacing w:after="0"/>
              <w:rPr>
                <w:sz w:val="20"/>
                <w:szCs w:val="20"/>
                <w:color w:val="auto"/>
              </w:rPr>
            </w:pPr>
            <w:r>
              <w:rPr>
                <w:rFonts w:ascii="Arial" w:cs="Arial" w:eastAsia="Arial" w:hAnsi="Arial"/>
                <w:sz w:val="22"/>
                <w:szCs w:val="22"/>
                <w:color w:val="auto"/>
              </w:rPr>
              <w:t>2</w:t>
            </w:r>
          </w:p>
        </w:tc>
      </w:tr>
    </w:tbl>
    <w:p>
      <w:pPr>
        <w:sectPr>
          <w:pgSz w:w="11900" w:h="16838" w:orient="portrait"/>
          <w:cols w:equalWidth="0" w:num="1">
            <w:col w:w="11420"/>
          </w:cols>
          <w:pgMar w:left="240" w:top="1440" w:right="239" w:bottom="1440" w:gutter="0" w:footer="0" w:header="0"/>
        </w:sectPr>
      </w:pPr>
    </w:p>
    <w:bookmarkStart w:id="255" w:name="page256"/>
    <w:bookmarkEnd w:id="255"/>
    <w:p>
      <w:pPr>
        <w:spacing w:after="0" w:line="2" w:lineRule="exact"/>
        <w:rPr>
          <w:sz w:val="20"/>
          <w:szCs w:val="20"/>
          <w:color w:val="auto"/>
        </w:rPr>
      </w:pPr>
    </w:p>
    <w:p>
      <w:pPr>
        <w:jc w:val="both"/>
        <w:spacing w:after="0" w:line="287" w:lineRule="auto"/>
        <w:rPr>
          <w:sz w:val="20"/>
          <w:szCs w:val="20"/>
          <w:color w:val="auto"/>
        </w:rPr>
      </w:pPr>
      <w:r>
        <w:rPr>
          <w:rFonts w:ascii="Arial" w:cs="Arial" w:eastAsia="Arial" w:hAnsi="Arial"/>
          <w:sz w:val="22"/>
          <w:szCs w:val="22"/>
          <w:color w:val="auto"/>
        </w:rPr>
        <w:t>beneficial interest in a Restricted Global Note for a Restricted Definitive Note with an equal principal amount, the Owner hereby certifies that the Restricted Definitive Note is being acquired for the Owner’s own account without transfer. Upon consummation of the proposed Exchange in accordance with the terms of the Indenture, the Restricted Definitive Note issued will continue to be subject to the restrictions on transfer enumerated in the Private Placement Legend printed on the Restricted Definitive Note and in the Indenture and the Securities Act.</w:t>
      </w:r>
    </w:p>
    <w:p>
      <w:pPr>
        <w:spacing w:after="0" w:line="183" w:lineRule="exact"/>
        <w:rPr>
          <w:sz w:val="20"/>
          <w:szCs w:val="20"/>
          <w:color w:val="auto"/>
        </w:rPr>
      </w:pPr>
    </w:p>
    <w:p>
      <w:pPr>
        <w:jc w:val="both"/>
        <w:ind w:firstLine="656"/>
        <w:spacing w:after="0" w:line="336" w:lineRule="auto"/>
        <w:tabs>
          <w:tab w:leader="none" w:pos="981" w:val="left"/>
        </w:tabs>
        <w:numPr>
          <w:ilvl w:val="0"/>
          <w:numId w:val="209"/>
        </w:numPr>
        <w:rPr>
          <w:rFonts w:ascii="Arial" w:cs="Arial" w:eastAsia="Arial" w:hAnsi="Arial"/>
          <w:sz w:val="19"/>
          <w:szCs w:val="19"/>
          <w:color w:val="auto"/>
        </w:rPr>
      </w:pPr>
      <w:r>
        <w:rPr>
          <w:rFonts w:ascii="Arial" w:cs="Arial" w:eastAsia="Arial" w:hAnsi="Arial"/>
          <w:sz w:val="19"/>
          <w:szCs w:val="19"/>
          <w:color w:val="auto"/>
        </w:rPr>
        <w:t xml:space="preserve">c </w:t>
      </w:r>
      <w:r>
        <w:rPr>
          <w:rFonts w:ascii="Arial" w:cs="Arial" w:eastAsia="Arial" w:hAnsi="Arial"/>
          <w:sz w:val="19"/>
          <w:szCs w:val="19"/>
          <w:b w:val="1"/>
          <w:bCs w:val="1"/>
          <w:color w:val="auto"/>
        </w:rPr>
        <w:t>Check if Exchange is from Restricted Definitive Note to beneficial interest in a Restricted Global Note.</w:t>
      </w:r>
      <w:r>
        <w:rPr>
          <w:rFonts w:ascii="Arial" w:cs="Arial" w:eastAsia="Arial" w:hAnsi="Arial"/>
          <w:sz w:val="19"/>
          <w:szCs w:val="19"/>
          <w:color w:val="auto"/>
        </w:rPr>
        <w:t xml:space="preserve"> In connection with the Exchange of the Owner’s Restricted Definitive Note for a beneficial interest in the [CHECK ONE] c 144A Global Note, c Regulation S Global Note, the Owner hereby certifies (i) the beneficial interest is being acquired for the Owner’s own account without transfer and (ii) such Exchange has been effected in compliance with the transfer restrictions applicable to the Restricted Global Notes and pursuant to and in accordance with the Securities Act, and in compliance with any applicable blue sky securities laws of any state of the United States. Upon consummation of the proposed Exchange in accordance with the terms of the Indenture, the beneficial interest issued will be subject to the restrictions on transfer enumerated in the Private Placement Legend printed on the relevant Restricted Global Note and in the Indenture and the Securities Act.</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This certificate and the statements contained herein are made for your benefit and the benefit of the Issuer.</w:t>
      </w:r>
    </w:p>
    <w:p>
      <w:pPr>
        <w:spacing w:after="0" w:line="26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_______________________________________</w:t>
      </w:r>
    </w:p>
    <w:p>
      <w:pPr>
        <w:spacing w:after="0" w:line="4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[Insert Name of Transferor]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940"/>
        <w:spacing w:after="0"/>
        <w:rPr>
          <w:sz w:val="20"/>
          <w:szCs w:val="20"/>
          <w:color w:val="auto"/>
        </w:rPr>
      </w:pPr>
      <w:r>
        <w:rPr>
          <w:rFonts w:ascii="Arial" w:cs="Arial" w:eastAsia="Arial" w:hAnsi="Arial"/>
          <w:sz w:val="22"/>
          <w:szCs w:val="22"/>
          <w:color w:val="auto"/>
        </w:rPr>
        <w:t>By:____________________________________</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Dated:____________________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3180" w:type="dxa"/>
            <w:vAlign w:val="bottom"/>
          </w:tcPr>
          <w:p>
            <w:pPr>
              <w:spacing w:after="0"/>
              <w:rPr>
                <w:sz w:val="20"/>
                <w:szCs w:val="20"/>
                <w:color w:val="auto"/>
              </w:rPr>
            </w:pPr>
            <w:r>
              <w:rPr>
                <w:rFonts w:ascii="Arial" w:cs="Arial" w:eastAsia="Arial" w:hAnsi="Arial"/>
                <w:sz w:val="11"/>
                <w:szCs w:val="11"/>
                <w:color w:val="auto"/>
              </w:rPr>
              <w:t>ASIA 33616188</w:t>
            </w:r>
          </w:p>
        </w:tc>
        <w:tc>
          <w:tcPr>
            <w:tcW w:w="2580" w:type="dxa"/>
            <w:vAlign w:val="bottom"/>
          </w:tcPr>
          <w:p>
            <w:pPr>
              <w:jc w:val="right"/>
              <w:spacing w:after="0"/>
              <w:rPr>
                <w:sz w:val="20"/>
                <w:szCs w:val="20"/>
                <w:color w:val="auto"/>
              </w:rPr>
            </w:pPr>
            <w:r>
              <w:rPr>
                <w:rFonts w:ascii="Arial" w:cs="Arial" w:eastAsia="Arial" w:hAnsi="Arial"/>
                <w:sz w:val="22"/>
                <w:szCs w:val="22"/>
                <w:color w:val="auto"/>
              </w:rPr>
              <w:t>3</w:t>
            </w:r>
          </w:p>
        </w:tc>
      </w:tr>
    </w:tbl>
    <w:p>
      <w:pPr>
        <w:sectPr>
          <w:pgSz w:w="11900" w:h="16838" w:orient="portrait"/>
          <w:cols w:equalWidth="0" w:num="1">
            <w:col w:w="11420"/>
          </w:cols>
          <w:pgMar w:left="240" w:top="1440" w:right="239" w:bottom="1440" w:gutter="0" w:footer="0" w:header="0"/>
        </w:sectPr>
      </w:pPr>
    </w:p>
    <w:bookmarkStart w:id="256" w:name="page257"/>
    <w:bookmarkEnd w:id="256"/>
    <w:p>
      <w:pPr>
        <w:jc w:val="right"/>
        <w:spacing w:after="0"/>
        <w:rPr>
          <w:sz w:val="20"/>
          <w:szCs w:val="20"/>
          <w:color w:val="auto"/>
        </w:rPr>
      </w:pPr>
      <w:r>
        <w:rPr>
          <w:rFonts w:ascii="Arial" w:cs="Arial" w:eastAsia="Arial" w:hAnsi="Arial"/>
          <w:sz w:val="20"/>
          <w:szCs w:val="20"/>
          <w:b w:val="1"/>
          <w:bCs w:val="1"/>
          <w:color w:val="auto"/>
        </w:rPr>
        <w:t>Exhibit 10.7.1.0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66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AMENDED AND RESTATED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2466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jc w:val="both"/>
        <w:ind w:firstLine="648"/>
        <w:spacing w:after="0"/>
        <w:rPr>
          <w:sz w:val="20"/>
          <w:szCs w:val="20"/>
          <w:color w:val="auto"/>
        </w:rPr>
      </w:pPr>
      <w:r>
        <w:rPr>
          <w:rFonts w:ascii="Arial" w:cs="Arial" w:eastAsia="Arial" w:hAnsi="Arial"/>
          <w:sz w:val="20"/>
          <w:szCs w:val="20"/>
          <w:b w:val="1"/>
          <w:bCs w:val="1"/>
          <w:color w:val="auto"/>
        </w:rPr>
        <w:t xml:space="preserve">THIS AMENDED AND RESTATED EMPLOYMENT AGREEMENT </w:t>
      </w:r>
      <w:r>
        <w:rPr>
          <w:rFonts w:ascii="Arial" w:cs="Arial" w:eastAsia="Arial" w:hAnsi="Arial"/>
          <w:sz w:val="20"/>
          <w:szCs w:val="20"/>
          <w:color w:val="auto"/>
        </w:rPr>
        <w:t>(“</w:t>
      </w:r>
      <w:r>
        <w:rPr>
          <w:rFonts w:ascii="Arial" w:cs="Arial" w:eastAsia="Arial" w:hAnsi="Arial"/>
          <w:sz w:val="20"/>
          <w:szCs w:val="20"/>
          <w:b w:val="1"/>
          <w:bCs w:val="1"/>
          <w:color w:val="auto"/>
        </w:rPr>
        <w:t>Agreement</w:t>
      </w:r>
      <w:r>
        <w:rPr>
          <w:rFonts w:ascii="Arial" w:cs="Arial" w:eastAsia="Arial" w:hAnsi="Arial"/>
          <w:sz w:val="20"/>
          <w:szCs w:val="20"/>
          <w:color w:val="auto"/>
        </w:rPr>
        <w:t>”) is made and entered into as of the 16</w:t>
      </w:r>
      <w:r>
        <w:rPr>
          <w:rFonts w:ascii="Arial" w:cs="Arial" w:eastAsia="Arial" w:hAnsi="Arial"/>
          <w:sz w:val="25"/>
          <w:szCs w:val="25"/>
          <w:color w:val="auto"/>
          <w:vertAlign w:val="superscript"/>
        </w:rPr>
        <w:t>th</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day of December, 2019, by and between </w:t>
      </w:r>
      <w:r>
        <w:rPr>
          <w:rFonts w:ascii="Arial" w:cs="Arial" w:eastAsia="Arial" w:hAnsi="Arial"/>
          <w:sz w:val="20"/>
          <w:szCs w:val="20"/>
          <w:b w:val="1"/>
          <w:bCs w:val="1"/>
          <w:color w:val="auto"/>
        </w:rPr>
        <w:t>WYNN RESORTS, LIMITED</w:t>
      </w:r>
      <w:r>
        <w:rPr>
          <w:rFonts w:ascii="Arial" w:cs="Arial" w:eastAsia="Arial" w:hAnsi="Arial"/>
          <w:sz w:val="20"/>
          <w:szCs w:val="20"/>
          <w:color w:val="auto"/>
        </w:rPr>
        <w:t xml:space="preserve"> (“</w:t>
      </w:r>
      <w:r>
        <w:rPr>
          <w:rFonts w:ascii="Arial" w:cs="Arial" w:eastAsia="Arial" w:hAnsi="Arial"/>
          <w:sz w:val="20"/>
          <w:szCs w:val="20"/>
          <w:b w:val="1"/>
          <w:bCs w:val="1"/>
          <w:color w:val="auto"/>
        </w:rPr>
        <w:t>Employer</w:t>
      </w:r>
      <w:r>
        <w:rPr>
          <w:rFonts w:ascii="Arial" w:cs="Arial" w:eastAsia="Arial" w:hAnsi="Arial"/>
          <w:sz w:val="20"/>
          <w:szCs w:val="20"/>
          <w:color w:val="auto"/>
        </w:rPr>
        <w:t xml:space="preserve">”) and </w:t>
      </w:r>
      <w:r>
        <w:rPr>
          <w:rFonts w:ascii="Arial" w:cs="Arial" w:eastAsia="Arial" w:hAnsi="Arial"/>
          <w:sz w:val="20"/>
          <w:szCs w:val="20"/>
          <w:b w:val="1"/>
          <w:bCs w:val="1"/>
          <w:color w:val="auto"/>
        </w:rPr>
        <w:t>MATT MADDOX</w:t>
      </w:r>
      <w:r>
        <w:rPr>
          <w:rFonts w:ascii="Arial" w:cs="Arial" w:eastAsia="Arial" w:hAnsi="Arial"/>
          <w:sz w:val="20"/>
          <w:szCs w:val="20"/>
          <w:color w:val="auto"/>
        </w:rPr>
        <w:t xml:space="preserve"> (“</w:t>
      </w:r>
      <w:r>
        <w:rPr>
          <w:rFonts w:ascii="Arial" w:cs="Arial" w:eastAsia="Arial" w:hAnsi="Arial"/>
          <w:sz w:val="20"/>
          <w:szCs w:val="20"/>
          <w:b w:val="1"/>
          <w:bCs w:val="1"/>
          <w:color w:val="auto"/>
        </w:rPr>
        <w:t>Employee</w:t>
      </w:r>
      <w:r>
        <w:rPr>
          <w:rFonts w:ascii="Arial" w:cs="Arial" w:eastAsia="Arial" w:hAnsi="Arial"/>
          <w:sz w:val="20"/>
          <w:szCs w:val="20"/>
          <w:color w:val="auto"/>
        </w:rPr>
        <w: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W I T N E S S E T H</w:t>
      </w:r>
      <w:r>
        <w:rPr>
          <w:rFonts w:ascii="Arial" w:cs="Arial" w:eastAsia="Arial" w:hAnsi="Arial"/>
          <w:sz w:val="20"/>
          <w:szCs w:val="20"/>
          <w:b w:val="1"/>
          <w:bCs w:val="1"/>
          <w:color w:val="auto"/>
        </w:rPr>
        <w:t>:</w:t>
      </w:r>
    </w:p>
    <w:p>
      <w:pPr>
        <w:spacing w:after="0" w:line="31"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20"/>
          <w:szCs w:val="20"/>
          <w:b w:val="1"/>
          <w:bCs w:val="1"/>
          <w:i w:val="1"/>
          <w:iCs w:val="1"/>
          <w:color w:val="auto"/>
        </w:rPr>
        <w:t>WHEREAS</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Employer is a corporation duly organized and existing under the laws of the State of Nevada, maintains its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principal place of business at 3131 Las Vegas Boulevard South, Las Vegas, Nevada 89109, and is engaged in the business of developing, owning and operating casino resorts; and</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WHEREAS</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Employee is an adult individual residing at 805 Trophy Hills Drive, Las Vegas, Nevada 89134; and</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WHEREAS</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in furtherance of its business, Employer has need of qualified, experienced executives; and</w:t>
      </w:r>
    </w:p>
    <w:p>
      <w:pPr>
        <w:spacing w:after="0" w:line="243" w:lineRule="exact"/>
        <w:rPr>
          <w:sz w:val="20"/>
          <w:szCs w:val="20"/>
          <w:color w:val="auto"/>
        </w:rPr>
      </w:pPr>
    </w:p>
    <w:p>
      <w:pPr>
        <w:jc w:val="both"/>
        <w:ind w:right="20" w:firstLine="648"/>
        <w:spacing w:after="0" w:line="284" w:lineRule="auto"/>
        <w:rPr>
          <w:sz w:val="20"/>
          <w:szCs w:val="20"/>
          <w:color w:val="auto"/>
        </w:rPr>
      </w:pPr>
      <w:r>
        <w:rPr>
          <w:rFonts w:ascii="Arial" w:cs="Arial" w:eastAsia="Arial" w:hAnsi="Arial"/>
          <w:sz w:val="20"/>
          <w:szCs w:val="20"/>
          <w:b w:val="1"/>
          <w:bCs w:val="1"/>
          <w:i w:val="1"/>
          <w:iCs w:val="1"/>
          <w:color w:val="auto"/>
        </w:rPr>
        <w:t>WHEREAS</w:t>
      </w:r>
      <w:r>
        <w:rPr>
          <w:rFonts w:ascii="Arial" w:cs="Arial" w:eastAsia="Arial" w:hAnsi="Arial"/>
          <w:sz w:val="20"/>
          <w:szCs w:val="20"/>
          <w:color w:val="auto"/>
        </w:rPr>
        <w:t>, Employer’s affiliate, Worldwide Wynn, LLC, hired Employee to serve as Vice President – Chief Financial</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Officer of Wynn Macau pursuant to the terms of an Employment Agreement effective as of March 17, 2003 (the “</w:t>
      </w:r>
      <w:r>
        <w:rPr>
          <w:rFonts w:ascii="Arial" w:cs="Arial" w:eastAsia="Arial" w:hAnsi="Arial"/>
          <w:sz w:val="20"/>
          <w:szCs w:val="20"/>
          <w:b w:val="1"/>
          <w:bCs w:val="1"/>
          <w:color w:val="auto"/>
        </w:rPr>
        <w:t>2003</w:t>
      </w:r>
      <w:r>
        <w:rPr>
          <w:rFonts w:ascii="Arial" w:cs="Arial" w:eastAsia="Arial" w:hAnsi="Arial"/>
          <w:sz w:val="20"/>
          <w:szCs w:val="20"/>
          <w:color w:val="auto"/>
        </w:rPr>
        <w:t xml:space="preserve"> </w:t>
      </w:r>
      <w:r>
        <w:rPr>
          <w:rFonts w:ascii="Arial" w:cs="Arial" w:eastAsia="Arial" w:hAnsi="Arial"/>
          <w:sz w:val="20"/>
          <w:szCs w:val="20"/>
          <w:b w:val="1"/>
          <w:bCs w:val="1"/>
          <w:color w:val="auto"/>
        </w:rPr>
        <w:t>Agreement</w:t>
      </w:r>
      <w:r>
        <w:rPr>
          <w:rFonts w:ascii="Arial" w:cs="Arial" w:eastAsia="Arial" w:hAnsi="Arial"/>
          <w:sz w:val="20"/>
          <w:szCs w:val="20"/>
          <w:color w:val="auto"/>
        </w:rPr>
        <w:t>”); and</w:t>
      </w:r>
    </w:p>
    <w:p>
      <w:pPr>
        <w:spacing w:after="0" w:line="169"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20"/>
          <w:szCs w:val="20"/>
          <w:b w:val="1"/>
          <w:bCs w:val="1"/>
          <w:i w:val="1"/>
          <w:iCs w:val="1"/>
          <w:color w:val="auto"/>
        </w:rPr>
        <w:t>WHEREAS</w:t>
      </w:r>
      <w:r>
        <w:rPr>
          <w:rFonts w:ascii="Arial" w:cs="Arial" w:eastAsia="Arial" w:hAnsi="Arial"/>
          <w:sz w:val="20"/>
          <w:szCs w:val="20"/>
          <w:color w:val="auto"/>
        </w:rPr>
        <w:t>, the 2003 Agreement was subsequently amended effective as of September 4, 2004 (the “</w:t>
      </w:r>
      <w:r>
        <w:rPr>
          <w:rFonts w:ascii="Arial" w:cs="Arial" w:eastAsia="Arial" w:hAnsi="Arial"/>
          <w:sz w:val="20"/>
          <w:szCs w:val="20"/>
          <w:b w:val="1"/>
          <w:bCs w:val="1"/>
          <w:color w:val="auto"/>
        </w:rPr>
        <w:t>2004</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Amendment</w:t>
      </w:r>
      <w:r>
        <w:rPr>
          <w:rFonts w:ascii="Arial" w:cs="Arial" w:eastAsia="Arial" w:hAnsi="Arial"/>
          <w:sz w:val="20"/>
          <w:szCs w:val="20"/>
          <w:color w:val="auto"/>
        </w:rPr>
        <w:t>”), extending the Term of the 2003 Agreement through March 17, 2009; and</w:t>
      </w:r>
    </w:p>
    <w:p>
      <w:pPr>
        <w:spacing w:after="0" w:line="154"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20"/>
          <w:szCs w:val="20"/>
          <w:b w:val="1"/>
          <w:bCs w:val="1"/>
          <w:i w:val="1"/>
          <w:iCs w:val="1"/>
          <w:color w:val="auto"/>
        </w:rPr>
        <w:t>WHEREAS</w:t>
      </w:r>
      <w:r>
        <w:rPr>
          <w:rFonts w:ascii="Arial" w:cs="Arial" w:eastAsia="Arial" w:hAnsi="Arial"/>
          <w:sz w:val="20"/>
          <w:szCs w:val="20"/>
          <w:color w:val="auto"/>
        </w:rPr>
        <w:t>, the 2003 Agreement was terminated by agreement between Worldwide Wynn, LLC and Employee effective as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of October 1, 2005 (the “</w:t>
      </w:r>
      <w:r>
        <w:rPr>
          <w:rFonts w:ascii="Arial" w:cs="Arial" w:eastAsia="Arial" w:hAnsi="Arial"/>
          <w:sz w:val="20"/>
          <w:szCs w:val="20"/>
          <w:b w:val="1"/>
          <w:bCs w:val="1"/>
          <w:color w:val="auto"/>
        </w:rPr>
        <w:t>Termination Agreement</w:t>
      </w:r>
      <w:r>
        <w:rPr>
          <w:rFonts w:ascii="Arial" w:cs="Arial" w:eastAsia="Arial" w:hAnsi="Arial"/>
          <w:sz w:val="20"/>
          <w:szCs w:val="20"/>
          <w:color w:val="auto"/>
        </w:rPr>
        <w:t>”); and</w:t>
      </w:r>
    </w:p>
    <w:p>
      <w:pPr>
        <w:spacing w:after="0" w:line="154"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20"/>
          <w:szCs w:val="20"/>
          <w:b w:val="1"/>
          <w:bCs w:val="1"/>
          <w:i w:val="1"/>
          <w:iCs w:val="1"/>
          <w:color w:val="auto"/>
        </w:rPr>
        <w:t>WHEREAS</w:t>
      </w:r>
      <w:r>
        <w:rPr>
          <w:rFonts w:ascii="Arial" w:cs="Arial" w:eastAsia="Arial" w:hAnsi="Arial"/>
          <w:sz w:val="20"/>
          <w:szCs w:val="20"/>
          <w:color w:val="auto"/>
        </w:rPr>
        <w:t>, Employer’s affiliate, Wynn Las Vegas, LLC, hired Employee to serve as Vice President – Business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Development of Wynn Las Vegas, LLC pursuant to the terms of an Employment Agreement effective as of October 1, 2005 (the “</w:t>
      </w:r>
      <w:r>
        <w:rPr>
          <w:rFonts w:ascii="Arial" w:cs="Arial" w:eastAsia="Arial" w:hAnsi="Arial"/>
          <w:sz w:val="20"/>
          <w:szCs w:val="20"/>
          <w:b w:val="1"/>
          <w:bCs w:val="1"/>
          <w:color w:val="auto"/>
        </w:rPr>
        <w:t>2005 Agreement</w:t>
      </w:r>
      <w:r>
        <w:rPr>
          <w:rFonts w:ascii="Arial" w:cs="Arial" w:eastAsia="Arial" w:hAnsi="Arial"/>
          <w:sz w:val="20"/>
          <w:szCs w:val="20"/>
          <w:color w:val="auto"/>
        </w:rPr>
        <w:t>”); and</w:t>
      </w:r>
    </w:p>
    <w:p>
      <w:pPr>
        <w:spacing w:after="0" w:line="16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20"/>
          <w:szCs w:val="20"/>
          <w:b w:val="1"/>
          <w:bCs w:val="1"/>
          <w:i w:val="1"/>
          <w:iCs w:val="1"/>
          <w:color w:val="auto"/>
        </w:rPr>
        <w:t>WHEREAS</w:t>
      </w:r>
      <w:r>
        <w:rPr>
          <w:rFonts w:ascii="Arial" w:cs="Arial" w:eastAsia="Arial" w:hAnsi="Arial"/>
          <w:sz w:val="20"/>
          <w:szCs w:val="20"/>
          <w:color w:val="auto"/>
        </w:rPr>
        <w:t>, the 2005 Agreement was subsequently amended effective as of May 5, 2008 (the “</w:t>
      </w:r>
      <w:r>
        <w:rPr>
          <w:rFonts w:ascii="Arial" w:cs="Arial" w:eastAsia="Arial" w:hAnsi="Arial"/>
          <w:sz w:val="20"/>
          <w:szCs w:val="20"/>
          <w:b w:val="1"/>
          <w:bCs w:val="1"/>
          <w:color w:val="auto"/>
        </w:rPr>
        <w:t>2008 First Amendment</w:t>
      </w:r>
      <w:r>
        <w:rPr>
          <w:rFonts w:ascii="Arial" w:cs="Arial" w:eastAsia="Arial" w:hAnsi="Arial"/>
          <w:sz w:val="20"/>
          <w:szCs w:val="20"/>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assigning Employee to Employer, changing Employee’s title and duties to that of Chief Financial Officer of Employer, and extending the Term of the 2005 Agreement through May 31, 2012; and</w:t>
      </w:r>
    </w:p>
    <w:p>
      <w:pPr>
        <w:spacing w:after="0" w:line="169"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20"/>
          <w:szCs w:val="20"/>
          <w:b w:val="1"/>
          <w:bCs w:val="1"/>
          <w:i w:val="1"/>
          <w:iCs w:val="1"/>
          <w:color w:val="auto"/>
        </w:rPr>
        <w:t>WHEREAS</w:t>
      </w:r>
      <w:r>
        <w:rPr>
          <w:rFonts w:ascii="Arial" w:cs="Arial" w:eastAsia="Arial" w:hAnsi="Arial"/>
          <w:sz w:val="20"/>
          <w:szCs w:val="20"/>
          <w:color w:val="auto"/>
        </w:rPr>
        <w:t>, the 2005 Agreement was subsequently amended effective as of December 31, 2008 (the “</w:t>
      </w:r>
      <w:r>
        <w:rPr>
          <w:rFonts w:ascii="Arial" w:cs="Arial" w:eastAsia="Arial" w:hAnsi="Arial"/>
          <w:sz w:val="20"/>
          <w:szCs w:val="20"/>
          <w:b w:val="1"/>
          <w:bCs w:val="1"/>
          <w:color w:val="auto"/>
        </w:rPr>
        <w:t>2008 Second</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Amendment</w:t>
      </w:r>
      <w:r>
        <w:rPr>
          <w:rFonts w:ascii="Arial" w:cs="Arial" w:eastAsia="Arial" w:hAnsi="Arial"/>
          <w:sz w:val="20"/>
          <w:szCs w:val="20"/>
          <w:color w:val="auto"/>
        </w:rPr>
        <w:t>”); and</w:t>
      </w:r>
    </w:p>
    <w:p>
      <w:pPr>
        <w:spacing w:after="0" w:line="154"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20"/>
          <w:szCs w:val="20"/>
          <w:b w:val="1"/>
          <w:bCs w:val="1"/>
          <w:i w:val="1"/>
          <w:iCs w:val="1"/>
          <w:color w:val="auto"/>
        </w:rPr>
        <w:t>WHEREAS</w:t>
      </w:r>
      <w:r>
        <w:rPr>
          <w:rFonts w:ascii="Arial" w:cs="Arial" w:eastAsia="Arial" w:hAnsi="Arial"/>
          <w:sz w:val="20"/>
          <w:szCs w:val="20"/>
          <w:color w:val="auto"/>
        </w:rPr>
        <w:t>, the 2005 Agreement was subsequently amended effective as of February 16, 2009 (the “</w:t>
      </w:r>
      <w:r>
        <w:rPr>
          <w:rFonts w:ascii="Arial" w:cs="Arial" w:eastAsia="Arial" w:hAnsi="Arial"/>
          <w:sz w:val="20"/>
          <w:szCs w:val="20"/>
          <w:b w:val="1"/>
          <w:bCs w:val="1"/>
          <w:color w:val="auto"/>
        </w:rPr>
        <w:t>2009 Third</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Amendment</w:t>
      </w:r>
      <w:r>
        <w:rPr>
          <w:rFonts w:ascii="Arial" w:cs="Arial" w:eastAsia="Arial" w:hAnsi="Arial"/>
          <w:sz w:val="20"/>
          <w:szCs w:val="20"/>
          <w:color w:val="auto"/>
        </w:rPr>
        <w:t>”); and</w:t>
      </w:r>
    </w:p>
    <w:p>
      <w:pPr>
        <w:sectPr>
          <w:pgSz w:w="11900" w:h="16838" w:orient="portrait"/>
          <w:cols w:equalWidth="0" w:num="1">
            <w:col w:w="11420"/>
          </w:cols>
          <w:pgMar w:left="240" w:top="1413" w:right="239" w:bottom="1440" w:gutter="0" w:footer="0" w:header="0"/>
        </w:sectPr>
      </w:pPr>
    </w:p>
    <w:bookmarkStart w:id="257" w:name="page258"/>
    <w:bookmarkEnd w:id="257"/>
    <w:p>
      <w:pPr>
        <w:jc w:val="both"/>
        <w:ind w:right="20" w:firstLine="648"/>
        <w:spacing w:after="0" w:line="300" w:lineRule="auto"/>
        <w:rPr>
          <w:sz w:val="20"/>
          <w:szCs w:val="20"/>
          <w:color w:val="auto"/>
        </w:rPr>
      </w:pPr>
      <w:r>
        <w:rPr>
          <w:rFonts w:ascii="Arial" w:cs="Arial" w:eastAsia="Arial" w:hAnsi="Arial"/>
          <w:sz w:val="20"/>
          <w:szCs w:val="20"/>
          <w:b w:val="1"/>
          <w:bCs w:val="1"/>
          <w:i w:val="1"/>
          <w:iCs w:val="1"/>
          <w:color w:val="auto"/>
        </w:rPr>
        <w:t>WHEREAS</w:t>
      </w:r>
      <w:r>
        <w:rPr>
          <w:rFonts w:ascii="Arial" w:cs="Arial" w:eastAsia="Arial" w:hAnsi="Arial"/>
          <w:sz w:val="20"/>
          <w:szCs w:val="20"/>
          <w:color w:val="auto"/>
        </w:rPr>
        <w:t>, the 2005 Agreement was subsequently amended effective as of March 11, 2009 (the “</w:t>
      </w:r>
      <w:r>
        <w:rPr>
          <w:rFonts w:ascii="Arial" w:cs="Arial" w:eastAsia="Arial" w:hAnsi="Arial"/>
          <w:sz w:val="20"/>
          <w:szCs w:val="20"/>
          <w:b w:val="1"/>
          <w:bCs w:val="1"/>
          <w:color w:val="auto"/>
        </w:rPr>
        <w:t>2009 Fourth</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Amendment</w:t>
      </w:r>
      <w:r>
        <w:rPr>
          <w:rFonts w:ascii="Arial" w:cs="Arial" w:eastAsia="Arial" w:hAnsi="Arial"/>
          <w:sz w:val="20"/>
          <w:szCs w:val="20"/>
          <w:color w:val="auto"/>
        </w:rPr>
        <w:t>”), extending the Term of the 2005 Agreement through November 30, 2013; and</w:t>
      </w:r>
    </w:p>
    <w:p>
      <w:pPr>
        <w:spacing w:after="0" w:line="154" w:lineRule="exact"/>
        <w:rPr>
          <w:sz w:val="20"/>
          <w:szCs w:val="20"/>
          <w:color w:val="auto"/>
        </w:rPr>
      </w:pPr>
    </w:p>
    <w:p>
      <w:pPr>
        <w:jc w:val="both"/>
        <w:ind w:right="20" w:firstLine="648"/>
        <w:spacing w:after="0" w:line="300" w:lineRule="auto"/>
        <w:rPr>
          <w:sz w:val="20"/>
          <w:szCs w:val="20"/>
          <w:color w:val="auto"/>
        </w:rPr>
      </w:pPr>
      <w:r>
        <w:rPr>
          <w:rFonts w:ascii="Arial" w:cs="Arial" w:eastAsia="Arial" w:hAnsi="Arial"/>
          <w:sz w:val="20"/>
          <w:szCs w:val="20"/>
          <w:b w:val="1"/>
          <w:bCs w:val="1"/>
          <w:i w:val="1"/>
          <w:iCs w:val="1"/>
          <w:color w:val="auto"/>
        </w:rPr>
        <w:t>WHEREAS</w:t>
      </w:r>
      <w:r>
        <w:rPr>
          <w:rFonts w:ascii="Arial" w:cs="Arial" w:eastAsia="Arial" w:hAnsi="Arial"/>
          <w:sz w:val="20"/>
          <w:szCs w:val="20"/>
          <w:color w:val="auto"/>
        </w:rPr>
        <w:t>, the 2005 Agreement was subsequently amended effective as of February 2, 2010 (the “</w:t>
      </w:r>
      <w:r>
        <w:rPr>
          <w:rFonts w:ascii="Arial" w:cs="Arial" w:eastAsia="Arial" w:hAnsi="Arial"/>
          <w:sz w:val="20"/>
          <w:szCs w:val="20"/>
          <w:b w:val="1"/>
          <w:bCs w:val="1"/>
          <w:color w:val="auto"/>
        </w:rPr>
        <w:t>2010 Fifth</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Amendment</w:t>
      </w:r>
      <w:r>
        <w:rPr>
          <w:rFonts w:ascii="Arial" w:cs="Arial" w:eastAsia="Arial" w:hAnsi="Arial"/>
          <w:sz w:val="20"/>
          <w:szCs w:val="20"/>
          <w:color w:val="auto"/>
        </w:rPr>
        <w:t>”); and</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WHEREAS</w:t>
      </w:r>
      <w:r>
        <w:rPr>
          <w:rFonts w:ascii="Arial" w:cs="Arial" w:eastAsia="Arial" w:hAnsi="Arial"/>
          <w:sz w:val="20"/>
          <w:szCs w:val="20"/>
          <w:color w:val="auto"/>
        </w:rPr>
        <w:t>, the 2005 Agreement terminated by its terms as of November 30, 2013; and</w:t>
      </w:r>
    </w:p>
    <w:p>
      <w:pPr>
        <w:spacing w:after="0" w:line="243"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20"/>
          <w:szCs w:val="20"/>
          <w:b w:val="1"/>
          <w:bCs w:val="1"/>
          <w:i w:val="1"/>
          <w:iCs w:val="1"/>
          <w:color w:val="auto"/>
        </w:rPr>
        <w:t>WHEREAS</w:t>
      </w:r>
      <w:r>
        <w:rPr>
          <w:rFonts w:ascii="Arial" w:cs="Arial" w:eastAsia="Arial" w:hAnsi="Arial"/>
          <w:sz w:val="20"/>
          <w:szCs w:val="20"/>
          <w:color w:val="auto"/>
        </w:rPr>
        <w:t>, Employee and Employer entered into an Employment Agreement for Employee to serve as Employer’s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President and Chief Financial Officer, effective as of November 4, 2013 (the “</w:t>
      </w:r>
      <w:r>
        <w:rPr>
          <w:rFonts w:ascii="Arial" w:cs="Arial" w:eastAsia="Arial" w:hAnsi="Arial"/>
          <w:sz w:val="20"/>
          <w:szCs w:val="20"/>
          <w:b w:val="1"/>
          <w:bCs w:val="1"/>
          <w:color w:val="auto"/>
        </w:rPr>
        <w:t>2013 Employment Agreement</w:t>
      </w:r>
      <w:r>
        <w:rPr>
          <w:rFonts w:ascii="Arial" w:cs="Arial" w:eastAsia="Arial" w:hAnsi="Arial"/>
          <w:sz w:val="20"/>
          <w:szCs w:val="20"/>
          <w:color w:val="auto"/>
        </w:rPr>
        <w:t>”); and</w:t>
      </w:r>
    </w:p>
    <w:p>
      <w:pPr>
        <w:spacing w:after="0" w:line="154"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20"/>
          <w:szCs w:val="20"/>
          <w:b w:val="1"/>
          <w:bCs w:val="1"/>
          <w:i w:val="1"/>
          <w:iCs w:val="1"/>
          <w:color w:val="auto"/>
        </w:rPr>
        <w:t xml:space="preserve">WHEREAS, </w:t>
      </w:r>
      <w:r>
        <w:rPr>
          <w:rFonts w:ascii="Arial" w:cs="Arial" w:eastAsia="Arial" w:hAnsi="Arial"/>
          <w:sz w:val="20"/>
          <w:szCs w:val="20"/>
          <w:color w:val="auto"/>
        </w:rPr>
        <w:t>Employee and Employer entered into an Amended and Restated Employment Agreement for Employee to</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serve as Employer’s President effective as of November 4, 2016; and</w:t>
      </w:r>
    </w:p>
    <w:p>
      <w:pPr>
        <w:spacing w:after="0" w:line="154"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20"/>
          <w:szCs w:val="20"/>
          <w:b w:val="1"/>
          <w:bCs w:val="1"/>
          <w:i w:val="1"/>
          <w:iCs w:val="1"/>
          <w:color w:val="auto"/>
        </w:rPr>
        <w:t>WHEREAS</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Employee and Employer entered into an Amended and Restated Employment Agreement for Employee to</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serve as Employer’s Chief Executive Officer and President, effective as of February 27, 2018 (the 2018 Agreement); and</w:t>
      </w:r>
    </w:p>
    <w:p>
      <w:pPr>
        <w:spacing w:after="0" w:line="154"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20"/>
          <w:szCs w:val="20"/>
          <w:b w:val="1"/>
          <w:bCs w:val="1"/>
          <w:i w:val="1"/>
          <w:iCs w:val="1"/>
          <w:color w:val="auto"/>
        </w:rPr>
        <w:t xml:space="preserve">WHEREAS, </w:t>
      </w:r>
      <w:r>
        <w:rPr>
          <w:rFonts w:ascii="Arial" w:cs="Arial" w:eastAsia="Arial" w:hAnsi="Arial"/>
          <w:sz w:val="20"/>
          <w:szCs w:val="20"/>
          <w:color w:val="auto"/>
        </w:rPr>
        <w:t>the 2018 Agreement was amended effective as of May 29, 2019 (the “2019 Amendment”) changing</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Employee’s title to Chief Executive Officer; and</w:t>
      </w:r>
    </w:p>
    <w:p>
      <w:pPr>
        <w:spacing w:after="0" w:line="154"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20"/>
          <w:szCs w:val="20"/>
          <w:b w:val="1"/>
          <w:bCs w:val="1"/>
          <w:i w:val="1"/>
          <w:iCs w:val="1"/>
          <w:color w:val="auto"/>
        </w:rPr>
        <w:t>WHEREAS</w:t>
      </w:r>
      <w:r>
        <w:rPr>
          <w:rFonts w:ascii="Arial" w:cs="Arial" w:eastAsia="Arial" w:hAnsi="Arial"/>
          <w:sz w:val="20"/>
          <w:szCs w:val="20"/>
          <w:color w:val="auto"/>
        </w:rPr>
        <w:t>, the 2018 Agreement terminates by its terms as of February 27, 2021, and Employee and Employer desire to</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enter into this Agreement to ensure the continued employment of Employee by Employer; and</w:t>
      </w:r>
    </w:p>
    <w:p>
      <w:pPr>
        <w:spacing w:after="0" w:line="154"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20"/>
          <w:szCs w:val="20"/>
          <w:b w:val="1"/>
          <w:bCs w:val="1"/>
          <w:i w:val="1"/>
          <w:iCs w:val="1"/>
          <w:color w:val="auto"/>
        </w:rPr>
        <w:t>WHEREAS</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Employee has represented and warranted to Employer that Employee possesses sufficient qualifications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expertise to fulfill the terms of the employment stated in this Agreement; and</w:t>
      </w:r>
    </w:p>
    <w:p>
      <w:pPr>
        <w:spacing w:after="0" w:line="154"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20"/>
          <w:szCs w:val="20"/>
          <w:b w:val="1"/>
          <w:bCs w:val="1"/>
          <w:i w:val="1"/>
          <w:iCs w:val="1"/>
          <w:color w:val="auto"/>
        </w:rPr>
        <w:t>WHEREAS</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Employer is willing to employ Employee, and Employee is desirous of accepting employment from Employer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under the terms and pursuant to the conditions set forth herein.</w:t>
      </w:r>
    </w:p>
    <w:p>
      <w:pPr>
        <w:spacing w:after="0" w:line="154"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20"/>
          <w:szCs w:val="20"/>
          <w:b w:val="1"/>
          <w:bCs w:val="1"/>
          <w:i w:val="1"/>
          <w:iCs w:val="1"/>
          <w:color w:val="auto"/>
        </w:rPr>
        <w:t xml:space="preserve">NOW, THEREFORE, </w:t>
      </w:r>
      <w:r>
        <w:rPr>
          <w:rFonts w:ascii="Arial" w:cs="Arial" w:eastAsia="Arial" w:hAnsi="Arial"/>
          <w:sz w:val="20"/>
          <w:szCs w:val="20"/>
          <w:color w:val="auto"/>
        </w:rPr>
        <w:t>for and in consideration of the foregoing recitals, and in consideration of the mutual covenants,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agreements, understandings, undertakings, representations, warranties and promises hereinafter set forth, and intending to be legally bound thereby, Employer and Employee do hereby covenant and agree as follows:</w:t>
      </w:r>
    </w:p>
    <w:p>
      <w:pPr>
        <w:spacing w:after="0" w:line="169" w:lineRule="exact"/>
        <w:rPr>
          <w:sz w:val="20"/>
          <w:szCs w:val="20"/>
          <w:color w:val="auto"/>
        </w:rPr>
      </w:pPr>
    </w:p>
    <w:p>
      <w:pPr>
        <w:ind w:right="160" w:firstLine="656"/>
        <w:spacing w:after="0" w:line="300" w:lineRule="auto"/>
        <w:tabs>
          <w:tab w:leader="none" w:pos="1286" w:val="left"/>
        </w:tabs>
        <w:numPr>
          <w:ilvl w:val="0"/>
          <w:numId w:val="210"/>
        </w:numPr>
        <w:rPr>
          <w:rFonts w:ascii="Arial" w:cs="Arial" w:eastAsia="Arial" w:hAnsi="Arial"/>
          <w:sz w:val="20"/>
          <w:szCs w:val="20"/>
          <w:color w:val="010000"/>
        </w:rPr>
      </w:pPr>
      <w:r>
        <w:rPr>
          <w:rFonts w:ascii="Arial" w:cs="Arial" w:eastAsia="Arial" w:hAnsi="Arial"/>
          <w:sz w:val="20"/>
          <w:szCs w:val="20"/>
          <w:b w:val="1"/>
          <w:bCs w:val="1"/>
          <w:i w:val="1"/>
          <w:iCs w:val="1"/>
          <w:u w:val="single" w:color="auto"/>
          <w:color w:val="auto"/>
        </w:rPr>
        <w:t>DEFINITIONS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As used in this Agreement, the words and terms hereinafter defined have the respective meanings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ascribed to them, unless a different meaning clearly appears from the context:</w:t>
      </w:r>
    </w:p>
    <w:p>
      <w:pPr>
        <w:spacing w:after="0" w:line="154" w:lineRule="exact"/>
        <w:rPr>
          <w:rFonts w:ascii="Arial" w:cs="Arial" w:eastAsia="Arial" w:hAnsi="Arial"/>
          <w:sz w:val="20"/>
          <w:szCs w:val="20"/>
          <w:color w:val="010000"/>
        </w:rPr>
      </w:pPr>
    </w:p>
    <w:p>
      <w:pPr>
        <w:ind w:left="660" w:firstLine="645"/>
        <w:spacing w:after="0" w:line="300" w:lineRule="auto"/>
        <w:tabs>
          <w:tab w:leader="none" w:pos="1609" w:val="left"/>
        </w:tabs>
        <w:numPr>
          <w:ilvl w:val="1"/>
          <w:numId w:val="210"/>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Affiliate</w:t>
      </w:r>
      <w:r>
        <w:rPr>
          <w:rFonts w:ascii="Arial" w:cs="Arial" w:eastAsia="Arial" w:hAnsi="Arial"/>
          <w:sz w:val="20"/>
          <w:szCs w:val="20"/>
          <w:color w:val="auto"/>
        </w:rPr>
        <w:t>” means with respect to a specified Person, any other Person who or which is (i) directly or indirectly controlling, controlled by or under common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422" w:right="239" w:bottom="1440" w:gutter="0" w:footer="0" w:header="0"/>
        </w:sectPr>
      </w:pPr>
    </w:p>
    <w:bookmarkStart w:id="258" w:name="page259"/>
    <w:bookmarkEnd w:id="258"/>
    <w:p>
      <w:pPr>
        <w:spacing w:after="0" w:line="7"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with the specified Person, or (ii) any member, director, officer or manager of the specified Person. For purposes of this definition only, “control”, “controlling” and “controlled” mean the right to exercise, directly or indirectly, more than fifty percent (50%) of the voting power of the stockholders, members or owners and, with respect to any individual, partnership, trust or other entity or association, the possession, directly or indirectly, of the power to direct or cause the direction of the management or policies of the controlled entity. For purposes hereof, “Person” shall mean an individual, partnership, corporation, limited liability company, business trust, joint stock company, trust, unincorporated association, joint venture or other entity of whatever nature.</w:t>
      </w:r>
    </w:p>
    <w:p>
      <w:pPr>
        <w:spacing w:after="0" w:line="184" w:lineRule="exact"/>
        <w:rPr>
          <w:sz w:val="20"/>
          <w:szCs w:val="20"/>
          <w:color w:val="auto"/>
        </w:rPr>
      </w:pPr>
    </w:p>
    <w:p>
      <w:pPr>
        <w:ind w:left="940" w:hanging="295"/>
        <w:spacing w:after="0"/>
        <w:tabs>
          <w:tab w:leader="none" w:pos="940" w:val="left"/>
        </w:tabs>
        <w:numPr>
          <w:ilvl w:val="0"/>
          <w:numId w:val="211"/>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Anniversary</w:t>
      </w:r>
      <w:r>
        <w:rPr>
          <w:rFonts w:ascii="Arial" w:cs="Arial" w:eastAsia="Arial" w:hAnsi="Arial"/>
          <w:sz w:val="19"/>
          <w:szCs w:val="19"/>
          <w:color w:val="auto"/>
        </w:rPr>
        <w:t>” means each annual anniversary date of the Effective Date during the Term (as defined in Section</w:t>
      </w:r>
    </w:p>
    <w:p>
      <w:pPr>
        <w:spacing w:after="0" w:line="62"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0"/>
          <w:szCs w:val="20"/>
          <w:color w:val="auto"/>
        </w:rPr>
        <w:t>5 hereof).</w:t>
      </w:r>
    </w:p>
    <w:p>
      <w:pPr>
        <w:spacing w:after="0" w:line="218" w:lineRule="exact"/>
        <w:rPr>
          <w:rFonts w:ascii="Arial" w:cs="Arial" w:eastAsia="Arial" w:hAnsi="Arial"/>
          <w:sz w:val="19"/>
          <w:szCs w:val="19"/>
          <w:color w:val="010000"/>
        </w:rPr>
      </w:pPr>
    </w:p>
    <w:p>
      <w:pPr>
        <w:ind w:left="920" w:hanging="275"/>
        <w:spacing w:after="0"/>
        <w:tabs>
          <w:tab w:leader="none" w:pos="920" w:val="left"/>
        </w:tabs>
        <w:numPr>
          <w:ilvl w:val="0"/>
          <w:numId w:val="211"/>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Cause</w:t>
      </w:r>
      <w:r>
        <w:rPr>
          <w:rFonts w:ascii="Arial" w:cs="Arial" w:eastAsia="Arial" w:hAnsi="Arial"/>
          <w:sz w:val="20"/>
          <w:szCs w:val="20"/>
          <w:color w:val="auto"/>
        </w:rPr>
        <w:t>” means</w:t>
      </w:r>
    </w:p>
    <w:p>
      <w:pPr>
        <w:spacing w:after="0" w:line="266" w:lineRule="exact"/>
        <w:rPr>
          <w:rFonts w:ascii="Arial" w:cs="Arial" w:eastAsia="Arial" w:hAnsi="Arial"/>
          <w:sz w:val="20"/>
          <w:szCs w:val="20"/>
          <w:color w:val="010000"/>
        </w:rPr>
      </w:pPr>
    </w:p>
    <w:p>
      <w:pPr>
        <w:ind w:left="640" w:right="20" w:firstLine="653"/>
        <w:spacing w:after="0" w:line="275" w:lineRule="auto"/>
        <w:tabs>
          <w:tab w:leader="none" w:pos="1509" w:val="left"/>
        </w:tabs>
        <w:numPr>
          <w:ilvl w:val="1"/>
          <w:numId w:val="211"/>
        </w:numPr>
        <w:rPr>
          <w:rFonts w:ascii="Arial" w:cs="Arial" w:eastAsia="Arial" w:hAnsi="Arial"/>
          <w:sz w:val="20"/>
          <w:szCs w:val="20"/>
          <w:color w:val="010000"/>
        </w:rPr>
      </w:pPr>
      <w:r>
        <w:rPr>
          <w:rFonts w:ascii="Arial" w:cs="Arial" w:eastAsia="Arial" w:hAnsi="Arial"/>
          <w:sz w:val="20"/>
          <w:szCs w:val="20"/>
          <w:color w:val="auto"/>
        </w:rPr>
        <w:t>Employee’s inability or failure to secure and/or maintain any licenses or permits required by government agencies with jurisdiction over the business of Employer or its Affiliate;</w:t>
      </w:r>
    </w:p>
    <w:p>
      <w:pPr>
        <w:spacing w:after="0" w:line="202" w:lineRule="exact"/>
        <w:rPr>
          <w:rFonts w:ascii="Arial" w:cs="Arial" w:eastAsia="Arial" w:hAnsi="Arial"/>
          <w:sz w:val="20"/>
          <w:szCs w:val="20"/>
          <w:color w:val="010000"/>
        </w:rPr>
      </w:pPr>
    </w:p>
    <w:p>
      <w:pPr>
        <w:ind w:left="640" w:right="20" w:firstLine="653"/>
        <w:spacing w:after="0" w:line="275" w:lineRule="auto"/>
        <w:tabs>
          <w:tab w:leader="none" w:pos="1553" w:val="left"/>
        </w:tabs>
        <w:numPr>
          <w:ilvl w:val="1"/>
          <w:numId w:val="211"/>
        </w:numPr>
        <w:rPr>
          <w:rFonts w:ascii="Arial" w:cs="Arial" w:eastAsia="Arial" w:hAnsi="Arial"/>
          <w:sz w:val="20"/>
          <w:szCs w:val="20"/>
          <w:color w:val="010000"/>
        </w:rPr>
      </w:pPr>
      <w:r>
        <w:rPr>
          <w:rFonts w:ascii="Arial" w:cs="Arial" w:eastAsia="Arial" w:hAnsi="Arial"/>
          <w:sz w:val="20"/>
          <w:szCs w:val="20"/>
          <w:color w:val="auto"/>
        </w:rPr>
        <w:t>the willful destruction by Employee of the property of Employer or its Affiliate having a material value to Employer or such Affiliate;</w:t>
      </w:r>
    </w:p>
    <w:p>
      <w:pPr>
        <w:spacing w:after="0" w:line="202" w:lineRule="exact"/>
        <w:rPr>
          <w:rFonts w:ascii="Arial" w:cs="Arial" w:eastAsia="Arial" w:hAnsi="Arial"/>
          <w:sz w:val="20"/>
          <w:szCs w:val="20"/>
          <w:color w:val="010000"/>
        </w:rPr>
      </w:pPr>
    </w:p>
    <w:p>
      <w:pPr>
        <w:ind w:left="640" w:right="20" w:firstLine="653"/>
        <w:spacing w:after="0" w:line="275" w:lineRule="auto"/>
        <w:tabs>
          <w:tab w:leader="none" w:pos="1624" w:val="left"/>
        </w:tabs>
        <w:numPr>
          <w:ilvl w:val="1"/>
          <w:numId w:val="211"/>
        </w:numPr>
        <w:rPr>
          <w:rFonts w:ascii="Arial" w:cs="Arial" w:eastAsia="Arial" w:hAnsi="Arial"/>
          <w:sz w:val="20"/>
          <w:szCs w:val="20"/>
          <w:color w:val="010000"/>
        </w:rPr>
      </w:pPr>
      <w:r>
        <w:rPr>
          <w:rFonts w:ascii="Arial" w:cs="Arial" w:eastAsia="Arial" w:hAnsi="Arial"/>
          <w:sz w:val="20"/>
          <w:szCs w:val="20"/>
          <w:color w:val="auto"/>
        </w:rPr>
        <w:t>fraud, embezzlement, or theft committed by Employee (excluding acts involving a de minimis dollar value and not related in any manner whatsoever to Employer or its Affiliate or their business);</w:t>
      </w:r>
    </w:p>
    <w:p>
      <w:pPr>
        <w:spacing w:after="0" w:line="202" w:lineRule="exact"/>
        <w:rPr>
          <w:rFonts w:ascii="Arial" w:cs="Arial" w:eastAsia="Arial" w:hAnsi="Arial"/>
          <w:sz w:val="20"/>
          <w:szCs w:val="20"/>
          <w:color w:val="010000"/>
        </w:rPr>
      </w:pPr>
    </w:p>
    <w:p>
      <w:pPr>
        <w:ind w:left="1640" w:hanging="347"/>
        <w:spacing w:after="0"/>
        <w:tabs>
          <w:tab w:leader="none" w:pos="1640" w:val="left"/>
        </w:tabs>
        <w:numPr>
          <w:ilvl w:val="1"/>
          <w:numId w:val="211"/>
        </w:numPr>
        <w:rPr>
          <w:rFonts w:ascii="Arial" w:cs="Arial" w:eastAsia="Arial" w:hAnsi="Arial"/>
          <w:sz w:val="20"/>
          <w:szCs w:val="20"/>
          <w:color w:val="010000"/>
        </w:rPr>
      </w:pPr>
      <w:r>
        <w:rPr>
          <w:rFonts w:ascii="Arial" w:cs="Arial" w:eastAsia="Arial" w:hAnsi="Arial"/>
          <w:sz w:val="20"/>
          <w:szCs w:val="20"/>
          <w:color w:val="auto"/>
        </w:rPr>
        <w:t>Employee’s conviction of or entering a plea of guilty or nolo contendere to any crime constituting a</w:t>
      </w:r>
    </w:p>
    <w:p>
      <w:pPr>
        <w:spacing w:after="0" w:line="26" w:lineRule="exact"/>
        <w:rPr>
          <w:rFonts w:ascii="Arial" w:cs="Arial" w:eastAsia="Arial" w:hAnsi="Arial"/>
          <w:sz w:val="20"/>
          <w:szCs w:val="20"/>
          <w:color w:val="010000"/>
        </w:rPr>
      </w:pPr>
    </w:p>
    <w:p>
      <w:pPr>
        <w:ind w:left="640"/>
        <w:spacing w:after="0"/>
        <w:rPr>
          <w:rFonts w:ascii="Arial" w:cs="Arial" w:eastAsia="Arial" w:hAnsi="Arial"/>
          <w:sz w:val="20"/>
          <w:szCs w:val="20"/>
          <w:color w:val="010000"/>
        </w:rPr>
      </w:pPr>
      <w:r>
        <w:rPr>
          <w:rFonts w:ascii="Arial" w:cs="Arial" w:eastAsia="Arial" w:hAnsi="Arial"/>
          <w:sz w:val="20"/>
          <w:szCs w:val="20"/>
          <w:color w:val="auto"/>
        </w:rPr>
        <w:t>felony;</w:t>
      </w:r>
    </w:p>
    <w:p>
      <w:pPr>
        <w:spacing w:after="0" w:line="242" w:lineRule="exact"/>
        <w:rPr>
          <w:rFonts w:ascii="Arial" w:cs="Arial" w:eastAsia="Arial" w:hAnsi="Arial"/>
          <w:sz w:val="20"/>
          <w:szCs w:val="20"/>
          <w:color w:val="010000"/>
        </w:rPr>
      </w:pPr>
    </w:p>
    <w:p>
      <w:pPr>
        <w:ind w:left="1560" w:hanging="267"/>
        <w:spacing w:after="0"/>
        <w:tabs>
          <w:tab w:leader="none" w:pos="1560" w:val="left"/>
        </w:tabs>
        <w:numPr>
          <w:ilvl w:val="1"/>
          <w:numId w:val="211"/>
        </w:numPr>
        <w:rPr>
          <w:rFonts w:ascii="Arial" w:cs="Arial" w:eastAsia="Arial" w:hAnsi="Arial"/>
          <w:sz w:val="20"/>
          <w:szCs w:val="20"/>
          <w:color w:val="010000"/>
        </w:rPr>
      </w:pPr>
      <w:r>
        <w:rPr>
          <w:rFonts w:ascii="Arial" w:cs="Arial" w:eastAsia="Arial" w:hAnsi="Arial"/>
          <w:sz w:val="20"/>
          <w:szCs w:val="20"/>
          <w:color w:val="auto"/>
        </w:rPr>
        <w:t>Employee’s material breach of this Agreement;</w:t>
      </w:r>
    </w:p>
    <w:p>
      <w:pPr>
        <w:spacing w:after="0" w:line="242" w:lineRule="exact"/>
        <w:rPr>
          <w:rFonts w:ascii="Arial" w:cs="Arial" w:eastAsia="Arial" w:hAnsi="Arial"/>
          <w:sz w:val="20"/>
          <w:szCs w:val="20"/>
          <w:color w:val="010000"/>
        </w:rPr>
      </w:pPr>
    </w:p>
    <w:p>
      <w:pPr>
        <w:jc w:val="both"/>
        <w:ind w:left="640" w:firstLine="653"/>
        <w:spacing w:after="0" w:line="271" w:lineRule="auto"/>
        <w:tabs>
          <w:tab w:leader="none" w:pos="1635" w:val="left"/>
        </w:tabs>
        <w:numPr>
          <w:ilvl w:val="1"/>
          <w:numId w:val="211"/>
        </w:numPr>
        <w:rPr>
          <w:rFonts w:ascii="Arial" w:cs="Arial" w:eastAsia="Arial" w:hAnsi="Arial"/>
          <w:sz w:val="20"/>
          <w:szCs w:val="20"/>
          <w:color w:val="010000"/>
        </w:rPr>
      </w:pPr>
      <w:r>
        <w:rPr>
          <w:rFonts w:ascii="Arial" w:cs="Arial" w:eastAsia="Arial" w:hAnsi="Arial"/>
          <w:sz w:val="20"/>
          <w:szCs w:val="20"/>
          <w:color w:val="auto"/>
        </w:rPr>
        <w:t>Employee’s neglect, refusal, or knowing failure to materially discharge Employee’s duties (other than due to physical or mental illness) commensurate with Employee’s title and function, or Employee’s failure to comply with a lawful direction of Employer or its board of directors;</w:t>
      </w:r>
    </w:p>
    <w:p>
      <w:pPr>
        <w:spacing w:after="0" w:line="206" w:lineRule="exact"/>
        <w:rPr>
          <w:rFonts w:ascii="Arial" w:cs="Arial" w:eastAsia="Arial" w:hAnsi="Arial"/>
          <w:sz w:val="20"/>
          <w:szCs w:val="20"/>
          <w:color w:val="010000"/>
        </w:rPr>
      </w:pPr>
    </w:p>
    <w:p>
      <w:pPr>
        <w:ind w:left="1660" w:hanging="367"/>
        <w:spacing w:after="0"/>
        <w:tabs>
          <w:tab w:leader="none" w:pos="1660" w:val="left"/>
        </w:tabs>
        <w:numPr>
          <w:ilvl w:val="1"/>
          <w:numId w:val="211"/>
        </w:numPr>
        <w:rPr>
          <w:rFonts w:ascii="Arial" w:cs="Arial" w:eastAsia="Arial" w:hAnsi="Arial"/>
          <w:sz w:val="20"/>
          <w:szCs w:val="20"/>
          <w:color w:val="010000"/>
        </w:rPr>
      </w:pPr>
      <w:r>
        <w:rPr>
          <w:rFonts w:ascii="Arial" w:cs="Arial" w:eastAsia="Arial" w:hAnsi="Arial"/>
          <w:sz w:val="20"/>
          <w:szCs w:val="20"/>
          <w:color w:val="auto"/>
        </w:rPr>
        <w:t>a knowing material misrepresentation to Employer or its board of directors;</w:t>
      </w:r>
    </w:p>
    <w:p>
      <w:pPr>
        <w:spacing w:after="0" w:line="242" w:lineRule="exact"/>
        <w:rPr>
          <w:rFonts w:ascii="Arial" w:cs="Arial" w:eastAsia="Arial" w:hAnsi="Arial"/>
          <w:sz w:val="20"/>
          <w:szCs w:val="20"/>
          <w:color w:val="010000"/>
        </w:rPr>
      </w:pPr>
    </w:p>
    <w:p>
      <w:pPr>
        <w:ind w:left="640" w:firstLine="653"/>
        <w:spacing w:after="0" w:line="275" w:lineRule="auto"/>
        <w:tabs>
          <w:tab w:leader="none" w:pos="1696" w:val="left"/>
        </w:tabs>
        <w:numPr>
          <w:ilvl w:val="1"/>
          <w:numId w:val="211"/>
        </w:numPr>
        <w:rPr>
          <w:rFonts w:ascii="Arial" w:cs="Arial" w:eastAsia="Arial" w:hAnsi="Arial"/>
          <w:sz w:val="20"/>
          <w:szCs w:val="20"/>
          <w:color w:val="010000"/>
        </w:rPr>
      </w:pPr>
      <w:r>
        <w:rPr>
          <w:rFonts w:ascii="Arial" w:cs="Arial" w:eastAsia="Arial" w:hAnsi="Arial"/>
          <w:sz w:val="20"/>
          <w:szCs w:val="20"/>
          <w:color w:val="auto"/>
        </w:rPr>
        <w:t>a failure to follow a material policy or procedure of Employer or its Affiliate that causes material financial harm to Employer; or</w:t>
      </w:r>
    </w:p>
    <w:p>
      <w:pPr>
        <w:spacing w:after="0" w:line="202" w:lineRule="exact"/>
        <w:rPr>
          <w:rFonts w:ascii="Arial" w:cs="Arial" w:eastAsia="Arial" w:hAnsi="Arial"/>
          <w:sz w:val="20"/>
          <w:szCs w:val="20"/>
          <w:color w:val="010000"/>
        </w:rPr>
      </w:pPr>
    </w:p>
    <w:p>
      <w:pPr>
        <w:ind w:left="640" w:right="20" w:firstLine="653"/>
        <w:spacing w:after="0" w:line="275" w:lineRule="auto"/>
        <w:tabs>
          <w:tab w:leader="none" w:pos="1608" w:val="left"/>
        </w:tabs>
        <w:numPr>
          <w:ilvl w:val="1"/>
          <w:numId w:val="211"/>
        </w:numPr>
        <w:rPr>
          <w:rFonts w:ascii="Arial" w:cs="Arial" w:eastAsia="Arial" w:hAnsi="Arial"/>
          <w:sz w:val="20"/>
          <w:szCs w:val="20"/>
          <w:color w:val="010000"/>
        </w:rPr>
      </w:pPr>
      <w:r>
        <w:rPr>
          <w:rFonts w:ascii="Arial" w:cs="Arial" w:eastAsia="Arial" w:hAnsi="Arial"/>
          <w:sz w:val="20"/>
          <w:szCs w:val="20"/>
          <w:color w:val="auto"/>
        </w:rPr>
        <w:t>Employee’s material breach of a statutory or common law duty of loyalty or fiduciary duty to Employer or its Affiliate, including Employer’s conflict of interest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60"/>
          </w:cols>
          <w:pgMar w:left="900" w:top="1440" w:right="239" w:bottom="1440" w:gutter="0" w:footer="0" w:header="0"/>
        </w:sectPr>
      </w:pPr>
    </w:p>
    <w:bookmarkStart w:id="259" w:name="page260"/>
    <w:bookmarkEnd w:id="259"/>
    <w:p>
      <w:pPr>
        <w:ind w:left="100"/>
        <w:spacing w:after="0" w:line="296" w:lineRule="auto"/>
        <w:rPr>
          <w:sz w:val="20"/>
          <w:szCs w:val="20"/>
          <w:color w:val="auto"/>
        </w:rPr>
      </w:pPr>
      <w:r>
        <w:rPr>
          <w:rFonts w:ascii="Arial" w:cs="Arial" w:eastAsia="Arial" w:hAnsi="Arial"/>
          <w:sz w:val="20"/>
          <w:szCs w:val="20"/>
          <w:i w:val="1"/>
          <w:iCs w:val="1"/>
          <w:u w:val="single" w:color="auto"/>
          <w:color w:val="auto"/>
        </w:rPr>
        <w:t>provided</w:t>
      </w:r>
      <w:r>
        <w:rPr>
          <w:rFonts w:ascii="Arial" w:cs="Arial" w:eastAsia="Arial" w:hAnsi="Arial"/>
          <w:sz w:val="20"/>
          <w:szCs w:val="20"/>
          <w:i w:val="1"/>
          <w:iCs w:val="1"/>
          <w:color w:val="auto"/>
        </w:rPr>
        <w:t xml:space="preserve">, </w:t>
      </w:r>
      <w:r>
        <w:rPr>
          <w:rFonts w:ascii="Arial" w:cs="Arial" w:eastAsia="Arial" w:hAnsi="Arial"/>
          <w:sz w:val="20"/>
          <w:szCs w:val="20"/>
          <w:i w:val="1"/>
          <w:iCs w:val="1"/>
          <w:u w:val="single" w:color="auto"/>
          <w:color w:val="auto"/>
        </w:rPr>
        <w:t>however</w:t>
      </w:r>
      <w:r>
        <w:rPr>
          <w:rFonts w:ascii="Arial" w:cs="Arial" w:eastAsia="Arial" w:hAnsi="Arial"/>
          <w:sz w:val="20"/>
          <w:szCs w:val="20"/>
          <w:i w:val="1"/>
          <w:iCs w:val="1"/>
          <w:color w:val="auto"/>
        </w:rPr>
        <w:t xml:space="preserve">, </w:t>
      </w:r>
      <w:r>
        <w:rPr>
          <w:rFonts w:ascii="Arial" w:cs="Arial" w:eastAsia="Arial" w:hAnsi="Arial"/>
          <w:sz w:val="20"/>
          <w:szCs w:val="20"/>
          <w:color w:val="auto"/>
        </w:rPr>
        <w:t>that Employee’s Complete Disability due to illness or accident or any other mental or physical</w:t>
      </w:r>
      <w:r>
        <w:rPr>
          <w:rFonts w:ascii="Arial" w:cs="Arial" w:eastAsia="Arial" w:hAnsi="Arial"/>
          <w:sz w:val="20"/>
          <w:szCs w:val="20"/>
          <w:i w:val="1"/>
          <w:iCs w:val="1"/>
          <w:color w:val="auto"/>
        </w:rPr>
        <w:t xml:space="preserve"> </w:t>
      </w:r>
      <w:r>
        <w:rPr>
          <w:rFonts w:ascii="Arial" w:cs="Arial" w:eastAsia="Arial" w:hAnsi="Arial"/>
          <w:sz w:val="20"/>
          <w:szCs w:val="20"/>
          <w:color w:val="auto"/>
        </w:rPr>
        <w:t>incapacity shall not constitute “Cause” as defined herein.</w:t>
      </w:r>
    </w:p>
    <w:p>
      <w:pPr>
        <w:spacing w:after="0" w:line="158" w:lineRule="exact"/>
        <w:rPr>
          <w:sz w:val="20"/>
          <w:szCs w:val="20"/>
          <w:color w:val="auto"/>
        </w:rPr>
      </w:pPr>
    </w:p>
    <w:p>
      <w:pPr>
        <w:ind w:left="400" w:hanging="295"/>
        <w:spacing w:after="0"/>
        <w:tabs>
          <w:tab w:leader="none" w:pos="400" w:val="left"/>
        </w:tabs>
        <w:numPr>
          <w:ilvl w:val="0"/>
          <w:numId w:val="212"/>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Change of Control</w:t>
      </w:r>
      <w:r>
        <w:rPr>
          <w:rFonts w:ascii="Arial" w:cs="Arial" w:eastAsia="Arial" w:hAnsi="Arial"/>
          <w:sz w:val="20"/>
          <w:szCs w:val="20"/>
          <w:color w:val="auto"/>
        </w:rPr>
        <w:t>” means the occurrence, after the Effective Date, of any of the following events:</w:t>
      </w:r>
    </w:p>
    <w:p>
      <w:pPr>
        <w:spacing w:after="0" w:line="266" w:lineRule="exact"/>
        <w:rPr>
          <w:rFonts w:ascii="Arial" w:cs="Arial" w:eastAsia="Arial" w:hAnsi="Arial"/>
          <w:sz w:val="20"/>
          <w:szCs w:val="20"/>
          <w:color w:val="010000"/>
        </w:rPr>
      </w:pPr>
    </w:p>
    <w:p>
      <w:pPr>
        <w:jc w:val="both"/>
        <w:ind w:left="100" w:firstLine="653"/>
        <w:spacing w:after="0" w:line="267" w:lineRule="auto"/>
        <w:tabs>
          <w:tab w:leader="none" w:pos="982" w:val="left"/>
        </w:tabs>
        <w:numPr>
          <w:ilvl w:val="1"/>
          <w:numId w:val="212"/>
        </w:numPr>
        <w:rPr>
          <w:rFonts w:ascii="Arial" w:cs="Arial" w:eastAsia="Arial" w:hAnsi="Arial"/>
          <w:sz w:val="20"/>
          <w:szCs w:val="20"/>
          <w:color w:val="010000"/>
        </w:rPr>
      </w:pPr>
      <w:r>
        <w:rPr>
          <w:rFonts w:ascii="Arial" w:cs="Arial" w:eastAsia="Arial" w:hAnsi="Arial"/>
          <w:sz w:val="20"/>
          <w:szCs w:val="20"/>
          <w:color w:val="auto"/>
        </w:rPr>
        <w:t>any “Person” or “Group” (as such terms are defined in Section 13(d) of the Securities Exchange Act of 1934 (the “Exchange Act”) and the rules and regulations promulgated thereunder) is or becomes the “Beneficial</w:t>
      </w:r>
    </w:p>
    <w:p>
      <w:pPr>
        <w:spacing w:after="0" w:line="1" w:lineRule="exact"/>
        <w:rPr>
          <w:rFonts w:ascii="Arial" w:cs="Arial" w:eastAsia="Arial" w:hAnsi="Arial"/>
          <w:sz w:val="20"/>
          <w:szCs w:val="20"/>
          <w:color w:val="010000"/>
        </w:rPr>
      </w:pPr>
    </w:p>
    <w:p>
      <w:pPr>
        <w:jc w:val="both"/>
        <w:ind w:left="100"/>
        <w:spacing w:after="0" w:line="270" w:lineRule="auto"/>
        <w:rPr>
          <w:rFonts w:ascii="Arial" w:cs="Arial" w:eastAsia="Arial" w:hAnsi="Arial"/>
          <w:sz w:val="20"/>
          <w:szCs w:val="20"/>
          <w:color w:val="010000"/>
        </w:rPr>
      </w:pPr>
      <w:r>
        <w:rPr>
          <w:rFonts w:ascii="Arial" w:cs="Arial" w:eastAsia="Arial" w:hAnsi="Arial"/>
          <w:sz w:val="20"/>
          <w:szCs w:val="20"/>
          <w:color w:val="auto"/>
        </w:rPr>
        <w:t>Owner” (within the meaning of Rule 13d-3 promulgated under the Exchange Act), directly or indirectly, of securities of Wynn Resorts, Limited (“</w:t>
      </w:r>
      <w:r>
        <w:rPr>
          <w:rFonts w:ascii="Arial" w:cs="Arial" w:eastAsia="Arial" w:hAnsi="Arial"/>
          <w:sz w:val="20"/>
          <w:szCs w:val="20"/>
          <w:b w:val="1"/>
          <w:bCs w:val="1"/>
          <w:color w:val="auto"/>
        </w:rPr>
        <w:t>WRL</w:t>
      </w:r>
      <w:r>
        <w:rPr>
          <w:rFonts w:ascii="Arial" w:cs="Arial" w:eastAsia="Arial" w:hAnsi="Arial"/>
          <w:sz w:val="20"/>
          <w:szCs w:val="20"/>
          <w:color w:val="auto"/>
        </w:rPr>
        <w:t>”), or of any entity resulting from a merger or consolidation involving WRL, representing more than fifty percent (50%) of the combined voting power of the then outstanding securities of WRL or such entity;</w:t>
      </w:r>
    </w:p>
    <w:p>
      <w:pPr>
        <w:spacing w:after="0" w:line="183" w:lineRule="exact"/>
        <w:rPr>
          <w:rFonts w:ascii="Arial" w:cs="Arial" w:eastAsia="Arial" w:hAnsi="Arial"/>
          <w:sz w:val="20"/>
          <w:szCs w:val="20"/>
          <w:color w:val="010000"/>
        </w:rPr>
      </w:pPr>
    </w:p>
    <w:p>
      <w:pPr>
        <w:jc w:val="both"/>
        <w:ind w:left="100" w:firstLine="653"/>
        <w:spacing w:after="0" w:line="271" w:lineRule="auto"/>
        <w:tabs>
          <w:tab w:leader="none" w:pos="1026" w:val="left"/>
        </w:tabs>
        <w:numPr>
          <w:ilvl w:val="1"/>
          <w:numId w:val="212"/>
        </w:numPr>
        <w:rPr>
          <w:rFonts w:ascii="Arial" w:cs="Arial" w:eastAsia="Arial" w:hAnsi="Arial"/>
          <w:sz w:val="20"/>
          <w:szCs w:val="20"/>
          <w:color w:val="010000"/>
        </w:rPr>
      </w:pPr>
      <w:r>
        <w:rPr>
          <w:rFonts w:ascii="Arial" w:cs="Arial" w:eastAsia="Arial" w:hAnsi="Arial"/>
          <w:sz w:val="20"/>
          <w:szCs w:val="20"/>
          <w:color w:val="auto"/>
        </w:rPr>
        <w:t>the individuals who, as of the Effective Date, are members of WRL’s Board of Directors (the “</w:t>
      </w:r>
      <w:r>
        <w:rPr>
          <w:rFonts w:ascii="Arial" w:cs="Arial" w:eastAsia="Arial" w:hAnsi="Arial"/>
          <w:sz w:val="20"/>
          <w:szCs w:val="20"/>
          <w:b w:val="1"/>
          <w:bCs w:val="1"/>
          <w:color w:val="auto"/>
        </w:rPr>
        <w:t>Existing</w:t>
      </w:r>
      <w:r>
        <w:rPr>
          <w:rFonts w:ascii="Arial" w:cs="Arial" w:eastAsia="Arial" w:hAnsi="Arial"/>
          <w:sz w:val="20"/>
          <w:szCs w:val="20"/>
          <w:color w:val="auto"/>
        </w:rPr>
        <w:t xml:space="preserve"> </w:t>
      </w:r>
      <w:r>
        <w:rPr>
          <w:rFonts w:ascii="Arial" w:cs="Arial" w:eastAsia="Arial" w:hAnsi="Arial"/>
          <w:sz w:val="20"/>
          <w:szCs w:val="20"/>
          <w:b w:val="1"/>
          <w:bCs w:val="1"/>
          <w:color w:val="auto"/>
        </w:rPr>
        <w:t>Directors</w:t>
      </w:r>
      <w:r>
        <w:rPr>
          <w:rFonts w:ascii="Arial" w:cs="Arial" w:eastAsia="Arial" w:hAnsi="Arial"/>
          <w:sz w:val="20"/>
          <w:szCs w:val="20"/>
          <w:color w:val="auto"/>
        </w:rPr>
        <w:t>”) cease, for any reason, to constitute more than fifty percent (50%) of the number of authorized directors</w:t>
      </w:r>
      <w:r>
        <w:rPr>
          <w:rFonts w:ascii="Arial" w:cs="Arial" w:eastAsia="Arial" w:hAnsi="Arial"/>
          <w:sz w:val="20"/>
          <w:szCs w:val="20"/>
          <w:b w:val="1"/>
          <w:bCs w:val="1"/>
          <w:color w:val="auto"/>
        </w:rPr>
        <w:t xml:space="preserve"> </w:t>
      </w:r>
      <w:r>
        <w:rPr>
          <w:rFonts w:ascii="Arial" w:cs="Arial" w:eastAsia="Arial" w:hAnsi="Arial"/>
          <w:sz w:val="20"/>
          <w:szCs w:val="20"/>
          <w:color w:val="auto"/>
        </w:rPr>
        <w:t>of WRL as determined in the manner prescribed in WRL’s Articles of Incorporation and Bylaws; provided, however, that if the election, or nomination for election, by WRL’s stockholders of any new director was approved by a vote of at least fifty percent (50%) of the Existing Directors, such new director shall be considered an Existing Director; provided further, however, that no individual shall be considered an Existing Director if such individual initially assumed office as a result of either an actual or threatened “Election Contest” (as described in Rule 14a-11 promulgated under the Exchange Act) or other actual or threatened solicitation of proxies by or on behalf of anyone other than the Board (a “Proxy Contest”), including by reason of any agreement intended to avoid or settle any Election Contest or Proxy Contest; or</w:t>
      </w:r>
    </w:p>
    <w:p>
      <w:pPr>
        <w:spacing w:after="0" w:line="209" w:lineRule="exact"/>
        <w:rPr>
          <w:rFonts w:ascii="Arial" w:cs="Arial" w:eastAsia="Arial" w:hAnsi="Arial"/>
          <w:sz w:val="20"/>
          <w:szCs w:val="20"/>
          <w:color w:val="010000"/>
        </w:rPr>
      </w:pPr>
    </w:p>
    <w:p>
      <w:pPr>
        <w:jc w:val="both"/>
        <w:ind w:left="100" w:firstLine="653"/>
        <w:spacing w:after="0" w:line="268" w:lineRule="auto"/>
        <w:tabs>
          <w:tab w:leader="none" w:pos="1057" w:val="left"/>
        </w:tabs>
        <w:numPr>
          <w:ilvl w:val="1"/>
          <w:numId w:val="212"/>
        </w:numPr>
        <w:rPr>
          <w:rFonts w:ascii="Arial" w:cs="Arial" w:eastAsia="Arial" w:hAnsi="Arial"/>
          <w:sz w:val="20"/>
          <w:szCs w:val="20"/>
          <w:color w:val="010000"/>
        </w:rPr>
      </w:pPr>
      <w:r>
        <w:rPr>
          <w:rFonts w:ascii="Arial" w:cs="Arial" w:eastAsia="Arial" w:hAnsi="Arial"/>
          <w:sz w:val="20"/>
          <w:szCs w:val="20"/>
          <w:color w:val="auto"/>
        </w:rPr>
        <w:t>the consummation of (x) a merger, consolidation or reorganization to which WRL is a party, whether or not WRL is the Person surviving or resulting therefrom, or (y) a sale, assignment, lease, conveyance or other disposition of all or substantially all of the assets of Employer or WRL, in one transaction or a series of related transactions, to any Person other than WRL or an Affiliate, where any such transaction or series of related transactions as is referred to in clause (x) or clause (y) above in this subparagraph (iii) (singly or collectively, a “Transaction”) does not otherwise result in a “Change in Control” pursuant to subparagraph (i) of this definition of “Change in Control”; provided, however, that no such Transaction shall constitute a “Change in Control” under this subparagraph (iii) if the Persons who were the members or stockholders of Employer or WRL immediately before the consummation of such Transaction are the Beneficial Owners, immediately following the consummation of such Transaction, of fifty percent (50%) or more of the combined voting power of the then outstanding membership interests or voting securities of the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20"/>
          </w:cols>
          <w:pgMar w:left="1440" w:top="1426" w:right="239" w:bottom="1440" w:gutter="0" w:footer="0" w:header="0"/>
        </w:sectPr>
      </w:pPr>
    </w:p>
    <w:bookmarkStart w:id="260" w:name="page261"/>
    <w:bookmarkEnd w:id="260"/>
    <w:p>
      <w:pPr>
        <w:spacing w:after="0" w:line="6" w:lineRule="exact"/>
        <w:rPr>
          <w:sz w:val="20"/>
          <w:szCs w:val="20"/>
          <w:color w:val="auto"/>
        </w:rPr>
      </w:pPr>
    </w:p>
    <w:p>
      <w:pPr>
        <w:jc w:val="both"/>
        <w:ind w:left="100"/>
        <w:spacing w:after="0" w:line="269" w:lineRule="auto"/>
        <w:rPr>
          <w:sz w:val="20"/>
          <w:szCs w:val="20"/>
          <w:color w:val="auto"/>
        </w:rPr>
      </w:pPr>
      <w:r>
        <w:rPr>
          <w:rFonts w:ascii="Arial" w:cs="Arial" w:eastAsia="Arial" w:hAnsi="Arial"/>
          <w:sz w:val="20"/>
          <w:szCs w:val="20"/>
          <w:color w:val="auto"/>
        </w:rPr>
        <w:t>surviving or resulting from any merger, consolidation or reorganization referred to in clause (x) above in this subparagraph (iii) or the Person to whom the assets of Employer or WRL are sold, assigned, leased, conveyed or disposed of in any transaction or series of related transactions referred in clause (y) above in this subparagraph (iii), in substantially the same proportions in which such Beneficial Owners held membership interests or voting stock in Employer or WRL immediately before such Transaction.</w:t>
      </w:r>
    </w:p>
    <w:p>
      <w:pPr>
        <w:spacing w:after="0" w:line="186" w:lineRule="exact"/>
        <w:rPr>
          <w:sz w:val="20"/>
          <w:szCs w:val="20"/>
          <w:color w:val="auto"/>
        </w:rPr>
      </w:pPr>
    </w:p>
    <w:p>
      <w:pPr>
        <w:jc w:val="both"/>
        <w:ind w:left="-540" w:firstLine="645"/>
        <w:spacing w:after="0" w:line="284" w:lineRule="auto"/>
        <w:tabs>
          <w:tab w:leader="none" w:pos="422" w:val="left"/>
        </w:tabs>
        <w:numPr>
          <w:ilvl w:val="0"/>
          <w:numId w:val="213"/>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Complete Disability</w:t>
      </w:r>
      <w:r>
        <w:rPr>
          <w:rFonts w:ascii="Arial" w:cs="Arial" w:eastAsia="Arial" w:hAnsi="Arial"/>
          <w:sz w:val="20"/>
          <w:szCs w:val="20"/>
          <w:color w:val="auto"/>
        </w:rPr>
        <w:t>” means the total inability of Employee, due to illness or accident or other mental or physical incapacity, to perform Employee’s obligations under this Agreement for a period as defined under Employer’s local disability plan or plans.</w:t>
      </w:r>
    </w:p>
    <w:p>
      <w:pPr>
        <w:spacing w:after="0" w:line="169" w:lineRule="exact"/>
        <w:rPr>
          <w:rFonts w:ascii="Arial" w:cs="Arial" w:eastAsia="Arial" w:hAnsi="Arial"/>
          <w:sz w:val="20"/>
          <w:szCs w:val="20"/>
          <w:color w:val="010000"/>
        </w:rPr>
      </w:pPr>
    </w:p>
    <w:p>
      <w:pPr>
        <w:jc w:val="both"/>
        <w:ind w:left="-540" w:firstLine="645"/>
        <w:spacing w:after="0" w:line="269" w:lineRule="auto"/>
        <w:tabs>
          <w:tab w:leader="none" w:pos="367" w:val="left"/>
        </w:tabs>
        <w:numPr>
          <w:ilvl w:val="0"/>
          <w:numId w:val="213"/>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Confidential Information</w:t>
      </w:r>
      <w:r>
        <w:rPr>
          <w:rFonts w:ascii="Arial" w:cs="Arial" w:eastAsia="Arial" w:hAnsi="Arial"/>
          <w:sz w:val="20"/>
          <w:szCs w:val="20"/>
          <w:color w:val="auto"/>
        </w:rPr>
        <w:t>” means any information that is possessed or developed by or for Employer or its Affiliate and which relates to the Employer’s or Affiliate’s existing or potential business or technology, which is not generally known to the public or to persons engaged in business similar to that conducted or contemplated by Employer or Affiliate, or which Employer or Affiliate seeks to protect from disclosure to its existing or potential competitors or others, and includes without limitation know how, business and technical plans, strategies, existing and proposed bids, costs, technical developments, purchasing history, existing and proposed research projects, copyrights, inventions, patents, intellectual property, data, process, process parameters, methods, practices, products, product design information, research and development data, financial records, operational manuals, pricing and price lists, computer programs and information stored or developed for use in or with computers, customer information, customer lists, supplier lists, marketing plans, financial information, financial or business projections, and all other compilations of information which relate to the business of Employer or Affiliate, and any other proprietary material of Employer or Affiliate, which have not been released to the general public. Confidential Information also includes information received by Employer or any of its Affiliates from others that the Employer or Affiliate has an obligation to treat as confidential. No materials or information shall be considered Confidential Information if Employee can prove that the materials or information are: (1) already known to Employee at the time that they are disclosed; or (2) publicly known at the time of the disclosure to Employee. Additionally, the confidential obligations herein will cease as to particular information that: (1) has become publicly known through no fault of Employee; (2) is received by Employee properly and lawfully from a third party without restriction on disclosure and without knowledge or reasonable suspicion that the third party’s disclosure is in breach of any obligations to Employer or its Affiliate; (3) has been developed by Employee completely independent of the delivery of Confidential Information hereunder; or (4) has been approved for public release by written authorization of Employer or its Affiliate.</w:t>
      </w:r>
    </w:p>
    <w:p>
      <w:pPr>
        <w:spacing w:after="0" w:line="192" w:lineRule="exact"/>
        <w:rPr>
          <w:rFonts w:ascii="Arial" w:cs="Arial" w:eastAsia="Arial" w:hAnsi="Arial"/>
          <w:sz w:val="20"/>
          <w:szCs w:val="20"/>
          <w:color w:val="010000"/>
        </w:rPr>
      </w:pPr>
    </w:p>
    <w:p>
      <w:pPr>
        <w:ind w:left="400" w:hanging="295"/>
        <w:spacing w:after="0"/>
        <w:tabs>
          <w:tab w:leader="none" w:pos="400" w:val="left"/>
        </w:tabs>
        <w:numPr>
          <w:ilvl w:val="0"/>
          <w:numId w:val="213"/>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Effective Date</w:t>
      </w:r>
      <w:r>
        <w:rPr>
          <w:rFonts w:ascii="Arial" w:cs="Arial" w:eastAsia="Arial" w:hAnsi="Arial"/>
          <w:sz w:val="20"/>
          <w:szCs w:val="20"/>
          <w:color w:val="auto"/>
        </w:rPr>
        <w:t>” means December 16, 2019.</w:t>
      </w:r>
    </w:p>
    <w:p>
      <w:pPr>
        <w:spacing w:after="0" w:line="242" w:lineRule="exact"/>
        <w:rPr>
          <w:rFonts w:ascii="Arial" w:cs="Arial" w:eastAsia="Arial" w:hAnsi="Arial"/>
          <w:sz w:val="20"/>
          <w:szCs w:val="20"/>
          <w:color w:val="010000"/>
        </w:rPr>
      </w:pPr>
    </w:p>
    <w:p>
      <w:pPr>
        <w:ind w:left="-540" w:firstLine="645"/>
        <w:spacing w:after="0" w:line="300" w:lineRule="auto"/>
        <w:tabs>
          <w:tab w:leader="none" w:pos="409" w:val="left"/>
        </w:tabs>
        <w:numPr>
          <w:ilvl w:val="0"/>
          <w:numId w:val="213"/>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Foreign Government Official</w:t>
      </w:r>
      <w:r>
        <w:rPr>
          <w:rFonts w:ascii="Arial" w:cs="Arial" w:eastAsia="Arial" w:hAnsi="Arial"/>
          <w:sz w:val="20"/>
          <w:szCs w:val="20"/>
          <w:color w:val="auto"/>
        </w:rPr>
        <w:t>” is defined to include officers, office holders, and employees, full or part time, regardless of rank, of local governments,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220"/>
          </w:cols>
          <w:pgMar w:left="1440" w:top="1440" w:right="239" w:bottom="1440" w:gutter="0" w:footer="0" w:header="0"/>
        </w:sectPr>
      </w:pPr>
    </w:p>
    <w:bookmarkStart w:id="261" w:name="page262"/>
    <w:bookmarkEnd w:id="261"/>
    <w:p>
      <w:pPr>
        <w:spacing w:after="0" w:line="6" w:lineRule="exact"/>
        <w:rPr>
          <w:sz w:val="20"/>
          <w:szCs w:val="20"/>
          <w:color w:val="auto"/>
        </w:rPr>
      </w:pPr>
    </w:p>
    <w:p>
      <w:pPr>
        <w:jc w:val="both"/>
        <w:ind w:right="20"/>
        <w:spacing w:after="0" w:line="271" w:lineRule="auto"/>
        <w:rPr>
          <w:sz w:val="20"/>
          <w:szCs w:val="20"/>
          <w:color w:val="auto"/>
        </w:rPr>
      </w:pPr>
      <w:r>
        <w:rPr>
          <w:rFonts w:ascii="Arial" w:cs="Arial" w:eastAsia="Arial" w:hAnsi="Arial"/>
          <w:sz w:val="20"/>
          <w:szCs w:val="20"/>
          <w:color w:val="auto"/>
        </w:rPr>
        <w:t>national governments, companies partially owned or controlled by a government, and public international organizations, such as the United Nations or World Bank. “Foreign Government Official” also includes political parties, party officials, candidates for public office, and family members of Foreign Government Officials.</w:t>
      </w:r>
    </w:p>
    <w:p>
      <w:pPr>
        <w:spacing w:after="0" w:line="183" w:lineRule="exact"/>
        <w:rPr>
          <w:sz w:val="20"/>
          <w:szCs w:val="20"/>
          <w:color w:val="auto"/>
        </w:rPr>
      </w:pPr>
    </w:p>
    <w:p>
      <w:pPr>
        <w:jc w:val="both"/>
        <w:ind w:firstLine="645"/>
        <w:spacing w:after="0" w:line="305" w:lineRule="auto"/>
        <w:tabs>
          <w:tab w:leader="none" w:pos="869" w:val="left"/>
        </w:tabs>
        <w:numPr>
          <w:ilvl w:val="0"/>
          <w:numId w:val="214"/>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Good Reason</w:t>
      </w:r>
      <w:r>
        <w:rPr>
          <w:rFonts w:ascii="Arial" w:cs="Arial" w:eastAsia="Arial" w:hAnsi="Arial"/>
          <w:sz w:val="19"/>
          <w:szCs w:val="19"/>
          <w:color w:val="auto"/>
        </w:rPr>
        <w:t>” means the occurrence, on or after the occurrence of a Change in Control, of any of the following (except with Employee’s written consent or resulting from an isolated, insubstantial and inadvertent action not taken in bad faith and which is remedied by Employer or its Affiliate promptly after receipt of notice thereof from Employee):</w:t>
      </w:r>
    </w:p>
    <w:p>
      <w:pPr>
        <w:spacing w:after="0" w:line="176" w:lineRule="exact"/>
        <w:rPr>
          <w:rFonts w:ascii="Arial" w:cs="Arial" w:eastAsia="Arial" w:hAnsi="Arial"/>
          <w:sz w:val="19"/>
          <w:szCs w:val="19"/>
          <w:color w:val="010000"/>
        </w:rPr>
      </w:pPr>
    </w:p>
    <w:p>
      <w:pPr>
        <w:ind w:left="1520" w:hanging="227"/>
        <w:spacing w:after="0"/>
        <w:tabs>
          <w:tab w:leader="none" w:pos="1520" w:val="left"/>
        </w:tabs>
        <w:numPr>
          <w:ilvl w:val="1"/>
          <w:numId w:val="214"/>
        </w:numPr>
        <w:rPr>
          <w:rFonts w:ascii="Arial" w:cs="Arial" w:eastAsia="Arial" w:hAnsi="Arial"/>
          <w:sz w:val="20"/>
          <w:szCs w:val="20"/>
          <w:color w:val="010000"/>
        </w:rPr>
      </w:pPr>
      <w:r>
        <w:rPr>
          <w:rFonts w:ascii="Arial" w:cs="Arial" w:eastAsia="Arial" w:hAnsi="Arial"/>
          <w:sz w:val="20"/>
          <w:szCs w:val="20"/>
          <w:color w:val="auto"/>
        </w:rPr>
        <w:t>Employer or an Affiliate reduces Employee’s Base Salary (as defined in Subparagraph 7(a) below);</w:t>
      </w:r>
    </w:p>
    <w:p>
      <w:pPr>
        <w:spacing w:after="0" w:line="242" w:lineRule="exact"/>
        <w:rPr>
          <w:rFonts w:ascii="Arial" w:cs="Arial" w:eastAsia="Arial" w:hAnsi="Arial"/>
          <w:sz w:val="20"/>
          <w:szCs w:val="20"/>
          <w:color w:val="010000"/>
        </w:rPr>
      </w:pPr>
    </w:p>
    <w:p>
      <w:pPr>
        <w:jc w:val="both"/>
        <w:ind w:left="640" w:firstLine="653"/>
        <w:spacing w:after="0" w:line="270" w:lineRule="auto"/>
        <w:tabs>
          <w:tab w:leader="none" w:pos="1553" w:val="left"/>
        </w:tabs>
        <w:numPr>
          <w:ilvl w:val="1"/>
          <w:numId w:val="214"/>
        </w:numPr>
        <w:rPr>
          <w:rFonts w:ascii="Arial" w:cs="Arial" w:eastAsia="Arial" w:hAnsi="Arial"/>
          <w:sz w:val="20"/>
          <w:szCs w:val="20"/>
          <w:color w:val="010000"/>
        </w:rPr>
      </w:pPr>
      <w:r>
        <w:rPr>
          <w:rFonts w:ascii="Arial" w:cs="Arial" w:eastAsia="Arial" w:hAnsi="Arial"/>
          <w:sz w:val="20"/>
          <w:szCs w:val="20"/>
          <w:color w:val="auto"/>
        </w:rPr>
        <w:t>Employer discontinues its bonus plan in which Employee participates as in effect immediately before the Change in Control without immediately replacing such bonus plan with a plan that is the substantial economic equivalent of such bonus plan, or amends such bonus plan so as to materially reduce Employee’s potential bonus at any given level of economic performance of Employer or its successor entity;</w:t>
      </w:r>
    </w:p>
    <w:p>
      <w:pPr>
        <w:spacing w:after="0" w:line="207" w:lineRule="exact"/>
        <w:rPr>
          <w:rFonts w:ascii="Arial" w:cs="Arial" w:eastAsia="Arial" w:hAnsi="Arial"/>
          <w:sz w:val="20"/>
          <w:szCs w:val="20"/>
          <w:color w:val="010000"/>
        </w:rPr>
      </w:pPr>
    </w:p>
    <w:p>
      <w:pPr>
        <w:ind w:left="640" w:firstLine="653"/>
        <w:spacing w:after="0" w:line="275" w:lineRule="auto"/>
        <w:tabs>
          <w:tab w:leader="none" w:pos="1637" w:val="left"/>
        </w:tabs>
        <w:numPr>
          <w:ilvl w:val="1"/>
          <w:numId w:val="214"/>
        </w:numPr>
        <w:rPr>
          <w:rFonts w:ascii="Arial" w:cs="Arial" w:eastAsia="Arial" w:hAnsi="Arial"/>
          <w:sz w:val="20"/>
          <w:szCs w:val="20"/>
          <w:color w:val="010000"/>
        </w:rPr>
      </w:pPr>
      <w:r>
        <w:rPr>
          <w:rFonts w:ascii="Arial" w:cs="Arial" w:eastAsia="Arial" w:hAnsi="Arial"/>
          <w:sz w:val="20"/>
          <w:szCs w:val="20"/>
          <w:color w:val="auto"/>
        </w:rPr>
        <w:t>Employer materially reduces the aggregate benefits and perquisites to Employee from those being provided immediately before the Change in Control;</w:t>
      </w:r>
    </w:p>
    <w:p>
      <w:pPr>
        <w:spacing w:after="0" w:line="202" w:lineRule="exact"/>
        <w:rPr>
          <w:rFonts w:ascii="Arial" w:cs="Arial" w:eastAsia="Arial" w:hAnsi="Arial"/>
          <w:sz w:val="20"/>
          <w:szCs w:val="20"/>
          <w:color w:val="010000"/>
        </w:rPr>
      </w:pPr>
    </w:p>
    <w:p>
      <w:pPr>
        <w:jc w:val="both"/>
        <w:ind w:left="640" w:firstLine="653"/>
        <w:spacing w:after="0" w:line="271" w:lineRule="auto"/>
        <w:tabs>
          <w:tab w:leader="none" w:pos="1608" w:val="left"/>
        </w:tabs>
        <w:numPr>
          <w:ilvl w:val="1"/>
          <w:numId w:val="214"/>
        </w:numPr>
        <w:rPr>
          <w:rFonts w:ascii="Arial" w:cs="Arial" w:eastAsia="Arial" w:hAnsi="Arial"/>
          <w:sz w:val="20"/>
          <w:szCs w:val="20"/>
          <w:color w:val="010000"/>
        </w:rPr>
      </w:pPr>
      <w:r>
        <w:rPr>
          <w:rFonts w:ascii="Arial" w:cs="Arial" w:eastAsia="Arial" w:hAnsi="Arial"/>
          <w:sz w:val="20"/>
          <w:szCs w:val="20"/>
          <w:color w:val="auto"/>
        </w:rPr>
        <w:t>Employer or any of its Affiliates requires Employee to change the location of Employee’s job or office, so that Employee will be based at a location more than 25 miles from the location of Employee’s job or office immediately before the Change in Control;</w:t>
      </w:r>
    </w:p>
    <w:p>
      <w:pPr>
        <w:spacing w:after="0" w:line="206" w:lineRule="exact"/>
        <w:rPr>
          <w:rFonts w:ascii="Arial" w:cs="Arial" w:eastAsia="Arial" w:hAnsi="Arial"/>
          <w:sz w:val="20"/>
          <w:szCs w:val="20"/>
          <w:color w:val="010000"/>
        </w:rPr>
      </w:pPr>
    </w:p>
    <w:p>
      <w:pPr>
        <w:jc w:val="both"/>
        <w:ind w:left="640" w:firstLine="653"/>
        <w:spacing w:after="0" w:line="271" w:lineRule="auto"/>
        <w:tabs>
          <w:tab w:leader="none" w:pos="1577" w:val="left"/>
        </w:tabs>
        <w:numPr>
          <w:ilvl w:val="1"/>
          <w:numId w:val="214"/>
        </w:numPr>
        <w:rPr>
          <w:rFonts w:ascii="Arial" w:cs="Arial" w:eastAsia="Arial" w:hAnsi="Arial"/>
          <w:sz w:val="20"/>
          <w:szCs w:val="20"/>
          <w:color w:val="010000"/>
        </w:rPr>
      </w:pPr>
      <w:r>
        <w:rPr>
          <w:rFonts w:ascii="Arial" w:cs="Arial" w:eastAsia="Arial" w:hAnsi="Arial"/>
          <w:sz w:val="20"/>
          <w:szCs w:val="20"/>
          <w:color w:val="auto"/>
        </w:rPr>
        <w:t>Employer or any of its Affiliates reduces Employee’s responsibilities or directs Employee to report to a person of lower rank or responsibilities than the person to whom Employee reported immediately before the Change in Control; or</w:t>
      </w:r>
    </w:p>
    <w:p>
      <w:pPr>
        <w:spacing w:after="0" w:line="206" w:lineRule="exact"/>
        <w:rPr>
          <w:rFonts w:ascii="Arial" w:cs="Arial" w:eastAsia="Arial" w:hAnsi="Arial"/>
          <w:sz w:val="20"/>
          <w:szCs w:val="20"/>
          <w:color w:val="010000"/>
        </w:rPr>
      </w:pPr>
    </w:p>
    <w:p>
      <w:pPr>
        <w:ind w:left="640" w:right="20" w:firstLine="653"/>
        <w:spacing w:after="0" w:line="275" w:lineRule="auto"/>
        <w:tabs>
          <w:tab w:leader="none" w:pos="1621" w:val="left"/>
        </w:tabs>
        <w:numPr>
          <w:ilvl w:val="1"/>
          <w:numId w:val="214"/>
        </w:numPr>
        <w:rPr>
          <w:rFonts w:ascii="Arial" w:cs="Arial" w:eastAsia="Arial" w:hAnsi="Arial"/>
          <w:sz w:val="20"/>
          <w:szCs w:val="20"/>
          <w:color w:val="010000"/>
        </w:rPr>
      </w:pPr>
      <w:r>
        <w:rPr>
          <w:rFonts w:ascii="Arial" w:cs="Arial" w:eastAsia="Arial" w:hAnsi="Arial"/>
          <w:sz w:val="20"/>
          <w:szCs w:val="20"/>
          <w:color w:val="auto"/>
        </w:rPr>
        <w:t>the successor to Employer fails or refuses expressly to assume in writing the obligations of Employer under this Agreement.</w:t>
      </w:r>
    </w:p>
    <w:p>
      <w:pPr>
        <w:spacing w:after="0" w:line="202" w:lineRule="exact"/>
        <w:rPr>
          <w:sz w:val="20"/>
          <w:szCs w:val="20"/>
          <w:color w:val="auto"/>
        </w:rPr>
      </w:pPr>
    </w:p>
    <w:p>
      <w:pPr>
        <w:ind w:left="640" w:right="20"/>
        <w:spacing w:after="0" w:line="275" w:lineRule="auto"/>
        <w:rPr>
          <w:sz w:val="20"/>
          <w:szCs w:val="20"/>
          <w:color w:val="auto"/>
        </w:rPr>
      </w:pPr>
      <w:r>
        <w:rPr>
          <w:rFonts w:ascii="Arial" w:cs="Arial" w:eastAsia="Arial" w:hAnsi="Arial"/>
          <w:sz w:val="20"/>
          <w:szCs w:val="20"/>
          <w:color w:val="auto"/>
        </w:rPr>
        <w:t>For purposes of this Agreement, a determination by Employee that Employee has “Good Reason” shall be final and binding on Employer and Employee absent a showing of bad faith on Employee’s part.</w:t>
      </w:r>
    </w:p>
    <w:p>
      <w:pPr>
        <w:spacing w:after="0" w:line="178" w:lineRule="exact"/>
        <w:rPr>
          <w:sz w:val="20"/>
          <w:szCs w:val="20"/>
          <w:color w:val="auto"/>
        </w:rPr>
      </w:pPr>
    </w:p>
    <w:p>
      <w:pPr>
        <w:ind w:left="860" w:hanging="215"/>
        <w:spacing w:after="0"/>
        <w:tabs>
          <w:tab w:leader="none" w:pos="860" w:val="left"/>
        </w:tabs>
        <w:numPr>
          <w:ilvl w:val="0"/>
          <w:numId w:val="215"/>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Original Hire Date</w:t>
      </w:r>
      <w:r>
        <w:rPr>
          <w:rFonts w:ascii="Arial" w:cs="Arial" w:eastAsia="Arial" w:hAnsi="Arial"/>
          <w:sz w:val="20"/>
          <w:szCs w:val="20"/>
          <w:color w:val="auto"/>
        </w:rPr>
        <w:t>” means June 3, 2002.</w:t>
      </w:r>
    </w:p>
    <w:p>
      <w:pPr>
        <w:spacing w:after="0" w:line="242" w:lineRule="exact"/>
        <w:rPr>
          <w:rFonts w:ascii="Arial" w:cs="Arial" w:eastAsia="Arial" w:hAnsi="Arial"/>
          <w:sz w:val="20"/>
          <w:szCs w:val="20"/>
          <w:color w:val="010000"/>
        </w:rPr>
      </w:pPr>
    </w:p>
    <w:p>
      <w:pPr>
        <w:jc w:val="both"/>
        <w:ind w:firstLine="645"/>
        <w:spacing w:after="0" w:line="284" w:lineRule="auto"/>
        <w:tabs>
          <w:tab w:leader="none" w:pos="924" w:val="left"/>
        </w:tabs>
        <w:numPr>
          <w:ilvl w:val="0"/>
          <w:numId w:val="215"/>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Restricted Period</w:t>
      </w:r>
      <w:r>
        <w:rPr>
          <w:rFonts w:ascii="Arial" w:cs="Arial" w:eastAsia="Arial" w:hAnsi="Arial"/>
          <w:sz w:val="20"/>
          <w:szCs w:val="20"/>
          <w:b w:val="1"/>
          <w:bCs w:val="1"/>
          <w:color w:val="auto"/>
        </w:rPr>
        <w:t>”</w:t>
      </w:r>
      <w:r>
        <w:rPr>
          <w:rFonts w:ascii="Arial" w:cs="Arial" w:eastAsia="Arial" w:hAnsi="Arial"/>
          <w:sz w:val="20"/>
          <w:szCs w:val="20"/>
          <w:color w:val="auto"/>
        </w:rPr>
        <w:t xml:space="preserve"> means the period the Employer employs or compensates Employee, and, (x) in the event that Employee is entitled to the Separation Payment, the greater of 18 months following the termination of Employee’s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760"/>
          </w:cols>
          <w:pgMar w:left="900" w:top="1440" w:right="239" w:bottom="1440" w:gutter="0" w:footer="0" w:header="0"/>
        </w:sectPr>
      </w:pPr>
    </w:p>
    <w:bookmarkStart w:id="262" w:name="page263"/>
    <w:bookmarkEnd w:id="262"/>
    <w:p>
      <w:pPr>
        <w:spacing w:after="0" w:line="7" w:lineRule="exact"/>
        <w:rPr>
          <w:sz w:val="20"/>
          <w:szCs w:val="20"/>
          <w:color w:val="auto"/>
        </w:rPr>
      </w:pPr>
    </w:p>
    <w:p>
      <w:pPr>
        <w:ind w:left="600"/>
        <w:spacing w:after="0" w:line="275" w:lineRule="auto"/>
        <w:rPr>
          <w:sz w:val="20"/>
          <w:szCs w:val="20"/>
          <w:color w:val="auto"/>
        </w:rPr>
      </w:pPr>
      <w:r>
        <w:rPr>
          <w:rFonts w:ascii="Arial" w:cs="Arial" w:eastAsia="Arial" w:hAnsi="Arial"/>
          <w:sz w:val="20"/>
          <w:szCs w:val="20"/>
          <w:color w:val="auto"/>
        </w:rPr>
        <w:t>or the number of months remaining in the Term but for such termination of employment or (y) in the event that Employee is not entitled to the Separation Payment, one year following the termination of Employee’s employment.</w:t>
      </w:r>
    </w:p>
    <w:p>
      <w:pPr>
        <w:spacing w:after="0" w:line="178" w:lineRule="exact"/>
        <w:rPr>
          <w:sz w:val="20"/>
          <w:szCs w:val="20"/>
          <w:color w:val="auto"/>
        </w:rPr>
      </w:pPr>
    </w:p>
    <w:p>
      <w:pPr>
        <w:jc w:val="both"/>
        <w:ind w:left="600" w:firstLine="645"/>
        <w:spacing w:after="0" w:line="278" w:lineRule="auto"/>
        <w:tabs>
          <w:tab w:leader="none" w:pos="1483" w:val="left"/>
        </w:tabs>
        <w:numPr>
          <w:ilvl w:val="1"/>
          <w:numId w:val="216"/>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Separation Payment</w:t>
      </w:r>
      <w:r>
        <w:rPr>
          <w:rFonts w:ascii="Arial" w:cs="Arial" w:eastAsia="Arial" w:hAnsi="Arial"/>
          <w:sz w:val="20"/>
          <w:szCs w:val="20"/>
          <w:color w:val="auto"/>
        </w:rPr>
        <w:t>” means a lump sum equal to (A) Employee’s Base Salary for the remainder of the Term (but not less than 18 months) (as defined in Subparagraph 7(a) of this Agreement), plus (B) the bonus that was paid to Employee under Subparagraph 7(b) for the preceding bonus period, projected over the remainder of the Term (but not less than the preceding bonus that was paid), plus (C) any accrued but unpaid vacation pay.</w:t>
      </w:r>
    </w:p>
    <w:p>
      <w:pPr>
        <w:spacing w:after="0" w:line="176" w:lineRule="exact"/>
        <w:rPr>
          <w:rFonts w:ascii="Arial" w:cs="Arial" w:eastAsia="Arial" w:hAnsi="Arial"/>
          <w:sz w:val="20"/>
          <w:szCs w:val="20"/>
          <w:color w:val="010000"/>
        </w:rPr>
      </w:pPr>
    </w:p>
    <w:p>
      <w:pPr>
        <w:jc w:val="both"/>
        <w:ind w:left="600" w:firstLine="645"/>
        <w:spacing w:after="0" w:line="272" w:lineRule="auto"/>
        <w:tabs>
          <w:tab w:leader="none" w:pos="1590" w:val="left"/>
        </w:tabs>
        <w:numPr>
          <w:ilvl w:val="1"/>
          <w:numId w:val="216"/>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Trade Secrets</w:t>
      </w:r>
      <w:r>
        <w:rPr>
          <w:rFonts w:ascii="Arial" w:cs="Arial" w:eastAsia="Arial" w:hAnsi="Arial"/>
          <w:sz w:val="20"/>
          <w:szCs w:val="20"/>
          <w:color w:val="auto"/>
        </w:rPr>
        <w:t>” as used in this Agreement, shall be given its broadest possible interpretation under applicable law and shall mean all forms and types of financial, business, scientific, technical, economic, or engineering information, including patterns, plans, compilations, program devices, formulas, designs, prototypes, methods, techniques, processes, procedures, programs, or codes, whether tangible or intangible, and whether or how stored, compiled, or memorialized physically, electronically, graphically, photographically, or in writing that (1) Employer has taken reasonable measures to keep secret, and that (2) derives independent economic value, actual or potential, from not being generally known to, and not being readily ascertainable through proper means by, another person who can obtain economic value from the disclosure or use of the information.</w:t>
      </w:r>
    </w:p>
    <w:p>
      <w:pPr>
        <w:spacing w:after="0" w:line="183" w:lineRule="exact"/>
        <w:rPr>
          <w:rFonts w:ascii="Arial" w:cs="Arial" w:eastAsia="Arial" w:hAnsi="Arial"/>
          <w:sz w:val="20"/>
          <w:szCs w:val="20"/>
          <w:color w:val="010000"/>
        </w:rPr>
      </w:pPr>
    </w:p>
    <w:p>
      <w:pPr>
        <w:jc w:val="both"/>
        <w:ind w:left="600" w:firstLine="645"/>
        <w:spacing w:after="0" w:line="274" w:lineRule="auto"/>
        <w:tabs>
          <w:tab w:leader="none" w:pos="1589" w:val="left"/>
        </w:tabs>
        <w:numPr>
          <w:ilvl w:val="1"/>
          <w:numId w:val="216"/>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Work of Authorship</w:t>
      </w:r>
      <w:r>
        <w:rPr>
          <w:rFonts w:ascii="Arial" w:cs="Arial" w:eastAsia="Arial" w:hAnsi="Arial"/>
          <w:sz w:val="20"/>
          <w:szCs w:val="20"/>
          <w:color w:val="auto"/>
        </w:rPr>
        <w:t>” means any computer program, code or system as well as any literary, pictorial, sculptural, graphic or audio visual work, whether published or unpublished, and whether copyrightable or not, in whatever form and jointly with others that (i) relates to any of Employer’s or its Affiliate’s existing or potential products, practices, processes, formulations, manufacturing, engineering, research, equipment, applications or other business or technical activities or investigations; or (ii) relates to ideas, work or investigations conceived or carried on by Employer or its Affiliate or by Employee in connection with or because of performing services for Employer or its Affiliate.</w:t>
      </w:r>
    </w:p>
    <w:p>
      <w:pPr>
        <w:spacing w:after="0" w:line="180" w:lineRule="exact"/>
        <w:rPr>
          <w:rFonts w:ascii="Arial" w:cs="Arial" w:eastAsia="Arial" w:hAnsi="Arial"/>
          <w:sz w:val="20"/>
          <w:szCs w:val="20"/>
          <w:color w:val="010000"/>
        </w:rPr>
      </w:pPr>
    </w:p>
    <w:p>
      <w:pPr>
        <w:jc w:val="both"/>
        <w:ind w:left="-60" w:firstLine="656"/>
        <w:spacing w:after="0" w:line="271" w:lineRule="auto"/>
        <w:tabs>
          <w:tab w:leader="none" w:pos="839" w:val="left"/>
        </w:tabs>
        <w:numPr>
          <w:ilvl w:val="0"/>
          <w:numId w:val="217"/>
        </w:numPr>
        <w:rPr>
          <w:rFonts w:ascii="Arial" w:cs="Arial" w:eastAsia="Arial" w:hAnsi="Arial"/>
          <w:sz w:val="20"/>
          <w:szCs w:val="20"/>
          <w:color w:val="010000"/>
        </w:rPr>
      </w:pPr>
      <w:r>
        <w:rPr>
          <w:rFonts w:ascii="Arial" w:cs="Arial" w:eastAsia="Arial" w:hAnsi="Arial"/>
          <w:sz w:val="20"/>
          <w:szCs w:val="20"/>
          <w:b w:val="1"/>
          <w:bCs w:val="1"/>
          <w:i w:val="1"/>
          <w:iCs w:val="1"/>
          <w:u w:val="single" w:color="auto"/>
          <w:color w:val="auto"/>
        </w:rPr>
        <w:t>BASIC EMPLOYMENT AGREEMENT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Subject to the terms and pursuant to the conditions hereinafter set forth,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Employer hereby employs Employee during the Term hereinafter specified to serve in a capacity, under a title, and with such duties not inconsistent with those set forth in Section 3 of this Agreement, as the same may be modified and/or assigned to Employee by Employer from time to time; provided, however, that no change in Employee’s duties shall be permitted if it would result in a material reduction in the level of Employee’s duties as in effect prior to the change, it being understood, however, that a change in Employee’s reporting responsibilities is not, itself, a basis for finding a material reduction in the level of duties. Notwithstanding anything to the contrary contained herein, nothing in this Agreement shall be interpreted so as to permit Employer to require Employee to relocate his primary residence or his primary office outside of Las Vegas, Nevada metropolitan area; provided however, that Employee acknowledges and agrees that Employee’s duties may require Employee to occasionally travel to locations where Employer has operations or is investigating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300" w:top="1440" w:right="239" w:bottom="1440" w:gutter="0" w:footer="0" w:header="0"/>
        </w:sectPr>
      </w:pPr>
    </w:p>
    <w:bookmarkStart w:id="263" w:name="page264"/>
    <w:bookmarkEnd w:id="263"/>
    <w:p>
      <w:pPr>
        <w:spacing w:after="0" w:line="7"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opportunities. The parties agree that Employer’s requirement that Employee relocate his primary residence or his primary office outside of Las Vegas, Nevada metropolitan area would constitute a breach of this Agreement.</w:t>
      </w:r>
    </w:p>
    <w:p>
      <w:pPr>
        <w:spacing w:after="0" w:line="199" w:lineRule="exact"/>
        <w:rPr>
          <w:sz w:val="20"/>
          <w:szCs w:val="20"/>
          <w:color w:val="auto"/>
        </w:rPr>
      </w:pPr>
    </w:p>
    <w:p>
      <w:pPr>
        <w:jc w:val="both"/>
        <w:spacing w:after="0" w:line="272" w:lineRule="auto"/>
        <w:rPr>
          <w:sz w:val="20"/>
          <w:szCs w:val="20"/>
          <w:color w:val="auto"/>
        </w:rPr>
      </w:pPr>
      <w:r>
        <w:rPr>
          <w:rFonts w:ascii="Arial" w:cs="Arial" w:eastAsia="Arial" w:hAnsi="Arial"/>
          <w:sz w:val="21"/>
          <w:szCs w:val="21"/>
          <w:color w:val="auto"/>
        </w:rPr>
        <w:t>As of the Effective Date, this Agreement supersedes and replaces any and all prior employment agreements, change in control agreements and severance plans or agreements, whether written or oral, by and between Employee, on the one side, and Employer or any of Employer’s Affiliates, on the other side, or under which Employee is a participant, with the exception of any agreement pertaining to the issuance of restricted stock to Employee by Employer or any of its Affiliates, or any agreement providing for a retention or long term incentive bonus. From and after the Effective Date, Employee shall be employed by Employer under the terms and pursuant to the conditions set forth in this Agreement.</w:t>
      </w:r>
    </w:p>
    <w:p>
      <w:pPr>
        <w:spacing w:after="0" w:line="174" w:lineRule="exact"/>
        <w:rPr>
          <w:sz w:val="20"/>
          <w:szCs w:val="20"/>
          <w:color w:val="auto"/>
        </w:rPr>
      </w:pPr>
    </w:p>
    <w:p>
      <w:pPr>
        <w:jc w:val="both"/>
        <w:ind w:firstLine="656"/>
        <w:spacing w:after="0" w:line="271" w:lineRule="auto"/>
        <w:tabs>
          <w:tab w:leader="none" w:pos="885" w:val="left"/>
        </w:tabs>
        <w:numPr>
          <w:ilvl w:val="0"/>
          <w:numId w:val="218"/>
        </w:numPr>
        <w:rPr>
          <w:rFonts w:ascii="Arial" w:cs="Arial" w:eastAsia="Arial" w:hAnsi="Arial"/>
          <w:sz w:val="20"/>
          <w:szCs w:val="20"/>
          <w:color w:val="010000"/>
        </w:rPr>
      </w:pPr>
      <w:r>
        <w:rPr>
          <w:rFonts w:ascii="Arial" w:cs="Arial" w:eastAsia="Arial" w:hAnsi="Arial"/>
          <w:sz w:val="20"/>
          <w:szCs w:val="20"/>
          <w:b w:val="1"/>
          <w:bCs w:val="1"/>
          <w:i w:val="1"/>
          <w:iCs w:val="1"/>
          <w:u w:val="single" w:color="auto"/>
          <w:color w:val="auto"/>
        </w:rPr>
        <w:t>DUTIES OF EMPLOYEE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Employee shall perform such duties assigned to Employee by Employer as are generally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associated with the duties of </w:t>
      </w:r>
      <w:r>
        <w:rPr>
          <w:rFonts w:ascii="Arial" w:cs="Arial" w:eastAsia="Arial" w:hAnsi="Arial"/>
          <w:sz w:val="20"/>
          <w:szCs w:val="20"/>
          <w:b w:val="1"/>
          <w:bCs w:val="1"/>
          <w:color w:val="auto"/>
        </w:rPr>
        <w:t>Chief Executive Officer</w:t>
      </w:r>
      <w:r>
        <w:rPr>
          <w:rFonts w:ascii="Arial" w:cs="Arial" w:eastAsia="Arial" w:hAnsi="Arial"/>
          <w:sz w:val="20"/>
          <w:szCs w:val="20"/>
          <w:color w:val="auto"/>
        </w:rPr>
        <w:t xml:space="preserve"> for Employer or such similar duties as may be assigned to Employee by Employer as Employer may determine. Employee’s duties shall include: (i) the efficient and continuous operation of Employer and its Affiliates; (ii) the preparation of relevant budgets and allocation of relevant funds; (iii) the selection and delegation of duties and responsibilities of subordinates; (iv) the direction, review and oversight of all programs under Employee’s supervision; (v) adherence to the policies and procedures of Employer and its Affiliates as they may be amended from time to time without prior notice to Employee (unless such policies and procedures conflict with this Agreement, in which case this Agreement takes precedence) and for which Employee assumes responsibility for review and understanding; and (vi) such other and related duties as may be assigned by Employer to Employee from time to time. The foregoing notwithstanding, Employee shall devote such time to Employer or its Affiliates as may be required by Employer, provided such duties are not inconsistent with Employee’s primary duties to Employer hereunder.</w:t>
      </w:r>
    </w:p>
    <w:p>
      <w:pPr>
        <w:spacing w:after="0" w:line="182" w:lineRule="exact"/>
        <w:rPr>
          <w:rFonts w:ascii="Arial" w:cs="Arial" w:eastAsia="Arial" w:hAnsi="Arial"/>
          <w:sz w:val="20"/>
          <w:szCs w:val="20"/>
          <w:color w:val="010000"/>
        </w:rPr>
      </w:pPr>
    </w:p>
    <w:p>
      <w:pPr>
        <w:jc w:val="both"/>
        <w:ind w:firstLine="656"/>
        <w:spacing w:after="0" w:line="274" w:lineRule="auto"/>
        <w:tabs>
          <w:tab w:leader="none" w:pos="885" w:val="left"/>
        </w:tabs>
        <w:numPr>
          <w:ilvl w:val="0"/>
          <w:numId w:val="218"/>
        </w:numPr>
        <w:rPr>
          <w:rFonts w:ascii="Arial" w:cs="Arial" w:eastAsia="Arial" w:hAnsi="Arial"/>
          <w:sz w:val="20"/>
          <w:szCs w:val="20"/>
          <w:color w:val="010000"/>
        </w:rPr>
      </w:pPr>
      <w:r>
        <w:rPr>
          <w:rFonts w:ascii="Arial" w:cs="Arial" w:eastAsia="Arial" w:hAnsi="Arial"/>
          <w:sz w:val="20"/>
          <w:szCs w:val="20"/>
          <w:b w:val="1"/>
          <w:bCs w:val="1"/>
          <w:i w:val="1"/>
          <w:iCs w:val="1"/>
          <w:u w:val="single" w:color="auto"/>
          <w:color w:val="auto"/>
        </w:rPr>
        <w:t>ACCEPTANCE OF EMPLOYMENT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Employee hereby unconditionally accepts the employment set forth hereunder,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under the terms and pursuant to the conditions set forth in this Agreement. Employee hereby covenants and agrees that, during the Term, Employee will devote the whole of Employee’s normal and customary working time and best efforts solely to the performance of Employee’s duties under this Agreement and that, except upon Employer’s prior express written authorization to that effect, Employee shall not perform any services for any casino, hotel/casino or other similar gaming or gambling operation not owned by Employer or any of Employer’s Affiliates.</w:t>
      </w:r>
    </w:p>
    <w:p>
      <w:pPr>
        <w:spacing w:after="0" w:line="201"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Employee represents and warrants to Employer that the execution and delivery of this Agreement and the performance of the Employee’s duties hereunder shall not violate the terms or conditions of any employment agreement or arrangement or any other agreement to which Employee is a party.</w:t>
      </w:r>
    </w:p>
    <w:p>
      <w:pPr>
        <w:spacing w:after="0" w:line="186" w:lineRule="exact"/>
        <w:rPr>
          <w:sz w:val="20"/>
          <w:szCs w:val="20"/>
          <w:color w:val="auto"/>
        </w:rPr>
      </w:pPr>
    </w:p>
    <w:p>
      <w:pPr>
        <w:ind w:firstLine="656"/>
        <w:spacing w:after="0" w:line="300" w:lineRule="auto"/>
        <w:tabs>
          <w:tab w:leader="none" w:pos="858" w:val="left"/>
        </w:tabs>
        <w:numPr>
          <w:ilvl w:val="0"/>
          <w:numId w:val="219"/>
        </w:numPr>
        <w:rPr>
          <w:rFonts w:ascii="Arial" w:cs="Arial" w:eastAsia="Arial" w:hAnsi="Arial"/>
          <w:sz w:val="20"/>
          <w:szCs w:val="20"/>
          <w:color w:val="010000"/>
        </w:rPr>
      </w:pPr>
      <w:r>
        <w:rPr>
          <w:rFonts w:ascii="Arial" w:cs="Arial" w:eastAsia="Arial" w:hAnsi="Arial"/>
          <w:sz w:val="20"/>
          <w:szCs w:val="20"/>
          <w:b w:val="1"/>
          <w:bCs w:val="1"/>
          <w:i w:val="1"/>
          <w:iCs w:val="1"/>
          <w:u w:val="single" w:color="auto"/>
          <w:color w:val="auto"/>
        </w:rPr>
        <w:t>TERM</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Unless sooner terminated as provided in this Agreement, the term of this Agreement (the “</w:t>
      </w:r>
      <w:r>
        <w:rPr>
          <w:rFonts w:ascii="Arial" w:cs="Arial" w:eastAsia="Arial" w:hAnsi="Arial"/>
          <w:sz w:val="20"/>
          <w:szCs w:val="20"/>
          <w:b w:val="1"/>
          <w:bCs w:val="1"/>
          <w:color w:val="auto"/>
        </w:rPr>
        <w:t>Term</w:t>
      </w:r>
      <w:r>
        <w:rPr>
          <w:rFonts w:ascii="Arial" w:cs="Arial" w:eastAsia="Arial" w:hAnsi="Arial"/>
          <w:sz w:val="20"/>
          <w:szCs w:val="20"/>
          <w:color w:val="auto"/>
        </w:rPr>
        <w:t>”) shall consist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three (3) years commencing on the Effective Date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440" w:right="239" w:bottom="1440" w:gutter="0" w:footer="0" w:header="0"/>
        </w:sectPr>
      </w:pPr>
    </w:p>
    <w:bookmarkStart w:id="264" w:name="page265"/>
    <w:bookmarkEnd w:id="264"/>
    <w:p>
      <w:pPr>
        <w:spacing w:after="0" w:line="6"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this Agreement and terminating on the third Anniversary of the Effective Date, at which time the terms of this Agreement shall expire and shall not apply to any continued employment of Employee by Employer, except for those obligations under Sections 9, 10, 11 and 21. Following the Term, unless the parties enter into a new written contract of employment, (a) any continued employment of Employee shall be at-will, (b) any or all of the other terms and conditions of Employee’s employment may be changed by Employer at its discretion, with or without notice, and (c) the employment relationship may be terminated at any time by either party, with or without cause or notice.</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Concurrent with Employee’s resignation from Employer or upon the termination of Employee’s employment with Employer, Employee agrees to resign, and shall be deemed to have resigned, all other positions (including board of director memberships) that Employee may have held immediately prior to Employee’s resignation or termination.</w:t>
      </w:r>
    </w:p>
    <w:p>
      <w:pPr>
        <w:spacing w:after="0" w:line="186" w:lineRule="exact"/>
        <w:rPr>
          <w:sz w:val="20"/>
          <w:szCs w:val="20"/>
          <w:color w:val="auto"/>
        </w:rPr>
      </w:pPr>
    </w:p>
    <w:p>
      <w:pPr>
        <w:ind w:left="860" w:hanging="204"/>
        <w:spacing w:after="0"/>
        <w:tabs>
          <w:tab w:leader="none" w:pos="860" w:val="left"/>
        </w:tabs>
        <w:numPr>
          <w:ilvl w:val="0"/>
          <w:numId w:val="220"/>
        </w:numPr>
        <w:rPr>
          <w:rFonts w:ascii="Arial" w:cs="Arial" w:eastAsia="Arial" w:hAnsi="Arial"/>
          <w:sz w:val="20"/>
          <w:szCs w:val="20"/>
          <w:color w:val="010000"/>
        </w:rPr>
      </w:pPr>
      <w:r>
        <w:rPr>
          <w:rFonts w:ascii="Arial" w:cs="Arial" w:eastAsia="Arial" w:hAnsi="Arial"/>
          <w:sz w:val="20"/>
          <w:szCs w:val="20"/>
          <w:b w:val="1"/>
          <w:bCs w:val="1"/>
          <w:i w:val="1"/>
          <w:iCs w:val="1"/>
          <w:u w:val="single" w:color="auto"/>
          <w:color w:val="auto"/>
        </w:rPr>
        <w:t>SPECIAL TERMINATION PROVISIONS</w:t>
      </w:r>
      <w:r>
        <w:rPr>
          <w:rFonts w:ascii="Arial" w:cs="Arial" w:eastAsia="Arial" w:hAnsi="Arial"/>
          <w:sz w:val="20"/>
          <w:szCs w:val="20"/>
          <w:color w:val="auto"/>
        </w:rPr>
        <w:t>.</w:t>
      </w:r>
    </w:p>
    <w:p>
      <w:pPr>
        <w:spacing w:after="0" w:line="266" w:lineRule="exact"/>
        <w:rPr>
          <w:rFonts w:ascii="Arial" w:cs="Arial" w:eastAsia="Arial" w:hAnsi="Arial"/>
          <w:sz w:val="20"/>
          <w:szCs w:val="20"/>
          <w:color w:val="010000"/>
        </w:rPr>
      </w:pPr>
    </w:p>
    <w:p>
      <w:pPr>
        <w:ind w:left="660" w:right="20" w:firstLine="645"/>
        <w:spacing w:after="0" w:line="275" w:lineRule="auto"/>
        <w:tabs>
          <w:tab w:leader="none" w:pos="1609" w:val="left"/>
        </w:tabs>
        <w:numPr>
          <w:ilvl w:val="1"/>
          <w:numId w:val="220"/>
        </w:numPr>
        <w:rPr>
          <w:rFonts w:ascii="Arial" w:cs="Arial" w:eastAsia="Arial" w:hAnsi="Arial"/>
          <w:sz w:val="20"/>
          <w:szCs w:val="20"/>
          <w:color w:val="010000"/>
        </w:rPr>
      </w:pPr>
      <w:r>
        <w:rPr>
          <w:rFonts w:ascii="Arial" w:cs="Arial" w:eastAsia="Arial" w:hAnsi="Arial"/>
          <w:sz w:val="20"/>
          <w:szCs w:val="20"/>
          <w:color w:val="auto"/>
        </w:rPr>
        <w:t>Notwithstanding the provisions of Section 5, this Agreement shall terminate upon the occurrence of any of the following events:</w:t>
      </w:r>
    </w:p>
    <w:p>
      <w:pPr>
        <w:spacing w:after="0" w:line="202" w:lineRule="exact"/>
        <w:rPr>
          <w:rFonts w:ascii="Arial" w:cs="Arial" w:eastAsia="Arial" w:hAnsi="Arial"/>
          <w:sz w:val="20"/>
          <w:szCs w:val="20"/>
          <w:color w:val="010000"/>
        </w:rPr>
      </w:pPr>
    </w:p>
    <w:p>
      <w:pPr>
        <w:ind w:left="2180" w:hanging="227"/>
        <w:spacing w:after="0"/>
        <w:tabs>
          <w:tab w:leader="none" w:pos="2180" w:val="left"/>
        </w:tabs>
        <w:numPr>
          <w:ilvl w:val="2"/>
          <w:numId w:val="220"/>
        </w:numPr>
        <w:rPr>
          <w:rFonts w:ascii="Arial" w:cs="Arial" w:eastAsia="Arial" w:hAnsi="Arial"/>
          <w:sz w:val="20"/>
          <w:szCs w:val="20"/>
          <w:color w:val="010000"/>
        </w:rPr>
      </w:pPr>
      <w:r>
        <w:rPr>
          <w:rFonts w:ascii="Arial" w:cs="Arial" w:eastAsia="Arial" w:hAnsi="Arial"/>
          <w:sz w:val="20"/>
          <w:szCs w:val="20"/>
          <w:color w:val="auto"/>
        </w:rPr>
        <w:t>the death of Employee;</w:t>
      </w:r>
    </w:p>
    <w:p>
      <w:pPr>
        <w:spacing w:after="0" w:line="242" w:lineRule="exact"/>
        <w:rPr>
          <w:rFonts w:ascii="Arial" w:cs="Arial" w:eastAsia="Arial" w:hAnsi="Arial"/>
          <w:sz w:val="20"/>
          <w:szCs w:val="20"/>
          <w:color w:val="010000"/>
        </w:rPr>
      </w:pPr>
    </w:p>
    <w:p>
      <w:pPr>
        <w:ind w:left="1300" w:firstLine="653"/>
        <w:spacing w:after="0" w:line="275" w:lineRule="auto"/>
        <w:tabs>
          <w:tab w:leader="none" w:pos="2226" w:val="left"/>
        </w:tabs>
        <w:numPr>
          <w:ilvl w:val="2"/>
          <w:numId w:val="220"/>
        </w:numPr>
        <w:rPr>
          <w:rFonts w:ascii="Arial" w:cs="Arial" w:eastAsia="Arial" w:hAnsi="Arial"/>
          <w:sz w:val="20"/>
          <w:szCs w:val="20"/>
          <w:color w:val="010000"/>
        </w:rPr>
      </w:pPr>
      <w:r>
        <w:rPr>
          <w:rFonts w:ascii="Arial" w:cs="Arial" w:eastAsia="Arial" w:hAnsi="Arial"/>
          <w:sz w:val="20"/>
          <w:szCs w:val="20"/>
          <w:color w:val="auto"/>
        </w:rPr>
        <w:t>the giving of written notice from Employer to Employee of the termination of this Agreement upon the Complete Disability of Employee;</w:t>
      </w:r>
    </w:p>
    <w:p>
      <w:pPr>
        <w:spacing w:after="0" w:line="202" w:lineRule="exact"/>
        <w:rPr>
          <w:rFonts w:ascii="Arial" w:cs="Arial" w:eastAsia="Arial" w:hAnsi="Arial"/>
          <w:sz w:val="20"/>
          <w:szCs w:val="20"/>
          <w:color w:val="010000"/>
        </w:rPr>
      </w:pPr>
    </w:p>
    <w:p>
      <w:pPr>
        <w:jc w:val="both"/>
        <w:ind w:left="1300" w:firstLine="653"/>
        <w:spacing w:after="0" w:line="268" w:lineRule="auto"/>
        <w:tabs>
          <w:tab w:leader="none" w:pos="2284" w:val="left"/>
        </w:tabs>
        <w:numPr>
          <w:ilvl w:val="2"/>
          <w:numId w:val="220"/>
        </w:numPr>
        <w:rPr>
          <w:rFonts w:ascii="Arial" w:cs="Arial" w:eastAsia="Arial" w:hAnsi="Arial"/>
          <w:sz w:val="20"/>
          <w:szCs w:val="20"/>
          <w:color w:val="010000"/>
        </w:rPr>
      </w:pPr>
      <w:r>
        <w:rPr>
          <w:rFonts w:ascii="Arial" w:cs="Arial" w:eastAsia="Arial" w:hAnsi="Arial"/>
          <w:sz w:val="20"/>
          <w:szCs w:val="20"/>
          <w:color w:val="auto"/>
        </w:rPr>
        <w:t>the giving of written notice by Employer to Employee of the termination of this Agreement upon the discharge of Employee for Cause (Employer’s right to terminate for Cause (as defined in Section 1(c) shall survive the expiration of this Agreement)). It is expressly acknowledged and agreed that the decision as to whether “Cause” exists for termination of the employment relationship by Employer is delegated to the Employer’s board of directors. If Employee disagrees with the decision reached by Employer’s board of directors, any dispute as to the “Cause” determination will be limited to whether Employer’s board of directors reached its decision in good faith, based upon facts reasonably believed by Employer’s board of directors to be true, and not for any arbitrary, capricious or illegal reason. This shall be the standard applied by any fact finder, and Employee shall bear the burden to prove that “Cause,” under this standard, did not exist;</w:t>
      </w:r>
    </w:p>
    <w:p>
      <w:pPr>
        <w:spacing w:after="0" w:line="214" w:lineRule="exact"/>
        <w:rPr>
          <w:rFonts w:ascii="Arial" w:cs="Arial" w:eastAsia="Arial" w:hAnsi="Arial"/>
          <w:sz w:val="20"/>
          <w:szCs w:val="20"/>
          <w:color w:val="010000"/>
        </w:rPr>
      </w:pPr>
    </w:p>
    <w:p>
      <w:pPr>
        <w:jc w:val="both"/>
        <w:ind w:left="1300" w:firstLine="653"/>
        <w:spacing w:after="0" w:line="271" w:lineRule="auto"/>
        <w:tabs>
          <w:tab w:leader="none" w:pos="2281" w:val="left"/>
        </w:tabs>
        <w:numPr>
          <w:ilvl w:val="2"/>
          <w:numId w:val="220"/>
        </w:numPr>
        <w:rPr>
          <w:rFonts w:ascii="Arial" w:cs="Arial" w:eastAsia="Arial" w:hAnsi="Arial"/>
          <w:sz w:val="20"/>
          <w:szCs w:val="20"/>
          <w:color w:val="010000"/>
        </w:rPr>
      </w:pPr>
      <w:r>
        <w:rPr>
          <w:rFonts w:ascii="Arial" w:cs="Arial" w:eastAsia="Arial" w:hAnsi="Arial"/>
          <w:sz w:val="20"/>
          <w:szCs w:val="20"/>
          <w:color w:val="auto"/>
        </w:rPr>
        <w:t>the giving of written notice by Employer to Employee of the termination of this Agreement following a disapproval of this Agreement or the denial, suspension, limitation or revocation of Employee’s License (as defined in Section 8(b) of this Agreement);</w:t>
      </w:r>
    </w:p>
    <w:p>
      <w:pPr>
        <w:spacing w:after="0" w:line="206" w:lineRule="exact"/>
        <w:rPr>
          <w:rFonts w:ascii="Arial" w:cs="Arial" w:eastAsia="Arial" w:hAnsi="Arial"/>
          <w:sz w:val="20"/>
          <w:szCs w:val="20"/>
          <w:color w:val="010000"/>
        </w:rPr>
      </w:pPr>
    </w:p>
    <w:p>
      <w:pPr>
        <w:ind w:left="1300" w:firstLine="653"/>
        <w:spacing w:after="0" w:line="275" w:lineRule="auto"/>
        <w:tabs>
          <w:tab w:leader="none" w:pos="2251" w:val="left"/>
        </w:tabs>
        <w:numPr>
          <w:ilvl w:val="2"/>
          <w:numId w:val="220"/>
        </w:numPr>
        <w:rPr>
          <w:rFonts w:ascii="Arial" w:cs="Arial" w:eastAsia="Arial" w:hAnsi="Arial"/>
          <w:sz w:val="20"/>
          <w:szCs w:val="20"/>
          <w:color w:val="010000"/>
        </w:rPr>
      </w:pPr>
      <w:r>
        <w:rPr>
          <w:rFonts w:ascii="Arial" w:cs="Arial" w:eastAsia="Arial" w:hAnsi="Arial"/>
          <w:sz w:val="20"/>
          <w:szCs w:val="20"/>
          <w:color w:val="auto"/>
        </w:rPr>
        <w:t>the giving of written notice by Employee to Employer upon a material breach of this Agreement by Employer, which material breach remains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440" w:right="239" w:bottom="1440" w:gutter="0" w:footer="0" w:header="0"/>
        </w:sectPr>
      </w:pPr>
    </w:p>
    <w:bookmarkStart w:id="265" w:name="page266"/>
    <w:bookmarkEnd w:id="265"/>
    <w:p>
      <w:pPr>
        <w:spacing w:after="0" w:line="7" w:lineRule="exact"/>
        <w:rPr>
          <w:sz w:val="20"/>
          <w:szCs w:val="20"/>
          <w:color w:val="auto"/>
        </w:rPr>
      </w:pPr>
    </w:p>
    <w:p>
      <w:pPr>
        <w:jc w:val="both"/>
        <w:ind w:left="100"/>
        <w:spacing w:after="0" w:line="268" w:lineRule="auto"/>
        <w:rPr>
          <w:sz w:val="20"/>
          <w:szCs w:val="20"/>
          <w:color w:val="auto"/>
        </w:rPr>
      </w:pPr>
      <w:r>
        <w:rPr>
          <w:rFonts w:ascii="Arial" w:cs="Arial" w:eastAsia="Arial" w:hAnsi="Arial"/>
          <w:sz w:val="20"/>
          <w:szCs w:val="20"/>
          <w:color w:val="auto"/>
        </w:rPr>
        <w:t>uncured for a period of thirty (30) days after the giving of such notice. “Material breach” under this Section 6(a)(v) is defined as Employer’s failure to pay Employee’s Base Salary when due, Employer’s implementation of a material reduction in the scope of duties or responsibilities of Employee such that Employee’s remaining duties and responsibilities are materially inconsistent with the duties and responsibilities generally associated with Employee’s position within Employer’s organization, or if such position is the only position with Employer, or its Affiliates, irrespective of the title of the position, or a material reduction in Employee’s Base Salary; provided, however, that “material breach” shall not be construed to include any change in reporting structure alone with no material change to title, duties and responsibilities, any changes to Employee’s duties pursuant to Section 6(a)(vi), any changes to Employee’s duties and responsibilities as a result of a request by the Authorities under Section 8, or the temporary suspension of the Employee from duty, pursuant to Employer’s policy, pending investigation by Employer of any incident or occurrence that could give rise to discipline or termination of employment. Termination of employment pursuant to this Section 6(a)(v) does not relieve Employee of his duties and responsibilities under Sections 9, 10, 11, and 21 of this Agreement;</w:t>
      </w:r>
    </w:p>
    <w:p>
      <w:pPr>
        <w:spacing w:after="0" w:line="213" w:lineRule="exact"/>
        <w:rPr>
          <w:sz w:val="20"/>
          <w:szCs w:val="20"/>
          <w:color w:val="auto"/>
        </w:rPr>
      </w:pPr>
    </w:p>
    <w:p>
      <w:pPr>
        <w:jc w:val="both"/>
        <w:ind w:left="100" w:firstLine="653"/>
        <w:spacing w:after="0" w:line="268" w:lineRule="auto"/>
        <w:tabs>
          <w:tab w:leader="none" w:pos="1068" w:val="left"/>
        </w:tabs>
        <w:numPr>
          <w:ilvl w:val="0"/>
          <w:numId w:val="221"/>
        </w:numPr>
        <w:rPr>
          <w:rFonts w:ascii="Arial" w:cs="Arial" w:eastAsia="Arial" w:hAnsi="Arial"/>
          <w:sz w:val="20"/>
          <w:szCs w:val="20"/>
          <w:color w:val="010000"/>
        </w:rPr>
      </w:pPr>
      <w:r>
        <w:rPr>
          <w:rFonts w:ascii="Arial" w:cs="Arial" w:eastAsia="Arial" w:hAnsi="Arial"/>
          <w:sz w:val="20"/>
          <w:szCs w:val="20"/>
          <w:color w:val="auto"/>
        </w:rPr>
        <w:t>the giving of written ninety (90) day notice by Employer to Employee of Employer’s intention to terminate this Agreement without Cause for any reason deemed sufficient by Employer to be effective at the end of such ninety (90) day period. During such ninety (90) day notice period, Employer shall be permitted to reduce Employee’s responsibilities and time commitment to Employer; provided however, Employer may not reduce Employee’s salary or benefits during such ninety (90) day period. At the end of such ninety (90) day period, Employee shall cease to be an employee of the Employer and this Agreement shall automatically terminate. Upon receipt of such notice, Employee shall have the option to resign Employee’s employment effective as of the date of the notice, rather than remain employed through such ninety (90) day period. If Employee elects to resign in lieu of termination, Employee must exercise this option in writing within 72 hours of receipt of the Employer’s notice of intention to terminate this Agreement without Cause. Employee’s written resignation in lieu of termination must be transmitted to Employer by email or hand delivery; or</w:t>
      </w:r>
    </w:p>
    <w:p>
      <w:pPr>
        <w:spacing w:after="0" w:line="213" w:lineRule="exact"/>
        <w:rPr>
          <w:rFonts w:ascii="Arial" w:cs="Arial" w:eastAsia="Arial" w:hAnsi="Arial"/>
          <w:sz w:val="20"/>
          <w:szCs w:val="20"/>
          <w:color w:val="010000"/>
        </w:rPr>
      </w:pPr>
    </w:p>
    <w:p>
      <w:pPr>
        <w:jc w:val="both"/>
        <w:ind w:left="100" w:firstLine="653"/>
        <w:spacing w:after="0" w:line="271" w:lineRule="auto"/>
        <w:tabs>
          <w:tab w:leader="none" w:pos="1139" w:val="left"/>
        </w:tabs>
        <w:numPr>
          <w:ilvl w:val="0"/>
          <w:numId w:val="221"/>
        </w:numPr>
        <w:rPr>
          <w:rFonts w:ascii="Arial" w:cs="Arial" w:eastAsia="Arial" w:hAnsi="Arial"/>
          <w:sz w:val="20"/>
          <w:szCs w:val="20"/>
          <w:color w:val="010000"/>
        </w:rPr>
      </w:pPr>
      <w:r>
        <w:rPr>
          <w:rFonts w:ascii="Arial" w:cs="Arial" w:eastAsia="Arial" w:hAnsi="Arial"/>
          <w:sz w:val="20"/>
          <w:szCs w:val="20"/>
          <w:color w:val="auto"/>
        </w:rPr>
        <w:t>at Employee’s sole election in writing as provided in Paragraph 17 of this Agreement, after both a Change of Control and as a result of Good Reason, provided, however, that, within thirty (30) calendar days after Employer’s receipt of Employee’s written election, Employer must tender the Separation Payment to Employee.</w:t>
      </w:r>
    </w:p>
    <w:p>
      <w:pPr>
        <w:spacing w:after="0" w:line="206" w:lineRule="exact"/>
        <w:rPr>
          <w:rFonts w:ascii="Arial" w:cs="Arial" w:eastAsia="Arial" w:hAnsi="Arial"/>
          <w:sz w:val="20"/>
          <w:szCs w:val="20"/>
          <w:color w:val="010000"/>
        </w:rPr>
      </w:pPr>
    </w:p>
    <w:p>
      <w:pPr>
        <w:ind w:left="100" w:right="20" w:firstLine="653"/>
        <w:spacing w:after="0" w:line="275" w:lineRule="auto"/>
        <w:tabs>
          <w:tab w:leader="none" w:pos="1156" w:val="left"/>
        </w:tabs>
        <w:numPr>
          <w:ilvl w:val="0"/>
          <w:numId w:val="221"/>
        </w:numPr>
        <w:rPr>
          <w:rFonts w:ascii="Arial" w:cs="Arial" w:eastAsia="Arial" w:hAnsi="Arial"/>
          <w:sz w:val="20"/>
          <w:szCs w:val="20"/>
          <w:color w:val="010000"/>
        </w:rPr>
      </w:pPr>
      <w:r>
        <w:rPr>
          <w:rFonts w:ascii="Arial" w:cs="Arial" w:eastAsia="Arial" w:hAnsi="Arial"/>
          <w:sz w:val="20"/>
          <w:szCs w:val="20"/>
          <w:color w:val="auto"/>
        </w:rPr>
        <w:t>at Employee’s sole election in writing as provided in Paragraph 17 of the Agreement upon ninety (90) day notice that Employee wishes to resign his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220"/>
          </w:cols>
          <w:pgMar w:left="1440" w:top="1440" w:right="239" w:bottom="1440" w:gutter="0" w:footer="0" w:header="0"/>
        </w:sectPr>
      </w:pPr>
    </w:p>
    <w:bookmarkStart w:id="266" w:name="page267"/>
    <w:bookmarkEnd w:id="266"/>
    <w:p>
      <w:pPr>
        <w:ind w:left="400" w:hanging="295"/>
        <w:spacing w:after="0"/>
        <w:tabs>
          <w:tab w:leader="none" w:pos="400" w:val="left"/>
        </w:tabs>
        <w:numPr>
          <w:ilvl w:val="0"/>
          <w:numId w:val="222"/>
        </w:numPr>
        <w:rPr>
          <w:rFonts w:ascii="Arial" w:cs="Arial" w:eastAsia="Arial" w:hAnsi="Arial"/>
          <w:sz w:val="20"/>
          <w:szCs w:val="20"/>
          <w:color w:val="010000"/>
        </w:rPr>
      </w:pPr>
      <w:r>
        <w:rPr>
          <w:rFonts w:ascii="Arial" w:cs="Arial" w:eastAsia="Arial" w:hAnsi="Arial"/>
          <w:sz w:val="20"/>
          <w:szCs w:val="20"/>
          <w:b w:val="1"/>
          <w:bCs w:val="1"/>
          <w:u w:val="single" w:color="auto"/>
          <w:color w:val="auto"/>
        </w:rPr>
        <w:t>Consequences of Termination</w:t>
      </w:r>
      <w:r>
        <w:rPr>
          <w:rFonts w:ascii="Arial" w:cs="Arial" w:eastAsia="Arial" w:hAnsi="Arial"/>
          <w:sz w:val="20"/>
          <w:szCs w:val="20"/>
          <w:color w:val="auto"/>
        </w:rPr>
        <w:t>.</w:t>
      </w:r>
    </w:p>
    <w:p>
      <w:pPr>
        <w:spacing w:after="0" w:line="266" w:lineRule="exact"/>
        <w:rPr>
          <w:rFonts w:ascii="Arial" w:cs="Arial" w:eastAsia="Arial" w:hAnsi="Arial"/>
          <w:sz w:val="20"/>
          <w:szCs w:val="20"/>
          <w:color w:val="010000"/>
        </w:rPr>
      </w:pPr>
    </w:p>
    <w:p>
      <w:pPr>
        <w:jc w:val="both"/>
        <w:ind w:left="100" w:firstLine="653"/>
        <w:spacing w:after="0" w:line="268" w:lineRule="auto"/>
        <w:tabs>
          <w:tab w:leader="none" w:pos="969" w:val="left"/>
        </w:tabs>
        <w:numPr>
          <w:ilvl w:val="1"/>
          <w:numId w:val="222"/>
        </w:numPr>
        <w:rPr>
          <w:rFonts w:ascii="Arial" w:cs="Arial" w:eastAsia="Arial" w:hAnsi="Arial"/>
          <w:sz w:val="20"/>
          <w:szCs w:val="20"/>
          <w:color w:val="010000"/>
        </w:rPr>
      </w:pPr>
      <w:r>
        <w:rPr>
          <w:rFonts w:ascii="Arial" w:cs="Arial" w:eastAsia="Arial" w:hAnsi="Arial"/>
          <w:sz w:val="20"/>
          <w:szCs w:val="20"/>
          <w:color w:val="auto"/>
        </w:rPr>
        <w:t>In the event Employee resigns pursuant to Section 6(a)(v), 6(a)(vi), or 6(a)(vii) but not pursuant to Section 6(a)(viii), Employer’s sole liability to Employee shall be payment of the Separation Payment; provided that Employee shall not be entitled to payment of the Separation Payment unless and until Employee first executes a written release-severance agreement, prepared and presented by Employer, that fully releases Employer, Affiliates, and their respective officers, directors, agents and employees, from any and all claims or causes of action, whether based upon statute, contract (including without limitation breach or construction of this Agreement), or common law, that have arisen as of the date of such execution, irrespective of whether Employee has knowledge of the existence of such claim; and provides for the confidentiality of both the terms of the release-severance agreement and the compensation paid. In the event Employee fails or refuses to execute such release-severance agreement, Employer shall have no further obligation to Employee other than payment of all accrued but unpaid Base Salary through the date Employee last performs services for Employer, vacation pay accrued but unpaid and expenses incurred but not reimbursed through the termination date; specifically, in such event, Employee shall not be entitled to any benefits pursuant to any severance plan in effect by Employer or any of its Affiliates. Employee will also be entitled to receive health benefits coverage for Employee and Employee’s dependents under the same plan(s) or arrangement(s) under which Employee was covered immediately before Employee’s termination, or plan(s) established or arrangement(s) provided by Employer or any of its Affiliates thereafter. Such health benefits coverage shall be paid for by Employer to the same extent as if Employee were still employed by Employer, and Employee will be required to make such payments as Employee would be required to make if Employee were still employed by Employer. The health benefits provided under this Paragraph 6 shall continue until the earlier of (x) the expiration of the period for which the Separation Payment is paid, (y) the date Employee becomes covered under any other group health plan not maintained by Employer or any of its Affiliates; provided, however, that if such other group health plan excludes any pre-existing condition that Employee or Employee’s dependents may have when coverage under such group health plan would otherwise begin, coverage under this Paragraph 6 shall continue (but not beyond the period described in clause (x) of this sentence) with respect to such pre-existing condition until such exclusion under such other group health plan lapses or expires. In the event Employee is required to make an election under Sections 601 through 607 of the Employee Retirement Income Security Act of 1974, as amended (commonly known as COBRA) to qualify for the health benefits described in this Paragraph 6, the obligations of Employer and its Affiliates under this Paragraph 6 shall be conditioned upon Employee’s timely making such an election. In the event of a termination of this Agreement pursuant to any of the provisions of this Paragraph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220"/>
          </w:cols>
          <w:pgMar w:left="1440" w:top="1422" w:right="239" w:bottom="1440" w:gutter="0" w:footer="0" w:header="0"/>
        </w:sectPr>
      </w:pPr>
    </w:p>
    <w:bookmarkStart w:id="267" w:name="page268"/>
    <w:bookmarkEnd w:id="267"/>
    <w:p>
      <w:pPr>
        <w:spacing w:after="0" w:line="7" w:lineRule="exact"/>
        <w:rPr>
          <w:sz w:val="20"/>
          <w:szCs w:val="20"/>
          <w:color w:val="auto"/>
        </w:rPr>
      </w:pPr>
    </w:p>
    <w:p>
      <w:pPr>
        <w:ind w:left="1240"/>
        <w:spacing w:after="0" w:line="275" w:lineRule="auto"/>
        <w:rPr>
          <w:sz w:val="20"/>
          <w:szCs w:val="20"/>
          <w:color w:val="auto"/>
        </w:rPr>
      </w:pPr>
      <w:r>
        <w:rPr>
          <w:rFonts w:ascii="Arial" w:cs="Arial" w:eastAsia="Arial" w:hAnsi="Arial"/>
          <w:sz w:val="20"/>
          <w:szCs w:val="20"/>
          <w:color w:val="auto"/>
        </w:rPr>
        <w:t>6, Employee shall not be entitled to any benefits pursuant to any severance plan in effect by Employer or any of Employer’s Affiliates.</w:t>
      </w:r>
    </w:p>
    <w:p>
      <w:pPr>
        <w:spacing w:after="0" w:line="202" w:lineRule="exact"/>
        <w:rPr>
          <w:sz w:val="20"/>
          <w:szCs w:val="20"/>
          <w:color w:val="auto"/>
        </w:rPr>
      </w:pPr>
    </w:p>
    <w:p>
      <w:pPr>
        <w:jc w:val="both"/>
        <w:ind w:left="1240" w:firstLine="653"/>
        <w:spacing w:after="0" w:line="269" w:lineRule="auto"/>
        <w:tabs>
          <w:tab w:leader="none" w:pos="2166" w:val="left"/>
        </w:tabs>
        <w:numPr>
          <w:ilvl w:val="2"/>
          <w:numId w:val="223"/>
        </w:numPr>
        <w:rPr>
          <w:rFonts w:ascii="Arial" w:cs="Arial" w:eastAsia="Arial" w:hAnsi="Arial"/>
          <w:sz w:val="20"/>
          <w:szCs w:val="20"/>
          <w:color w:val="010000"/>
        </w:rPr>
      </w:pPr>
      <w:r>
        <w:rPr>
          <w:rFonts w:ascii="Arial" w:cs="Arial" w:eastAsia="Arial" w:hAnsi="Arial"/>
          <w:sz w:val="20"/>
          <w:szCs w:val="20"/>
          <w:color w:val="auto"/>
        </w:rPr>
        <w:t>In the event of a termination of this Agreement pursuant to Section 6(a)(i), 6(a)(ii), 6(a)(iv), or 6(a)(viii) Employer shall not be required to make any payments to Employee other than payment of Base Salary, vacation pay accrued but unpaid and expenses incurred but not reimbursed through the termination date; specifically, in such event, Employee shall not be entitled to any benefits pursuant to any severance plan in effect by Employer or any of its Affiliates.</w:t>
      </w:r>
    </w:p>
    <w:p>
      <w:pPr>
        <w:spacing w:after="0" w:line="210" w:lineRule="exact"/>
        <w:rPr>
          <w:rFonts w:ascii="Arial" w:cs="Arial" w:eastAsia="Arial" w:hAnsi="Arial"/>
          <w:sz w:val="20"/>
          <w:szCs w:val="20"/>
          <w:color w:val="010000"/>
        </w:rPr>
      </w:pPr>
    </w:p>
    <w:p>
      <w:pPr>
        <w:jc w:val="both"/>
        <w:ind w:left="1240" w:firstLine="653"/>
        <w:spacing w:after="0" w:line="270" w:lineRule="auto"/>
        <w:tabs>
          <w:tab w:leader="none" w:pos="2224" w:val="left"/>
        </w:tabs>
        <w:numPr>
          <w:ilvl w:val="2"/>
          <w:numId w:val="223"/>
        </w:numPr>
        <w:rPr>
          <w:rFonts w:ascii="Arial" w:cs="Arial" w:eastAsia="Arial" w:hAnsi="Arial"/>
          <w:sz w:val="20"/>
          <w:szCs w:val="20"/>
          <w:color w:val="010000"/>
        </w:rPr>
      </w:pPr>
      <w:r>
        <w:rPr>
          <w:rFonts w:ascii="Arial" w:cs="Arial" w:eastAsia="Arial" w:hAnsi="Arial"/>
          <w:sz w:val="20"/>
          <w:szCs w:val="20"/>
          <w:color w:val="auto"/>
        </w:rPr>
        <w:t>In the event of a termination of this Agreement pursuant to Section 6(a)(iii), Employer shall not be required to make any payments to Employee other than payment of Base Salary and expenses incurred but not reimbursed through the termination date; specifically, in such event, Employee shall not be entitled to any benefits pursuant to any severance plan in effect by Employer or any of its Affiliates.</w:t>
      </w:r>
    </w:p>
    <w:p>
      <w:pPr>
        <w:spacing w:after="0" w:line="207" w:lineRule="exact"/>
        <w:rPr>
          <w:rFonts w:ascii="Arial" w:cs="Arial" w:eastAsia="Arial" w:hAnsi="Arial"/>
          <w:sz w:val="20"/>
          <w:szCs w:val="20"/>
          <w:color w:val="010000"/>
        </w:rPr>
      </w:pPr>
    </w:p>
    <w:p>
      <w:pPr>
        <w:jc w:val="both"/>
        <w:ind w:left="1240" w:firstLine="653"/>
        <w:spacing w:after="0" w:line="271" w:lineRule="auto"/>
        <w:tabs>
          <w:tab w:leader="none" w:pos="2208" w:val="left"/>
        </w:tabs>
        <w:numPr>
          <w:ilvl w:val="2"/>
          <w:numId w:val="223"/>
        </w:numPr>
        <w:rPr>
          <w:rFonts w:ascii="Arial" w:cs="Arial" w:eastAsia="Arial" w:hAnsi="Arial"/>
          <w:sz w:val="20"/>
          <w:szCs w:val="20"/>
          <w:color w:val="010000"/>
        </w:rPr>
      </w:pPr>
      <w:r>
        <w:rPr>
          <w:rFonts w:ascii="Arial" w:cs="Arial" w:eastAsia="Arial" w:hAnsi="Arial"/>
          <w:sz w:val="20"/>
          <w:szCs w:val="20"/>
          <w:color w:val="auto"/>
        </w:rPr>
        <w:t>In the event of a termination of this Agreement for any reason, the termination provisions set forth in any stock agreements, including those entered into prior to or after the Effective Date, shall control with regard to the vesting of the applicable award.</w:t>
      </w:r>
    </w:p>
    <w:p>
      <w:pPr>
        <w:spacing w:after="0" w:line="182" w:lineRule="exact"/>
        <w:rPr>
          <w:rFonts w:ascii="Arial" w:cs="Arial" w:eastAsia="Arial" w:hAnsi="Arial"/>
          <w:sz w:val="20"/>
          <w:szCs w:val="20"/>
          <w:color w:val="010000"/>
        </w:rPr>
      </w:pPr>
    </w:p>
    <w:p>
      <w:pPr>
        <w:jc w:val="both"/>
        <w:ind w:left="-60" w:firstLine="656"/>
        <w:spacing w:after="0" w:line="284" w:lineRule="auto"/>
        <w:tabs>
          <w:tab w:leader="none" w:pos="812" w:val="left"/>
        </w:tabs>
        <w:numPr>
          <w:ilvl w:val="0"/>
          <w:numId w:val="224"/>
        </w:numPr>
        <w:rPr>
          <w:rFonts w:ascii="Arial" w:cs="Arial" w:eastAsia="Arial" w:hAnsi="Arial"/>
          <w:sz w:val="20"/>
          <w:szCs w:val="20"/>
          <w:color w:val="010000"/>
        </w:rPr>
      </w:pPr>
      <w:r>
        <w:rPr>
          <w:rFonts w:ascii="Arial" w:cs="Arial" w:eastAsia="Arial" w:hAnsi="Arial"/>
          <w:sz w:val="20"/>
          <w:szCs w:val="20"/>
          <w:b w:val="1"/>
          <w:bCs w:val="1"/>
          <w:i w:val="1"/>
          <w:iCs w:val="1"/>
          <w:u w:val="single" w:color="auto"/>
          <w:color w:val="auto"/>
        </w:rPr>
        <w:t>COMPENSATION TO EMPLOYEE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For and in complete consideration of Employee’s full and faithful performance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Employee’s duties under this Agreement, Employer hereby covenants and agrees to pay to Employee, and Employee hereby covenants and agrees to accept from Employer, the following items of compensation:</w:t>
      </w:r>
    </w:p>
    <w:p>
      <w:pPr>
        <w:spacing w:after="0" w:line="169" w:lineRule="exact"/>
        <w:rPr>
          <w:rFonts w:ascii="Arial" w:cs="Arial" w:eastAsia="Arial" w:hAnsi="Arial"/>
          <w:sz w:val="20"/>
          <w:szCs w:val="20"/>
          <w:color w:val="010000"/>
        </w:rPr>
      </w:pPr>
    </w:p>
    <w:p>
      <w:pPr>
        <w:ind w:left="1540" w:hanging="295"/>
        <w:spacing w:after="0"/>
        <w:tabs>
          <w:tab w:leader="none" w:pos="1540" w:val="left"/>
        </w:tabs>
        <w:numPr>
          <w:ilvl w:val="1"/>
          <w:numId w:val="224"/>
        </w:numPr>
        <w:rPr>
          <w:rFonts w:ascii="Arial" w:cs="Arial" w:eastAsia="Arial" w:hAnsi="Arial"/>
          <w:sz w:val="20"/>
          <w:szCs w:val="20"/>
          <w:color w:val="010000"/>
        </w:rPr>
      </w:pPr>
      <w:r>
        <w:rPr>
          <w:rFonts w:ascii="Arial" w:cs="Arial" w:eastAsia="Arial" w:hAnsi="Arial"/>
          <w:sz w:val="20"/>
          <w:szCs w:val="20"/>
          <w:b w:val="1"/>
          <w:bCs w:val="1"/>
          <w:u w:val="single" w:color="auto"/>
          <w:color w:val="auto"/>
        </w:rPr>
        <w:t>Base Salary</w:t>
      </w:r>
      <w:r>
        <w:rPr>
          <w:rFonts w:ascii="Arial" w:cs="Arial" w:eastAsia="Arial" w:hAnsi="Arial"/>
          <w:sz w:val="20"/>
          <w:szCs w:val="20"/>
          <w:b w:val="1"/>
          <w:bCs w:val="1"/>
          <w:color w:val="auto"/>
        </w:rPr>
        <w:t xml:space="preserve">. </w:t>
      </w:r>
      <w:r>
        <w:rPr>
          <w:rFonts w:ascii="Arial" w:cs="Arial" w:eastAsia="Arial" w:hAnsi="Arial"/>
          <w:sz w:val="20"/>
          <w:szCs w:val="20"/>
          <w:color w:val="auto"/>
        </w:rPr>
        <w:t>Employer hereby covenants and agrees to pay to Employee, and Employee hereby covenants</w:t>
      </w:r>
    </w:p>
    <w:p>
      <w:pPr>
        <w:spacing w:after="0" w:line="50" w:lineRule="exact"/>
        <w:rPr>
          <w:rFonts w:ascii="Arial" w:cs="Arial" w:eastAsia="Arial" w:hAnsi="Arial"/>
          <w:sz w:val="20"/>
          <w:szCs w:val="20"/>
          <w:color w:val="010000"/>
        </w:rPr>
      </w:pPr>
    </w:p>
    <w:p>
      <w:pPr>
        <w:jc w:val="both"/>
        <w:ind w:left="600"/>
        <w:spacing w:after="0" w:line="269" w:lineRule="auto"/>
        <w:rPr>
          <w:rFonts w:ascii="Arial" w:cs="Arial" w:eastAsia="Arial" w:hAnsi="Arial"/>
          <w:sz w:val="20"/>
          <w:szCs w:val="20"/>
          <w:color w:val="010000"/>
        </w:rPr>
      </w:pPr>
      <w:r>
        <w:rPr>
          <w:rFonts w:ascii="Arial" w:cs="Arial" w:eastAsia="Arial" w:hAnsi="Arial"/>
          <w:sz w:val="20"/>
          <w:szCs w:val="20"/>
          <w:color w:val="auto"/>
        </w:rPr>
        <w:t>and agrees to accept from Employer, a base salary at the rate of Two Million Dollars ($2,000,000.00) per annum, payable in such installments as shall be convenient to Employer (the “</w:t>
      </w:r>
      <w:r>
        <w:rPr>
          <w:rFonts w:ascii="Arial" w:cs="Arial" w:eastAsia="Arial" w:hAnsi="Arial"/>
          <w:sz w:val="20"/>
          <w:szCs w:val="20"/>
          <w:b w:val="1"/>
          <w:bCs w:val="1"/>
          <w:color w:val="auto"/>
        </w:rPr>
        <w:t>Base Salary</w:t>
      </w:r>
      <w:r>
        <w:rPr>
          <w:rFonts w:ascii="Arial" w:cs="Arial" w:eastAsia="Arial" w:hAnsi="Arial"/>
          <w:sz w:val="20"/>
          <w:szCs w:val="20"/>
          <w:color w:val="auto"/>
        </w:rPr>
        <w:t>”). Employee shall be subject to performance reviews and the Base Salary may be increased but not decreased as a result of any such review. Such Base Salary shall be exclusive of and in addition to any other benefits which Employer, in its sole discretion, may make available to Employee, including any discretionary bonus, profit sharing plan, pension plan, retirement plan, disability or life insurance plan, medical and/or hospitalization plan, or any and all other benefit plans which may be in effect during the Term.</w:t>
      </w:r>
    </w:p>
    <w:p>
      <w:pPr>
        <w:spacing w:after="0" w:line="185" w:lineRule="exact"/>
        <w:rPr>
          <w:rFonts w:ascii="Arial" w:cs="Arial" w:eastAsia="Arial" w:hAnsi="Arial"/>
          <w:sz w:val="20"/>
          <w:szCs w:val="20"/>
          <w:color w:val="010000"/>
        </w:rPr>
      </w:pPr>
    </w:p>
    <w:p>
      <w:pPr>
        <w:jc w:val="both"/>
        <w:ind w:left="600" w:firstLine="645"/>
        <w:spacing w:after="0" w:line="275" w:lineRule="auto"/>
        <w:tabs>
          <w:tab w:leader="none" w:pos="1616" w:val="left"/>
        </w:tabs>
        <w:numPr>
          <w:ilvl w:val="1"/>
          <w:numId w:val="224"/>
        </w:numPr>
        <w:rPr>
          <w:rFonts w:ascii="Arial" w:cs="Arial" w:eastAsia="Arial" w:hAnsi="Arial"/>
          <w:sz w:val="20"/>
          <w:szCs w:val="20"/>
          <w:color w:val="010000"/>
        </w:rPr>
      </w:pPr>
      <w:r>
        <w:rPr>
          <w:rFonts w:ascii="Arial" w:cs="Arial" w:eastAsia="Arial" w:hAnsi="Arial"/>
          <w:sz w:val="20"/>
          <w:szCs w:val="20"/>
          <w:b w:val="1"/>
          <w:bCs w:val="1"/>
          <w:u w:val="single" w:color="auto"/>
          <w:color w:val="auto"/>
        </w:rPr>
        <w:t>Bonus Compensation</w:t>
      </w:r>
      <w:r>
        <w:rPr>
          <w:rFonts w:ascii="Arial" w:cs="Arial" w:eastAsia="Arial" w:hAnsi="Arial"/>
          <w:sz w:val="20"/>
          <w:szCs w:val="20"/>
          <w:b w:val="1"/>
          <w:bCs w:val="1"/>
          <w:color w:val="auto"/>
        </w:rPr>
        <w:t xml:space="preserve">. </w:t>
      </w:r>
      <w:r>
        <w:rPr>
          <w:rFonts w:ascii="Arial" w:cs="Arial" w:eastAsia="Arial" w:hAnsi="Arial"/>
          <w:sz w:val="20"/>
          <w:szCs w:val="20"/>
          <w:color w:val="auto"/>
        </w:rPr>
        <w:t>Employee will participate in the Employer’s Amended and Restated Annual</w:t>
      </w:r>
      <w:r>
        <w:rPr>
          <w:rFonts w:ascii="Arial" w:cs="Arial" w:eastAsia="Arial" w:hAnsi="Arial"/>
          <w:sz w:val="20"/>
          <w:szCs w:val="20"/>
          <w:b w:val="1"/>
          <w:bCs w:val="1"/>
          <w:color w:val="auto"/>
        </w:rPr>
        <w:t xml:space="preserve"> </w:t>
      </w:r>
      <w:r>
        <w:rPr>
          <w:rFonts w:ascii="Arial" w:cs="Arial" w:eastAsia="Arial" w:hAnsi="Arial"/>
          <w:sz w:val="20"/>
          <w:szCs w:val="20"/>
          <w:color w:val="auto"/>
        </w:rPr>
        <w:t>Performance Based Incentive Plan for Executive Officers. Employee shall also be eligible to receive a bonus at such times and in such amounts as Employer in its sole and exclusive discretion may determine. Employee shall have a target annual discretionary bonus of 250% of the annual Base Salary actually received by Employee during the applicable year. Employer retains the discretion to adopt, amend or terminate any bonus plan at any time prior to a Change of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300" w:top="1440" w:right="239" w:bottom="1440" w:gutter="0" w:footer="0" w:header="0"/>
        </w:sectPr>
      </w:pPr>
    </w:p>
    <w:bookmarkStart w:id="268" w:name="page269"/>
    <w:bookmarkEnd w:id="268"/>
    <w:p>
      <w:pPr>
        <w:jc w:val="both"/>
        <w:ind w:firstLine="645"/>
        <w:spacing w:after="0" w:line="272" w:lineRule="auto"/>
        <w:tabs>
          <w:tab w:leader="none" w:pos="937" w:val="left"/>
        </w:tabs>
        <w:numPr>
          <w:ilvl w:val="0"/>
          <w:numId w:val="225"/>
        </w:numPr>
        <w:rPr>
          <w:rFonts w:ascii="Arial" w:cs="Arial" w:eastAsia="Arial" w:hAnsi="Arial"/>
          <w:sz w:val="20"/>
          <w:szCs w:val="20"/>
          <w:color w:val="010000"/>
        </w:rPr>
      </w:pPr>
      <w:r>
        <w:rPr>
          <w:rFonts w:ascii="Arial" w:cs="Arial" w:eastAsia="Arial" w:hAnsi="Arial"/>
          <w:sz w:val="20"/>
          <w:szCs w:val="20"/>
          <w:b w:val="1"/>
          <w:bCs w:val="1"/>
          <w:u w:val="single" w:color="auto"/>
          <w:color w:val="auto"/>
        </w:rPr>
        <w:t>Employee Benefit Plans</w:t>
      </w:r>
      <w:r>
        <w:rPr>
          <w:rFonts w:ascii="Arial" w:cs="Arial" w:eastAsia="Arial" w:hAnsi="Arial"/>
          <w:sz w:val="20"/>
          <w:szCs w:val="20"/>
          <w:b w:val="1"/>
          <w:bCs w:val="1"/>
          <w:color w:val="auto"/>
        </w:rPr>
        <w:t xml:space="preserve">. </w:t>
      </w:r>
      <w:r>
        <w:rPr>
          <w:rFonts w:ascii="Arial" w:cs="Arial" w:eastAsia="Arial" w:hAnsi="Arial"/>
          <w:sz w:val="20"/>
          <w:szCs w:val="20"/>
          <w:color w:val="auto"/>
        </w:rPr>
        <w:t>Employer hereby covenants and agrees that it shall include Employee, if otherwise</w:t>
      </w:r>
      <w:r>
        <w:rPr>
          <w:rFonts w:ascii="Arial" w:cs="Arial" w:eastAsia="Arial" w:hAnsi="Arial"/>
          <w:sz w:val="20"/>
          <w:szCs w:val="20"/>
          <w:b w:val="1"/>
          <w:bCs w:val="1"/>
          <w:color w:val="auto"/>
        </w:rPr>
        <w:t xml:space="preserve"> </w:t>
      </w:r>
      <w:r>
        <w:rPr>
          <w:rFonts w:ascii="Arial" w:cs="Arial" w:eastAsia="Arial" w:hAnsi="Arial"/>
          <w:sz w:val="20"/>
          <w:szCs w:val="20"/>
          <w:color w:val="auto"/>
        </w:rPr>
        <w:t>eligible, in any profit sharing plan, executive stock option plan, pension plan, retirement plan, disability or life insurance plan, Executive Medical Plan and/or hospitalization plan, and any other benefit plan which may be placed in effect by Employer or any of its Affiliates and on the same terms and conditions available to Employer’s executives during the Term. All issues as to eligibility for specific benefits and payment of benefits shall be as set forth in the applicable insurance policies or plan documents. Nothing in this Agreement shall limit Employer’s or any of its Affiliates’ ability to exercise the discretion provided to it under any employee benefit plan, or to adopt, amend or terminate any benefit plan at any time prior to a Change of Control.</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Employee shall also participate in the senior executive health program.</w:t>
      </w:r>
    </w:p>
    <w:p>
      <w:pPr>
        <w:spacing w:after="0" w:line="219" w:lineRule="exact"/>
        <w:rPr>
          <w:sz w:val="20"/>
          <w:szCs w:val="20"/>
          <w:color w:val="auto"/>
        </w:rPr>
      </w:pPr>
    </w:p>
    <w:p>
      <w:pPr>
        <w:jc w:val="both"/>
        <w:ind w:firstLine="645"/>
        <w:spacing w:after="0" w:line="272" w:lineRule="auto"/>
        <w:tabs>
          <w:tab w:leader="none" w:pos="962" w:val="left"/>
        </w:tabs>
        <w:numPr>
          <w:ilvl w:val="0"/>
          <w:numId w:val="226"/>
        </w:numPr>
        <w:rPr>
          <w:rFonts w:ascii="Arial" w:cs="Arial" w:eastAsia="Arial" w:hAnsi="Arial"/>
          <w:sz w:val="20"/>
          <w:szCs w:val="20"/>
          <w:color w:val="010000"/>
        </w:rPr>
      </w:pPr>
      <w:r>
        <w:rPr>
          <w:rFonts w:ascii="Arial" w:cs="Arial" w:eastAsia="Arial" w:hAnsi="Arial"/>
          <w:sz w:val="20"/>
          <w:szCs w:val="20"/>
          <w:b w:val="1"/>
          <w:bCs w:val="1"/>
          <w:u w:val="single" w:color="auto"/>
          <w:color w:val="auto"/>
        </w:rPr>
        <w:t>Equity Grant</w:t>
      </w:r>
      <w:r>
        <w:rPr>
          <w:rFonts w:ascii="Arial" w:cs="Arial" w:eastAsia="Arial" w:hAnsi="Arial"/>
          <w:sz w:val="20"/>
          <w:szCs w:val="20"/>
          <w:b w:val="1"/>
          <w:bCs w:val="1"/>
          <w:color w:val="auto"/>
        </w:rPr>
        <w:t xml:space="preserve">. </w:t>
      </w:r>
      <w:r>
        <w:rPr>
          <w:rFonts w:ascii="Arial" w:cs="Arial" w:eastAsia="Arial" w:hAnsi="Arial"/>
          <w:sz w:val="20"/>
          <w:szCs w:val="20"/>
          <w:color w:val="auto"/>
        </w:rPr>
        <w:t>Employee shall be granted 100,000 shares of performance-vesting restricted stock of Wynn</w:t>
      </w:r>
      <w:r>
        <w:rPr>
          <w:rFonts w:ascii="Arial" w:cs="Arial" w:eastAsia="Arial" w:hAnsi="Arial"/>
          <w:sz w:val="20"/>
          <w:szCs w:val="20"/>
          <w:b w:val="1"/>
          <w:bCs w:val="1"/>
          <w:color w:val="auto"/>
        </w:rPr>
        <w:t xml:space="preserve"> </w:t>
      </w:r>
      <w:r>
        <w:rPr>
          <w:rFonts w:ascii="Arial" w:cs="Arial" w:eastAsia="Arial" w:hAnsi="Arial"/>
          <w:sz w:val="20"/>
          <w:szCs w:val="20"/>
          <w:color w:val="auto"/>
        </w:rPr>
        <w:t>Resorts, Limited common stock pursuant to the Wynn Resorts, Limited 2014 Omnibus Incentive Plan and pursuant to an award agreement to be entered into by and between Employee and Employer, which award agreement will set forth the terms and conditions of the grant, including the conditions for grants, grant date, vesting schedule, and termination-related provisions. In addition, Employee shall be eligible to receive an annual restricted stock grant of Wynn Resorts, Limited common stock, with vesting requirements consistent with comparable positions at Employer. Employee and Employer will enter into a separate restricted stock agreement incorporating the terms and conditions of the grant, including the grant date, vesting schedule, and termination provisions.</w:t>
      </w:r>
    </w:p>
    <w:p>
      <w:pPr>
        <w:spacing w:after="0" w:line="183" w:lineRule="exact"/>
        <w:rPr>
          <w:rFonts w:ascii="Arial" w:cs="Arial" w:eastAsia="Arial" w:hAnsi="Arial"/>
          <w:sz w:val="20"/>
          <w:szCs w:val="20"/>
          <w:color w:val="010000"/>
        </w:rPr>
      </w:pPr>
    </w:p>
    <w:p>
      <w:pPr>
        <w:jc w:val="both"/>
        <w:ind w:firstLine="645"/>
        <w:spacing w:after="0" w:line="275" w:lineRule="auto"/>
        <w:tabs>
          <w:tab w:leader="none" w:pos="949" w:val="left"/>
        </w:tabs>
        <w:numPr>
          <w:ilvl w:val="0"/>
          <w:numId w:val="226"/>
        </w:numPr>
        <w:rPr>
          <w:rFonts w:ascii="Arial" w:cs="Arial" w:eastAsia="Arial" w:hAnsi="Arial"/>
          <w:sz w:val="20"/>
          <w:szCs w:val="20"/>
          <w:color w:val="010000"/>
        </w:rPr>
      </w:pPr>
      <w:r>
        <w:rPr>
          <w:rFonts w:ascii="Arial" w:cs="Arial" w:eastAsia="Arial" w:hAnsi="Arial"/>
          <w:sz w:val="20"/>
          <w:szCs w:val="20"/>
          <w:b w:val="1"/>
          <w:bCs w:val="1"/>
          <w:u w:val="single" w:color="auto"/>
          <w:color w:val="auto"/>
        </w:rPr>
        <w:t>Expense Reimbursement</w:t>
      </w:r>
      <w:r>
        <w:rPr>
          <w:rFonts w:ascii="Arial" w:cs="Arial" w:eastAsia="Arial" w:hAnsi="Arial"/>
          <w:sz w:val="20"/>
          <w:szCs w:val="20"/>
          <w:b w:val="1"/>
          <w:bCs w:val="1"/>
          <w:color w:val="auto"/>
        </w:rPr>
        <w:t xml:space="preserve">. </w:t>
      </w:r>
      <w:r>
        <w:rPr>
          <w:rFonts w:ascii="Arial" w:cs="Arial" w:eastAsia="Arial" w:hAnsi="Arial"/>
          <w:sz w:val="20"/>
          <w:szCs w:val="20"/>
          <w:color w:val="auto"/>
        </w:rPr>
        <w:t>During the Term and provided the same are authorized in advance by Employer,</w:t>
      </w:r>
      <w:r>
        <w:rPr>
          <w:rFonts w:ascii="Arial" w:cs="Arial" w:eastAsia="Arial" w:hAnsi="Arial"/>
          <w:sz w:val="20"/>
          <w:szCs w:val="20"/>
          <w:b w:val="1"/>
          <w:bCs w:val="1"/>
          <w:color w:val="auto"/>
        </w:rPr>
        <w:t xml:space="preserve"> </w:t>
      </w:r>
      <w:r>
        <w:rPr>
          <w:rFonts w:ascii="Arial" w:cs="Arial" w:eastAsia="Arial" w:hAnsi="Arial"/>
          <w:sz w:val="20"/>
          <w:szCs w:val="20"/>
          <w:color w:val="auto"/>
        </w:rPr>
        <w:t>Employer shall either pay directly or reimburse Employee for Employee’s reasonable expenses incurred for the benefit of Employer in accordance with Employer’s general policy regarding expense reimbursement, as the same may be modified from time to time. Prior to such payment or reimbursement, Employee shall provide Employer with sufficient detailed invoices of such expenses as may be required by Employer’s policy.</w:t>
      </w:r>
    </w:p>
    <w:p>
      <w:pPr>
        <w:spacing w:after="0" w:line="181" w:lineRule="exact"/>
        <w:rPr>
          <w:rFonts w:ascii="Arial" w:cs="Arial" w:eastAsia="Arial" w:hAnsi="Arial"/>
          <w:sz w:val="20"/>
          <w:szCs w:val="20"/>
          <w:color w:val="010000"/>
        </w:rPr>
      </w:pPr>
    </w:p>
    <w:p>
      <w:pPr>
        <w:jc w:val="both"/>
        <w:ind w:firstLine="645"/>
        <w:spacing w:after="0" w:line="278" w:lineRule="auto"/>
        <w:tabs>
          <w:tab w:leader="none" w:pos="894" w:val="left"/>
        </w:tabs>
        <w:numPr>
          <w:ilvl w:val="0"/>
          <w:numId w:val="226"/>
        </w:numPr>
        <w:rPr>
          <w:rFonts w:ascii="Arial" w:cs="Arial" w:eastAsia="Arial" w:hAnsi="Arial"/>
          <w:sz w:val="20"/>
          <w:szCs w:val="20"/>
          <w:color w:val="010000"/>
        </w:rPr>
      </w:pPr>
      <w:r>
        <w:rPr>
          <w:rFonts w:ascii="Arial" w:cs="Arial" w:eastAsia="Arial" w:hAnsi="Arial"/>
          <w:sz w:val="20"/>
          <w:szCs w:val="20"/>
          <w:b w:val="1"/>
          <w:bCs w:val="1"/>
          <w:u w:val="single" w:color="auto"/>
          <w:color w:val="auto"/>
        </w:rPr>
        <w:t>Vacations and Holidays</w:t>
      </w:r>
      <w:r>
        <w:rPr>
          <w:rFonts w:ascii="Arial" w:cs="Arial" w:eastAsia="Arial" w:hAnsi="Arial"/>
          <w:sz w:val="20"/>
          <w:szCs w:val="20"/>
          <w:b w:val="1"/>
          <w:bCs w:val="1"/>
          <w:color w:val="auto"/>
        </w:rPr>
        <w:t xml:space="preserve">. </w:t>
      </w:r>
      <w:r>
        <w:rPr>
          <w:rFonts w:ascii="Arial" w:cs="Arial" w:eastAsia="Arial" w:hAnsi="Arial"/>
          <w:sz w:val="20"/>
          <w:szCs w:val="20"/>
          <w:color w:val="auto"/>
        </w:rPr>
        <w:t>Commencing as of the Effective Date, Employee shall be entitled to (i) annual paid</w:t>
      </w:r>
      <w:r>
        <w:rPr>
          <w:rFonts w:ascii="Arial" w:cs="Arial" w:eastAsia="Arial" w:hAnsi="Arial"/>
          <w:sz w:val="20"/>
          <w:szCs w:val="20"/>
          <w:b w:val="1"/>
          <w:bCs w:val="1"/>
          <w:color w:val="auto"/>
        </w:rPr>
        <w:t xml:space="preserve"> </w:t>
      </w:r>
      <w:r>
        <w:rPr>
          <w:rFonts w:ascii="Arial" w:cs="Arial" w:eastAsia="Arial" w:hAnsi="Arial"/>
          <w:sz w:val="20"/>
          <w:szCs w:val="20"/>
          <w:color w:val="auto"/>
        </w:rPr>
        <w:t>vacation leave in accordance with Employer’s standard policy, but in no event less than four (4) weeks each year of the Term, to be taken at such times as selected by Employee and approved by Employer, and (ii) paid holidays (or, at Employer’s option, an equivalent number of paid days off) in accordance with Employer’s standard policy.</w:t>
      </w:r>
    </w:p>
    <w:p>
      <w:pPr>
        <w:spacing w:after="0" w:line="176" w:lineRule="exact"/>
        <w:rPr>
          <w:rFonts w:ascii="Arial" w:cs="Arial" w:eastAsia="Arial" w:hAnsi="Arial"/>
          <w:sz w:val="20"/>
          <w:szCs w:val="20"/>
          <w:color w:val="010000"/>
        </w:rPr>
      </w:pPr>
    </w:p>
    <w:p>
      <w:pPr>
        <w:jc w:val="both"/>
        <w:ind w:firstLine="645"/>
        <w:spacing w:after="0" w:line="278" w:lineRule="auto"/>
        <w:tabs>
          <w:tab w:leader="none" w:pos="962" w:val="left"/>
        </w:tabs>
        <w:numPr>
          <w:ilvl w:val="0"/>
          <w:numId w:val="226"/>
        </w:numPr>
        <w:rPr>
          <w:rFonts w:ascii="Arial" w:cs="Arial" w:eastAsia="Arial" w:hAnsi="Arial"/>
          <w:sz w:val="20"/>
          <w:szCs w:val="20"/>
          <w:color w:val="010000"/>
        </w:rPr>
      </w:pPr>
      <w:r>
        <w:rPr>
          <w:rFonts w:ascii="Arial" w:cs="Arial" w:eastAsia="Arial" w:hAnsi="Arial"/>
          <w:sz w:val="20"/>
          <w:szCs w:val="20"/>
          <w:b w:val="1"/>
          <w:bCs w:val="1"/>
          <w:u w:val="single" w:color="auto"/>
          <w:color w:val="auto"/>
        </w:rPr>
        <w:t>Section 409A Provision</w:t>
      </w:r>
      <w:r>
        <w:rPr>
          <w:rFonts w:ascii="Arial" w:cs="Arial" w:eastAsia="Arial" w:hAnsi="Arial"/>
          <w:sz w:val="20"/>
          <w:szCs w:val="20"/>
          <w:b w:val="1"/>
          <w:bCs w:val="1"/>
          <w:color w:val="auto"/>
        </w:rPr>
        <w:t xml:space="preserve">. </w:t>
      </w:r>
      <w:r>
        <w:rPr>
          <w:rFonts w:ascii="Arial" w:cs="Arial" w:eastAsia="Arial" w:hAnsi="Arial"/>
          <w:sz w:val="20"/>
          <w:szCs w:val="20"/>
          <w:color w:val="auto"/>
        </w:rPr>
        <w:t>Notwithstanding any provision of the Agreement to the contrary, if, at the time of</w:t>
      </w:r>
      <w:r>
        <w:rPr>
          <w:rFonts w:ascii="Arial" w:cs="Arial" w:eastAsia="Arial" w:hAnsi="Arial"/>
          <w:sz w:val="20"/>
          <w:szCs w:val="20"/>
          <w:b w:val="1"/>
          <w:bCs w:val="1"/>
          <w:color w:val="auto"/>
        </w:rPr>
        <w:t xml:space="preserve"> </w:t>
      </w:r>
      <w:r>
        <w:rPr>
          <w:rFonts w:ascii="Arial" w:cs="Arial" w:eastAsia="Arial" w:hAnsi="Arial"/>
          <w:sz w:val="20"/>
          <w:szCs w:val="20"/>
          <w:color w:val="auto"/>
        </w:rPr>
        <w:t>Employee’s termination of employment with the Employer, he or she is a “specified employee” as defined in Section 409A of the Internal Revenue Code (the “Code”), and one or more of the payments or benefits received or to be received by Employee pursuant to the Agreement would constitute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760"/>
          </w:cols>
          <w:pgMar w:left="900" w:top="1422" w:right="239" w:bottom="1440" w:gutter="0" w:footer="0" w:header="0"/>
        </w:sectPr>
      </w:pPr>
    </w:p>
    <w:bookmarkStart w:id="269" w:name="page270"/>
    <w:bookmarkEnd w:id="269"/>
    <w:p>
      <w:pPr>
        <w:spacing w:after="0" w:line="6" w:lineRule="exact"/>
        <w:rPr>
          <w:sz w:val="20"/>
          <w:szCs w:val="20"/>
          <w:color w:val="auto"/>
        </w:rPr>
      </w:pPr>
    </w:p>
    <w:p>
      <w:pPr>
        <w:jc w:val="both"/>
        <w:ind w:left="4"/>
        <w:spacing w:after="0" w:line="268" w:lineRule="auto"/>
        <w:rPr>
          <w:sz w:val="20"/>
          <w:szCs w:val="20"/>
          <w:color w:val="auto"/>
        </w:rPr>
      </w:pPr>
      <w:r>
        <w:rPr>
          <w:rFonts w:ascii="Arial" w:cs="Arial" w:eastAsia="Arial" w:hAnsi="Arial"/>
          <w:sz w:val="20"/>
          <w:szCs w:val="20"/>
          <w:color w:val="auto"/>
        </w:rPr>
        <w:t>deferred compensation subject to Section 409A, no such payment or benefit will be provided under the Agreement until the earlier of: (a) the date that is six (6) months following Employee’s termination of employment with the Employer or (b) the Employee’s death. The provisions of this Section shall only apply to the extent required to avoid Employee’s incurrence of any penalty tax or interest under Section 409A of the Code or any regulations or Treasury guidance promulgated thereunder. In addition, if any provision of the Agreement would cause Employee to incur any penalty tax or interest under Section 409A of the Code or any regulations or Treasury guidance promulgated thereunder, the Employer may reform such provision to maintain the maximum extent practicable the original intent of the applicable provision without violating the provisions of Section 409A of the Code</w:t>
      </w:r>
    </w:p>
    <w:p>
      <w:pPr>
        <w:spacing w:after="0" w:line="190" w:lineRule="exact"/>
        <w:rPr>
          <w:sz w:val="20"/>
          <w:szCs w:val="20"/>
          <w:color w:val="auto"/>
        </w:rPr>
      </w:pPr>
    </w:p>
    <w:p>
      <w:pPr>
        <w:ind w:left="4" w:firstLine="645"/>
        <w:spacing w:after="0" w:line="300" w:lineRule="auto"/>
        <w:tabs>
          <w:tab w:leader="none" w:pos="952" w:val="left"/>
        </w:tabs>
        <w:numPr>
          <w:ilvl w:val="1"/>
          <w:numId w:val="227"/>
        </w:numPr>
        <w:rPr>
          <w:rFonts w:ascii="Arial" w:cs="Arial" w:eastAsia="Arial" w:hAnsi="Arial"/>
          <w:sz w:val="20"/>
          <w:szCs w:val="20"/>
          <w:color w:val="010000"/>
        </w:rPr>
      </w:pPr>
      <w:r>
        <w:rPr>
          <w:rFonts w:ascii="Arial" w:cs="Arial" w:eastAsia="Arial" w:hAnsi="Arial"/>
          <w:sz w:val="20"/>
          <w:szCs w:val="20"/>
          <w:b w:val="1"/>
          <w:bCs w:val="1"/>
          <w:u w:val="single" w:color="auto"/>
          <w:color w:val="auto"/>
        </w:rPr>
        <w:t>Withholdings</w:t>
      </w:r>
      <w:r>
        <w:rPr>
          <w:rFonts w:ascii="Arial" w:cs="Arial" w:eastAsia="Arial" w:hAnsi="Arial"/>
          <w:sz w:val="20"/>
          <w:szCs w:val="20"/>
          <w:b w:val="1"/>
          <w:bCs w:val="1"/>
          <w:color w:val="auto"/>
        </w:rPr>
        <w:t xml:space="preserve">. </w:t>
      </w:r>
      <w:r>
        <w:rPr>
          <w:rFonts w:ascii="Arial" w:cs="Arial" w:eastAsia="Arial" w:hAnsi="Arial"/>
          <w:sz w:val="20"/>
          <w:szCs w:val="20"/>
          <w:color w:val="auto"/>
        </w:rPr>
        <w:t>All compensation provided to Employee by Employer under this Section 7 shall be subject to</w:t>
      </w:r>
      <w:r>
        <w:rPr>
          <w:rFonts w:ascii="Arial" w:cs="Arial" w:eastAsia="Arial" w:hAnsi="Arial"/>
          <w:sz w:val="20"/>
          <w:szCs w:val="20"/>
          <w:b w:val="1"/>
          <w:bCs w:val="1"/>
          <w:color w:val="auto"/>
        </w:rPr>
        <w:t xml:space="preserve"> </w:t>
      </w:r>
      <w:r>
        <w:rPr>
          <w:rFonts w:ascii="Arial" w:cs="Arial" w:eastAsia="Arial" w:hAnsi="Arial"/>
          <w:sz w:val="20"/>
          <w:szCs w:val="20"/>
          <w:color w:val="auto"/>
        </w:rPr>
        <w:t>applicable federal, state or local employment-related withholdings.</w:t>
      </w:r>
    </w:p>
    <w:p>
      <w:pPr>
        <w:spacing w:after="0" w:line="154" w:lineRule="exact"/>
        <w:rPr>
          <w:rFonts w:ascii="Arial" w:cs="Arial" w:eastAsia="Arial" w:hAnsi="Arial"/>
          <w:sz w:val="20"/>
          <w:szCs w:val="20"/>
          <w:color w:val="010000"/>
        </w:rPr>
      </w:pPr>
    </w:p>
    <w:p>
      <w:pPr>
        <w:ind w:left="864" w:hanging="215"/>
        <w:spacing w:after="0"/>
        <w:tabs>
          <w:tab w:leader="none" w:pos="864" w:val="left"/>
        </w:tabs>
        <w:numPr>
          <w:ilvl w:val="1"/>
          <w:numId w:val="227"/>
        </w:numPr>
        <w:rPr>
          <w:rFonts w:ascii="Arial" w:cs="Arial" w:eastAsia="Arial" w:hAnsi="Arial"/>
          <w:sz w:val="20"/>
          <w:szCs w:val="20"/>
          <w:color w:val="010000"/>
        </w:rPr>
      </w:pPr>
      <w:r>
        <w:rPr>
          <w:rFonts w:ascii="Arial" w:cs="Arial" w:eastAsia="Arial" w:hAnsi="Arial"/>
          <w:sz w:val="20"/>
          <w:szCs w:val="20"/>
          <w:b w:val="1"/>
          <w:bCs w:val="1"/>
          <w:u w:val="single" w:color="auto"/>
          <w:color w:val="auto"/>
        </w:rPr>
        <w:t>Original Hire Date</w:t>
      </w:r>
      <w:r>
        <w:rPr>
          <w:rFonts w:ascii="Arial" w:cs="Arial" w:eastAsia="Arial" w:hAnsi="Arial"/>
          <w:sz w:val="20"/>
          <w:szCs w:val="20"/>
          <w:color w:val="auto"/>
        </w:rPr>
        <w:t>. Employee’s Original Hire Date shall be used for determining all other benefits.</w:t>
      </w:r>
    </w:p>
    <w:p>
      <w:pPr>
        <w:spacing w:after="0" w:line="242" w:lineRule="exact"/>
        <w:rPr>
          <w:rFonts w:ascii="Arial" w:cs="Arial" w:eastAsia="Arial" w:hAnsi="Arial"/>
          <w:sz w:val="20"/>
          <w:szCs w:val="20"/>
          <w:color w:val="010000"/>
        </w:rPr>
      </w:pPr>
    </w:p>
    <w:p>
      <w:pPr>
        <w:ind w:left="204" w:hanging="204"/>
        <w:spacing w:after="0"/>
        <w:tabs>
          <w:tab w:leader="none" w:pos="204" w:val="left"/>
        </w:tabs>
        <w:numPr>
          <w:ilvl w:val="0"/>
          <w:numId w:val="228"/>
        </w:numPr>
        <w:rPr>
          <w:rFonts w:ascii="Arial" w:cs="Arial" w:eastAsia="Arial" w:hAnsi="Arial"/>
          <w:sz w:val="20"/>
          <w:szCs w:val="20"/>
          <w:color w:val="010000"/>
        </w:rPr>
      </w:pPr>
      <w:r>
        <w:rPr>
          <w:rFonts w:ascii="Arial" w:cs="Arial" w:eastAsia="Arial" w:hAnsi="Arial"/>
          <w:sz w:val="20"/>
          <w:szCs w:val="20"/>
          <w:b w:val="1"/>
          <w:bCs w:val="1"/>
          <w:i w:val="1"/>
          <w:iCs w:val="1"/>
          <w:u w:val="single" w:color="auto"/>
          <w:color w:val="auto"/>
        </w:rPr>
        <w:t>LICENSING REQUIREMENTS</w:t>
      </w:r>
      <w:r>
        <w:rPr>
          <w:rFonts w:ascii="Arial" w:cs="Arial" w:eastAsia="Arial" w:hAnsi="Arial"/>
          <w:sz w:val="20"/>
          <w:szCs w:val="20"/>
          <w:color w:val="auto"/>
        </w:rPr>
        <w:t>.</w:t>
      </w:r>
    </w:p>
    <w:p>
      <w:pPr>
        <w:spacing w:after="0" w:line="266" w:lineRule="exact"/>
        <w:rPr>
          <w:rFonts w:ascii="Arial" w:cs="Arial" w:eastAsia="Arial" w:hAnsi="Arial"/>
          <w:sz w:val="20"/>
          <w:szCs w:val="20"/>
          <w:color w:val="010000"/>
        </w:rPr>
      </w:pPr>
    </w:p>
    <w:p>
      <w:pPr>
        <w:jc w:val="both"/>
        <w:ind w:left="4" w:firstLine="645"/>
        <w:spacing w:after="0" w:line="268" w:lineRule="auto"/>
        <w:tabs>
          <w:tab w:leader="none" w:pos="939" w:val="left"/>
        </w:tabs>
        <w:numPr>
          <w:ilvl w:val="1"/>
          <w:numId w:val="228"/>
        </w:numPr>
        <w:rPr>
          <w:rFonts w:ascii="Arial" w:cs="Arial" w:eastAsia="Arial" w:hAnsi="Arial"/>
          <w:sz w:val="20"/>
          <w:szCs w:val="20"/>
          <w:color w:val="010000"/>
        </w:rPr>
      </w:pPr>
      <w:r>
        <w:rPr>
          <w:rFonts w:ascii="Arial" w:cs="Arial" w:eastAsia="Arial" w:hAnsi="Arial"/>
          <w:sz w:val="20"/>
          <w:szCs w:val="20"/>
          <w:color w:val="auto"/>
        </w:rPr>
        <w:t>Employer and Employee hereby covenant and agree that this Agreement and/or Employee’s employment may be subject to the approval of one or more gaming regulatory authorities (the “</w:t>
      </w:r>
      <w:r>
        <w:rPr>
          <w:rFonts w:ascii="Arial" w:cs="Arial" w:eastAsia="Arial" w:hAnsi="Arial"/>
          <w:sz w:val="20"/>
          <w:szCs w:val="20"/>
          <w:b w:val="1"/>
          <w:bCs w:val="1"/>
          <w:color w:val="auto"/>
        </w:rPr>
        <w:t>Authorities</w:t>
      </w:r>
      <w:r>
        <w:rPr>
          <w:rFonts w:ascii="Arial" w:cs="Arial" w:eastAsia="Arial" w:hAnsi="Arial"/>
          <w:sz w:val="20"/>
          <w:szCs w:val="20"/>
          <w:color w:val="auto"/>
        </w:rPr>
        <w:t>”) pursuant to the provisions of the relevant gaming regulatory statutes (the “</w:t>
      </w:r>
      <w:r>
        <w:rPr>
          <w:rFonts w:ascii="Arial" w:cs="Arial" w:eastAsia="Arial" w:hAnsi="Arial"/>
          <w:sz w:val="20"/>
          <w:szCs w:val="20"/>
          <w:b w:val="1"/>
          <w:bCs w:val="1"/>
          <w:color w:val="auto"/>
        </w:rPr>
        <w:t>Gaming Acts</w:t>
      </w:r>
      <w:r>
        <w:rPr>
          <w:rFonts w:ascii="Arial" w:cs="Arial" w:eastAsia="Arial" w:hAnsi="Arial"/>
          <w:sz w:val="20"/>
          <w:szCs w:val="20"/>
          <w:color w:val="auto"/>
        </w:rPr>
        <w:t>”) and the regulations promulgated thereunder (the “</w:t>
      </w:r>
      <w:r>
        <w:rPr>
          <w:rFonts w:ascii="Arial" w:cs="Arial" w:eastAsia="Arial" w:hAnsi="Arial"/>
          <w:sz w:val="20"/>
          <w:szCs w:val="20"/>
          <w:b w:val="1"/>
          <w:bCs w:val="1"/>
          <w:color w:val="auto"/>
        </w:rPr>
        <w:t>Gaming</w:t>
      </w:r>
      <w:r>
        <w:rPr>
          <w:rFonts w:ascii="Arial" w:cs="Arial" w:eastAsia="Arial" w:hAnsi="Arial"/>
          <w:sz w:val="20"/>
          <w:szCs w:val="20"/>
          <w:color w:val="auto"/>
        </w:rPr>
        <w:t xml:space="preserve"> </w:t>
      </w:r>
      <w:r>
        <w:rPr>
          <w:rFonts w:ascii="Arial" w:cs="Arial" w:eastAsia="Arial" w:hAnsi="Arial"/>
          <w:sz w:val="20"/>
          <w:szCs w:val="20"/>
          <w:b w:val="1"/>
          <w:bCs w:val="1"/>
          <w:color w:val="auto"/>
        </w:rPr>
        <w:t>Regulations</w:t>
      </w:r>
      <w:r>
        <w:rPr>
          <w:rFonts w:ascii="Arial" w:cs="Arial" w:eastAsia="Arial" w:hAnsi="Arial"/>
          <w:sz w:val="20"/>
          <w:szCs w:val="20"/>
          <w:color w:val="auto"/>
        </w:rPr>
        <w:t>”). Employer and Employee hereby covenant and agree to use their best efforts to obtain any and all</w:t>
      </w:r>
      <w:r>
        <w:rPr>
          <w:rFonts w:ascii="Arial" w:cs="Arial" w:eastAsia="Arial" w:hAnsi="Arial"/>
          <w:sz w:val="20"/>
          <w:szCs w:val="20"/>
          <w:b w:val="1"/>
          <w:bCs w:val="1"/>
          <w:color w:val="auto"/>
        </w:rPr>
        <w:t xml:space="preserve"> </w:t>
      </w:r>
      <w:r>
        <w:rPr>
          <w:rFonts w:ascii="Arial" w:cs="Arial" w:eastAsia="Arial" w:hAnsi="Arial"/>
          <w:sz w:val="20"/>
          <w:szCs w:val="20"/>
          <w:color w:val="auto"/>
        </w:rPr>
        <w:t>approvals required by the Gaming Acts and/or Gaming Regulations. In the event that (i) an approval of this Agreement or Employee’s employment by the Authorities is required for Employee to carry out Employee’s duties and responsibilities set forth in Section 3 of this Agreement, (ii) Employer and Employee have used their best efforts to obtain such approval, and (iii) this Agreement or Employee’s employment is not so approved by the Authorities, then this Agreement shall immediately terminate and shall be null and void, thus extinguishing any and all obligations of either party, subject to any surviving obligations of Employee under Sections 9, 10 and 21.</w:t>
      </w:r>
    </w:p>
    <w:p>
      <w:pPr>
        <w:spacing w:after="0" w:line="213" w:lineRule="exact"/>
        <w:rPr>
          <w:rFonts w:ascii="Arial" w:cs="Arial" w:eastAsia="Arial" w:hAnsi="Arial"/>
          <w:sz w:val="20"/>
          <w:szCs w:val="20"/>
          <w:color w:val="010000"/>
        </w:rPr>
      </w:pPr>
    </w:p>
    <w:p>
      <w:pPr>
        <w:ind w:left="944" w:hanging="295"/>
        <w:spacing w:after="0"/>
        <w:tabs>
          <w:tab w:leader="none" w:pos="944" w:val="left"/>
        </w:tabs>
        <w:numPr>
          <w:ilvl w:val="1"/>
          <w:numId w:val="228"/>
        </w:numPr>
        <w:rPr>
          <w:rFonts w:ascii="Arial" w:cs="Arial" w:eastAsia="Arial" w:hAnsi="Arial"/>
          <w:sz w:val="20"/>
          <w:szCs w:val="20"/>
          <w:color w:val="010000"/>
        </w:rPr>
      </w:pPr>
      <w:r>
        <w:rPr>
          <w:rFonts w:ascii="Arial" w:cs="Arial" w:eastAsia="Arial" w:hAnsi="Arial"/>
          <w:sz w:val="20"/>
          <w:szCs w:val="20"/>
          <w:color w:val="auto"/>
        </w:rPr>
        <w:t>If applicable, Employer and Employee hereby covenant and agree that, in order for Employee to discharge the</w:t>
      </w:r>
    </w:p>
    <w:p>
      <w:pPr>
        <w:spacing w:after="0" w:line="26" w:lineRule="exact"/>
        <w:rPr>
          <w:rFonts w:ascii="Arial" w:cs="Arial" w:eastAsia="Arial" w:hAnsi="Arial"/>
          <w:sz w:val="20"/>
          <w:szCs w:val="20"/>
          <w:color w:val="010000"/>
        </w:rPr>
      </w:pPr>
    </w:p>
    <w:p>
      <w:pPr>
        <w:jc w:val="both"/>
        <w:ind w:left="4"/>
        <w:spacing w:after="0" w:line="269" w:lineRule="auto"/>
        <w:rPr>
          <w:rFonts w:ascii="Arial" w:cs="Arial" w:eastAsia="Arial" w:hAnsi="Arial"/>
          <w:sz w:val="20"/>
          <w:szCs w:val="20"/>
          <w:color w:val="010000"/>
        </w:rPr>
      </w:pPr>
      <w:r>
        <w:rPr>
          <w:rFonts w:ascii="Arial" w:cs="Arial" w:eastAsia="Arial" w:hAnsi="Arial"/>
          <w:sz w:val="20"/>
          <w:szCs w:val="20"/>
          <w:color w:val="auto"/>
        </w:rPr>
        <w:t>duties required under this Agreement, Employee must apply for or hold a license, registration, permit or other approval (the “</w:t>
      </w:r>
      <w:r>
        <w:rPr>
          <w:rFonts w:ascii="Arial" w:cs="Arial" w:eastAsia="Arial" w:hAnsi="Arial"/>
          <w:sz w:val="20"/>
          <w:szCs w:val="20"/>
          <w:b w:val="1"/>
          <w:bCs w:val="1"/>
          <w:color w:val="auto"/>
        </w:rPr>
        <w:t>License</w:t>
      </w:r>
      <w:r>
        <w:rPr>
          <w:rFonts w:ascii="Arial" w:cs="Arial" w:eastAsia="Arial" w:hAnsi="Arial"/>
          <w:sz w:val="20"/>
          <w:szCs w:val="20"/>
          <w:color w:val="auto"/>
        </w:rPr>
        <w:t>”) as issued by the Authorities pursuant to the terms of the relevant Gaming Act and as otherwise required by this Agreement. In the event Employee fails to apply for and secure, or the Authorities refuse to issue or renew Employee’s License, Employee, at Employer’s sole cost and expense, shall promptly defend such action and shall take such reasonable steps as may be required to either remove the objections or secure or reinstate the Authorities’ approval, respectively. The foregoing notwithstanding, if the source of the objections or the Authorities’ refusal to renew or maintain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764"/>
          </w:cols>
          <w:pgMar w:left="896" w:top="1440" w:right="239" w:bottom="1440" w:gutter="0" w:footer="0" w:header="0"/>
        </w:sectPr>
      </w:pPr>
    </w:p>
    <w:bookmarkStart w:id="270" w:name="page271"/>
    <w:bookmarkEnd w:id="270"/>
    <w:p>
      <w:pPr>
        <w:spacing w:after="0" w:line="7" w:lineRule="exact"/>
        <w:rPr>
          <w:sz w:val="20"/>
          <w:szCs w:val="20"/>
          <w:color w:val="auto"/>
        </w:rPr>
      </w:pPr>
    </w:p>
    <w:p>
      <w:pPr>
        <w:jc w:val="both"/>
        <w:ind w:left="4"/>
        <w:spacing w:after="0" w:line="271" w:lineRule="auto"/>
        <w:rPr>
          <w:sz w:val="20"/>
          <w:szCs w:val="20"/>
          <w:color w:val="auto"/>
        </w:rPr>
      </w:pPr>
      <w:r>
        <w:rPr>
          <w:rFonts w:ascii="Arial" w:cs="Arial" w:eastAsia="Arial" w:hAnsi="Arial"/>
          <w:sz w:val="20"/>
          <w:szCs w:val="20"/>
          <w:color w:val="auto"/>
        </w:rPr>
        <w:t>License arise as a result of any of the acts, omissions or events described in Section 1(c) of this Agreement, then Employer’s obligations under this Section 8 also shall not be operative and Employee shall promptly reimburse Employer upon demand for any expenses incurred by Employer pursuant to this Section 8.</w:t>
      </w:r>
    </w:p>
    <w:p>
      <w:pPr>
        <w:spacing w:after="0" w:line="207" w:lineRule="exact"/>
        <w:rPr>
          <w:sz w:val="20"/>
          <w:szCs w:val="20"/>
          <w:color w:val="auto"/>
        </w:rPr>
      </w:pPr>
    </w:p>
    <w:p>
      <w:pPr>
        <w:ind w:left="4" w:right="20" w:firstLine="645"/>
        <w:spacing w:after="0" w:line="275" w:lineRule="auto"/>
        <w:tabs>
          <w:tab w:leader="none" w:pos="928" w:val="left"/>
        </w:tabs>
        <w:numPr>
          <w:ilvl w:val="1"/>
          <w:numId w:val="229"/>
        </w:numPr>
        <w:rPr>
          <w:rFonts w:ascii="Arial" w:cs="Arial" w:eastAsia="Arial" w:hAnsi="Arial"/>
          <w:sz w:val="20"/>
          <w:szCs w:val="20"/>
          <w:color w:val="010000"/>
        </w:rPr>
      </w:pPr>
      <w:r>
        <w:rPr>
          <w:rFonts w:ascii="Arial" w:cs="Arial" w:eastAsia="Arial" w:hAnsi="Arial"/>
          <w:sz w:val="20"/>
          <w:szCs w:val="20"/>
          <w:color w:val="auto"/>
        </w:rPr>
        <w:t>Employer and Employee hereby covenant and agree that the provisions of this Section 8 shall apply in the event Employee’s duties require that Employee also be licensed by governmental agencies other than the Authorities.</w:t>
      </w:r>
    </w:p>
    <w:p>
      <w:pPr>
        <w:spacing w:after="0" w:line="178" w:lineRule="exact"/>
        <w:rPr>
          <w:rFonts w:ascii="Arial" w:cs="Arial" w:eastAsia="Arial" w:hAnsi="Arial"/>
          <w:sz w:val="20"/>
          <w:szCs w:val="20"/>
          <w:color w:val="010000"/>
        </w:rPr>
      </w:pPr>
    </w:p>
    <w:p>
      <w:pPr>
        <w:ind w:left="204" w:hanging="204"/>
        <w:spacing w:after="0"/>
        <w:tabs>
          <w:tab w:leader="none" w:pos="204" w:val="left"/>
        </w:tabs>
        <w:numPr>
          <w:ilvl w:val="0"/>
          <w:numId w:val="230"/>
        </w:numPr>
        <w:rPr>
          <w:rFonts w:ascii="Arial" w:cs="Arial" w:eastAsia="Arial" w:hAnsi="Arial"/>
          <w:sz w:val="20"/>
          <w:szCs w:val="20"/>
          <w:color w:val="010000"/>
        </w:rPr>
      </w:pPr>
      <w:r>
        <w:rPr>
          <w:rFonts w:ascii="Arial" w:cs="Arial" w:eastAsia="Arial" w:hAnsi="Arial"/>
          <w:sz w:val="20"/>
          <w:szCs w:val="20"/>
          <w:b w:val="1"/>
          <w:bCs w:val="1"/>
          <w:i w:val="1"/>
          <w:iCs w:val="1"/>
          <w:u w:val="single" w:color="auto"/>
          <w:color w:val="auto"/>
        </w:rPr>
        <w:t>CONFIDENTIALITY</w:t>
      </w:r>
      <w:r>
        <w:rPr>
          <w:rFonts w:ascii="Arial" w:cs="Arial" w:eastAsia="Arial" w:hAnsi="Arial"/>
          <w:sz w:val="20"/>
          <w:szCs w:val="20"/>
          <w:color w:val="auto"/>
        </w:rPr>
        <w:t>.</w:t>
      </w:r>
    </w:p>
    <w:p>
      <w:pPr>
        <w:spacing w:after="0" w:line="266" w:lineRule="exact"/>
        <w:rPr>
          <w:rFonts w:ascii="Arial" w:cs="Arial" w:eastAsia="Arial" w:hAnsi="Arial"/>
          <w:sz w:val="20"/>
          <w:szCs w:val="20"/>
          <w:color w:val="010000"/>
        </w:rPr>
      </w:pPr>
    </w:p>
    <w:p>
      <w:pPr>
        <w:ind w:left="944" w:hanging="295"/>
        <w:spacing w:after="0"/>
        <w:tabs>
          <w:tab w:leader="none" w:pos="944" w:val="left"/>
        </w:tabs>
        <w:numPr>
          <w:ilvl w:val="1"/>
          <w:numId w:val="230"/>
        </w:numPr>
        <w:rPr>
          <w:rFonts w:ascii="Arial" w:cs="Arial" w:eastAsia="Arial" w:hAnsi="Arial"/>
          <w:sz w:val="20"/>
          <w:szCs w:val="20"/>
          <w:color w:val="010000"/>
        </w:rPr>
      </w:pPr>
      <w:r>
        <w:rPr>
          <w:rFonts w:ascii="Arial" w:cs="Arial" w:eastAsia="Arial" w:hAnsi="Arial"/>
          <w:sz w:val="20"/>
          <w:szCs w:val="20"/>
          <w:color w:val="auto"/>
        </w:rPr>
        <w:t>Employee hereby warrants, covenants and agrees that:</w:t>
      </w:r>
    </w:p>
    <w:p>
      <w:pPr>
        <w:spacing w:after="0" w:line="242" w:lineRule="exact"/>
        <w:rPr>
          <w:rFonts w:ascii="Arial" w:cs="Arial" w:eastAsia="Arial" w:hAnsi="Arial"/>
          <w:sz w:val="20"/>
          <w:szCs w:val="20"/>
          <w:color w:val="010000"/>
        </w:rPr>
      </w:pPr>
    </w:p>
    <w:p>
      <w:pPr>
        <w:jc w:val="both"/>
        <w:ind w:left="644" w:firstLine="653"/>
        <w:spacing w:after="0" w:line="285" w:lineRule="auto"/>
        <w:tabs>
          <w:tab w:leader="none" w:pos="1526" w:val="left"/>
        </w:tabs>
        <w:numPr>
          <w:ilvl w:val="2"/>
          <w:numId w:val="230"/>
        </w:numPr>
        <w:rPr>
          <w:rFonts w:ascii="Arial" w:cs="Arial" w:eastAsia="Arial" w:hAnsi="Arial"/>
          <w:sz w:val="19"/>
          <w:szCs w:val="19"/>
          <w:color w:val="010000"/>
        </w:rPr>
      </w:pPr>
      <w:r>
        <w:rPr>
          <w:rFonts w:ascii="Arial" w:cs="Arial" w:eastAsia="Arial" w:hAnsi="Arial"/>
          <w:sz w:val="19"/>
          <w:szCs w:val="19"/>
          <w:color w:val="auto"/>
        </w:rPr>
        <w:t>Employee shall not directly or indirectly use or disclose any Confidential Information, Trade Secrets, or Works of Authorship, whether in written, verbal, electronic, or model form, at any time or in any manner, except as required in the conduct of Employer’s business or as expressly authorized by Employer in writing. Employee shall take all necessary and available precautions to protect against the unauthorized disclosure of Confidential Information, Trade Secrets, or Works of Authorship. Employee acknowledges and agrees that such Confidential Information, Trade Secrets, or Works of Authorship are the sole and exclusive property of Employer or its Affiliates.</w:t>
      </w:r>
    </w:p>
    <w:p>
      <w:pPr>
        <w:spacing w:after="0" w:line="198" w:lineRule="exact"/>
        <w:rPr>
          <w:rFonts w:ascii="Arial" w:cs="Arial" w:eastAsia="Arial" w:hAnsi="Arial"/>
          <w:sz w:val="19"/>
          <w:szCs w:val="19"/>
          <w:color w:val="010000"/>
        </w:rPr>
      </w:pPr>
    </w:p>
    <w:p>
      <w:pPr>
        <w:jc w:val="both"/>
        <w:ind w:left="644" w:firstLine="653"/>
        <w:spacing w:after="0" w:line="269" w:lineRule="auto"/>
        <w:tabs>
          <w:tab w:leader="none" w:pos="1597" w:val="left"/>
        </w:tabs>
        <w:numPr>
          <w:ilvl w:val="2"/>
          <w:numId w:val="230"/>
        </w:numPr>
        <w:rPr>
          <w:rFonts w:ascii="Arial" w:cs="Arial" w:eastAsia="Arial" w:hAnsi="Arial"/>
          <w:sz w:val="20"/>
          <w:szCs w:val="20"/>
          <w:color w:val="010000"/>
        </w:rPr>
      </w:pPr>
      <w:r>
        <w:rPr>
          <w:rFonts w:ascii="Arial" w:cs="Arial" w:eastAsia="Arial" w:hAnsi="Arial"/>
          <w:sz w:val="20"/>
          <w:szCs w:val="20"/>
          <w:color w:val="auto"/>
        </w:rPr>
        <w:t>Employee shall not remove from Employer’s premises any Confidential Information, Trade Secrets, Works of Authorship, or any other documents pertaining to Employer’s or its Affiliates’ business, unless expressly authorized by Employer in writing. Furthermore, Employee specifically covenants and agrees not to make any duplicates, copies, or reconstructions of such materials and that, if any such duplicates, copies, or reconstructions are made, they shall become the property of Employer or its Affiliates upon their creation.</w:t>
      </w:r>
    </w:p>
    <w:p>
      <w:pPr>
        <w:spacing w:after="0" w:line="210" w:lineRule="exact"/>
        <w:rPr>
          <w:rFonts w:ascii="Arial" w:cs="Arial" w:eastAsia="Arial" w:hAnsi="Arial"/>
          <w:sz w:val="20"/>
          <w:szCs w:val="20"/>
          <w:color w:val="010000"/>
        </w:rPr>
      </w:pPr>
    </w:p>
    <w:p>
      <w:pPr>
        <w:jc w:val="both"/>
        <w:ind w:left="644" w:firstLine="653"/>
        <w:spacing w:after="0" w:line="268" w:lineRule="auto"/>
        <w:tabs>
          <w:tab w:leader="none" w:pos="1614" w:val="left"/>
        </w:tabs>
        <w:numPr>
          <w:ilvl w:val="2"/>
          <w:numId w:val="230"/>
        </w:numPr>
        <w:rPr>
          <w:rFonts w:ascii="Arial" w:cs="Arial" w:eastAsia="Arial" w:hAnsi="Arial"/>
          <w:sz w:val="20"/>
          <w:szCs w:val="20"/>
          <w:color w:val="010000"/>
        </w:rPr>
      </w:pPr>
      <w:r>
        <w:rPr>
          <w:rFonts w:ascii="Arial" w:cs="Arial" w:eastAsia="Arial" w:hAnsi="Arial"/>
          <w:sz w:val="20"/>
          <w:szCs w:val="20"/>
          <w:color w:val="auto"/>
        </w:rPr>
        <w:t>Upon termination of Employee’s employment with Employer for any reason, Employee shall return to Employer the originals and all copies of any and all papers, documents and things, including information stored for use in or with computers and software, all files, Rolodex cards, phone books, notes, price lists, customer contracts, bids, customer lists, notebooks, books, memoranda, drawings, computer disks or drives, or other documents: (i) made, compiled by, or delivered to Employee concerning any customer served by Employer or any of its Affiliates or any product, apparatus, or process manufactured, used, developed or investigated by Employer or any of its Affiliates; (ii) containing any Confidential Information, Trade Secret or Work of Authorship; or (iii) otherwise relating to Employee’s performance of duties under this Agreement. Employee further acknowledges and agrees that all such documents are the sole and exclusive property of Employer or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764"/>
          </w:cols>
          <w:pgMar w:left="896" w:top="1440" w:right="239" w:bottom="1440" w:gutter="0" w:footer="0" w:header="0"/>
        </w:sectPr>
      </w:pPr>
    </w:p>
    <w:bookmarkStart w:id="271" w:name="page272"/>
    <w:bookmarkEnd w:id="271"/>
    <w:p>
      <w:pPr>
        <w:spacing w:after="0" w:line="6" w:lineRule="exact"/>
        <w:rPr>
          <w:sz w:val="20"/>
          <w:szCs w:val="20"/>
          <w:color w:val="auto"/>
        </w:rPr>
      </w:pPr>
    </w:p>
    <w:p>
      <w:pPr>
        <w:jc w:val="both"/>
        <w:ind w:left="4" w:firstLine="645"/>
        <w:spacing w:after="0" w:line="281" w:lineRule="auto"/>
        <w:tabs>
          <w:tab w:leader="none" w:pos="939" w:val="left"/>
        </w:tabs>
        <w:numPr>
          <w:ilvl w:val="1"/>
          <w:numId w:val="231"/>
        </w:numPr>
        <w:rPr>
          <w:rFonts w:ascii="Arial" w:cs="Arial" w:eastAsia="Arial" w:hAnsi="Arial"/>
          <w:sz w:val="19"/>
          <w:szCs w:val="19"/>
          <w:color w:val="010000"/>
        </w:rPr>
      </w:pPr>
      <w:r>
        <w:rPr>
          <w:rFonts w:ascii="Arial" w:cs="Arial" w:eastAsia="Arial" w:hAnsi="Arial"/>
          <w:sz w:val="19"/>
          <w:szCs w:val="19"/>
          <w:color w:val="auto"/>
        </w:rPr>
        <w:t>Employee hereby warrants, covenants and agrees that Employee shall not disclose to Employer, or any Affiliate, officer, director, employee or agent of Employer, or use in the course of performing Employee’s duties and responsibilities for Employer any proprietary or confidential information or property, including any trade secret, formula, pattern,</w:t>
      </w:r>
    </w:p>
    <w:p>
      <w:pPr>
        <w:spacing w:after="0" w:line="2" w:lineRule="exact"/>
        <w:rPr>
          <w:rFonts w:ascii="Arial" w:cs="Arial" w:eastAsia="Arial" w:hAnsi="Arial"/>
          <w:sz w:val="19"/>
          <w:szCs w:val="19"/>
          <w:color w:val="010000"/>
        </w:rPr>
      </w:pPr>
    </w:p>
    <w:p>
      <w:pPr>
        <w:jc w:val="both"/>
        <w:ind w:left="4"/>
        <w:spacing w:after="0" w:line="270" w:lineRule="auto"/>
        <w:rPr>
          <w:rFonts w:ascii="Arial" w:cs="Arial" w:eastAsia="Arial" w:hAnsi="Arial"/>
          <w:sz w:val="19"/>
          <w:szCs w:val="19"/>
          <w:color w:val="010000"/>
        </w:rPr>
      </w:pPr>
      <w:r>
        <w:rPr>
          <w:rFonts w:ascii="Arial" w:cs="Arial" w:eastAsia="Arial" w:hAnsi="Arial"/>
          <w:sz w:val="20"/>
          <w:szCs w:val="20"/>
          <w:color w:val="auto"/>
        </w:rPr>
        <w:t>compilation, program, device, method, technique or process, which Employee is prohibited by contract, or otherwise, to disclose to Employer (the “</w:t>
      </w:r>
      <w:r>
        <w:rPr>
          <w:rFonts w:ascii="Arial" w:cs="Arial" w:eastAsia="Arial" w:hAnsi="Arial"/>
          <w:sz w:val="20"/>
          <w:szCs w:val="20"/>
          <w:b w:val="1"/>
          <w:bCs w:val="1"/>
          <w:color w:val="auto"/>
        </w:rPr>
        <w:t>Restricted Information</w:t>
      </w:r>
      <w:r>
        <w:rPr>
          <w:rFonts w:ascii="Arial" w:cs="Arial" w:eastAsia="Arial" w:hAnsi="Arial"/>
          <w:sz w:val="20"/>
          <w:szCs w:val="20"/>
          <w:color w:val="auto"/>
        </w:rPr>
        <w:t>”). In the event Employer requests Restricted Information from Employee, Employee shall advise Employer that the information requested is Restricted Information and may not be disclosed by Employee.</w:t>
      </w:r>
    </w:p>
    <w:p>
      <w:pPr>
        <w:spacing w:after="0" w:line="207" w:lineRule="exact"/>
        <w:rPr>
          <w:rFonts w:ascii="Arial" w:cs="Arial" w:eastAsia="Arial" w:hAnsi="Arial"/>
          <w:sz w:val="19"/>
          <w:szCs w:val="19"/>
          <w:color w:val="010000"/>
        </w:rPr>
      </w:pPr>
    </w:p>
    <w:p>
      <w:pPr>
        <w:jc w:val="both"/>
        <w:ind w:left="4" w:firstLine="645"/>
        <w:spacing w:after="0" w:line="268" w:lineRule="auto"/>
        <w:tabs>
          <w:tab w:leader="none" w:pos="928" w:val="left"/>
        </w:tabs>
        <w:numPr>
          <w:ilvl w:val="1"/>
          <w:numId w:val="231"/>
        </w:numPr>
        <w:rPr>
          <w:rFonts w:ascii="Arial" w:cs="Arial" w:eastAsia="Arial" w:hAnsi="Arial"/>
          <w:sz w:val="20"/>
          <w:szCs w:val="20"/>
          <w:color w:val="010000"/>
        </w:rPr>
      </w:pPr>
      <w:r>
        <w:rPr>
          <w:rFonts w:ascii="Arial" w:cs="Arial" w:eastAsia="Arial" w:hAnsi="Arial"/>
          <w:sz w:val="20"/>
          <w:szCs w:val="20"/>
          <w:color w:val="auto"/>
        </w:rPr>
        <w:t>Notwithstanding any provision of this Agreement prohibiting the disclosure of Trade Secrets or other Confidential Information, Employee understands that Employee may not be held criminally or civilly liable under any federal or state trade secret law for the disclosure of a trade secret that (i) is made (A) in confidence to a federal, state or local government official, either directly or indirectly, or to an attorney, and (B) solely for the purpose of reporting or investigating a suspected violation of law, or (ii) is made in a complaint or other document filed in a lawsuit or other proceeding, if such filing is made under seal. In addition, if Employee files a lawsuit or other court proceeding against the Employer for retaliating against Employee for reporting a suspected violation of law, Employee may disclose the trade secret to the attorney representing Employee and use the trade secret in the court proceeding, if Employee files any document containing the trade secret under seal and does not disclose the trade secret, except pursuant to court order.</w:t>
      </w:r>
    </w:p>
    <w:p>
      <w:pPr>
        <w:spacing w:after="0" w:line="214" w:lineRule="exact"/>
        <w:rPr>
          <w:rFonts w:ascii="Arial" w:cs="Arial" w:eastAsia="Arial" w:hAnsi="Arial"/>
          <w:sz w:val="20"/>
          <w:szCs w:val="20"/>
          <w:color w:val="010000"/>
        </w:rPr>
      </w:pPr>
    </w:p>
    <w:p>
      <w:pPr>
        <w:ind w:left="4" w:right="20" w:firstLine="645"/>
        <w:spacing w:after="0" w:line="275" w:lineRule="auto"/>
        <w:tabs>
          <w:tab w:leader="none" w:pos="952" w:val="left"/>
        </w:tabs>
        <w:numPr>
          <w:ilvl w:val="1"/>
          <w:numId w:val="231"/>
        </w:numPr>
        <w:rPr>
          <w:rFonts w:ascii="Arial" w:cs="Arial" w:eastAsia="Arial" w:hAnsi="Arial"/>
          <w:sz w:val="20"/>
          <w:szCs w:val="20"/>
          <w:color w:val="010000"/>
        </w:rPr>
      </w:pPr>
      <w:r>
        <w:rPr>
          <w:rFonts w:ascii="Arial" w:cs="Arial" w:eastAsia="Arial" w:hAnsi="Arial"/>
          <w:sz w:val="20"/>
          <w:szCs w:val="20"/>
          <w:color w:val="auto"/>
        </w:rPr>
        <w:t>The obligations of this Section 9 are continuing and shall survive the termination of Employee’s employment with Employer for any reason.</w:t>
      </w:r>
    </w:p>
    <w:p>
      <w:pPr>
        <w:spacing w:after="0" w:line="178" w:lineRule="exact"/>
        <w:rPr>
          <w:rFonts w:ascii="Arial" w:cs="Arial" w:eastAsia="Arial" w:hAnsi="Arial"/>
          <w:sz w:val="20"/>
          <w:szCs w:val="20"/>
          <w:color w:val="010000"/>
        </w:rPr>
      </w:pPr>
    </w:p>
    <w:p>
      <w:pPr>
        <w:ind w:left="324" w:hanging="324"/>
        <w:spacing w:after="0"/>
        <w:tabs>
          <w:tab w:leader="none" w:pos="324" w:val="left"/>
        </w:tabs>
        <w:numPr>
          <w:ilvl w:val="0"/>
          <w:numId w:val="232"/>
        </w:numPr>
        <w:rPr>
          <w:rFonts w:ascii="Arial" w:cs="Arial" w:eastAsia="Arial" w:hAnsi="Arial"/>
          <w:sz w:val="20"/>
          <w:szCs w:val="20"/>
          <w:color w:val="010000"/>
        </w:rPr>
      </w:pPr>
      <w:r>
        <w:rPr>
          <w:rFonts w:ascii="Arial" w:cs="Arial" w:eastAsia="Arial" w:hAnsi="Arial"/>
          <w:sz w:val="20"/>
          <w:szCs w:val="20"/>
          <w:b w:val="1"/>
          <w:bCs w:val="1"/>
          <w:i w:val="1"/>
          <w:iCs w:val="1"/>
          <w:u w:val="single" w:color="auto"/>
          <w:color w:val="auto"/>
        </w:rPr>
        <w:t>RESTRICTIVE COVENANT/NO SOLICITATION</w:t>
      </w:r>
      <w:r>
        <w:rPr>
          <w:rFonts w:ascii="Arial" w:cs="Arial" w:eastAsia="Arial" w:hAnsi="Arial"/>
          <w:sz w:val="20"/>
          <w:szCs w:val="20"/>
          <w:color w:val="auto"/>
        </w:rPr>
        <w:t>.</w:t>
      </w:r>
    </w:p>
    <w:p>
      <w:pPr>
        <w:spacing w:after="0" w:line="266" w:lineRule="exact"/>
        <w:rPr>
          <w:rFonts w:ascii="Arial" w:cs="Arial" w:eastAsia="Arial" w:hAnsi="Arial"/>
          <w:sz w:val="20"/>
          <w:szCs w:val="20"/>
          <w:color w:val="010000"/>
        </w:rPr>
      </w:pPr>
    </w:p>
    <w:p>
      <w:pPr>
        <w:jc w:val="both"/>
        <w:ind w:left="4" w:firstLine="645"/>
        <w:spacing w:after="0" w:line="268" w:lineRule="auto"/>
        <w:tabs>
          <w:tab w:leader="none" w:pos="979" w:val="left"/>
        </w:tabs>
        <w:numPr>
          <w:ilvl w:val="1"/>
          <w:numId w:val="232"/>
        </w:numPr>
        <w:rPr>
          <w:rFonts w:ascii="Arial" w:cs="Arial" w:eastAsia="Arial" w:hAnsi="Arial"/>
          <w:sz w:val="20"/>
          <w:szCs w:val="20"/>
          <w:color w:val="010000"/>
        </w:rPr>
      </w:pPr>
      <w:r>
        <w:rPr>
          <w:rFonts w:ascii="Arial" w:cs="Arial" w:eastAsia="Arial" w:hAnsi="Arial"/>
          <w:sz w:val="20"/>
          <w:szCs w:val="20"/>
          <w:color w:val="auto"/>
        </w:rPr>
        <w:t>Employee hereby covenants and agrees that during the Restricted Period, Employee shall not, directly or indirectly, either as a principal, agent, employee, employer, consultant, partner, member of a limited liability company, shareholder of a closely held corporation, or shareholder in excess of two percent (2%) of a publicly traded corporation, corporate officer or director, manager, or in any other individual or representative capacity, engage or otherwise participate in any manner or fashion in any business that is in competition in any manner whatsoever with the principal business activity of Employer or its Affiliates, in or about any market in which Employer or its Affiliates currently operate or have announced, publicly or otherwise, a plan to have hotel or gaming operations, including any hotel, casino, restaurant, lounge, nightclub, day club or beach club.</w:t>
      </w:r>
    </w:p>
    <w:p>
      <w:pPr>
        <w:spacing w:after="0" w:line="214" w:lineRule="exact"/>
        <w:rPr>
          <w:rFonts w:ascii="Arial" w:cs="Arial" w:eastAsia="Arial" w:hAnsi="Arial"/>
          <w:sz w:val="20"/>
          <w:szCs w:val="20"/>
          <w:color w:val="010000"/>
        </w:rPr>
      </w:pPr>
    </w:p>
    <w:p>
      <w:pPr>
        <w:jc w:val="both"/>
        <w:ind w:left="4" w:firstLine="645"/>
        <w:spacing w:after="0" w:line="270" w:lineRule="auto"/>
        <w:tabs>
          <w:tab w:leader="none" w:pos="939" w:val="left"/>
        </w:tabs>
        <w:numPr>
          <w:ilvl w:val="1"/>
          <w:numId w:val="232"/>
        </w:numPr>
        <w:rPr>
          <w:rFonts w:ascii="Arial" w:cs="Arial" w:eastAsia="Arial" w:hAnsi="Arial"/>
          <w:sz w:val="20"/>
          <w:szCs w:val="20"/>
          <w:color w:val="010000"/>
        </w:rPr>
      </w:pPr>
      <w:r>
        <w:rPr>
          <w:rFonts w:ascii="Arial" w:cs="Arial" w:eastAsia="Arial" w:hAnsi="Arial"/>
          <w:sz w:val="20"/>
          <w:szCs w:val="20"/>
          <w:color w:val="auto"/>
        </w:rPr>
        <w:t>Employee hereby further covenants and agrees that, during the Restricted Period, Employee shall not take any actions, whether directly or indirectly, including by way of a third-party intermediary, to solicit, encourage or otherwise cause any employee of Employer or its Affiliates with or on behalf of any business that is in competition in any manner whatsoever with the principal business activity of Employer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764"/>
          </w:cols>
          <w:pgMar w:left="896" w:top="1440" w:right="239" w:bottom="1440" w:gutter="0" w:footer="0" w:header="0"/>
        </w:sectPr>
      </w:pPr>
    </w:p>
    <w:bookmarkStart w:id="272" w:name="page273"/>
    <w:bookmarkEnd w:id="272"/>
    <w:p>
      <w:pPr>
        <w:spacing w:after="0" w:line="7" w:lineRule="exact"/>
        <w:rPr>
          <w:sz w:val="20"/>
          <w:szCs w:val="20"/>
          <w:color w:val="auto"/>
        </w:rPr>
      </w:pPr>
    </w:p>
    <w:p>
      <w:pPr>
        <w:jc w:val="both"/>
        <w:ind w:left="600"/>
        <w:spacing w:after="0" w:line="269" w:lineRule="auto"/>
        <w:rPr>
          <w:sz w:val="20"/>
          <w:szCs w:val="20"/>
          <w:color w:val="auto"/>
        </w:rPr>
      </w:pPr>
      <w:r>
        <w:rPr>
          <w:rFonts w:ascii="Arial" w:cs="Arial" w:eastAsia="Arial" w:hAnsi="Arial"/>
          <w:sz w:val="20"/>
          <w:szCs w:val="20"/>
          <w:color w:val="auto"/>
        </w:rPr>
        <w:t>its Affiliates, in or about any market in which Employer or its Affiliates currently operate or have announced, publicly or otherwise, a plan to have hotel or gaming, nightclub or beach club operations. The parties agree that the terms “solicit, encourage or otherwise cause” include Employee’s participation in the recruitment, applicant assessment or review, and employee selection. The parties further agree that this Section 10(b) applies even if the then-Employer’s or Affiliate’s employee makes the initial contact seeking employment with Employee or competitor as defined above.</w:t>
      </w:r>
    </w:p>
    <w:p>
      <w:pPr>
        <w:spacing w:after="0" w:line="210" w:lineRule="exact"/>
        <w:rPr>
          <w:sz w:val="20"/>
          <w:szCs w:val="20"/>
          <w:color w:val="auto"/>
        </w:rPr>
      </w:pPr>
    </w:p>
    <w:p>
      <w:pPr>
        <w:jc w:val="both"/>
        <w:ind w:left="600" w:firstLine="645"/>
        <w:spacing w:after="0" w:line="269" w:lineRule="auto"/>
        <w:tabs>
          <w:tab w:leader="none" w:pos="1537" w:val="left"/>
        </w:tabs>
        <w:numPr>
          <w:ilvl w:val="1"/>
          <w:numId w:val="233"/>
        </w:numPr>
        <w:rPr>
          <w:rFonts w:ascii="Arial" w:cs="Arial" w:eastAsia="Arial" w:hAnsi="Arial"/>
          <w:sz w:val="20"/>
          <w:szCs w:val="20"/>
          <w:color w:val="010000"/>
        </w:rPr>
      </w:pPr>
      <w:r>
        <w:rPr>
          <w:rFonts w:ascii="Arial" w:cs="Arial" w:eastAsia="Arial" w:hAnsi="Arial"/>
          <w:sz w:val="20"/>
          <w:szCs w:val="20"/>
          <w:color w:val="auto"/>
        </w:rPr>
        <w:t>Employee hereby further covenants and agrees that the restrictive covenants contained in this Section 10 are reasonable as to duration, terms and geographical area and that they protect the legitimate interests of Employer, impose no undue hardship on Employee, and are not injurious to the public. In the event that any of the restrictions and limitations contained in this Section 10 are deemed to exceed the time, geographic or other limitations permitted by Nevada law, the parties agree that a court of competent jurisdiction shall revise any offending provisions so as to bring this Section 10 within the maximum time, geographical or other limitations permitted by Nevada law.</w:t>
      </w:r>
    </w:p>
    <w:p>
      <w:pPr>
        <w:spacing w:after="0" w:line="209" w:lineRule="exact"/>
        <w:rPr>
          <w:rFonts w:ascii="Arial" w:cs="Arial" w:eastAsia="Arial" w:hAnsi="Arial"/>
          <w:sz w:val="20"/>
          <w:szCs w:val="20"/>
          <w:color w:val="010000"/>
        </w:rPr>
      </w:pPr>
    </w:p>
    <w:p>
      <w:pPr>
        <w:ind w:left="600" w:firstLine="645"/>
        <w:spacing w:after="0" w:line="275" w:lineRule="auto"/>
        <w:tabs>
          <w:tab w:leader="none" w:pos="1535" w:val="left"/>
        </w:tabs>
        <w:numPr>
          <w:ilvl w:val="1"/>
          <w:numId w:val="233"/>
        </w:numPr>
        <w:rPr>
          <w:rFonts w:ascii="Arial" w:cs="Arial" w:eastAsia="Arial" w:hAnsi="Arial"/>
          <w:sz w:val="20"/>
          <w:szCs w:val="20"/>
          <w:color w:val="010000"/>
        </w:rPr>
      </w:pPr>
      <w:r>
        <w:rPr>
          <w:rFonts w:ascii="Arial" w:cs="Arial" w:eastAsia="Arial" w:hAnsi="Arial"/>
          <w:sz w:val="20"/>
          <w:szCs w:val="20"/>
          <w:color w:val="auto"/>
        </w:rPr>
        <w:t>Employee hereby agrees that any subsequent material change or changes in Employee’s title, duties, salary or compensation will not affect the validity or scope of this Section 10, or invalidate this Section 10 in any way.</w:t>
      </w:r>
    </w:p>
    <w:p>
      <w:pPr>
        <w:spacing w:after="0" w:line="178" w:lineRule="exact"/>
        <w:rPr>
          <w:rFonts w:ascii="Arial" w:cs="Arial" w:eastAsia="Arial" w:hAnsi="Arial"/>
          <w:sz w:val="20"/>
          <w:szCs w:val="20"/>
          <w:color w:val="010000"/>
        </w:rPr>
      </w:pPr>
    </w:p>
    <w:p>
      <w:pPr>
        <w:jc w:val="both"/>
        <w:ind w:left="-60" w:firstLine="656"/>
        <w:spacing w:after="0" w:line="269" w:lineRule="auto"/>
        <w:tabs>
          <w:tab w:leader="none" w:pos="908" w:val="left"/>
        </w:tabs>
        <w:numPr>
          <w:ilvl w:val="0"/>
          <w:numId w:val="234"/>
        </w:numPr>
        <w:rPr>
          <w:rFonts w:ascii="Arial" w:cs="Arial" w:eastAsia="Arial" w:hAnsi="Arial"/>
          <w:sz w:val="20"/>
          <w:szCs w:val="20"/>
          <w:color w:val="010000"/>
        </w:rPr>
      </w:pPr>
      <w:r>
        <w:rPr>
          <w:rFonts w:ascii="Arial" w:cs="Arial" w:eastAsia="Arial" w:hAnsi="Arial"/>
          <w:sz w:val="20"/>
          <w:szCs w:val="20"/>
          <w:b w:val="1"/>
          <w:bCs w:val="1"/>
          <w:i w:val="1"/>
          <w:iCs w:val="1"/>
          <w:u w:val="single" w:color="auto"/>
          <w:color w:val="auto"/>
        </w:rPr>
        <w:t>REMEDIES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Employee acknowledges that Employer has and will continue to deliver, provide and expose Employee to</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certain knowledge, information, practices, and procedures possessed or developed by or for Employer at a considerable investment of time and expense, which are protected as confidential and which are essential for carrying out Employer’s business in a highly competitive market. Employee also acknowledges that Employee will be exposed to Confidential Information, Trade Secrets, Works of Authorship, inventions and business relationships possessed or developed by or for Employer or its Affiliates, and that Employer or its Affiliates would be irreparably harmed if Employee were to improperly use or disclose such items to competitors, potential competitors or other parties. Employee further acknowledges that the protection of Employer’s and its Affiliates’ customers and businesses is essential, and understands and agrees that Employer’s and its Affiliates’ relationships with its customers and its employees are special and unique and have required a considerable investment of time and funds to develop, and that any loss of or damage to any such relationship will result in irreparable harm. Consequently, Employee covenants and agrees that any violation by Employee of Section 9 or 10 shall entitle Employer to immediate injunctive relief in a court of competent jurisdiction. Employee further agrees that no cause of action for recovery of materials or for breach of any of Employee’s representations, warranties or covenants shall accrue until Employer or its Affiliate has actual notice of such breach. Employee further agrees that the time period covered by the covenants of this Agreement will not include and shall be extended by any period(s) of time required for litigation brought by Employer to enforce any covenant or in which Employee is in violation of his/her promises contained in Section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300" w:top="1440" w:right="239" w:bottom="1440" w:gutter="0" w:footer="0" w:header="0"/>
        </w:sectPr>
      </w:pPr>
    </w:p>
    <w:bookmarkStart w:id="273" w:name="page274"/>
    <w:bookmarkEnd w:id="273"/>
    <w:p>
      <w:pPr>
        <w:ind w:firstLine="656"/>
        <w:spacing w:after="0" w:line="300" w:lineRule="auto"/>
        <w:tabs>
          <w:tab w:leader="none" w:pos="995" w:val="left"/>
        </w:tabs>
        <w:numPr>
          <w:ilvl w:val="0"/>
          <w:numId w:val="235"/>
        </w:numPr>
        <w:rPr>
          <w:rFonts w:ascii="Arial" w:cs="Arial" w:eastAsia="Arial" w:hAnsi="Arial"/>
          <w:sz w:val="20"/>
          <w:szCs w:val="20"/>
          <w:color w:val="010000"/>
        </w:rPr>
      </w:pPr>
      <w:r>
        <w:rPr>
          <w:rFonts w:ascii="Arial" w:cs="Arial" w:eastAsia="Arial" w:hAnsi="Arial"/>
          <w:sz w:val="20"/>
          <w:szCs w:val="20"/>
          <w:b w:val="1"/>
          <w:bCs w:val="1"/>
          <w:i w:val="1"/>
          <w:iCs w:val="1"/>
          <w:u w:val="single" w:color="auto"/>
          <w:color w:val="auto"/>
        </w:rPr>
        <w:t>BEST EVIDENCE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This Agreement shall be executed in original and “Xerox” or photostatic copies and each copy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bearing original signatures in ink shall be deemed an original.</w:t>
      </w:r>
    </w:p>
    <w:p>
      <w:pPr>
        <w:spacing w:after="0" w:line="154" w:lineRule="exact"/>
        <w:rPr>
          <w:rFonts w:ascii="Arial" w:cs="Arial" w:eastAsia="Arial" w:hAnsi="Arial"/>
          <w:sz w:val="20"/>
          <w:szCs w:val="20"/>
          <w:color w:val="010000"/>
        </w:rPr>
      </w:pPr>
    </w:p>
    <w:p>
      <w:pPr>
        <w:ind w:right="20" w:firstLine="656"/>
        <w:spacing w:after="0" w:line="300" w:lineRule="auto"/>
        <w:tabs>
          <w:tab w:leader="none" w:pos="982" w:val="left"/>
        </w:tabs>
        <w:numPr>
          <w:ilvl w:val="0"/>
          <w:numId w:val="235"/>
        </w:numPr>
        <w:rPr>
          <w:rFonts w:ascii="Arial" w:cs="Arial" w:eastAsia="Arial" w:hAnsi="Arial"/>
          <w:sz w:val="20"/>
          <w:szCs w:val="20"/>
          <w:color w:val="010000"/>
        </w:rPr>
      </w:pPr>
      <w:r>
        <w:rPr>
          <w:rFonts w:ascii="Arial" w:cs="Arial" w:eastAsia="Arial" w:hAnsi="Arial"/>
          <w:sz w:val="20"/>
          <w:szCs w:val="20"/>
          <w:b w:val="1"/>
          <w:bCs w:val="1"/>
          <w:i w:val="1"/>
          <w:iCs w:val="1"/>
          <w:u w:val="single" w:color="auto"/>
          <w:color w:val="auto"/>
        </w:rPr>
        <w:t>SUCCESSION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This Agreement shall be binding upon and inure to the benefit of the parties hereto and their heirs,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executors, administrators, personal representatives, successors and permitted assigns.</w:t>
      </w:r>
    </w:p>
    <w:p>
      <w:pPr>
        <w:spacing w:after="0" w:line="154" w:lineRule="exact"/>
        <w:rPr>
          <w:rFonts w:ascii="Arial" w:cs="Arial" w:eastAsia="Arial" w:hAnsi="Arial"/>
          <w:sz w:val="20"/>
          <w:szCs w:val="20"/>
          <w:color w:val="010000"/>
        </w:rPr>
      </w:pPr>
    </w:p>
    <w:p>
      <w:pPr>
        <w:jc w:val="both"/>
        <w:ind w:firstLine="656"/>
        <w:spacing w:after="0" w:line="274" w:lineRule="auto"/>
        <w:tabs>
          <w:tab w:leader="none" w:pos="1009" w:val="left"/>
        </w:tabs>
        <w:numPr>
          <w:ilvl w:val="0"/>
          <w:numId w:val="235"/>
        </w:numPr>
        <w:rPr>
          <w:rFonts w:ascii="Arial" w:cs="Arial" w:eastAsia="Arial" w:hAnsi="Arial"/>
          <w:sz w:val="20"/>
          <w:szCs w:val="20"/>
          <w:color w:val="010000"/>
        </w:rPr>
      </w:pPr>
      <w:r>
        <w:rPr>
          <w:rFonts w:ascii="Arial" w:cs="Arial" w:eastAsia="Arial" w:hAnsi="Arial"/>
          <w:sz w:val="20"/>
          <w:szCs w:val="20"/>
          <w:b w:val="1"/>
          <w:bCs w:val="1"/>
          <w:i w:val="1"/>
          <w:iCs w:val="1"/>
          <w:u w:val="single" w:color="auto"/>
          <w:color w:val="auto"/>
        </w:rPr>
        <w:t>ASSIGNMENT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Employee shall not assign this Agreement or delegate Employee’s duties hereunder without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express written prior consent of Employer thereto. Any purported assignment by Employee in violation of this Section 14 shall be null and void and of no force or effect. Employer shall have the right to assign this Agreement freely, including Employee’s obligations under Section 10, and Employee hereby acknowledges receipt of consideration in exchange for Employee’s consent to the assignability of Employee’s obligations under Section 10 that is additional to and separate from the consideration provided to Employee in exchange for the other covenants in this Agreement.</w:t>
      </w:r>
    </w:p>
    <w:p>
      <w:pPr>
        <w:spacing w:after="0" w:line="180" w:lineRule="exact"/>
        <w:rPr>
          <w:rFonts w:ascii="Arial" w:cs="Arial" w:eastAsia="Arial" w:hAnsi="Arial"/>
          <w:sz w:val="20"/>
          <w:szCs w:val="20"/>
          <w:color w:val="010000"/>
        </w:rPr>
      </w:pPr>
    </w:p>
    <w:p>
      <w:pPr>
        <w:ind w:firstLine="656"/>
        <w:spacing w:after="0" w:line="300" w:lineRule="auto"/>
        <w:tabs>
          <w:tab w:leader="none" w:pos="968" w:val="left"/>
        </w:tabs>
        <w:numPr>
          <w:ilvl w:val="0"/>
          <w:numId w:val="235"/>
        </w:numPr>
        <w:rPr>
          <w:rFonts w:ascii="Arial" w:cs="Arial" w:eastAsia="Arial" w:hAnsi="Arial"/>
          <w:sz w:val="20"/>
          <w:szCs w:val="20"/>
          <w:color w:val="010000"/>
        </w:rPr>
      </w:pPr>
      <w:r>
        <w:rPr>
          <w:rFonts w:ascii="Arial" w:cs="Arial" w:eastAsia="Arial" w:hAnsi="Arial"/>
          <w:sz w:val="20"/>
          <w:szCs w:val="20"/>
          <w:b w:val="1"/>
          <w:bCs w:val="1"/>
          <w:i w:val="1"/>
          <w:iCs w:val="1"/>
          <w:u w:val="single" w:color="auto"/>
          <w:color w:val="auto"/>
        </w:rPr>
        <w:t>AMENDMENT OR MODIFICATION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This Agreement may not be amended, modified, changed or altered except by a</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writing signed by both Employer and Employee.</w:t>
      </w:r>
    </w:p>
    <w:p>
      <w:pPr>
        <w:spacing w:after="0" w:line="154" w:lineRule="exact"/>
        <w:rPr>
          <w:rFonts w:ascii="Arial" w:cs="Arial" w:eastAsia="Arial" w:hAnsi="Arial"/>
          <w:sz w:val="20"/>
          <w:szCs w:val="20"/>
          <w:color w:val="010000"/>
        </w:rPr>
      </w:pPr>
    </w:p>
    <w:p>
      <w:pPr>
        <w:ind w:firstLine="656"/>
        <w:spacing w:after="0" w:line="300" w:lineRule="auto"/>
        <w:tabs>
          <w:tab w:leader="none" w:pos="982" w:val="left"/>
        </w:tabs>
        <w:numPr>
          <w:ilvl w:val="0"/>
          <w:numId w:val="235"/>
        </w:numPr>
        <w:rPr>
          <w:rFonts w:ascii="Arial" w:cs="Arial" w:eastAsia="Arial" w:hAnsi="Arial"/>
          <w:sz w:val="20"/>
          <w:szCs w:val="20"/>
          <w:color w:val="010000"/>
        </w:rPr>
      </w:pPr>
      <w:r>
        <w:rPr>
          <w:rFonts w:ascii="Arial" w:cs="Arial" w:eastAsia="Arial" w:hAnsi="Arial"/>
          <w:sz w:val="20"/>
          <w:szCs w:val="20"/>
          <w:b w:val="1"/>
          <w:bCs w:val="1"/>
          <w:i w:val="1"/>
          <w:iCs w:val="1"/>
          <w:u w:val="single" w:color="auto"/>
          <w:color w:val="auto"/>
        </w:rPr>
        <w:t>GOVERNING LAW.</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This Agreement shall be governed by and construed in accordance with the laws of the State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Nevada, without regard to conflict of laws principles.</w:t>
      </w:r>
    </w:p>
    <w:p>
      <w:pPr>
        <w:spacing w:after="0" w:line="154" w:lineRule="exact"/>
        <w:rPr>
          <w:rFonts w:ascii="Arial" w:cs="Arial" w:eastAsia="Arial" w:hAnsi="Arial"/>
          <w:sz w:val="20"/>
          <w:szCs w:val="20"/>
          <w:color w:val="010000"/>
        </w:rPr>
      </w:pPr>
    </w:p>
    <w:p>
      <w:pPr>
        <w:ind w:firstLine="656"/>
        <w:spacing w:after="0" w:line="300" w:lineRule="auto"/>
        <w:tabs>
          <w:tab w:leader="none" w:pos="968" w:val="left"/>
        </w:tabs>
        <w:numPr>
          <w:ilvl w:val="0"/>
          <w:numId w:val="235"/>
        </w:numPr>
        <w:rPr>
          <w:rFonts w:ascii="Arial" w:cs="Arial" w:eastAsia="Arial" w:hAnsi="Arial"/>
          <w:sz w:val="20"/>
          <w:szCs w:val="20"/>
          <w:color w:val="010000"/>
        </w:rPr>
      </w:pPr>
      <w:r>
        <w:rPr>
          <w:rFonts w:ascii="Arial" w:cs="Arial" w:eastAsia="Arial" w:hAnsi="Arial"/>
          <w:sz w:val="20"/>
          <w:szCs w:val="20"/>
          <w:b w:val="1"/>
          <w:bCs w:val="1"/>
          <w:i w:val="1"/>
          <w:iCs w:val="1"/>
          <w:u w:val="single" w:color="auto"/>
          <w:color w:val="auto"/>
        </w:rPr>
        <w:t>NOTICES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Any and all notices required under this Agreement shall be in writing and shall be either hand-delivered or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mailed, certified mail, return receipt requested, addressed to:</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20"/>
          <w:szCs w:val="20"/>
          <w:u w:val="single" w:color="auto"/>
          <w:color w:val="auto"/>
        </w:rPr>
        <w:t>TO EMPLOYER</w:t>
      </w:r>
      <w:r>
        <w:rPr>
          <w:rFonts w:ascii="Arial" w:cs="Arial" w:eastAsia="Arial" w:hAnsi="Arial"/>
          <w:sz w:val="20"/>
          <w:szCs w:val="20"/>
          <w:color w:val="auto"/>
        </w:rPr>
        <w:t>:</w:t>
      </w:r>
    </w:p>
    <w:p>
      <w:pPr>
        <w:spacing w:after="0" w:line="24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Wynn Resorts, Limited</w:t>
      </w:r>
    </w:p>
    <w:p>
      <w:pPr>
        <w:spacing w:after="0" w:line="1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3131 Las Vegas Boulevard South</w:t>
      </w:r>
    </w:p>
    <w:p>
      <w:pPr>
        <w:ind w:left="1300"/>
        <w:spacing w:after="0"/>
        <w:rPr>
          <w:sz w:val="20"/>
          <w:szCs w:val="20"/>
          <w:color w:val="auto"/>
        </w:rPr>
      </w:pPr>
      <w:r>
        <w:rPr>
          <w:rFonts w:ascii="Arial" w:cs="Arial" w:eastAsia="Arial" w:hAnsi="Arial"/>
          <w:sz w:val="20"/>
          <w:szCs w:val="20"/>
          <w:color w:val="auto"/>
        </w:rPr>
        <w:t>Las Vegas, Nevada 89109</w:t>
      </w:r>
    </w:p>
    <w:p>
      <w:pPr>
        <w:ind w:left="1300"/>
        <w:spacing w:after="0"/>
        <w:rPr>
          <w:sz w:val="20"/>
          <w:szCs w:val="20"/>
          <w:color w:val="auto"/>
        </w:rPr>
      </w:pPr>
      <w:r>
        <w:rPr>
          <w:rFonts w:ascii="Arial" w:cs="Arial" w:eastAsia="Arial" w:hAnsi="Arial"/>
          <w:sz w:val="20"/>
          <w:szCs w:val="20"/>
          <w:color w:val="auto"/>
        </w:rPr>
        <w:t>Attn: Legal Department</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20"/>
          <w:szCs w:val="20"/>
          <w:u w:val="single" w:color="auto"/>
          <w:color w:val="auto"/>
        </w:rPr>
        <w:t>TO EMPLOYEE</w:t>
      </w:r>
      <w:r>
        <w:rPr>
          <w:rFonts w:ascii="Arial" w:cs="Arial" w:eastAsia="Arial" w:hAnsi="Arial"/>
          <w:sz w:val="20"/>
          <w:szCs w:val="20"/>
          <w:color w:val="auto"/>
        </w:rPr>
        <w:t>:</w:t>
      </w:r>
    </w:p>
    <w:p>
      <w:pPr>
        <w:spacing w:after="0" w:line="24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Matt Maddox</w:t>
      </w:r>
    </w:p>
    <w:p>
      <w:pPr>
        <w:spacing w:after="0" w:line="1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805 Trophy Hills Drive</w:t>
      </w:r>
    </w:p>
    <w:p>
      <w:pPr>
        <w:ind w:left="1300"/>
        <w:spacing w:after="0"/>
        <w:rPr>
          <w:sz w:val="20"/>
          <w:szCs w:val="20"/>
          <w:color w:val="auto"/>
        </w:rPr>
      </w:pPr>
      <w:r>
        <w:rPr>
          <w:rFonts w:ascii="Arial" w:cs="Arial" w:eastAsia="Arial" w:hAnsi="Arial"/>
          <w:sz w:val="20"/>
          <w:szCs w:val="20"/>
          <w:color w:val="auto"/>
        </w:rPr>
        <w:t>Las Vegas, Nevada 89134</w:t>
      </w:r>
    </w:p>
    <w:p>
      <w:pPr>
        <w:spacing w:after="0" w:line="253"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All notices hand-delivered shall be deemed delivered as of the date actually delivered. All notices mailed shall be deemed delivered as of three (3) business days after the date postmarked. Any changes in any of the addresses listed herein shall be made by notice as provided in this Section 17.</w:t>
      </w:r>
    </w:p>
    <w:p>
      <w:pPr>
        <w:spacing w:after="0" w:line="186" w:lineRule="exact"/>
        <w:rPr>
          <w:sz w:val="20"/>
          <w:szCs w:val="20"/>
          <w:color w:val="auto"/>
        </w:rPr>
      </w:pPr>
    </w:p>
    <w:p>
      <w:pPr>
        <w:jc w:val="both"/>
        <w:ind w:firstLine="656"/>
        <w:spacing w:after="0" w:line="284" w:lineRule="auto"/>
        <w:tabs>
          <w:tab w:leader="none" w:pos="968" w:val="left"/>
        </w:tabs>
        <w:numPr>
          <w:ilvl w:val="0"/>
          <w:numId w:val="236"/>
        </w:numPr>
        <w:rPr>
          <w:rFonts w:ascii="Arial" w:cs="Arial" w:eastAsia="Arial" w:hAnsi="Arial"/>
          <w:sz w:val="20"/>
          <w:szCs w:val="20"/>
          <w:color w:val="010000"/>
        </w:rPr>
      </w:pPr>
      <w:r>
        <w:rPr>
          <w:rFonts w:ascii="Arial" w:cs="Arial" w:eastAsia="Arial" w:hAnsi="Arial"/>
          <w:sz w:val="20"/>
          <w:szCs w:val="20"/>
          <w:b w:val="1"/>
          <w:bCs w:val="1"/>
          <w:i w:val="1"/>
          <w:iCs w:val="1"/>
          <w:u w:val="single" w:color="auto"/>
          <w:color w:val="auto"/>
        </w:rPr>
        <w:t>INTERPRETATION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preamble recitals to this Agreement are incorporated into and made a part of this Agreement;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titles of sections and paragraphs are for convenience only and are not to be considered a part of this Agreement. Whenever the words “include,”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422" w:right="239" w:bottom="1440" w:gutter="0" w:footer="0" w:header="0"/>
        </w:sectPr>
      </w:pPr>
    </w:p>
    <w:bookmarkStart w:id="274" w:name="page275"/>
    <w:bookmarkEnd w:id="274"/>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“includes” or “including” are used in this Agreement, they shall be deemed to be followed by the words “without limitation.”</w:t>
      </w:r>
    </w:p>
    <w:p>
      <w:pPr>
        <w:spacing w:after="0" w:line="219" w:lineRule="exact"/>
        <w:rPr>
          <w:sz w:val="20"/>
          <w:szCs w:val="20"/>
          <w:color w:val="auto"/>
        </w:rPr>
      </w:pPr>
    </w:p>
    <w:p>
      <w:pPr>
        <w:jc w:val="both"/>
        <w:ind w:firstLine="656"/>
        <w:spacing w:after="0" w:line="284" w:lineRule="auto"/>
        <w:tabs>
          <w:tab w:leader="none" w:pos="982" w:val="left"/>
        </w:tabs>
        <w:numPr>
          <w:ilvl w:val="0"/>
          <w:numId w:val="237"/>
        </w:numPr>
        <w:rPr>
          <w:rFonts w:ascii="Arial" w:cs="Arial" w:eastAsia="Arial" w:hAnsi="Arial"/>
          <w:sz w:val="20"/>
          <w:szCs w:val="20"/>
          <w:color w:val="010000"/>
        </w:rPr>
      </w:pPr>
      <w:r>
        <w:rPr>
          <w:rFonts w:ascii="Arial" w:cs="Arial" w:eastAsia="Arial" w:hAnsi="Arial"/>
          <w:sz w:val="20"/>
          <w:szCs w:val="20"/>
          <w:b w:val="1"/>
          <w:bCs w:val="1"/>
          <w:i w:val="1"/>
          <w:iCs w:val="1"/>
          <w:u w:val="single" w:color="auto"/>
          <w:color w:val="auto"/>
        </w:rPr>
        <w:t>SEVERABILITY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In the event any one or more provisions of this Agreement is declared judicially void or otherwise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unenforceable, the remainder of this Agreement shall survive and such provision(s) shall be deemed modified or amended so as to fulfill the intent of the parties hereto.</w:t>
      </w:r>
    </w:p>
    <w:p>
      <w:pPr>
        <w:spacing w:after="0" w:line="169" w:lineRule="exact"/>
        <w:rPr>
          <w:rFonts w:ascii="Arial" w:cs="Arial" w:eastAsia="Arial" w:hAnsi="Arial"/>
          <w:sz w:val="20"/>
          <w:szCs w:val="20"/>
          <w:color w:val="010000"/>
        </w:rPr>
      </w:pPr>
    </w:p>
    <w:p>
      <w:pPr>
        <w:jc w:val="both"/>
        <w:ind w:firstLine="656"/>
        <w:spacing w:after="0" w:line="284" w:lineRule="auto"/>
        <w:tabs>
          <w:tab w:leader="none" w:pos="968" w:val="left"/>
        </w:tabs>
        <w:numPr>
          <w:ilvl w:val="0"/>
          <w:numId w:val="237"/>
        </w:numPr>
        <w:rPr>
          <w:rFonts w:ascii="Arial" w:cs="Arial" w:eastAsia="Arial" w:hAnsi="Arial"/>
          <w:sz w:val="20"/>
          <w:szCs w:val="20"/>
          <w:color w:val="010000"/>
        </w:rPr>
      </w:pPr>
      <w:r>
        <w:rPr>
          <w:rFonts w:ascii="Arial" w:cs="Arial" w:eastAsia="Arial" w:hAnsi="Arial"/>
          <w:sz w:val="20"/>
          <w:szCs w:val="20"/>
          <w:b w:val="1"/>
          <w:bCs w:val="1"/>
          <w:i w:val="1"/>
          <w:iCs w:val="1"/>
          <w:u w:val="single" w:color="auto"/>
          <w:color w:val="auto"/>
        </w:rPr>
        <w:t>WAIVER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None of the terms of this Agreement, including this Section 20, or any term, right or remedy hereunder, shall</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be deemed waived unless such waiver is in writing and signed by the party to be charged therewith and in no event by reason of any failure to assert or delay in asserting any such term, right or remedy or similar term, right or remedy hereunder.</w:t>
      </w:r>
    </w:p>
    <w:p>
      <w:pPr>
        <w:spacing w:after="0" w:line="169" w:lineRule="exact"/>
        <w:rPr>
          <w:rFonts w:ascii="Arial" w:cs="Arial" w:eastAsia="Arial" w:hAnsi="Arial"/>
          <w:sz w:val="20"/>
          <w:szCs w:val="20"/>
          <w:color w:val="010000"/>
        </w:rPr>
      </w:pPr>
    </w:p>
    <w:p>
      <w:pPr>
        <w:jc w:val="both"/>
        <w:ind w:firstLine="656"/>
        <w:spacing w:after="0" w:line="274" w:lineRule="auto"/>
        <w:tabs>
          <w:tab w:leader="none" w:pos="968" w:val="left"/>
        </w:tabs>
        <w:numPr>
          <w:ilvl w:val="0"/>
          <w:numId w:val="237"/>
        </w:numPr>
        <w:rPr>
          <w:rFonts w:ascii="Arial" w:cs="Arial" w:eastAsia="Arial" w:hAnsi="Arial"/>
          <w:sz w:val="20"/>
          <w:szCs w:val="20"/>
          <w:color w:val="010000"/>
        </w:rPr>
      </w:pPr>
      <w:r>
        <w:rPr>
          <w:rFonts w:ascii="Arial" w:cs="Arial" w:eastAsia="Arial" w:hAnsi="Arial"/>
          <w:sz w:val="20"/>
          <w:szCs w:val="20"/>
          <w:b w:val="1"/>
          <w:bCs w:val="1"/>
          <w:i w:val="1"/>
          <w:iCs w:val="1"/>
          <w:u w:val="single" w:color="auto"/>
          <w:color w:val="auto"/>
        </w:rPr>
        <w:t>DISPUTE RESOLUTION</w:t>
      </w:r>
      <w:r>
        <w:rPr>
          <w:rFonts w:ascii="Arial" w:cs="Arial" w:eastAsia="Arial" w:hAnsi="Arial"/>
          <w:sz w:val="20"/>
          <w:szCs w:val="20"/>
          <w:color w:val="auto"/>
        </w:rPr>
        <w:t>. Except for a claim by either Employee or Employer for injunctive relief where such would be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otherwise authorized by law to enforce Sections 9, 10 and/or 11 of this Agreement, any controversy or claim arising out of or relating to this Agreement, the breach hereof, or Employee’s employment by Employer, including any claim involving the interpretation or application of this Agreement, or claims for wrongful termination, discrimination, or other claims based upon</w:t>
      </w:r>
    </w:p>
    <w:p>
      <w:pPr>
        <w:jc w:val="both"/>
        <w:spacing w:after="0" w:line="269" w:lineRule="auto"/>
        <w:rPr>
          <w:rFonts w:ascii="Arial" w:cs="Arial" w:eastAsia="Arial" w:hAnsi="Arial"/>
          <w:sz w:val="20"/>
          <w:szCs w:val="20"/>
          <w:color w:val="010000"/>
        </w:rPr>
      </w:pPr>
      <w:r>
        <w:rPr>
          <w:rFonts w:ascii="Arial" w:cs="Arial" w:eastAsia="Arial" w:hAnsi="Arial"/>
          <w:sz w:val="20"/>
          <w:szCs w:val="20"/>
          <w:color w:val="auto"/>
        </w:rPr>
        <w:t>statutory or common law, shall be submitted to binding arbitration in accordance with the employment arbitration rules then in effect of the American Arbitration Association (“</w:t>
      </w:r>
      <w:r>
        <w:rPr>
          <w:rFonts w:ascii="Arial" w:cs="Arial" w:eastAsia="Arial" w:hAnsi="Arial"/>
          <w:sz w:val="20"/>
          <w:szCs w:val="20"/>
          <w:b w:val="1"/>
          <w:bCs w:val="1"/>
          <w:color w:val="auto"/>
        </w:rPr>
        <w:t>AAA</w:t>
      </w:r>
      <w:r>
        <w:rPr>
          <w:rFonts w:ascii="Arial" w:cs="Arial" w:eastAsia="Arial" w:hAnsi="Arial"/>
          <w:sz w:val="20"/>
          <w:szCs w:val="20"/>
          <w:color w:val="auto"/>
        </w:rPr>
        <w:t xml:space="preserve">”), to the extent not inconsistent with this Section as set forth below, and the Federal Arbitration Act, 9 U.S.C. § 1, </w:t>
      </w:r>
      <w:r>
        <w:rPr>
          <w:rFonts w:ascii="Arial" w:cs="Arial" w:eastAsia="Arial" w:hAnsi="Arial"/>
          <w:sz w:val="20"/>
          <w:szCs w:val="20"/>
          <w:i w:val="1"/>
          <w:iCs w:val="1"/>
          <w:color w:val="auto"/>
        </w:rPr>
        <w:t>et seq</w:t>
      </w:r>
      <w:r>
        <w:rPr>
          <w:rFonts w:ascii="Arial" w:cs="Arial" w:eastAsia="Arial" w:hAnsi="Arial"/>
          <w:sz w:val="20"/>
          <w:szCs w:val="20"/>
          <w:color w:val="auto"/>
        </w:rPr>
        <w:t xml:space="preserve">. and the Uniform Arbitration Act as adopted in Nevada Revised Statutes 38.015, </w:t>
      </w:r>
      <w:r>
        <w:rPr>
          <w:rFonts w:ascii="Arial" w:cs="Arial" w:eastAsia="Arial" w:hAnsi="Arial"/>
          <w:sz w:val="20"/>
          <w:szCs w:val="20"/>
          <w:i w:val="1"/>
          <w:iCs w:val="1"/>
          <w:color w:val="auto"/>
        </w:rPr>
        <w:t>et</w:t>
      </w:r>
      <w:r>
        <w:rPr>
          <w:rFonts w:ascii="Arial" w:cs="Arial" w:eastAsia="Arial" w:hAnsi="Arial"/>
          <w:sz w:val="20"/>
          <w:szCs w:val="20"/>
          <w:color w:val="auto"/>
        </w:rPr>
        <w:t xml:space="preserve"> </w:t>
      </w:r>
      <w:r>
        <w:rPr>
          <w:rFonts w:ascii="Arial" w:cs="Arial" w:eastAsia="Arial" w:hAnsi="Arial"/>
          <w:sz w:val="20"/>
          <w:szCs w:val="20"/>
          <w:i w:val="1"/>
          <w:iCs w:val="1"/>
          <w:color w:val="auto"/>
        </w:rPr>
        <w:t>seq</w:t>
      </w:r>
      <w:r>
        <w:rPr>
          <w:rFonts w:ascii="Arial" w:cs="Arial" w:eastAsia="Arial" w:hAnsi="Arial"/>
          <w:sz w:val="20"/>
          <w:szCs w:val="20"/>
          <w:color w:val="auto"/>
        </w:rPr>
        <w:t>. This Section 21 applies to any claim Employee might have against any officer, director, employee, or agent of Employer or its</w:t>
      </w:r>
      <w:r>
        <w:rPr>
          <w:rFonts w:ascii="Arial" w:cs="Arial" w:eastAsia="Arial" w:hAnsi="Arial"/>
          <w:sz w:val="20"/>
          <w:szCs w:val="20"/>
          <w:i w:val="1"/>
          <w:iCs w:val="1"/>
          <w:color w:val="auto"/>
        </w:rPr>
        <w:t xml:space="preserve"> </w:t>
      </w:r>
      <w:r>
        <w:rPr>
          <w:rFonts w:ascii="Arial" w:cs="Arial" w:eastAsia="Arial" w:hAnsi="Arial"/>
          <w:sz w:val="20"/>
          <w:szCs w:val="20"/>
          <w:color w:val="auto"/>
        </w:rPr>
        <w:t>Affiliate, and all successors and assigns of any of them. These arbitration provisions shall survive the termination of Employee’s employment with Employer and the expiration of this Agreement.</w:t>
      </w:r>
    </w:p>
    <w:p>
      <w:pPr>
        <w:spacing w:after="0" w:line="209" w:lineRule="exact"/>
        <w:rPr>
          <w:rFonts w:ascii="Arial" w:cs="Arial" w:eastAsia="Arial" w:hAnsi="Arial"/>
          <w:sz w:val="20"/>
          <w:szCs w:val="20"/>
          <w:color w:val="010000"/>
        </w:rPr>
      </w:pPr>
    </w:p>
    <w:p>
      <w:pPr>
        <w:jc w:val="both"/>
        <w:ind w:left="660" w:firstLine="645"/>
        <w:spacing w:after="0" w:line="268" w:lineRule="auto"/>
        <w:tabs>
          <w:tab w:leader="none" w:pos="1609" w:val="left"/>
        </w:tabs>
        <w:numPr>
          <w:ilvl w:val="1"/>
          <w:numId w:val="237"/>
        </w:numPr>
        <w:rPr>
          <w:rFonts w:ascii="Arial" w:cs="Arial" w:eastAsia="Arial" w:hAnsi="Arial"/>
          <w:sz w:val="20"/>
          <w:szCs w:val="20"/>
          <w:color w:val="010000"/>
        </w:rPr>
      </w:pPr>
      <w:r>
        <w:rPr>
          <w:rFonts w:ascii="Arial" w:cs="Arial" w:eastAsia="Arial" w:hAnsi="Arial"/>
          <w:sz w:val="20"/>
          <w:szCs w:val="20"/>
          <w:color w:val="auto"/>
        </w:rPr>
        <w:t>Coverage of Arbitration Agreement: The promises by Employer and Employee to arbitrate differences, rather than litigate them before courts or other bodies, provide consideration for each other, in addition to other consideration provided under this Agreement. The parties contemplate by this Section 21 arbitration of all claims against each of them to the fullest extent permitted by law except as specifically excluded by this Agreement. Only claims that are justiciable or arguably justiciable under applicable federal, state or local law are covered by this Section, and include any and all alleged violations of any federal, state or local law whether common law, statutory, arising under regulation or ordinance, or any other law, brought by any current or former employee. Such claims may include claims for: wages or other compensation; breach of contract; torts; work-related injury claims not covered under workers’ compensation laws; wrongful discharge; and any and all unlawful employment discrimination and/or harassment claims. Employee and Employer agree to pursue any and all covered claims individually and waive any rights they may have to pursue said claims as part of any class action. In that regard, Employee and Employer agree that the arbitrator shall have no authority or jurisdiction to hear class or collective claims.</w:t>
      </w:r>
    </w:p>
    <w:p>
      <w:pPr>
        <w:spacing w:after="0" w:line="200" w:lineRule="exact"/>
        <w:rPr>
          <w:sz w:val="20"/>
          <w:szCs w:val="20"/>
          <w:color w:val="auto"/>
        </w:rPr>
      </w:pPr>
    </w:p>
    <w:p>
      <w:pPr>
        <w:ind w:left="660" w:firstLine="648"/>
        <w:spacing w:after="0" w:line="247" w:lineRule="auto"/>
        <w:rPr>
          <w:sz w:val="20"/>
          <w:szCs w:val="20"/>
          <w:color w:val="auto"/>
        </w:rPr>
      </w:pPr>
      <w:r>
        <w:rPr>
          <w:rFonts w:ascii="Arial" w:cs="Arial" w:eastAsia="Arial" w:hAnsi="Arial"/>
          <w:sz w:val="20"/>
          <w:szCs w:val="20"/>
          <w:color w:val="auto"/>
        </w:rPr>
        <w:t>This Section 21 excludes claims under state workers’ compensation or unemployment compensation statutes; claims pertaining to any of Employer’s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440" w:right="239" w:bottom="1440" w:gutter="0" w:footer="0" w:header="0"/>
        </w:sectPr>
      </w:pPr>
    </w:p>
    <w:bookmarkStart w:id="275" w:name="page276"/>
    <w:bookmarkEnd w:id="275"/>
    <w:p>
      <w:pPr>
        <w:jc w:val="both"/>
        <w:spacing w:after="0" w:line="242" w:lineRule="auto"/>
        <w:rPr>
          <w:sz w:val="20"/>
          <w:szCs w:val="20"/>
          <w:color w:val="auto"/>
        </w:rPr>
      </w:pPr>
      <w:r>
        <w:rPr>
          <w:rFonts w:ascii="Arial" w:cs="Arial" w:eastAsia="Arial" w:hAnsi="Arial"/>
          <w:sz w:val="20"/>
          <w:szCs w:val="20"/>
          <w:color w:val="auto"/>
        </w:rPr>
        <w:t>welfare, insurance, benefit, and pension plans, with respect to which are applicable the filing and appeal procedures of such plans shall apply to any denial of benefits; claims for injunctive or equitable relief for violations of non-competition and/or confidentiality covenants contained in Sections 9, 10 and 11; or any claims that are prohibited as a matter of law from being covered by this Section 21.</w:t>
      </w:r>
    </w:p>
    <w:p>
      <w:pPr>
        <w:spacing w:after="0" w:line="220" w:lineRule="exact"/>
        <w:rPr>
          <w:sz w:val="20"/>
          <w:szCs w:val="20"/>
          <w:color w:val="auto"/>
        </w:rPr>
      </w:pPr>
    </w:p>
    <w:p>
      <w:pPr>
        <w:jc w:val="both"/>
        <w:ind w:firstLine="645"/>
        <w:spacing w:after="0" w:line="268" w:lineRule="auto"/>
        <w:tabs>
          <w:tab w:leader="none" w:pos="935" w:val="left"/>
        </w:tabs>
        <w:numPr>
          <w:ilvl w:val="0"/>
          <w:numId w:val="238"/>
        </w:numPr>
        <w:rPr>
          <w:rFonts w:ascii="Arial" w:cs="Arial" w:eastAsia="Arial" w:hAnsi="Arial"/>
          <w:sz w:val="20"/>
          <w:szCs w:val="20"/>
          <w:color w:val="010000"/>
        </w:rPr>
      </w:pPr>
      <w:r>
        <w:rPr>
          <w:rFonts w:ascii="Arial" w:cs="Arial" w:eastAsia="Arial" w:hAnsi="Arial"/>
          <w:sz w:val="20"/>
          <w:szCs w:val="20"/>
          <w:color w:val="auto"/>
        </w:rPr>
        <w:t>Waiver of Rights to Pursue Claims in Court and to Jury Trial: This Section 21 does not in any manner waive any rights or remedies available under applicable statutes or common law, but does waive Employer’s and Employee’s rights to pursue those rights and remedies in a judicial forum and waive any right to trial by jury of any claims covered by Section 21(a). By signing this Agreement, the parties voluntarily agree to arbitrate any covered claims against each other. In the event of any administrative or judicial action by any agency or third party to adjudicate, on behalf of Employee, a claim subject to arbitration, Employee hereby waives the right to participate in any monetary or other recovery obtained by such agency or third party in any such action, and Employee’s sole remedy with respect to any such claim will be any award decreed by an arbitrator pursuant to the provisions of this Agreement.</w:t>
      </w:r>
    </w:p>
    <w:p>
      <w:pPr>
        <w:spacing w:after="0" w:line="214" w:lineRule="exact"/>
        <w:rPr>
          <w:rFonts w:ascii="Arial" w:cs="Arial" w:eastAsia="Arial" w:hAnsi="Arial"/>
          <w:sz w:val="20"/>
          <w:szCs w:val="20"/>
          <w:color w:val="010000"/>
        </w:rPr>
      </w:pPr>
    </w:p>
    <w:p>
      <w:pPr>
        <w:jc w:val="both"/>
        <w:ind w:firstLine="645"/>
        <w:spacing w:after="0" w:line="269" w:lineRule="auto"/>
        <w:tabs>
          <w:tab w:leader="none" w:pos="924" w:val="left"/>
        </w:tabs>
        <w:numPr>
          <w:ilvl w:val="0"/>
          <w:numId w:val="238"/>
        </w:numPr>
        <w:rPr>
          <w:rFonts w:ascii="Arial" w:cs="Arial" w:eastAsia="Arial" w:hAnsi="Arial"/>
          <w:sz w:val="20"/>
          <w:szCs w:val="20"/>
          <w:color w:val="010000"/>
        </w:rPr>
      </w:pPr>
      <w:r>
        <w:rPr>
          <w:rFonts w:ascii="Arial" w:cs="Arial" w:eastAsia="Arial" w:hAnsi="Arial"/>
          <w:sz w:val="20"/>
          <w:szCs w:val="20"/>
          <w:color w:val="auto"/>
        </w:rPr>
        <w:t>Initiation of Arbitration: To commence arbitration of a claim subject to this Section 21, the aggrieved party must, within the time frame provided in Section 21(d) below, make written demand for arbitration and provide written notice of that demand to the other party. If a claim is brought by Employee against Employer, such notice shall be given to Employer’s Legal Department. Such written notice must identify and describe the nature of the claim, the supporting facts, and the relief or remedy sought. In the event that either party files an action in any court to pursue any of the claims covered by this Section 21, the complaint, petition or other initial pleading commencing such court action shall be considered the demand for arbitration. In such event, the other party may move that court to compel arbitration.</w:t>
      </w:r>
    </w:p>
    <w:p>
      <w:pPr>
        <w:spacing w:after="0" w:line="207" w:lineRule="exact"/>
        <w:rPr>
          <w:rFonts w:ascii="Arial" w:cs="Arial" w:eastAsia="Arial" w:hAnsi="Arial"/>
          <w:sz w:val="20"/>
          <w:szCs w:val="20"/>
          <w:color w:val="010000"/>
        </w:rPr>
      </w:pPr>
    </w:p>
    <w:p>
      <w:pPr>
        <w:jc w:val="both"/>
        <w:ind w:firstLine="645"/>
        <w:spacing w:after="0" w:line="269" w:lineRule="auto"/>
        <w:tabs>
          <w:tab w:leader="none" w:pos="949" w:val="left"/>
        </w:tabs>
        <w:numPr>
          <w:ilvl w:val="0"/>
          <w:numId w:val="238"/>
        </w:numPr>
        <w:rPr>
          <w:rFonts w:ascii="Arial" w:cs="Arial" w:eastAsia="Arial" w:hAnsi="Arial"/>
          <w:sz w:val="20"/>
          <w:szCs w:val="20"/>
          <w:color w:val="010000"/>
        </w:rPr>
      </w:pPr>
      <w:r>
        <w:rPr>
          <w:rFonts w:ascii="Arial" w:cs="Arial" w:eastAsia="Arial" w:hAnsi="Arial"/>
          <w:sz w:val="20"/>
          <w:szCs w:val="20"/>
          <w:color w:val="auto"/>
        </w:rPr>
        <w:t>Time Limit to Initiate Arbitration: To ensure timely resolution of disputes, Employee and Employer must initiate arbitration within the statute of limitations (deadline for filing) provided by applicable law pertaining to the claim, or one year, whichever is shorter, except that the statute of limitations imposed by relevant law will solely apply in circumstances where such statute of limitations cannot legally be shortened by private agreement. The failure to initiate arbitration within this time limit will bar any such claim. The parties understand that Employer and Employee are waiving any longer statutes of limitations that would otherwise apply, and any aggrieved party is encouraged to give written notice of any claim as soon as possible after the event(s) in dispute so that arbitration of any differences may take place promptly.</w:t>
      </w:r>
    </w:p>
    <w:p>
      <w:pPr>
        <w:spacing w:after="0" w:line="207" w:lineRule="exact"/>
        <w:rPr>
          <w:rFonts w:ascii="Arial" w:cs="Arial" w:eastAsia="Arial" w:hAnsi="Arial"/>
          <w:sz w:val="20"/>
          <w:szCs w:val="20"/>
          <w:color w:val="010000"/>
        </w:rPr>
      </w:pPr>
    </w:p>
    <w:p>
      <w:pPr>
        <w:jc w:val="both"/>
        <w:ind w:firstLine="645"/>
        <w:spacing w:after="0" w:line="269" w:lineRule="auto"/>
        <w:tabs>
          <w:tab w:leader="none" w:pos="935" w:val="left"/>
        </w:tabs>
        <w:numPr>
          <w:ilvl w:val="0"/>
          <w:numId w:val="238"/>
        </w:numPr>
        <w:rPr>
          <w:rFonts w:ascii="Arial" w:cs="Arial" w:eastAsia="Arial" w:hAnsi="Arial"/>
          <w:sz w:val="20"/>
          <w:szCs w:val="20"/>
          <w:color w:val="010000"/>
        </w:rPr>
      </w:pPr>
      <w:r>
        <w:rPr>
          <w:rFonts w:ascii="Arial" w:cs="Arial" w:eastAsia="Arial" w:hAnsi="Arial"/>
          <w:sz w:val="20"/>
          <w:szCs w:val="20"/>
          <w:color w:val="auto"/>
        </w:rPr>
        <w:t>Arbitrator Selection: The parties contemplate that, except as specifically set forth in this Section 21, selection of one (1) arbitrator shall take place pursuant to the then-current rules of the AAA applicable to employment disputes. The arbitrator must be either a retired judge or an attorney experienced in employment law. The parties will select one arbitrator from among a list of qualified neutral arbitrators provided by AAA. If the parties are unable to agree on the arbitrator, the parties will select an arbitrator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760"/>
          </w:cols>
          <w:pgMar w:left="900" w:top="1433" w:right="239" w:bottom="1440" w:gutter="0" w:footer="0" w:header="0"/>
        </w:sectPr>
      </w:pPr>
    </w:p>
    <w:bookmarkStart w:id="276" w:name="page277"/>
    <w:bookmarkEnd w:id="276"/>
    <w:p>
      <w:pPr>
        <w:spacing w:after="0" w:line="6"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alternatively striking names from a list of qualified arbitrators provided by AAA. AAA will flip a coin to determine which party has the final strike (that is, when the list has been narrowed by striking to two arbitrators). The remaining named arbitrator will be selected.</w:t>
      </w:r>
    </w:p>
    <w:p>
      <w:pPr>
        <w:spacing w:after="0" w:line="207" w:lineRule="exact"/>
        <w:rPr>
          <w:sz w:val="20"/>
          <w:szCs w:val="20"/>
          <w:color w:val="auto"/>
        </w:rPr>
      </w:pPr>
    </w:p>
    <w:p>
      <w:pPr>
        <w:jc w:val="both"/>
        <w:ind w:firstLine="645"/>
        <w:spacing w:after="0" w:line="268" w:lineRule="auto"/>
        <w:tabs>
          <w:tab w:leader="none" w:pos="880" w:val="left"/>
        </w:tabs>
        <w:numPr>
          <w:ilvl w:val="0"/>
          <w:numId w:val="239"/>
        </w:numPr>
        <w:rPr>
          <w:rFonts w:ascii="Arial" w:cs="Arial" w:eastAsia="Arial" w:hAnsi="Arial"/>
          <w:sz w:val="20"/>
          <w:szCs w:val="20"/>
          <w:color w:val="010000"/>
        </w:rPr>
      </w:pPr>
      <w:r>
        <w:rPr>
          <w:rFonts w:ascii="Arial" w:cs="Arial" w:eastAsia="Arial" w:hAnsi="Arial"/>
          <w:sz w:val="20"/>
          <w:szCs w:val="20"/>
          <w:color w:val="auto"/>
        </w:rPr>
        <w:t>Arbitration Rights and Procedures: Employee may be represented by an attorney of his/her choice at his/her own expense. Any arbitration hearing or proceeding will take place in private, not open to the public, in Clark County, Nevada. The arbitrator shall apply the substantive law (and the law of remedies, if applicable) of Nevada (without regard to its choice of law provisions) and/or federal law as applicable to the claim(s) for relief asserted. The arbitrator is without power or jurisdiction to apply any different substantive law or law of remedies or to modify any term or condition of this Agreement. The arbitrator will have no power or authority to award non-economic damages or punitive damages except where such relief is specifically authorized by an applicable federal, state or local statute or ordinance, or common law. In such a situation, the arbitrator shall specify in the award the specific statute or other basis under which such relief is granted. The applicable law with respect to privilege, including attorney-client privilege, work product, and offers to compromise must be followed. The parties will have the right to conduct reasonable discovery, including written and oral (deposition) discovery and to subpoena and/or request copies of records, documents and other relevant discoverable information consistent with the procedural rules of AAA. The arbitrator will decide disputes regarding the scope of discovery and will have authority to regulate the conduct of any hearing. The arbitrator will have the right to entertain a motion or request to dismiss, for summary judgment, or for other summary disposition, permitting a motion, a brief in opposition, and a reply brief by the movant. The parties will exchange witness lists at least 30 days prior to the hearing. The arbitrator will have subpoena power so that either Employee or Employer may summon witnesses. The arbitrator will use the Federal Rules of Evidence in connection with the admission of all evidence at the hearing. Both parties shall have the right to file post- hearing briefs. Any party, at its own expense, may arrange for and pay the cost of a court reporter to provide a stenographic record of the proceedings.</w:t>
      </w:r>
    </w:p>
    <w:p>
      <w:pPr>
        <w:spacing w:after="0" w:line="212" w:lineRule="exact"/>
        <w:rPr>
          <w:rFonts w:ascii="Arial" w:cs="Arial" w:eastAsia="Arial" w:hAnsi="Arial"/>
          <w:sz w:val="20"/>
          <w:szCs w:val="20"/>
          <w:color w:val="010000"/>
        </w:rPr>
      </w:pPr>
    </w:p>
    <w:p>
      <w:pPr>
        <w:jc w:val="both"/>
        <w:ind w:firstLine="645"/>
        <w:spacing w:after="0" w:line="269" w:lineRule="auto"/>
        <w:tabs>
          <w:tab w:leader="none" w:pos="949" w:val="left"/>
        </w:tabs>
        <w:numPr>
          <w:ilvl w:val="0"/>
          <w:numId w:val="239"/>
        </w:numPr>
        <w:rPr>
          <w:rFonts w:ascii="Arial" w:cs="Arial" w:eastAsia="Arial" w:hAnsi="Arial"/>
          <w:sz w:val="20"/>
          <w:szCs w:val="20"/>
          <w:color w:val="010000"/>
        </w:rPr>
      </w:pPr>
      <w:r>
        <w:rPr>
          <w:rFonts w:ascii="Arial" w:cs="Arial" w:eastAsia="Arial" w:hAnsi="Arial"/>
          <w:sz w:val="20"/>
          <w:szCs w:val="20"/>
          <w:color w:val="auto"/>
        </w:rPr>
        <w:t>Arbitrator’s Award: The arbitrator will issue a written decision containing a statement as to the specific claims and issues raised by the parties, the specific findings of fact, and the specific conclusions of law. The award will be rendered promptly, typically within 30 days after conclusion of the arbitration hearing, or after the submission of post-hearing briefs if requested. The arbitrator shall have no power or authority to award any relief or remedy in excess of what a court could grant under applicable law. The arbitrator’s decision shall be final and binding on both parties. Judgment upon an award rendered by the arbitrator may be entered in any court having competent jurisdiction.</w:t>
      </w:r>
    </w:p>
    <w:p>
      <w:pPr>
        <w:spacing w:after="0" w:line="209" w:lineRule="exact"/>
        <w:rPr>
          <w:rFonts w:ascii="Arial" w:cs="Arial" w:eastAsia="Arial" w:hAnsi="Arial"/>
          <w:sz w:val="20"/>
          <w:szCs w:val="20"/>
          <w:color w:val="010000"/>
        </w:rPr>
      </w:pPr>
    </w:p>
    <w:p>
      <w:pPr>
        <w:jc w:val="both"/>
        <w:ind w:firstLine="645"/>
        <w:spacing w:after="0" w:line="270" w:lineRule="auto"/>
        <w:tabs>
          <w:tab w:leader="none" w:pos="949" w:val="left"/>
        </w:tabs>
        <w:numPr>
          <w:ilvl w:val="0"/>
          <w:numId w:val="239"/>
        </w:numPr>
        <w:rPr>
          <w:rFonts w:ascii="Arial" w:cs="Arial" w:eastAsia="Arial" w:hAnsi="Arial"/>
          <w:sz w:val="20"/>
          <w:szCs w:val="20"/>
          <w:color w:val="010000"/>
        </w:rPr>
      </w:pPr>
      <w:r>
        <w:rPr>
          <w:rFonts w:ascii="Arial" w:cs="Arial" w:eastAsia="Arial" w:hAnsi="Arial"/>
          <w:sz w:val="20"/>
          <w:szCs w:val="20"/>
          <w:color w:val="auto"/>
        </w:rPr>
        <w:t>Fees and Expenses: Unless the law requires otherwise for a particular claim or claims, the party demanding arbitration bears the responsibility for payment of the fee to file with AAA and the fees and expenses of the arbitrator shall be allocated by the AAA under its rules and procedures. Employee and Employer shall each pay his/her/its own expenses for presentation of their cases, including attorney’s fees, costs,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760"/>
          </w:cols>
          <w:pgMar w:left="900" w:top="1440" w:right="239" w:bottom="1440" w:gutter="0" w:footer="0" w:header="0"/>
        </w:sectPr>
      </w:pPr>
    </w:p>
    <w:bookmarkStart w:id="277" w:name="page278"/>
    <w:bookmarkEnd w:id="277"/>
    <w:p>
      <w:pPr>
        <w:spacing w:after="0" w:line="7" w:lineRule="exact"/>
        <w:rPr>
          <w:sz w:val="20"/>
          <w:szCs w:val="20"/>
          <w:color w:val="auto"/>
        </w:rPr>
      </w:pPr>
    </w:p>
    <w:p>
      <w:pPr>
        <w:jc w:val="both"/>
        <w:ind w:left="660"/>
        <w:spacing w:after="0" w:line="271" w:lineRule="auto"/>
        <w:rPr>
          <w:sz w:val="20"/>
          <w:szCs w:val="20"/>
          <w:color w:val="auto"/>
        </w:rPr>
      </w:pPr>
      <w:r>
        <w:rPr>
          <w:rFonts w:ascii="Arial" w:cs="Arial" w:eastAsia="Arial" w:hAnsi="Arial"/>
          <w:sz w:val="20"/>
          <w:szCs w:val="20"/>
          <w:color w:val="auto"/>
        </w:rPr>
        <w:t>fees for witnesses, photocopying and other preparation expenses. If any party prevails on a statutory claim that affords the prevailing party attorney’s fees and costs, the arbitrator may award reasonable attorney’s fees and/or costs to the prevailing party, applying the same standards a court would apply under the law applicable to the claim.</w:t>
      </w:r>
    </w:p>
    <w:p>
      <w:pPr>
        <w:spacing w:after="0" w:line="207" w:lineRule="exact"/>
        <w:rPr>
          <w:sz w:val="20"/>
          <w:szCs w:val="20"/>
          <w:color w:val="auto"/>
        </w:rPr>
      </w:pPr>
    </w:p>
    <w:p>
      <w:pPr>
        <w:jc w:val="both"/>
        <w:ind w:left="660" w:firstLine="645"/>
        <w:spacing w:after="0" w:line="267" w:lineRule="auto"/>
        <w:tabs>
          <w:tab w:leader="none" w:pos="1556" w:val="left"/>
        </w:tabs>
        <w:numPr>
          <w:ilvl w:val="0"/>
          <w:numId w:val="240"/>
        </w:numPr>
        <w:rPr>
          <w:rFonts w:ascii="Arial" w:cs="Arial" w:eastAsia="Arial" w:hAnsi="Arial"/>
          <w:sz w:val="20"/>
          <w:szCs w:val="20"/>
          <w:color w:val="010000"/>
        </w:rPr>
      </w:pPr>
      <w:r>
        <w:rPr>
          <w:rFonts w:ascii="Arial" w:cs="Arial" w:eastAsia="Arial" w:hAnsi="Arial"/>
          <w:sz w:val="20"/>
          <w:szCs w:val="20"/>
          <w:color w:val="auto"/>
        </w:rPr>
        <w:t>Severability and Waiver of Trial by Jury: Employee and Employer further agree that, if a court of competent jurisdiction finds any term or condition of this dispute resolution process is not in compliance with the law, that court shall sever or revise (“blue pencil”) any offending provision(s) of this dispute resolution process so as to bring it within legal compliance. Should such a court of competent jurisdiction decline to sever or revise this dispute resolution process to render it enforceable as to all covered claims asserted in any particular dispute and instead voids the application of this</w:t>
      </w:r>
    </w:p>
    <w:p>
      <w:pPr>
        <w:spacing w:after="0" w:line="3" w:lineRule="exact"/>
        <w:rPr>
          <w:rFonts w:ascii="Arial" w:cs="Arial" w:eastAsia="Arial" w:hAnsi="Arial"/>
          <w:sz w:val="20"/>
          <w:szCs w:val="20"/>
          <w:color w:val="010000"/>
        </w:rPr>
      </w:pPr>
    </w:p>
    <w:p>
      <w:pPr>
        <w:jc w:val="both"/>
        <w:ind w:left="660"/>
        <w:spacing w:after="0" w:line="271" w:lineRule="auto"/>
        <w:rPr>
          <w:rFonts w:ascii="Arial" w:cs="Arial" w:eastAsia="Arial" w:hAnsi="Arial"/>
          <w:sz w:val="20"/>
          <w:szCs w:val="20"/>
          <w:color w:val="010000"/>
        </w:rPr>
      </w:pPr>
      <w:r>
        <w:rPr>
          <w:rFonts w:ascii="Arial" w:cs="Arial" w:eastAsia="Arial" w:hAnsi="Arial"/>
          <w:sz w:val="20"/>
          <w:szCs w:val="20"/>
          <w:color w:val="auto"/>
        </w:rPr>
        <w:t xml:space="preserve">dispute resolution process as to one or more covered claims and/or refuses to enforce the parties’ waiver of class action/collective release, </w:t>
      </w:r>
      <w:r>
        <w:rPr>
          <w:rFonts w:ascii="Arial" w:cs="Arial" w:eastAsia="Arial" w:hAnsi="Arial"/>
          <w:sz w:val="20"/>
          <w:szCs w:val="20"/>
          <w:b w:val="1"/>
          <w:bCs w:val="1"/>
          <w:color w:val="auto"/>
        </w:rPr>
        <w:t>Employee and Employer agree to mutually waive their respective rights to a trial by jury in</w:t>
      </w:r>
      <w:r>
        <w:rPr>
          <w:rFonts w:ascii="Arial" w:cs="Arial" w:eastAsia="Arial" w:hAnsi="Arial"/>
          <w:sz w:val="20"/>
          <w:szCs w:val="20"/>
          <w:color w:val="auto"/>
        </w:rPr>
        <w:t xml:space="preserve"> </w:t>
      </w:r>
      <w:r>
        <w:rPr>
          <w:rFonts w:ascii="Arial" w:cs="Arial" w:eastAsia="Arial" w:hAnsi="Arial"/>
          <w:sz w:val="20"/>
          <w:szCs w:val="20"/>
          <w:b w:val="1"/>
          <w:bCs w:val="1"/>
          <w:color w:val="auto"/>
        </w:rPr>
        <w:t>a court of competent jurisdiction in which an action is filed to resolve any such covered claims</w:t>
      </w:r>
      <w:r>
        <w:rPr>
          <w:rFonts w:ascii="Arial" w:cs="Arial" w:eastAsia="Arial" w:hAnsi="Arial"/>
          <w:sz w:val="20"/>
          <w:szCs w:val="20"/>
          <w:color w:val="auto"/>
        </w:rPr>
        <w:t>.</w:t>
      </w:r>
    </w:p>
    <w:p>
      <w:pPr>
        <w:spacing w:after="0" w:line="183" w:lineRule="exact"/>
        <w:rPr>
          <w:sz w:val="20"/>
          <w:szCs w:val="20"/>
          <w:color w:val="auto"/>
        </w:rPr>
      </w:pPr>
    </w:p>
    <w:p>
      <w:pPr>
        <w:ind w:left="660"/>
        <w:spacing w:after="0" w:line="300" w:lineRule="auto"/>
        <w:rPr>
          <w:sz w:val="20"/>
          <w:szCs w:val="20"/>
          <w:color w:val="auto"/>
        </w:rPr>
      </w:pPr>
      <w:r>
        <w:rPr>
          <w:rFonts w:ascii="Arial" w:cs="Arial" w:eastAsia="Arial" w:hAnsi="Arial"/>
          <w:sz w:val="20"/>
          <w:szCs w:val="20"/>
          <w:b w:val="1"/>
          <w:bCs w:val="1"/>
          <w:color w:val="auto"/>
        </w:rPr>
        <w:t>Employee and Employer agree to sign below to specifically authorize and affirmatively agree to utilize the provisions of Section 21 of this Agreement.</w:t>
      </w:r>
    </w:p>
    <w:p>
      <w:pPr>
        <w:spacing w:after="0" w:line="154" w:lineRule="exact"/>
        <w:rPr>
          <w:sz w:val="20"/>
          <w:szCs w:val="20"/>
          <w:color w:val="auto"/>
        </w:rPr>
      </w:pPr>
    </w:p>
    <w:p>
      <w:pPr>
        <w:jc w:val="both"/>
        <w:ind w:firstLine="656"/>
        <w:spacing w:after="0" w:line="289" w:lineRule="auto"/>
        <w:tabs>
          <w:tab w:leader="none" w:pos="968" w:val="left"/>
        </w:tabs>
        <w:numPr>
          <w:ilvl w:val="0"/>
          <w:numId w:val="241"/>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PAROL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This Agreement constitutes the entire agreement between Employer and Employee, and supersedes any prior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understandings, agreements, undertakings or severance policies or plans by and between Employer or its Affiliates, on the one side, and Employee, on the other side, with respect to its subject matter or Employee’s employment with Employer or its Affiliates. As of the Effective Date, this Agreement supersedes and replaces any and all prior employment agreements, change in control agreements and severance plans or agreements, whether written or oral, by and between Employee, on the one side, and Employer or any of Employer's Affiliates, on the other side, or under which Employee is a participant. From and after the Effective Date, Employee shall be employed by Employer under the terms and pursuant to the conditions set forth in this Agreement.</w:t>
      </w:r>
    </w:p>
    <w:p>
      <w:pPr>
        <w:spacing w:after="0" w:line="170" w:lineRule="exact"/>
        <w:rPr>
          <w:rFonts w:ascii="Arial" w:cs="Arial" w:eastAsia="Arial" w:hAnsi="Arial"/>
          <w:sz w:val="19"/>
          <w:szCs w:val="19"/>
          <w:color w:val="010000"/>
        </w:rPr>
      </w:pPr>
    </w:p>
    <w:p>
      <w:pPr>
        <w:jc w:val="both"/>
        <w:ind w:firstLine="656"/>
        <w:spacing w:after="0" w:line="274" w:lineRule="auto"/>
        <w:tabs>
          <w:tab w:leader="none" w:pos="995" w:val="left"/>
        </w:tabs>
        <w:numPr>
          <w:ilvl w:val="0"/>
          <w:numId w:val="241"/>
        </w:numPr>
        <w:rPr>
          <w:rFonts w:ascii="Arial" w:cs="Arial" w:eastAsia="Arial" w:hAnsi="Arial"/>
          <w:sz w:val="20"/>
          <w:szCs w:val="20"/>
          <w:color w:val="010000"/>
        </w:rPr>
      </w:pPr>
      <w:r>
        <w:rPr>
          <w:rFonts w:ascii="Arial" w:cs="Arial" w:eastAsia="Arial" w:hAnsi="Arial"/>
          <w:sz w:val="20"/>
          <w:szCs w:val="20"/>
          <w:b w:val="1"/>
          <w:bCs w:val="1"/>
          <w:i w:val="1"/>
          <w:iCs w:val="1"/>
          <w:u w:val="single" w:color="auto"/>
          <w:color w:val="auto"/>
        </w:rPr>
        <w:t>FCPA COMPLIANCE</w:t>
      </w:r>
      <w:r>
        <w:rPr>
          <w:rFonts w:ascii="Arial" w:cs="Arial" w:eastAsia="Arial" w:hAnsi="Arial"/>
          <w:sz w:val="20"/>
          <w:szCs w:val="20"/>
          <w:color w:val="auto"/>
        </w:rPr>
        <w:t>. Employer advises Employee that the United States Foreign Corrupt Practices Act ("</w:t>
      </w:r>
      <w:r>
        <w:rPr>
          <w:rFonts w:ascii="Arial" w:cs="Arial" w:eastAsia="Arial" w:hAnsi="Arial"/>
          <w:sz w:val="20"/>
          <w:szCs w:val="20"/>
          <w:b w:val="1"/>
          <w:bCs w:val="1"/>
          <w:color w:val="auto"/>
        </w:rPr>
        <w:t>FCPA</w:t>
      </w:r>
      <w:r>
        <w:rPr>
          <w:rFonts w:ascii="Arial" w:cs="Arial" w:eastAsia="Arial" w:hAnsi="Arial"/>
          <w:sz w:val="20"/>
          <w:szCs w:val="20"/>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prohibits offering, providing, or promising anything of value (including money, gifts, preferential treatment, and any other sort of advantage), either directly or indirectly, by a United States company, or any of its employees, subsidiaries, affiliates, or agents, to a Foreign Government Official for the purposes of influencing an act or decision in that individual's official capacity, or inducing the official to use his or her influence with the foreign government to assist the United States company, its subsidiaries or affiliates, or anyone else, in obtaining or retaining business or securing an improper advantage.</w:t>
      </w:r>
    </w:p>
    <w:p>
      <w:pPr>
        <w:spacing w:after="0" w:line="201" w:lineRule="exact"/>
        <w:rPr>
          <w:sz w:val="20"/>
          <w:szCs w:val="20"/>
          <w:color w:val="auto"/>
        </w:rPr>
      </w:pPr>
    </w:p>
    <w:p>
      <w:pPr>
        <w:jc w:val="both"/>
        <w:spacing w:after="0" w:line="258" w:lineRule="auto"/>
        <w:rPr>
          <w:sz w:val="20"/>
          <w:szCs w:val="20"/>
          <w:color w:val="auto"/>
        </w:rPr>
      </w:pPr>
      <w:r>
        <w:rPr>
          <w:rFonts w:ascii="Arial" w:cs="Arial" w:eastAsia="Arial" w:hAnsi="Arial"/>
          <w:sz w:val="22"/>
          <w:szCs w:val="22"/>
          <w:color w:val="auto"/>
        </w:rPr>
        <w:t>Employee understands that Employee may not directly or indirectly offer, promise, grant, or authorize the giving of money or anything else of value to a Foreign Government Official to influence official action, obtain or retain business, or secure an improper advantage. Employee understands that these legal restrictions apply fully to Employee with regard to Employee's activities in the course of or in relation to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440" w:right="239" w:bottom="1440" w:gutter="0" w:footer="0" w:header="0"/>
        </w:sectPr>
      </w:pPr>
    </w:p>
    <w:bookmarkStart w:id="278" w:name="page279"/>
    <w:bookmarkEnd w:id="278"/>
    <w:p>
      <w:pPr>
        <w:spacing w:after="0" w:line="4"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employment with Employer, regardless of Employee's physical location. Employee represents and warrants that Employee fully understands and will act in accordance with all applicable laws regarding anti-corruption, including the FCPA, the U.K. Bribery Act, and any other applicable state, federal, and international laws related to anti-corruption. Employee agrees that he or she will not take any action which would cause Employer to be in violation of the FCPA or any other applicable anti- corruption law, regulation, or Employer policy or procedure. Employee further represents and warrants that Employee will know and understand, and act in accordance with, all Employer policies and procedures related to anti-corruption and business conduct. Employee agrees to attend mandatory compliance training. Employee undertakes to duly notify Employer if Employee becomes aware of any such violation of Employer policies or procedures, or any other violation of law, committed by Employee or any other person or entity, and to indemnify Employer for any losses, damages, fines, and/or penalties which Employer may suffer or incur arising out of or incidental to any such violation committed by Employee.</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Employee also represents and warrants that Employee will disclose to the Employer if Employee or any member of Employee’s family is an official of a foreign government or foreign political party, or is a candidate for foreign political office.</w:t>
      </w:r>
    </w:p>
    <w:p>
      <w:pPr>
        <w:spacing w:after="0" w:line="207" w:lineRule="exact"/>
        <w:rPr>
          <w:sz w:val="20"/>
          <w:szCs w:val="20"/>
          <w:color w:val="auto"/>
        </w:rPr>
      </w:pPr>
    </w:p>
    <w:p>
      <w:pPr>
        <w:jc w:val="both"/>
        <w:spacing w:after="0" w:line="262" w:lineRule="auto"/>
        <w:rPr>
          <w:sz w:val="20"/>
          <w:szCs w:val="20"/>
          <w:color w:val="auto"/>
        </w:rPr>
      </w:pPr>
      <w:r>
        <w:rPr>
          <w:rFonts w:ascii="Arial" w:cs="Arial" w:eastAsia="Arial" w:hAnsi="Arial"/>
          <w:sz w:val="22"/>
          <w:szCs w:val="22"/>
          <w:color w:val="auto"/>
        </w:rPr>
        <w:t>In case of breach of this provision, the Employer may suspend or terminate this Agreement at any time without notice or indemnity.</w:t>
      </w:r>
    </w:p>
    <w:p>
      <w:pPr>
        <w:spacing w:after="0" w:line="183" w:lineRule="exact"/>
        <w:rPr>
          <w:sz w:val="20"/>
          <w:szCs w:val="20"/>
          <w:color w:val="auto"/>
        </w:rPr>
      </w:pPr>
    </w:p>
    <w:p>
      <w:pPr>
        <w:jc w:val="both"/>
        <w:ind w:firstLine="656"/>
        <w:spacing w:after="0" w:line="284" w:lineRule="auto"/>
        <w:tabs>
          <w:tab w:leader="none" w:pos="968" w:val="left"/>
        </w:tabs>
        <w:numPr>
          <w:ilvl w:val="0"/>
          <w:numId w:val="242"/>
        </w:numPr>
        <w:rPr>
          <w:rFonts w:ascii="Arial" w:cs="Arial" w:eastAsia="Arial" w:hAnsi="Arial"/>
          <w:sz w:val="20"/>
          <w:szCs w:val="20"/>
          <w:color w:val="010000"/>
        </w:rPr>
      </w:pPr>
      <w:r>
        <w:rPr>
          <w:rFonts w:ascii="Arial" w:cs="Arial" w:eastAsia="Arial" w:hAnsi="Arial"/>
          <w:sz w:val="20"/>
          <w:szCs w:val="20"/>
          <w:b w:val="1"/>
          <w:bCs w:val="1"/>
          <w:i w:val="1"/>
          <w:iCs w:val="1"/>
          <w:u w:val="single" w:color="auto"/>
          <w:color w:val="auto"/>
        </w:rPr>
        <w:t>REVIEW BY PARTIES AND THEIR LEGAL COUNSEL</w:t>
      </w:r>
      <w:r>
        <w:rPr>
          <w:rFonts w:ascii="Arial" w:cs="Arial" w:eastAsia="Arial" w:hAnsi="Arial"/>
          <w:sz w:val="20"/>
          <w:szCs w:val="20"/>
          <w:color w:val="auto"/>
        </w:rPr>
        <w:t>. The parties represent that they have read this Agreement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acknowledge that they have discussed its contents with their respective legal counsel or have been afforded the opportunity to avail themselves of the opportunity to the extent they each wished to do so.</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440" w:right="239" w:bottom="1440" w:gutter="0" w:footer="0" w:header="0"/>
        </w:sectPr>
      </w:pPr>
    </w:p>
    <w:bookmarkStart w:id="279" w:name="page280"/>
    <w:bookmarkEnd w:id="279"/>
    <w:p>
      <w:pPr>
        <w:jc w:val="both"/>
        <w:ind w:left="660"/>
        <w:spacing w:after="0" w:line="278" w:lineRule="auto"/>
        <w:rPr>
          <w:sz w:val="20"/>
          <w:szCs w:val="20"/>
          <w:color w:val="auto"/>
        </w:rPr>
      </w:pPr>
      <w:r>
        <w:rPr>
          <w:rFonts w:ascii="Arial" w:cs="Arial" w:eastAsia="Arial" w:hAnsi="Arial"/>
          <w:sz w:val="20"/>
          <w:szCs w:val="20"/>
          <w:b w:val="1"/>
          <w:bCs w:val="1"/>
          <w:color w:val="auto"/>
        </w:rPr>
        <w:t>**Employee and Employer have read and understand that Section 21 (Dispute Resolution) of this Agreement contains provisions requiring the Employee, as well as the Employer, to submit certain covered disputes between Employee and Employer to arbitration. By signing below, Employee and Employer, specifically authorize and affirmatively agree to utilize the provisions of Section 21 of this Agreement.</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WYNN RESORTS, LIMITED</w:t>
      </w: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color w:val="auto"/>
        </w:rPr>
        <w:t>/s/ Ellen F. Whittemore</w:t>
      </w:r>
    </w:p>
    <w:p>
      <w:pPr>
        <w:spacing w:after="0"/>
        <w:rPr>
          <w:sz w:val="20"/>
          <w:szCs w:val="20"/>
          <w:color w:val="auto"/>
        </w:rPr>
      </w:pPr>
      <w:r>
        <w:rPr>
          <w:rFonts w:ascii="Arial" w:cs="Arial" w:eastAsia="Arial" w:hAnsi="Arial"/>
          <w:sz w:val="20"/>
          <w:szCs w:val="20"/>
          <w:color w:val="auto"/>
        </w:rPr>
        <w:t>____________________________________________________________</w:t>
      </w:r>
    </w:p>
    <w:p>
      <w:pPr>
        <w:spacing w:after="0"/>
        <w:rPr>
          <w:sz w:val="20"/>
          <w:szCs w:val="20"/>
          <w:color w:val="auto"/>
        </w:rPr>
      </w:pPr>
      <w:r>
        <w:rPr>
          <w:rFonts w:ascii="Arial" w:cs="Arial" w:eastAsia="Arial" w:hAnsi="Arial"/>
          <w:sz w:val="20"/>
          <w:szCs w:val="20"/>
          <w:color w:val="auto"/>
        </w:rPr>
        <w:t>Ellen Whittemore, Executive Vice President</w:t>
      </w:r>
    </w:p>
    <w:p>
      <w:pPr>
        <w:spacing w:after="0"/>
        <w:rPr>
          <w:sz w:val="20"/>
          <w:szCs w:val="20"/>
          <w:color w:val="auto"/>
        </w:rPr>
      </w:pPr>
      <w:r>
        <w:rPr>
          <w:rFonts w:ascii="Arial" w:cs="Arial" w:eastAsia="Arial" w:hAnsi="Arial"/>
          <w:sz w:val="20"/>
          <w:szCs w:val="20"/>
          <w:color w:val="auto"/>
        </w:rPr>
        <w:t>General Counsel &amp; Secretary</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EMPLOYEE</w:t>
      </w: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color w:val="auto"/>
        </w:rPr>
        <w:t>/s/ Matt Maddox</w:t>
      </w:r>
    </w:p>
    <w:p>
      <w:pPr>
        <w:spacing w:after="0"/>
        <w:rPr>
          <w:sz w:val="20"/>
          <w:szCs w:val="20"/>
          <w:color w:val="auto"/>
        </w:rPr>
      </w:pPr>
      <w:r>
        <w:rPr>
          <w:rFonts w:ascii="Arial" w:cs="Arial" w:eastAsia="Arial" w:hAnsi="Arial"/>
          <w:sz w:val="20"/>
          <w:szCs w:val="20"/>
          <w:color w:val="auto"/>
        </w:rPr>
        <w:t>____________________________________________________________</w:t>
      </w:r>
    </w:p>
    <w:p>
      <w:pPr>
        <w:spacing w:after="0"/>
        <w:rPr>
          <w:sz w:val="20"/>
          <w:szCs w:val="20"/>
          <w:color w:val="auto"/>
        </w:rPr>
      </w:pPr>
      <w:r>
        <w:rPr>
          <w:rFonts w:ascii="Arial" w:cs="Arial" w:eastAsia="Arial" w:hAnsi="Arial"/>
          <w:sz w:val="20"/>
          <w:szCs w:val="20"/>
          <w:color w:val="auto"/>
        </w:rPr>
        <w:t>Matt Maddox</w:t>
      </w:r>
    </w:p>
    <w:p>
      <w:pPr>
        <w:spacing w:after="0" w:line="232" w:lineRule="exact"/>
        <w:rPr>
          <w:sz w:val="20"/>
          <w:szCs w:val="20"/>
          <w:color w:val="auto"/>
        </w:rPr>
      </w:pPr>
    </w:p>
    <w:p>
      <w:pPr>
        <w:ind w:firstLine="648"/>
        <w:spacing w:after="0" w:line="300" w:lineRule="auto"/>
        <w:rPr>
          <w:sz w:val="20"/>
          <w:szCs w:val="20"/>
          <w:color w:val="auto"/>
        </w:rPr>
      </w:pPr>
      <w:r>
        <w:rPr>
          <w:rFonts w:ascii="Arial" w:cs="Arial" w:eastAsia="Arial" w:hAnsi="Arial"/>
          <w:sz w:val="20"/>
          <w:szCs w:val="20"/>
          <w:b w:val="1"/>
          <w:bCs w:val="1"/>
          <w:i w:val="1"/>
          <w:iCs w:val="1"/>
          <w:color w:val="auto"/>
        </w:rPr>
        <w:t xml:space="preserve">IN WITNESS WHEREOF AND INTENDING TO BE LEGALLY BOUND THEREBY, </w:t>
      </w:r>
      <w:r>
        <w:rPr>
          <w:rFonts w:ascii="Arial" w:cs="Arial" w:eastAsia="Arial" w:hAnsi="Arial"/>
          <w:sz w:val="20"/>
          <w:szCs w:val="20"/>
          <w:color w:val="auto"/>
        </w:rPr>
        <w:t>the parties hereto have executed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delivered this Agreement as of the year and date first above written.</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WYNN RESORTS, LIMITED</w:t>
      </w: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color w:val="auto"/>
        </w:rPr>
        <w:t>/s/ Ellen F. Whittemore</w:t>
      </w:r>
    </w:p>
    <w:p>
      <w:pPr>
        <w:spacing w:after="0"/>
        <w:rPr>
          <w:sz w:val="20"/>
          <w:szCs w:val="20"/>
          <w:color w:val="auto"/>
        </w:rPr>
      </w:pPr>
      <w:r>
        <w:rPr>
          <w:rFonts w:ascii="Arial" w:cs="Arial" w:eastAsia="Arial" w:hAnsi="Arial"/>
          <w:sz w:val="20"/>
          <w:szCs w:val="20"/>
          <w:color w:val="auto"/>
        </w:rPr>
        <w:t>____________________________________________________________</w:t>
      </w:r>
    </w:p>
    <w:p>
      <w:pPr>
        <w:spacing w:after="0"/>
        <w:rPr>
          <w:sz w:val="20"/>
          <w:szCs w:val="20"/>
          <w:color w:val="auto"/>
        </w:rPr>
      </w:pPr>
      <w:r>
        <w:rPr>
          <w:rFonts w:ascii="Arial" w:cs="Arial" w:eastAsia="Arial" w:hAnsi="Arial"/>
          <w:sz w:val="20"/>
          <w:szCs w:val="20"/>
          <w:color w:val="auto"/>
        </w:rPr>
        <w:t>Ellen Whittemore, Executive Vice President</w:t>
      </w:r>
    </w:p>
    <w:p>
      <w:pPr>
        <w:spacing w:after="0"/>
        <w:rPr>
          <w:sz w:val="20"/>
          <w:szCs w:val="20"/>
          <w:color w:val="auto"/>
        </w:rPr>
      </w:pPr>
      <w:r>
        <w:rPr>
          <w:rFonts w:ascii="Arial" w:cs="Arial" w:eastAsia="Arial" w:hAnsi="Arial"/>
          <w:sz w:val="20"/>
          <w:szCs w:val="20"/>
          <w:color w:val="auto"/>
        </w:rPr>
        <w:t>General Counsel &amp; Secretary</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EMPLOYEE</w:t>
      </w: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color w:val="auto"/>
        </w:rPr>
        <w:t>/s/ Matt Maddox</w:t>
      </w:r>
    </w:p>
    <w:p>
      <w:pPr>
        <w:spacing w:after="0"/>
        <w:rPr>
          <w:sz w:val="20"/>
          <w:szCs w:val="20"/>
          <w:color w:val="auto"/>
        </w:rPr>
      </w:pPr>
      <w:r>
        <w:rPr>
          <w:rFonts w:ascii="Arial" w:cs="Arial" w:eastAsia="Arial" w:hAnsi="Arial"/>
          <w:sz w:val="20"/>
          <w:szCs w:val="20"/>
          <w:color w:val="auto"/>
        </w:rPr>
        <w:t>____________________________________________________________</w:t>
      </w:r>
    </w:p>
    <w:p>
      <w:pPr>
        <w:spacing w:after="0"/>
        <w:rPr>
          <w:sz w:val="20"/>
          <w:szCs w:val="20"/>
          <w:color w:val="auto"/>
        </w:rPr>
      </w:pPr>
      <w:r>
        <w:rPr>
          <w:rFonts w:ascii="Arial" w:cs="Arial" w:eastAsia="Arial" w:hAnsi="Arial"/>
          <w:sz w:val="20"/>
          <w:szCs w:val="20"/>
          <w:color w:val="auto"/>
        </w:rPr>
        <w:t>Matt Maddox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422" w:right="239" w:bottom="1440" w:gutter="0" w:footer="0" w:header="0"/>
        </w:sectPr>
      </w:pPr>
    </w:p>
    <w:bookmarkStart w:id="280" w:name="page281"/>
    <w:bookmarkEnd w:id="280"/>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981075</wp:posOffset>
            </wp:positionV>
            <wp:extent cx="72466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3100"/>
        <w:spacing w:after="0"/>
        <w:rPr>
          <w:sz w:val="20"/>
          <w:szCs w:val="20"/>
          <w:color w:val="auto"/>
        </w:rPr>
      </w:pPr>
      <w:r>
        <w:rPr>
          <w:rFonts w:ascii="Arial" w:cs="Arial" w:eastAsia="Arial" w:hAnsi="Arial"/>
          <w:sz w:val="22"/>
          <w:szCs w:val="22"/>
          <w:b w:val="1"/>
          <w:bCs w:val="1"/>
          <w:color w:val="auto"/>
        </w:rPr>
        <w:t>AMENDED AND RESTATED</w:t>
      </w:r>
    </w:p>
    <w:p>
      <w:pPr>
        <w:spacing w:after="0" w:line="233" w:lineRule="exact"/>
        <w:rPr>
          <w:sz w:val="20"/>
          <w:szCs w:val="20"/>
          <w:color w:val="auto"/>
        </w:rPr>
      </w:pPr>
    </w:p>
    <w:p>
      <w:pPr>
        <w:ind w:left="3040"/>
        <w:spacing w:after="0"/>
        <w:rPr>
          <w:sz w:val="20"/>
          <w:szCs w:val="20"/>
          <w:color w:val="auto"/>
        </w:rPr>
      </w:pPr>
      <w:r>
        <w:rPr>
          <w:rFonts w:ascii="Arial" w:cs="Arial" w:eastAsia="Arial" w:hAnsi="Arial"/>
          <w:sz w:val="21"/>
          <w:szCs w:val="21"/>
          <w:b w:val="1"/>
          <w:bCs w:val="1"/>
          <w:color w:val="auto"/>
        </w:rPr>
        <w:t>EMPLOYMENT AGREEMENT</w:t>
      </w:r>
    </w:p>
    <w:p>
      <w:pPr>
        <w:spacing w:after="0" w:line="4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(“Agreement”)</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 by and between -</w:t>
      </w:r>
    </w:p>
    <w:p>
      <w:pPr>
        <w:spacing w:after="0" w:line="207" w:lineRule="exact"/>
        <w:rPr>
          <w:sz w:val="20"/>
          <w:szCs w:val="20"/>
          <w:color w:val="auto"/>
        </w:rPr>
      </w:pPr>
    </w:p>
    <w:p>
      <w:pPr>
        <w:ind w:left="3140"/>
        <w:spacing w:after="0"/>
        <w:rPr>
          <w:sz w:val="20"/>
          <w:szCs w:val="20"/>
          <w:color w:val="auto"/>
        </w:rPr>
      </w:pPr>
      <w:r>
        <w:rPr>
          <w:rFonts w:ascii="Arial" w:cs="Arial" w:eastAsia="Arial" w:hAnsi="Arial"/>
          <w:sz w:val="22"/>
          <w:szCs w:val="22"/>
          <w:b w:val="1"/>
          <w:bCs w:val="1"/>
          <w:color w:val="auto"/>
        </w:rPr>
        <w:t>WYNN RESORTS, LIMITED</w:t>
      </w:r>
    </w:p>
    <w:p>
      <w:pPr>
        <w:spacing w:after="0" w:line="233" w:lineRule="exact"/>
        <w:rPr>
          <w:sz w:val="20"/>
          <w:szCs w:val="20"/>
          <w:color w:val="auto"/>
        </w:rPr>
      </w:pPr>
    </w:p>
    <w:p>
      <w:pPr>
        <w:ind w:left="3840"/>
        <w:spacing w:after="0"/>
        <w:rPr>
          <w:sz w:val="20"/>
          <w:szCs w:val="20"/>
          <w:color w:val="auto"/>
        </w:rPr>
      </w:pPr>
      <w:r>
        <w:rPr>
          <w:rFonts w:ascii="Arial" w:cs="Arial" w:eastAsia="Arial" w:hAnsi="Arial"/>
          <w:sz w:val="22"/>
          <w:szCs w:val="22"/>
          <w:b w:val="1"/>
          <w:bCs w:val="1"/>
          <w:color w:val="auto"/>
        </w:rPr>
        <w:t>(“Employer”)</w:t>
      </w:r>
    </w:p>
    <w:p>
      <w:pPr>
        <w:spacing w:after="0" w:line="3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 and -</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MATT MADDOX</w:t>
      </w: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83185</wp:posOffset>
            </wp:positionV>
            <wp:extent cx="72466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 xml:space="preserve">DATED: </w:t>
      </w:r>
      <w:r>
        <w:rPr>
          <w:rFonts w:ascii="Arial" w:cs="Arial" w:eastAsia="Arial" w:hAnsi="Arial"/>
          <w:sz w:val="22"/>
          <w:szCs w:val="22"/>
          <w:color w:val="auto"/>
        </w:rPr>
        <w:t>December 16,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228600</wp:posOffset>
            </wp:positionV>
            <wp:extent cx="72466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81" w:name="page282"/>
    <w:bookmarkEnd w:id="281"/>
    <w:p>
      <w:pPr>
        <w:jc w:val="right"/>
        <w:spacing w:after="0"/>
        <w:rPr>
          <w:sz w:val="20"/>
          <w:szCs w:val="20"/>
          <w:color w:val="auto"/>
        </w:rPr>
      </w:pPr>
      <w:r>
        <w:rPr>
          <w:rFonts w:ascii="Arial" w:cs="Arial" w:eastAsia="Arial" w:hAnsi="Arial"/>
          <w:sz w:val="20"/>
          <w:szCs w:val="20"/>
          <w:b w:val="1"/>
          <w:bCs w:val="1"/>
          <w:color w:val="auto"/>
        </w:rPr>
        <w:t>Exhibit 21.1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WYNN RESORTS, LIMITED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Asia Development,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Chamber Associates,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Development Associates,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Jet,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Jet Hanger,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Massachusetts Property,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 Bow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23 Bow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41 Bow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49 Bow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51 Bow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55 Bow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57 Bow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61 Bow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63 Bow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80 Bow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82 Bow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98 Bow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103 Broadway,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127 Broadway,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 Gardner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8 Lynde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 Lynde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12 Lynde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18 Lynde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28 Lynde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32 Lynde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15 Mystic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35 Mystic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40 Mystic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51 Mystic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6 Scott Place,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7 Scott Place,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 Scott Place,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12 Scott Place,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 Thorndike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7 Thorndike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11 Thorndike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21 Thorndike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68 Tremont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East Broadway,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EBH Broadway,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Everett Broadway, LLC (a Massachusetts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Nevada Realty Associates,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Rambas Marketing Co., LLC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Wynn Indonesia Marketing, LLC</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Wynn International Marketing, Ltd (an Isle of Man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Toasty, LLC (a Delaware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Valvino Lamore,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 Insurance,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WDD Massachusetts Purchasing,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WestWynn,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World Travel G-IV,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Worldwide Wynn,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WSI Holdco, LLC</w:t>
      </w:r>
    </w:p>
    <w:p>
      <w:pPr>
        <w:sectPr>
          <w:pgSz w:w="11900" w:h="16838" w:orient="portrait"/>
          <w:cols w:equalWidth="0" w:num="1">
            <w:col w:w="11420"/>
          </w:cols>
          <w:pgMar w:left="240" w:top="1048" w:right="239" w:bottom="1440" w:gutter="0" w:footer="0" w:header="0"/>
        </w:sectPr>
      </w:pPr>
    </w:p>
    <w:bookmarkStart w:id="282" w:name="page283"/>
    <w:bookmarkEnd w:id="282"/>
    <w:p>
      <w:pPr>
        <w:ind w:left="420"/>
        <w:spacing w:after="0"/>
        <w:rPr>
          <w:sz w:val="20"/>
          <w:szCs w:val="20"/>
          <w:color w:val="auto"/>
        </w:rPr>
      </w:pPr>
      <w:r>
        <w:rPr>
          <w:rFonts w:ascii="Arial" w:cs="Arial" w:eastAsia="Arial" w:hAnsi="Arial"/>
          <w:sz w:val="18"/>
          <w:szCs w:val="18"/>
          <w:color w:val="auto"/>
        </w:rPr>
        <w:t>WSI US,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WSI Investment,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Aircraft,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Aircraft 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Aircraft IV,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Aircraft 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Design &amp; Development,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Energy,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Gallery,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Golf,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Interactive,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Investments,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IOM Holdco I, Ltd. (an Isle of Man company)</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Wynn IOM Holdco II, Ltd. (an Isle of Man company)</w:t>
      </w:r>
    </w:p>
    <w:p>
      <w:pPr>
        <w:spacing w:after="0" w:line="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SH – Sociedade de Hotelaria, Limitada (a Macau company)</w:t>
      </w:r>
    </w:p>
    <w:p>
      <w:pPr>
        <w:ind w:left="900"/>
        <w:spacing w:after="0"/>
        <w:rPr>
          <w:sz w:val="20"/>
          <w:szCs w:val="20"/>
          <w:color w:val="auto"/>
        </w:rPr>
      </w:pPr>
      <w:r>
        <w:rPr>
          <w:rFonts w:ascii="Arial" w:cs="Arial" w:eastAsia="Arial" w:hAnsi="Arial"/>
          <w:sz w:val="18"/>
          <w:szCs w:val="18"/>
          <w:color w:val="auto"/>
        </w:rPr>
        <w:t>SH Hoteleria Hong Kong Limited (a Hong Kong company)</w:t>
      </w:r>
    </w:p>
    <w:p>
      <w:pPr>
        <w:spacing w:after="0" w:line="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Wynn Manpower, Limited (a Macau company)</w:t>
      </w:r>
    </w:p>
    <w:p>
      <w:pPr>
        <w:spacing w:after="0" w:line="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Harthor Hospitality Services Limited (a Macau company)</w:t>
      </w:r>
    </w:p>
    <w:p>
      <w:pPr>
        <w:ind w:left="1760"/>
        <w:spacing w:after="0"/>
        <w:rPr>
          <w:sz w:val="20"/>
          <w:szCs w:val="20"/>
          <w:color w:val="auto"/>
        </w:rPr>
      </w:pPr>
      <w:r>
        <w:rPr>
          <w:rFonts w:ascii="Arial" w:cs="Arial" w:eastAsia="Arial" w:hAnsi="Arial"/>
          <w:sz w:val="18"/>
          <w:szCs w:val="18"/>
          <w:color w:val="auto"/>
        </w:rPr>
        <w:t>Harthor Hospitality Services HK Limited (a Hong Kong company)</w:t>
      </w:r>
    </w:p>
    <w:p>
      <w:pPr>
        <w:spacing w:after="0" w:line="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Lumini Hospitality Services Limited (a Macau company)</w:t>
      </w:r>
    </w:p>
    <w:p>
      <w:pPr>
        <w:spacing w:after="0" w:line="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Lumini Hospitality Services HK Limited (a Hong Kong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SAC Hospitality Services Limited (a Macau company)</w:t>
      </w:r>
    </w:p>
    <w:p>
      <w:pPr>
        <w:spacing w:after="0" w:line="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SAC Hospitality Services HK Limited (a Hong Kong company)</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Palo Marketing Services Limited (a Macau company)</w:t>
      </w:r>
    </w:p>
    <w:p>
      <w:pPr>
        <w:spacing w:after="0" w:line="9"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Palo Hong Kong Limited (a Hong Kong company)</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Palo Manpower Hong Kong Limited (a Hong Kong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Macau Development Company,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Nightlife,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North Asia,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Online Store,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Plaza, LLC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Wynn/CA Plaza JV, LLC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Wynn/CA Plaza Property Owner,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Resorts Development, LLC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Wynn Resorts Development (Japan) Godo Kaisha (a Japan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Resorts Hotel Marketing &amp; Sales (Asia),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Resorts Holdings, LLC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Wynn Resorts Finance, LLC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Wynn America Group, LLC</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Everett Property, LLC (a Massachusetts company)</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Wynn MA, LLC</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EBH Holdings, LLC</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EBH MA Property, LLLC (a Massachusetts company)</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Wynn Group Asia, Inc.</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WM Cayman Holdings Limited I (a Cayman Islands company)</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6"/>
          <w:szCs w:val="16"/>
          <w:color w:val="auto"/>
        </w:rPr>
        <w:t>Wynn Macau, Limited (a Cayman Islands company and a 72% owned company)</w:t>
      </w:r>
    </w:p>
    <w:p>
      <w:pPr>
        <w:spacing w:after="0" w:line="32"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WML Corp. Ltd. (a Cayman Islands company)</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WM Cayman Holdings Limited II (a Cayman Islands company)</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Wynn Resorts, International, Ltd. (an Isle of Man company)</w:t>
      </w:r>
    </w:p>
    <w:p>
      <w:pPr>
        <w:spacing w:after="0" w:line="9" w:lineRule="exact"/>
        <w:rPr>
          <w:sz w:val="20"/>
          <w:szCs w:val="20"/>
          <w:color w:val="auto"/>
        </w:rPr>
      </w:pPr>
    </w:p>
    <w:p>
      <w:pPr>
        <w:ind w:left="3620"/>
        <w:spacing w:after="0"/>
        <w:rPr>
          <w:sz w:val="20"/>
          <w:szCs w:val="20"/>
          <w:color w:val="auto"/>
        </w:rPr>
      </w:pPr>
      <w:r>
        <w:rPr>
          <w:rFonts w:ascii="Arial" w:cs="Arial" w:eastAsia="Arial" w:hAnsi="Arial"/>
          <w:sz w:val="16"/>
          <w:szCs w:val="16"/>
          <w:color w:val="auto"/>
        </w:rPr>
        <w:t>Wynn Resorts (Macau) Holdings, Ltd. (an Isle of Man company)</w:t>
      </w:r>
    </w:p>
    <w:p>
      <w:pPr>
        <w:spacing w:after="0" w:line="32"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Wynn Resorts (Macau), Ltd. (a Hong Kong company)</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Wynn Resorts (Macau), S.A. (a Macau company)</w:t>
      </w:r>
    </w:p>
    <w:p>
      <w:pPr>
        <w:spacing w:after="0" w:line="9" w:lineRule="exact"/>
        <w:rPr>
          <w:sz w:val="20"/>
          <w:szCs w:val="20"/>
          <w:color w:val="auto"/>
        </w:rPr>
      </w:pPr>
    </w:p>
    <w:p>
      <w:pPr>
        <w:ind w:left="4380"/>
        <w:spacing w:after="0"/>
        <w:rPr>
          <w:sz w:val="20"/>
          <w:szCs w:val="20"/>
          <w:color w:val="auto"/>
        </w:rPr>
      </w:pPr>
      <w:r>
        <w:rPr>
          <w:rFonts w:ascii="Arial" w:cs="Arial" w:eastAsia="Arial" w:hAnsi="Arial"/>
          <w:sz w:val="16"/>
          <w:szCs w:val="16"/>
          <w:color w:val="auto"/>
        </w:rPr>
        <w:t>Palo Real Estate Company Ltd. (a Macau company)</w:t>
      </w:r>
    </w:p>
    <w:p>
      <w:pPr>
        <w:spacing w:after="0" w:line="32"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WML Finance I Limited (a Cayman Islands company)</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Wynn Las Vegas Holdings, LLC</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Wynn Las Vegas, LLC</w:t>
      </w:r>
    </w:p>
    <w:p>
      <w:pPr>
        <w:spacing w:after="0" w:line="9"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Kevyn, LLC</w:t>
      </w:r>
    </w:p>
    <w:p>
      <w:pPr>
        <w:spacing w:after="0" w:line="9"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WLV Events, LLC</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World Travel, LLC</w:t>
      </w:r>
    </w:p>
    <w:p>
      <w:pPr>
        <w:sectPr>
          <w:pgSz w:w="11900" w:h="16838" w:orient="portrait"/>
          <w:cols w:equalWidth="0" w:num="1">
            <w:col w:w="10219"/>
          </w:cols>
          <w:pgMar w:left="240" w:top="895" w:right="1440" w:bottom="1440" w:gutter="0" w:footer="0" w:header="0"/>
        </w:sectPr>
      </w:pPr>
    </w:p>
    <w:bookmarkStart w:id="283" w:name="page284"/>
    <w:bookmarkEnd w:id="283"/>
    <w:p>
      <w:pPr>
        <w:ind w:left="1960"/>
        <w:spacing w:after="0"/>
        <w:rPr>
          <w:sz w:val="20"/>
          <w:szCs w:val="20"/>
          <w:color w:val="auto"/>
        </w:rPr>
      </w:pPr>
      <w:r>
        <w:rPr>
          <w:rFonts w:ascii="Arial" w:cs="Arial" w:eastAsia="Arial" w:hAnsi="Arial"/>
          <w:sz w:val="18"/>
          <w:szCs w:val="18"/>
          <w:color w:val="auto"/>
        </w:rPr>
        <w:t>Wynn Las Vegas Capital Corp.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Wynn Show Performers, LLC</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Wynn Sunrise, LLC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Wynn Resorts Capital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Retail, LLC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Wynn/CA JV, LLC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Wynn/CA Property Owner,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Social Gaming,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Vacations,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 subsidiaries are formed in the State of Nevada and wholly owned unless otherwise specifically identified.</w:t>
      </w:r>
    </w:p>
    <w:p>
      <w:pPr>
        <w:sectPr>
          <w:pgSz w:w="11900" w:h="16838" w:orient="portrait"/>
          <w:cols w:equalWidth="0" w:num="1">
            <w:col w:w="10219"/>
          </w:cols>
          <w:pgMar w:left="240" w:top="895" w:right="1440" w:bottom="1440" w:gutter="0" w:footer="0" w:header="0"/>
        </w:sectPr>
      </w:pPr>
    </w:p>
    <w:bookmarkStart w:id="284" w:name="page285"/>
    <w:bookmarkEnd w:id="284"/>
    <w:p>
      <w:pPr>
        <w:jc w:val="right"/>
        <w:spacing w:after="0"/>
        <w:rPr>
          <w:sz w:val="20"/>
          <w:szCs w:val="20"/>
          <w:color w:val="auto"/>
        </w:rPr>
      </w:pPr>
      <w:r>
        <w:rPr>
          <w:rFonts w:ascii="Arial" w:cs="Arial" w:eastAsia="Arial" w:hAnsi="Arial"/>
          <w:sz w:val="20"/>
          <w:szCs w:val="20"/>
          <w:b w:val="1"/>
          <w:bCs w:val="1"/>
          <w:color w:val="auto"/>
        </w:rPr>
        <w:t>Exhibit 23.1</w:t>
      </w:r>
    </w:p>
    <w:p>
      <w:pPr>
        <w:spacing w:after="0" w:line="166" w:lineRule="exact"/>
        <w:rPr>
          <w:sz w:val="20"/>
          <w:szCs w:val="20"/>
          <w:color w:val="auto"/>
        </w:rPr>
      </w:pPr>
    </w:p>
    <w:p>
      <w:pPr>
        <w:ind w:left="1980"/>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color w:val="auto"/>
        </w:rPr>
        <w:t>We consent to the incorporation by reference in the following Registration Statements:</w:t>
      </w:r>
    </w:p>
    <w:p>
      <w:pPr>
        <w:spacing w:after="0" w:line="229" w:lineRule="exact"/>
        <w:rPr>
          <w:sz w:val="20"/>
          <w:szCs w:val="20"/>
          <w:color w:val="auto"/>
        </w:rPr>
      </w:pPr>
    </w:p>
    <w:p>
      <w:pPr>
        <w:ind w:left="660" w:hanging="328"/>
        <w:spacing w:after="0" w:line="225" w:lineRule="auto"/>
        <w:tabs>
          <w:tab w:leader="none" w:pos="650" w:val="left"/>
        </w:tabs>
        <w:numPr>
          <w:ilvl w:val="0"/>
          <w:numId w:val="243"/>
        </w:numPr>
        <w:rPr>
          <w:rFonts w:ascii="Arial" w:cs="Arial" w:eastAsia="Arial" w:hAnsi="Arial"/>
          <w:sz w:val="20"/>
          <w:szCs w:val="20"/>
          <w:color w:val="auto"/>
        </w:rPr>
      </w:pPr>
      <w:r>
        <w:rPr>
          <w:rFonts w:ascii="Arial" w:cs="Arial" w:eastAsia="Arial" w:hAnsi="Arial"/>
          <w:sz w:val="20"/>
          <w:szCs w:val="20"/>
          <w:color w:val="auto"/>
        </w:rPr>
        <w:t>Registration Statement (Form S-8 No. 333-196113) pertaining to the 2014 Omnibus Incentive Plan of Wynn Resorts, Limited,</w:t>
      </w:r>
    </w:p>
    <w:p>
      <w:pPr>
        <w:ind w:left="640" w:hanging="308"/>
        <w:spacing w:after="0" w:line="225" w:lineRule="auto"/>
        <w:tabs>
          <w:tab w:leader="none" w:pos="640" w:val="left"/>
        </w:tabs>
        <w:numPr>
          <w:ilvl w:val="0"/>
          <w:numId w:val="243"/>
        </w:numPr>
        <w:rPr>
          <w:rFonts w:ascii="Arial" w:cs="Arial" w:eastAsia="Arial" w:hAnsi="Arial"/>
          <w:sz w:val="20"/>
          <w:szCs w:val="20"/>
          <w:color w:val="auto"/>
        </w:rPr>
      </w:pPr>
      <w:r>
        <w:rPr>
          <w:rFonts w:ascii="Arial" w:cs="Arial" w:eastAsia="Arial" w:hAnsi="Arial"/>
          <w:sz w:val="20"/>
          <w:szCs w:val="20"/>
          <w:color w:val="auto"/>
        </w:rPr>
        <w:t>Registration Statement (Form S-8 No. 333-168323) pertaining to the Stock Incentive Plan of Wynn Resorts, Limited,</w:t>
      </w:r>
    </w:p>
    <w:p>
      <w:pPr>
        <w:ind w:left="660" w:hanging="328"/>
        <w:spacing w:after="0" w:line="225" w:lineRule="auto"/>
        <w:tabs>
          <w:tab w:leader="none" w:pos="650" w:val="left"/>
        </w:tabs>
        <w:numPr>
          <w:ilvl w:val="0"/>
          <w:numId w:val="243"/>
        </w:numPr>
        <w:rPr>
          <w:rFonts w:ascii="Arial" w:cs="Arial" w:eastAsia="Arial" w:hAnsi="Arial"/>
          <w:sz w:val="20"/>
          <w:szCs w:val="20"/>
          <w:color w:val="auto"/>
        </w:rPr>
      </w:pPr>
      <w:r>
        <w:rPr>
          <w:rFonts w:ascii="Arial" w:cs="Arial" w:eastAsia="Arial" w:hAnsi="Arial"/>
          <w:sz w:val="20"/>
          <w:szCs w:val="20"/>
          <w:color w:val="auto"/>
        </w:rPr>
        <w:t>Registration Statement (Form S-8 No. 333-100891) pertaining to the 2002 Stock Incentive Plan of Wynn Resorts, Limited, and</w:t>
      </w:r>
    </w:p>
    <w:p>
      <w:pPr>
        <w:ind w:left="640" w:hanging="308"/>
        <w:spacing w:after="0"/>
        <w:tabs>
          <w:tab w:leader="none" w:pos="640" w:val="left"/>
        </w:tabs>
        <w:numPr>
          <w:ilvl w:val="0"/>
          <w:numId w:val="243"/>
        </w:numPr>
        <w:rPr>
          <w:rFonts w:ascii="Arial" w:cs="Arial" w:eastAsia="Arial" w:hAnsi="Arial"/>
          <w:sz w:val="20"/>
          <w:szCs w:val="20"/>
          <w:color w:val="auto"/>
        </w:rPr>
      </w:pPr>
      <w:r>
        <w:rPr>
          <w:rFonts w:ascii="Arial" w:cs="Arial" w:eastAsia="Arial" w:hAnsi="Arial"/>
          <w:sz w:val="20"/>
          <w:szCs w:val="20"/>
          <w:color w:val="auto"/>
        </w:rPr>
        <w:t>Registration Statement (Form S-3 No. 333-234542) of Wynn Resorts, Limited;</w:t>
      </w:r>
    </w:p>
    <w:p>
      <w:pPr>
        <w:spacing w:after="0" w:line="229"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of our reports dated February 28, 2020, with respect to the consolidated financial statements and schedule of Wynn Resorts, Limited and the effectiveness of internal control over financial reporting of Wynn Resorts, Limited, included in this Annual Report (Form 10-K) of Wynn Resorts, Limited for the year ended December 31, 2019.</w:t>
      </w:r>
    </w:p>
    <w:p>
      <w:pPr>
        <w:spacing w:after="0" w:line="200" w:lineRule="exact"/>
        <w:rPr>
          <w:sz w:val="20"/>
          <w:szCs w:val="20"/>
          <w:color w:val="auto"/>
        </w:rPr>
      </w:pPr>
    </w:p>
    <w:p>
      <w:pPr>
        <w:spacing w:after="0" w:line="268" w:lineRule="exact"/>
        <w:rPr>
          <w:sz w:val="20"/>
          <w:szCs w:val="20"/>
          <w:color w:val="auto"/>
        </w:rPr>
      </w:pPr>
    </w:p>
    <w:p>
      <w:pPr>
        <w:ind w:left="5840"/>
        <w:spacing w:after="0"/>
        <w:rPr>
          <w:sz w:val="20"/>
          <w:szCs w:val="20"/>
          <w:color w:val="auto"/>
        </w:rPr>
      </w:pPr>
      <w:r>
        <w:rPr>
          <w:rFonts w:ascii="Arial" w:cs="Arial" w:eastAsia="Arial" w:hAnsi="Arial"/>
          <w:sz w:val="20"/>
          <w:szCs w:val="20"/>
          <w:color w:val="auto"/>
        </w:rPr>
        <w:t>/s/ Ernst &amp; Young LLP</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auto"/>
        </w:rPr>
        <w:t>Las Vegas, Nevada</w:t>
      </w:r>
    </w:p>
    <w:p>
      <w:pPr>
        <w:spacing w:after="0"/>
        <w:rPr>
          <w:sz w:val="20"/>
          <w:szCs w:val="20"/>
          <w:color w:val="auto"/>
        </w:rPr>
      </w:pPr>
      <w:r>
        <w:rPr>
          <w:rFonts w:ascii="Arial" w:cs="Arial" w:eastAsia="Arial" w:hAnsi="Arial"/>
          <w:sz w:val="20"/>
          <w:szCs w:val="20"/>
          <w:color w:val="auto"/>
        </w:rPr>
        <w:t>February 28, 2020</w:t>
      </w:r>
    </w:p>
    <w:p>
      <w:pPr>
        <w:sectPr>
          <w:pgSz w:w="11900" w:h="16838" w:orient="portrait"/>
          <w:cols w:equalWidth="0" w:num="1">
            <w:col w:w="11420"/>
          </w:cols>
          <w:pgMar w:left="240" w:top="887" w:right="239" w:bottom="1440" w:gutter="0" w:footer="0" w:header="0"/>
        </w:sectPr>
      </w:pPr>
    </w:p>
    <w:bookmarkStart w:id="285" w:name="page286"/>
    <w:bookmarkEnd w:id="285"/>
    <w:p>
      <w:pPr>
        <w:jc w:val="right"/>
        <w:spacing w:after="0"/>
        <w:rPr>
          <w:sz w:val="20"/>
          <w:szCs w:val="20"/>
          <w:color w:val="auto"/>
        </w:rPr>
      </w:pPr>
      <w:r>
        <w:rPr>
          <w:rFonts w:ascii="Arial" w:cs="Arial" w:eastAsia="Arial" w:hAnsi="Arial"/>
          <w:sz w:val="20"/>
          <w:szCs w:val="20"/>
          <w:b w:val="1"/>
          <w:bCs w:val="1"/>
          <w:color w:val="auto"/>
        </w:rPr>
        <w:t>Exhibit 31.1</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I, Matt Maddox, certify that:</w:t>
      </w:r>
    </w:p>
    <w:p>
      <w:pPr>
        <w:spacing w:after="0" w:line="63" w:lineRule="exact"/>
        <w:rPr>
          <w:sz w:val="20"/>
          <w:szCs w:val="20"/>
          <w:color w:val="auto"/>
        </w:rPr>
      </w:pPr>
    </w:p>
    <w:p>
      <w:pPr>
        <w:ind w:left="980" w:hanging="972"/>
        <w:spacing w:after="0"/>
        <w:tabs>
          <w:tab w:leader="none" w:pos="98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Wynn Resorts, Limited;</w:t>
      </w:r>
    </w:p>
    <w:p>
      <w:pPr>
        <w:spacing w:after="0" w:line="63" w:lineRule="exact"/>
        <w:rPr>
          <w:rFonts w:ascii="Arial" w:cs="Arial" w:eastAsia="Arial" w:hAnsi="Arial"/>
          <w:sz w:val="18"/>
          <w:szCs w:val="18"/>
          <w:color w:val="auto"/>
        </w:rPr>
      </w:pPr>
    </w:p>
    <w:p>
      <w:pPr>
        <w:ind w:left="980" w:right="40" w:hanging="972"/>
        <w:spacing w:after="0" w:line="264" w:lineRule="auto"/>
        <w:tabs>
          <w:tab w:leader="none" w:pos="98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Arial" w:cs="Arial" w:eastAsia="Arial" w:hAnsi="Arial"/>
          <w:sz w:val="18"/>
          <w:szCs w:val="18"/>
          <w:color w:val="auto"/>
        </w:rPr>
      </w:pPr>
    </w:p>
    <w:p>
      <w:pPr>
        <w:ind w:left="980" w:right="200" w:hanging="972"/>
        <w:spacing w:after="0" w:line="298" w:lineRule="auto"/>
        <w:tabs>
          <w:tab w:leader="none" w:pos="980" w:val="left"/>
        </w:tabs>
        <w:numPr>
          <w:ilvl w:val="0"/>
          <w:numId w:val="2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980" w:right="160" w:hanging="972"/>
        <w:spacing w:after="0" w:line="291" w:lineRule="auto"/>
        <w:tabs>
          <w:tab w:leader="none" w:pos="980" w:val="left"/>
        </w:tabs>
        <w:numPr>
          <w:ilvl w:val="0"/>
          <w:numId w:val="24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48" w:lineRule="exact"/>
        <w:rPr>
          <w:rFonts w:ascii="Arial" w:cs="Arial" w:eastAsia="Arial" w:hAnsi="Arial"/>
          <w:sz w:val="16"/>
          <w:szCs w:val="16"/>
          <w:color w:val="auto"/>
        </w:rPr>
      </w:pPr>
    </w:p>
    <w:p>
      <w:pPr>
        <w:ind w:left="1960" w:right="80" w:hanging="980"/>
        <w:spacing w:after="0" w:line="286" w:lineRule="auto"/>
        <w:tabs>
          <w:tab w:leader="none" w:pos="1951" w:val="left"/>
        </w:tabs>
        <w:numPr>
          <w:ilvl w:val="1"/>
          <w:numId w:val="24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 w:lineRule="exact"/>
        <w:rPr>
          <w:rFonts w:ascii="Arial" w:cs="Arial" w:eastAsia="Arial" w:hAnsi="Arial"/>
          <w:sz w:val="17"/>
          <w:szCs w:val="17"/>
          <w:color w:val="auto"/>
        </w:rPr>
      </w:pPr>
    </w:p>
    <w:p>
      <w:pPr>
        <w:ind w:left="1960" w:right="400" w:hanging="980"/>
        <w:spacing w:after="0" w:line="286" w:lineRule="auto"/>
        <w:tabs>
          <w:tab w:leader="none" w:pos="1948" w:val="left"/>
        </w:tabs>
        <w:numPr>
          <w:ilvl w:val="1"/>
          <w:numId w:val="24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 w:lineRule="exact"/>
        <w:rPr>
          <w:rFonts w:ascii="Arial" w:cs="Arial" w:eastAsia="Arial" w:hAnsi="Arial"/>
          <w:sz w:val="17"/>
          <w:szCs w:val="17"/>
          <w:color w:val="auto"/>
        </w:rPr>
      </w:pPr>
    </w:p>
    <w:p>
      <w:pPr>
        <w:ind w:left="1960" w:right="40" w:hanging="980"/>
        <w:spacing w:after="0" w:line="264" w:lineRule="auto"/>
        <w:tabs>
          <w:tab w:leader="none" w:pos="1951" w:val="left"/>
        </w:tabs>
        <w:numPr>
          <w:ilvl w:val="1"/>
          <w:numId w:val="24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 w:lineRule="exact"/>
        <w:rPr>
          <w:rFonts w:ascii="Arial" w:cs="Arial" w:eastAsia="Arial" w:hAnsi="Arial"/>
          <w:sz w:val="18"/>
          <w:szCs w:val="18"/>
          <w:color w:val="auto"/>
        </w:rPr>
      </w:pPr>
    </w:p>
    <w:p>
      <w:pPr>
        <w:ind w:left="1960" w:right="140" w:hanging="980"/>
        <w:spacing w:after="0" w:line="286" w:lineRule="auto"/>
        <w:tabs>
          <w:tab w:leader="none" w:pos="1948" w:val="left"/>
        </w:tabs>
        <w:numPr>
          <w:ilvl w:val="1"/>
          <w:numId w:val="24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 w:lineRule="exact"/>
        <w:rPr>
          <w:rFonts w:ascii="Arial" w:cs="Arial" w:eastAsia="Arial" w:hAnsi="Arial"/>
          <w:sz w:val="17"/>
          <w:szCs w:val="17"/>
          <w:color w:val="auto"/>
        </w:rPr>
      </w:pPr>
    </w:p>
    <w:p>
      <w:pPr>
        <w:ind w:left="980" w:right="120" w:hanging="972"/>
        <w:spacing w:after="0" w:line="317" w:lineRule="auto"/>
        <w:tabs>
          <w:tab w:leader="none" w:pos="980" w:val="left"/>
        </w:tabs>
        <w:numPr>
          <w:ilvl w:val="0"/>
          <w:numId w:val="24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ind w:left="1960" w:right="80" w:hanging="980"/>
        <w:spacing w:after="0" w:line="317" w:lineRule="auto"/>
        <w:tabs>
          <w:tab w:leader="none" w:pos="1951" w:val="left"/>
        </w:tabs>
        <w:numPr>
          <w:ilvl w:val="1"/>
          <w:numId w:val="24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960" w:right="280" w:hanging="980"/>
        <w:spacing w:after="0" w:line="277" w:lineRule="auto"/>
        <w:tabs>
          <w:tab w:leader="none" w:pos="1948" w:val="left"/>
        </w:tabs>
        <w:numPr>
          <w:ilvl w:val="1"/>
          <w:numId w:val="2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20"/>
        <w:spacing w:after="0"/>
        <w:tabs>
          <w:tab w:leader="none" w:pos="6320" w:val="left"/>
        </w:tabs>
        <w:rPr>
          <w:sz w:val="20"/>
          <w:szCs w:val="20"/>
          <w:color w:val="auto"/>
        </w:rPr>
      </w:pPr>
      <w:r>
        <w:rPr>
          <w:rFonts w:ascii="Arial" w:cs="Arial" w:eastAsia="Arial" w:hAnsi="Arial"/>
          <w:sz w:val="18"/>
          <w:szCs w:val="18"/>
          <w:color w:val="auto"/>
        </w:rPr>
        <w:t>Date: February 28, 2020</w:t>
      </w:r>
      <w:r>
        <w:rPr>
          <w:sz w:val="20"/>
          <w:szCs w:val="20"/>
          <w:color w:val="auto"/>
        </w:rPr>
        <w:tab/>
      </w:r>
      <w:r>
        <w:rPr>
          <w:rFonts w:ascii="Arial" w:cs="Arial" w:eastAsia="Arial" w:hAnsi="Arial"/>
          <w:sz w:val="16"/>
          <w:szCs w:val="16"/>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4029710</wp:posOffset>
            </wp:positionH>
            <wp:positionV relativeFrom="paragraph">
              <wp:posOffset>-10160</wp:posOffset>
            </wp:positionV>
            <wp:extent cx="113347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9">
                      <a:extLst>
                        <a:ext uri="{28A0092B-C50C-407E-A947-70E740481C1C}"/>
                      </a:extLst>
                    </a:blip>
                    <a:srcRect/>
                    <a:stretch>
                      <a:fillRect/>
                    </a:stretch>
                  </pic:blipFill>
                  <pic:spPr bwMode="auto">
                    <a:xfrm>
                      <a:off x="0" y="0"/>
                      <a:ext cx="1133475" cy="8890"/>
                    </a:xfrm>
                    <a:prstGeom prst="rect">
                      <a:avLst/>
                    </a:prstGeom>
                    <a:noFill/>
                  </pic:spPr>
                </pic:pic>
              </a:graphicData>
            </a:graphic>
          </wp:anchor>
        </w:drawing>
      </w:r>
    </w:p>
    <w:p>
      <w:pPr>
        <w:spacing w:after="0" w:line="43"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Matt Maddox</w:t>
      </w:r>
    </w:p>
    <w:p>
      <w:pPr>
        <w:spacing w:after="0" w:line="23"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Director, Chief Executive Officer</w:t>
      </w:r>
    </w:p>
    <w:p>
      <w:pPr>
        <w:spacing w:after="0" w:line="9"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049" w:right="239" w:bottom="1440" w:gutter="0" w:footer="0" w:header="0"/>
        </w:sectPr>
      </w:pPr>
    </w:p>
    <w:bookmarkStart w:id="286" w:name="page287"/>
    <w:bookmarkEnd w:id="286"/>
    <w:p>
      <w:pPr>
        <w:jc w:val="right"/>
        <w:spacing w:after="0"/>
        <w:rPr>
          <w:sz w:val="20"/>
          <w:szCs w:val="20"/>
          <w:color w:val="auto"/>
        </w:rPr>
      </w:pPr>
      <w:r>
        <w:rPr>
          <w:rFonts w:ascii="Arial" w:cs="Arial" w:eastAsia="Arial" w:hAnsi="Arial"/>
          <w:sz w:val="20"/>
          <w:szCs w:val="20"/>
          <w:b w:val="1"/>
          <w:bCs w:val="1"/>
          <w:color w:val="auto"/>
        </w:rPr>
        <w:t>Exhibit 31.2</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I, Craig S. Billings, certify that:</w:t>
      </w:r>
    </w:p>
    <w:p>
      <w:pPr>
        <w:spacing w:after="0" w:line="63" w:lineRule="exact"/>
        <w:rPr>
          <w:sz w:val="20"/>
          <w:szCs w:val="20"/>
          <w:color w:val="auto"/>
        </w:rPr>
      </w:pPr>
    </w:p>
    <w:p>
      <w:pPr>
        <w:ind w:left="980" w:hanging="972"/>
        <w:spacing w:after="0"/>
        <w:tabs>
          <w:tab w:leader="none" w:pos="98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Wynn Resorts, Limited;</w:t>
      </w:r>
    </w:p>
    <w:p>
      <w:pPr>
        <w:spacing w:after="0" w:line="63" w:lineRule="exact"/>
        <w:rPr>
          <w:rFonts w:ascii="Arial" w:cs="Arial" w:eastAsia="Arial" w:hAnsi="Arial"/>
          <w:sz w:val="18"/>
          <w:szCs w:val="18"/>
          <w:color w:val="auto"/>
        </w:rPr>
      </w:pPr>
    </w:p>
    <w:p>
      <w:pPr>
        <w:ind w:left="980" w:right="40" w:hanging="972"/>
        <w:spacing w:after="0" w:line="264" w:lineRule="auto"/>
        <w:tabs>
          <w:tab w:leader="none" w:pos="98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Arial" w:cs="Arial" w:eastAsia="Arial" w:hAnsi="Arial"/>
          <w:sz w:val="18"/>
          <w:szCs w:val="18"/>
          <w:color w:val="auto"/>
        </w:rPr>
      </w:pPr>
    </w:p>
    <w:p>
      <w:pPr>
        <w:ind w:left="980" w:right="200" w:hanging="972"/>
        <w:spacing w:after="0" w:line="298" w:lineRule="auto"/>
        <w:tabs>
          <w:tab w:leader="none" w:pos="980" w:val="left"/>
        </w:tabs>
        <w:numPr>
          <w:ilvl w:val="0"/>
          <w:numId w:val="2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980" w:right="160" w:hanging="972"/>
        <w:spacing w:after="0" w:line="291" w:lineRule="auto"/>
        <w:tabs>
          <w:tab w:leader="none" w:pos="980" w:val="left"/>
        </w:tabs>
        <w:numPr>
          <w:ilvl w:val="0"/>
          <w:numId w:val="24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48" w:lineRule="exact"/>
        <w:rPr>
          <w:rFonts w:ascii="Arial" w:cs="Arial" w:eastAsia="Arial" w:hAnsi="Arial"/>
          <w:sz w:val="16"/>
          <w:szCs w:val="16"/>
          <w:color w:val="auto"/>
        </w:rPr>
      </w:pPr>
    </w:p>
    <w:p>
      <w:pPr>
        <w:ind w:left="1960" w:right="80" w:hanging="980"/>
        <w:spacing w:after="0" w:line="286" w:lineRule="auto"/>
        <w:tabs>
          <w:tab w:leader="none" w:pos="1951" w:val="left"/>
        </w:tabs>
        <w:numPr>
          <w:ilvl w:val="1"/>
          <w:numId w:val="24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 w:lineRule="exact"/>
        <w:rPr>
          <w:rFonts w:ascii="Arial" w:cs="Arial" w:eastAsia="Arial" w:hAnsi="Arial"/>
          <w:sz w:val="17"/>
          <w:szCs w:val="17"/>
          <w:color w:val="auto"/>
        </w:rPr>
      </w:pPr>
    </w:p>
    <w:p>
      <w:pPr>
        <w:ind w:left="1960" w:right="400" w:hanging="980"/>
        <w:spacing w:after="0" w:line="286" w:lineRule="auto"/>
        <w:tabs>
          <w:tab w:leader="none" w:pos="1948" w:val="left"/>
        </w:tabs>
        <w:numPr>
          <w:ilvl w:val="1"/>
          <w:numId w:val="24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 w:lineRule="exact"/>
        <w:rPr>
          <w:rFonts w:ascii="Arial" w:cs="Arial" w:eastAsia="Arial" w:hAnsi="Arial"/>
          <w:sz w:val="17"/>
          <w:szCs w:val="17"/>
          <w:color w:val="auto"/>
        </w:rPr>
      </w:pPr>
    </w:p>
    <w:p>
      <w:pPr>
        <w:ind w:left="1960" w:right="40" w:hanging="980"/>
        <w:spacing w:after="0" w:line="264" w:lineRule="auto"/>
        <w:tabs>
          <w:tab w:leader="none" w:pos="1951" w:val="left"/>
        </w:tabs>
        <w:numPr>
          <w:ilvl w:val="1"/>
          <w:numId w:val="24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 w:lineRule="exact"/>
        <w:rPr>
          <w:rFonts w:ascii="Arial" w:cs="Arial" w:eastAsia="Arial" w:hAnsi="Arial"/>
          <w:sz w:val="18"/>
          <w:szCs w:val="18"/>
          <w:color w:val="auto"/>
        </w:rPr>
      </w:pPr>
    </w:p>
    <w:p>
      <w:pPr>
        <w:ind w:left="1960" w:right="140" w:hanging="980"/>
        <w:spacing w:after="0" w:line="286" w:lineRule="auto"/>
        <w:tabs>
          <w:tab w:leader="none" w:pos="1948" w:val="left"/>
        </w:tabs>
        <w:numPr>
          <w:ilvl w:val="1"/>
          <w:numId w:val="24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 w:lineRule="exact"/>
        <w:rPr>
          <w:rFonts w:ascii="Arial" w:cs="Arial" w:eastAsia="Arial" w:hAnsi="Arial"/>
          <w:sz w:val="17"/>
          <w:szCs w:val="17"/>
          <w:color w:val="auto"/>
        </w:rPr>
      </w:pPr>
    </w:p>
    <w:p>
      <w:pPr>
        <w:ind w:left="980" w:right="120" w:hanging="972"/>
        <w:spacing w:after="0" w:line="317" w:lineRule="auto"/>
        <w:tabs>
          <w:tab w:leader="none" w:pos="980" w:val="left"/>
        </w:tabs>
        <w:numPr>
          <w:ilvl w:val="0"/>
          <w:numId w:val="24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ind w:left="1960" w:right="80" w:hanging="980"/>
        <w:spacing w:after="0" w:line="317" w:lineRule="auto"/>
        <w:tabs>
          <w:tab w:leader="none" w:pos="1951" w:val="left"/>
        </w:tabs>
        <w:numPr>
          <w:ilvl w:val="1"/>
          <w:numId w:val="24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960" w:right="280" w:hanging="980"/>
        <w:spacing w:after="0" w:line="277" w:lineRule="auto"/>
        <w:tabs>
          <w:tab w:leader="none" w:pos="1948" w:val="left"/>
        </w:tabs>
        <w:numPr>
          <w:ilvl w:val="1"/>
          <w:numId w:val="2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20"/>
        <w:spacing w:after="0"/>
        <w:tabs>
          <w:tab w:leader="none" w:pos="6320" w:val="left"/>
        </w:tabs>
        <w:rPr>
          <w:sz w:val="20"/>
          <w:szCs w:val="20"/>
          <w:color w:val="auto"/>
        </w:rPr>
      </w:pPr>
      <w:r>
        <w:rPr>
          <w:rFonts w:ascii="Arial" w:cs="Arial" w:eastAsia="Arial" w:hAnsi="Arial"/>
          <w:sz w:val="18"/>
          <w:szCs w:val="18"/>
          <w:color w:val="auto"/>
        </w:rPr>
        <w:t>Date: February 28, 2020</w:t>
      </w:r>
      <w:r>
        <w:rPr>
          <w:sz w:val="20"/>
          <w:szCs w:val="20"/>
          <w:color w:val="auto"/>
        </w:rPr>
        <w:tab/>
      </w:r>
      <w:r>
        <w:rPr>
          <w:rFonts w:ascii="Arial" w:cs="Arial" w:eastAsia="Arial" w:hAnsi="Arial"/>
          <w:sz w:val="16"/>
          <w:szCs w:val="16"/>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4029710</wp:posOffset>
            </wp:positionH>
            <wp:positionV relativeFrom="paragraph">
              <wp:posOffset>-10160</wp:posOffset>
            </wp:positionV>
            <wp:extent cx="118745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0">
                      <a:extLst>
                        <a:ext uri="{28A0092B-C50C-407E-A947-70E740481C1C}"/>
                      </a:extLst>
                    </a:blip>
                    <a:srcRect/>
                    <a:stretch>
                      <a:fillRect/>
                    </a:stretch>
                  </pic:blipFill>
                  <pic:spPr bwMode="auto">
                    <a:xfrm>
                      <a:off x="0" y="0"/>
                      <a:ext cx="1187450" cy="8890"/>
                    </a:xfrm>
                    <a:prstGeom prst="rect">
                      <a:avLst/>
                    </a:prstGeom>
                    <a:noFill/>
                  </pic:spPr>
                </pic:pic>
              </a:graphicData>
            </a:graphic>
          </wp:anchor>
        </w:drawing>
      </w:r>
    </w:p>
    <w:p>
      <w:pPr>
        <w:spacing w:after="0" w:line="43"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Craig S. Billings</w:t>
      </w:r>
    </w:p>
    <w:p>
      <w:pPr>
        <w:spacing w:after="0" w:line="63"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President, Chief Financial Officer and Treasurer</w:t>
      </w:r>
    </w:p>
    <w:p>
      <w:pPr>
        <w:spacing w:after="0" w:line="23"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887" w:right="239" w:bottom="1440" w:gutter="0" w:footer="0" w:header="0"/>
        </w:sectPr>
      </w:pPr>
    </w:p>
    <w:bookmarkStart w:id="287" w:name="page288"/>
    <w:bookmarkEnd w:id="287"/>
    <w:p>
      <w:pPr>
        <w:jc w:val="right"/>
        <w:spacing w:after="0"/>
        <w:rPr>
          <w:sz w:val="20"/>
          <w:szCs w:val="20"/>
          <w:color w:val="auto"/>
        </w:rPr>
      </w:pPr>
      <w:r>
        <w:rPr>
          <w:rFonts w:ascii="Arial" w:cs="Arial" w:eastAsia="Arial" w:hAnsi="Arial"/>
          <w:sz w:val="20"/>
          <w:szCs w:val="20"/>
          <w:b w:val="1"/>
          <w:bCs w:val="1"/>
          <w:color w:val="auto"/>
        </w:rPr>
        <w:t>Exhibit 32</w:t>
      </w:r>
    </w:p>
    <w:p>
      <w:pPr>
        <w:spacing w:after="0" w:line="166"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60" w:firstLine="972"/>
        <w:spacing w:after="0" w:line="259" w:lineRule="auto"/>
        <w:rPr>
          <w:sz w:val="20"/>
          <w:szCs w:val="20"/>
          <w:color w:val="auto"/>
        </w:rPr>
      </w:pPr>
      <w:r>
        <w:rPr>
          <w:rFonts w:ascii="Arial" w:cs="Arial" w:eastAsia="Arial" w:hAnsi="Arial"/>
          <w:sz w:val="18"/>
          <w:szCs w:val="18"/>
          <w:color w:val="auto"/>
        </w:rPr>
        <w:t>In connection with the Annual Report on Form 10-K of Wynn Resorts, Limited (the “Company”) for the year ended December 31, 2019 as filed with the Securities and Exchange Commission on the date hereof (the “Report”), Matt Maddox, as Chief Executive Officer of the Company, and Craig S. Billings, as Chief Financial Officer of the Company, each hereby certifies, pursuant to 18 U.S.C. Section 1350, as adopted pursuant to Section 906 of the Sarbanes-Oxley Act of 2002, that, to the best of his knowledge:</w:t>
      </w:r>
    </w:p>
    <w:p>
      <w:pPr>
        <w:spacing w:after="0" w:line="133" w:lineRule="exact"/>
        <w:rPr>
          <w:sz w:val="20"/>
          <w:szCs w:val="20"/>
          <w:color w:val="auto"/>
        </w:rPr>
      </w:pPr>
    </w:p>
    <w:p>
      <w:pPr>
        <w:ind w:left="980" w:hanging="972"/>
        <w:spacing w:after="0"/>
        <w:tabs>
          <w:tab w:leader="none" w:pos="98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980" w:right="780" w:hanging="972"/>
        <w:spacing w:after="0" w:line="277" w:lineRule="auto"/>
        <w:tabs>
          <w:tab w:leader="none" w:pos="98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/s/ Matt Maddox</w:t>
            </w:r>
          </w:p>
        </w:tc>
        <w:tc>
          <w:tcPr>
            <w:tcW w:w="0" w:type="dxa"/>
            <w:vAlign w:val="bottom"/>
          </w:tcPr>
          <w:p>
            <w:pPr>
              <w:spacing w:after="0"/>
              <w:rPr>
                <w:sz w:val="1"/>
                <w:szCs w:val="1"/>
                <w:color w:val="auto"/>
              </w:rPr>
            </w:pPr>
          </w:p>
        </w:tc>
      </w:tr>
      <w:tr>
        <w:trPr>
          <w:trHeight w:val="27"/>
        </w:trPr>
        <w:tc>
          <w:tcPr>
            <w:tcW w:w="78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4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0" w:type="dxa"/>
            <w:vAlign w:val="bottom"/>
            <w:vMerge w:val="continue"/>
          </w:tcPr>
          <w:p>
            <w:pPr>
              <w:spacing w:after="0"/>
              <w:rPr>
                <w:sz w:val="20"/>
                <w:szCs w:val="20"/>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Matt Maddox</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20"/>
              <w:spacing w:after="0"/>
              <w:rPr>
                <w:sz w:val="20"/>
                <w:szCs w:val="20"/>
                <w:color w:val="auto"/>
              </w:rPr>
            </w:pPr>
            <w:r>
              <w:rPr>
                <w:rFonts w:ascii="Arial" w:cs="Arial" w:eastAsia="Arial" w:hAnsi="Arial"/>
                <w:sz w:val="18"/>
                <w:szCs w:val="18"/>
                <w:color w:val="auto"/>
              </w:rPr>
              <w:t>Director, Chief Executive Officer</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Date:</w:t>
            </w:r>
          </w:p>
        </w:tc>
        <w:tc>
          <w:tcPr>
            <w:tcW w:w="4540" w:type="dxa"/>
            <w:vAlign w:val="bottom"/>
          </w:tcPr>
          <w:p>
            <w:pPr>
              <w:ind w:left="20"/>
              <w:spacing w:after="0"/>
              <w:rPr>
                <w:sz w:val="20"/>
                <w:szCs w:val="20"/>
                <w:color w:val="auto"/>
              </w:rPr>
            </w:pPr>
            <w:r>
              <w:rPr>
                <w:rFonts w:ascii="Arial" w:cs="Arial" w:eastAsia="Arial" w:hAnsi="Arial"/>
                <w:sz w:val="18"/>
                <w:szCs w:val="18"/>
                <w:color w:val="auto"/>
              </w:rPr>
              <w:t>February 28, 2020</w:t>
            </w:r>
          </w:p>
        </w:tc>
        <w:tc>
          <w:tcPr>
            <w:tcW w:w="0" w:type="dxa"/>
            <w:vAlign w:val="bottom"/>
          </w:tcPr>
          <w:p>
            <w:pPr>
              <w:spacing w:after="0"/>
              <w:rPr>
                <w:sz w:val="1"/>
                <w:szCs w:val="1"/>
                <w:color w:val="auto"/>
              </w:rPr>
            </w:pPr>
          </w:p>
        </w:tc>
      </w:tr>
      <w:tr>
        <w:trPr>
          <w:trHeight w:val="891"/>
        </w:trPr>
        <w:tc>
          <w:tcPr>
            <w:tcW w:w="780" w:type="dxa"/>
            <w:vAlign w:val="bottom"/>
          </w:tcPr>
          <w:p>
            <w:pPr>
              <w:spacing w:after="0"/>
              <w:rPr>
                <w:sz w:val="24"/>
                <w:szCs w:val="24"/>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/s/ Craig S. Billings</w:t>
            </w:r>
          </w:p>
        </w:tc>
        <w:tc>
          <w:tcPr>
            <w:tcW w:w="0" w:type="dxa"/>
            <w:vAlign w:val="bottom"/>
          </w:tcPr>
          <w:p>
            <w:pPr>
              <w:spacing w:after="0"/>
              <w:rPr>
                <w:sz w:val="1"/>
                <w:szCs w:val="1"/>
                <w:color w:val="auto"/>
              </w:rPr>
            </w:pPr>
          </w:p>
        </w:tc>
      </w:tr>
      <w:tr>
        <w:trPr>
          <w:trHeight w:val="27"/>
        </w:trPr>
        <w:tc>
          <w:tcPr>
            <w:tcW w:w="78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4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0" w:type="dxa"/>
            <w:vAlign w:val="bottom"/>
            <w:vMerge w:val="continue"/>
          </w:tcPr>
          <w:p>
            <w:pPr>
              <w:spacing w:after="0"/>
              <w:rPr>
                <w:sz w:val="20"/>
                <w:szCs w:val="20"/>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Craig S. Billings</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20"/>
              <w:spacing w:after="0"/>
              <w:rPr>
                <w:sz w:val="20"/>
                <w:szCs w:val="20"/>
                <w:color w:val="auto"/>
              </w:rPr>
            </w:pPr>
            <w:r>
              <w:rPr>
                <w:rFonts w:ascii="Arial" w:cs="Arial" w:eastAsia="Arial" w:hAnsi="Arial"/>
                <w:sz w:val="18"/>
                <w:szCs w:val="18"/>
                <w:color w:val="auto"/>
              </w:rPr>
              <w:t>President, Chief Financial Officer and Treasurer</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Date:</w:t>
            </w:r>
          </w:p>
        </w:tc>
        <w:tc>
          <w:tcPr>
            <w:tcW w:w="4540" w:type="dxa"/>
            <w:vAlign w:val="bottom"/>
          </w:tcPr>
          <w:p>
            <w:pPr>
              <w:ind w:left="20"/>
              <w:spacing w:after="0"/>
              <w:rPr>
                <w:sz w:val="20"/>
                <w:szCs w:val="20"/>
                <w:color w:val="auto"/>
              </w:rPr>
            </w:pPr>
            <w:r>
              <w:rPr>
                <w:rFonts w:ascii="Arial" w:cs="Arial" w:eastAsia="Arial" w:hAnsi="Arial"/>
                <w:sz w:val="18"/>
                <w:szCs w:val="18"/>
                <w:color w:val="auto"/>
              </w:rPr>
              <w:t>February 28, 2020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420"/>
      </w:cols>
      <w:pgMar w:left="240" w:top="88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F97E3E4"/>
    <w:multiLevelType w:val="hybridMultilevel"/>
    <w:lvl w:ilvl="0">
      <w:lvlJc w:val="left"/>
      <w:lvlText w:val="☒"/>
      <w:numFmt w:val="bullet"/>
      <w:start w:val="1"/>
    </w:lvl>
  </w:abstractNum>
  <w:abstractNum w:abstractNumId="1">
    <w:nsid w:val="53B0A9E"/>
    <w:multiLevelType w:val="hybridMultilevel"/>
    <w:lvl w:ilvl="0">
      <w:lvlJc w:val="left"/>
      <w:lvlText w:val="☐"/>
      <w:numFmt w:val="bullet"/>
      <w:start w:val="1"/>
    </w:lvl>
  </w:abstractNum>
  <w:abstractNum w:abstractNumId="2">
    <w:nsid w:val="34FD6B4F"/>
    <w:multiLevelType w:val="hybridMultilevel"/>
    <w:lvl w:ilvl="0">
      <w:lvlJc w:val="left"/>
      <w:lvlText w:val="•"/>
      <w:numFmt w:val="bullet"/>
      <w:start w:val="1"/>
    </w:lvl>
  </w:abstractNum>
  <w:abstractNum w:abstractNumId="3">
    <w:nsid w:val="5915FF32"/>
    <w:multiLevelType w:val="hybridMultilevel"/>
    <w:lvl w:ilvl="0">
      <w:lvlJc w:val="left"/>
      <w:lvlText w:val="•"/>
      <w:numFmt w:val="bullet"/>
      <w:start w:val="1"/>
    </w:lvl>
  </w:abstractNum>
  <w:abstractNum w:abstractNumId="4">
    <w:nsid w:val="56438D15"/>
    <w:multiLevelType w:val="hybridMultilevel"/>
    <w:lvl w:ilvl="0">
      <w:lvlJc w:val="left"/>
      <w:lvlText w:val="•"/>
      <w:numFmt w:val="bullet"/>
      <w:start w:val="1"/>
    </w:lvl>
  </w:abstractNum>
  <w:abstractNum w:abstractNumId="5">
    <w:nsid w:val="519E3149"/>
    <w:multiLevelType w:val="hybridMultilevel"/>
    <w:lvl w:ilvl="0">
      <w:lvlJc w:val="left"/>
      <w:lvlText w:val="•"/>
      <w:numFmt w:val="bullet"/>
      <w:start w:val="1"/>
    </w:lvl>
  </w:abstractNum>
  <w:abstractNum w:abstractNumId="6">
    <w:nsid w:val="2C6E4AFD"/>
    <w:multiLevelType w:val="hybridMultilevel"/>
    <w:lvl w:ilvl="0">
      <w:lvlJc w:val="left"/>
      <w:lvlText w:val="•"/>
      <w:numFmt w:val="bullet"/>
      <w:start w:val="1"/>
    </w:lvl>
  </w:abstractNum>
  <w:abstractNum w:abstractNumId="7">
    <w:nsid w:val="17A1B582"/>
    <w:multiLevelType w:val="hybridMultilevel"/>
    <w:lvl w:ilvl="0">
      <w:lvlJc w:val="left"/>
      <w:lvlText w:val="•"/>
      <w:numFmt w:val="bullet"/>
      <w:start w:val="1"/>
    </w:lvl>
  </w:abstractNum>
  <w:abstractNum w:abstractNumId="8">
    <w:nsid w:val="4DF72E4E"/>
    <w:multiLevelType w:val="hybridMultilevel"/>
    <w:lvl w:ilvl="0">
      <w:lvlJc w:val="left"/>
      <w:lvlText w:val="•"/>
      <w:numFmt w:val="bullet"/>
      <w:start w:val="1"/>
    </w:lvl>
  </w:abstractNum>
  <w:abstractNum w:abstractNumId="9">
    <w:nsid w:val="5046B5A9"/>
    <w:multiLevelType w:val="hybridMultilevel"/>
    <w:lvl w:ilvl="0">
      <w:lvlJc w:val="left"/>
      <w:lvlText w:val="•"/>
      <w:numFmt w:val="bullet"/>
      <w:start w:val="1"/>
    </w:lvl>
  </w:abstractNum>
  <w:abstractNum w:abstractNumId="10">
    <w:nsid w:val="5D888A08"/>
    <w:multiLevelType w:val="hybridMultilevel"/>
    <w:lvl w:ilvl="0">
      <w:lvlJc w:val="left"/>
      <w:lvlText w:val="•"/>
      <w:numFmt w:val="bullet"/>
      <w:start w:val="1"/>
    </w:lvl>
  </w:abstractNum>
  <w:abstractNum w:abstractNumId="11">
    <w:nsid w:val="2A082C70"/>
    <w:multiLevelType w:val="hybridMultilevel"/>
    <w:lvl w:ilvl="0">
      <w:lvlJc w:val="left"/>
      <w:lvlText w:val="•"/>
      <w:numFmt w:val="bullet"/>
      <w:start w:val="1"/>
    </w:lvl>
  </w:abstractNum>
  <w:abstractNum w:abstractNumId="12">
    <w:nsid w:val="5EC6AFD4"/>
    <w:multiLevelType w:val="hybridMultilevel"/>
    <w:lvl w:ilvl="0">
      <w:lvlJc w:val="left"/>
      <w:lvlText w:val="•"/>
      <w:numFmt w:val="bullet"/>
      <w:start w:val="1"/>
    </w:lvl>
  </w:abstractNum>
  <w:abstractNum w:abstractNumId="13">
    <w:nsid w:val="19E21BB2"/>
    <w:multiLevelType w:val="hybridMultilevel"/>
    <w:lvl w:ilvl="0">
      <w:lvlJc w:val="left"/>
      <w:lvlText w:val="•"/>
      <w:numFmt w:val="bullet"/>
      <w:start w:val="1"/>
    </w:lvl>
  </w:abstractNum>
  <w:abstractNum w:abstractNumId="14">
    <w:nsid w:val="75E0858A"/>
    <w:multiLevelType w:val="hybridMultilevel"/>
    <w:lvl w:ilvl="0">
      <w:lvlJc w:val="left"/>
      <w:lvlText w:val="•"/>
      <w:numFmt w:val="bullet"/>
      <w:start w:val="1"/>
    </w:lvl>
  </w:abstractNum>
  <w:abstractNum w:abstractNumId="15">
    <w:nsid w:val="57A61A29"/>
    <w:multiLevelType w:val="hybridMultilevel"/>
    <w:lvl w:ilvl="0">
      <w:lvlJc w:val="left"/>
      <w:lvlText w:val="•"/>
      <w:numFmt w:val="bullet"/>
      <w:start w:val="1"/>
    </w:lvl>
  </w:abstractNum>
  <w:abstractNum w:abstractNumId="16">
    <w:nsid w:val="5399C654"/>
    <w:multiLevelType w:val="hybridMultilevel"/>
    <w:lvl w:ilvl="0">
      <w:lvlJc w:val="left"/>
      <w:lvlText w:val="•"/>
      <w:numFmt w:val="bullet"/>
      <w:start w:val="1"/>
    </w:lvl>
  </w:abstractNum>
  <w:abstractNum w:abstractNumId="17">
    <w:nsid w:val="20EE1348"/>
    <w:multiLevelType w:val="hybridMultilevel"/>
    <w:lvl w:ilvl="0">
      <w:lvlJc w:val="left"/>
      <w:lvlText w:val="•"/>
      <w:numFmt w:val="bullet"/>
      <w:start w:val="1"/>
    </w:lvl>
  </w:abstractNum>
  <w:abstractNum w:abstractNumId="18">
    <w:nsid w:val="4427069A"/>
    <w:multiLevelType w:val="hybridMultilevel"/>
    <w:lvl w:ilvl="0">
      <w:lvlJc w:val="left"/>
      <w:lvlText w:val="(%1)"/>
      <w:numFmt w:val="lowerRoman"/>
      <w:start w:val="1"/>
    </w:lvl>
  </w:abstractNum>
  <w:abstractNum w:abstractNumId="19">
    <w:nsid w:val="B37E80A"/>
    <w:multiLevelType w:val="hybridMultilevel"/>
    <w:lvl w:ilvl="0">
      <w:lvlJc w:val="left"/>
      <w:lvlText w:val="•"/>
      <w:numFmt w:val="bullet"/>
      <w:start w:val="1"/>
    </w:lvl>
  </w:abstractNum>
  <w:abstractNum w:abstractNumId="20">
    <w:nsid w:val="2157F6BC"/>
    <w:multiLevelType w:val="hybridMultilevel"/>
    <w:lvl w:ilvl="0">
      <w:lvlJc w:val="left"/>
      <w:lvlText w:val="•"/>
      <w:numFmt w:val="bullet"/>
      <w:start w:val="1"/>
    </w:lvl>
  </w:abstractNum>
  <w:abstractNum w:abstractNumId="21">
    <w:nsid w:val="704E1DD5"/>
    <w:multiLevelType w:val="hybridMultilevel"/>
    <w:lvl w:ilvl="0">
      <w:lvlJc w:val="left"/>
      <w:lvlText w:val="•"/>
      <w:numFmt w:val="bullet"/>
      <w:start w:val="1"/>
    </w:lvl>
  </w:abstractNum>
  <w:abstractNum w:abstractNumId="22">
    <w:nsid w:val="57D2F10E"/>
    <w:multiLevelType w:val="hybridMultilevel"/>
    <w:lvl w:ilvl="0">
      <w:lvlJc w:val="left"/>
      <w:lvlText w:val="(%1)"/>
      <w:numFmt w:val="decimal"/>
      <w:start w:val="1"/>
    </w:lvl>
  </w:abstractNum>
  <w:abstractNum w:abstractNumId="23">
    <w:nsid w:val="BFFAE18"/>
    <w:multiLevelType w:val="hybridMultilevel"/>
    <w:lvl w:ilvl="0">
      <w:lvlJc w:val="left"/>
      <w:lvlText w:val="(%1)"/>
      <w:numFmt w:val="decimal"/>
      <w:start w:val="1"/>
    </w:lvl>
  </w:abstractNum>
  <w:abstractNum w:abstractNumId="24">
    <w:nsid w:val="E3E47A8"/>
    <w:multiLevelType w:val="hybridMultilevel"/>
    <w:lvl w:ilvl="0">
      <w:lvlJc w:val="left"/>
      <w:lvlText w:val="•"/>
      <w:numFmt w:val="bullet"/>
      <w:start w:val="1"/>
    </w:lvl>
  </w:abstractNum>
  <w:abstractNum w:abstractNumId="25">
    <w:nsid w:val="2E48F044"/>
    <w:multiLevelType w:val="hybridMultilevel"/>
    <w:lvl w:ilvl="0">
      <w:lvlJc w:val="left"/>
      <w:lvlText w:val="•"/>
      <w:numFmt w:val="bullet"/>
      <w:start w:val="1"/>
    </w:lvl>
  </w:abstractNum>
  <w:abstractNum w:abstractNumId="26">
    <w:nsid w:val="49D0FEAC"/>
    <w:multiLevelType w:val="hybridMultilevel"/>
    <w:lvl w:ilvl="0">
      <w:lvlJc w:val="left"/>
      <w:lvlText w:val="(%1)"/>
      <w:numFmt w:val="decimal"/>
      <w:start w:val="1"/>
    </w:lvl>
  </w:abstractNum>
  <w:abstractNum w:abstractNumId="27">
    <w:nsid w:val="4BEE5A5B"/>
    <w:multiLevelType w:val="hybridMultilevel"/>
    <w:lvl w:ilvl="0">
      <w:lvlJc w:val="left"/>
      <w:lvlText w:val="(%1)"/>
      <w:numFmt w:val="decimal"/>
      <w:start w:val="1"/>
    </w:lvl>
  </w:abstractNum>
  <w:abstractNum w:abstractNumId="28">
    <w:nsid w:val="5551B9F3"/>
    <w:multiLevelType w:val="hybridMultilevel"/>
    <w:lvl w:ilvl="0">
      <w:lvlJc w:val="left"/>
      <w:lvlText w:val="•"/>
      <w:numFmt w:val="bullet"/>
      <w:start w:val="1"/>
    </w:lvl>
  </w:abstractNum>
  <w:abstractNum w:abstractNumId="29">
    <w:nsid w:val="24F6AB8E"/>
    <w:multiLevelType w:val="hybridMultilevel"/>
    <w:lvl w:ilvl="0">
      <w:lvlJc w:val="left"/>
      <w:lvlText w:val="•"/>
      <w:numFmt w:val="bullet"/>
      <w:start w:val="1"/>
    </w:lvl>
  </w:abstractNum>
  <w:abstractNum w:abstractNumId="30">
    <w:nsid w:val="634C574C"/>
    <w:multiLevelType w:val="hybridMultilevel"/>
    <w:lvl w:ilvl="0">
      <w:lvlJc w:val="left"/>
      <w:lvlText w:val="(%1)"/>
      <w:numFmt w:val="decimal"/>
      <w:start w:val="1"/>
    </w:lvl>
  </w:abstractNum>
  <w:abstractNum w:abstractNumId="31">
    <w:nsid w:val="24E99DD7"/>
    <w:multiLevelType w:val="hybridMultilevel"/>
    <w:lvl w:ilvl="0">
      <w:lvlJc w:val="left"/>
      <w:lvlText w:val="\emdash "/>
      <w:numFmt w:val="bullet"/>
      <w:start w:val="1"/>
    </w:lvl>
  </w:abstractNum>
  <w:abstractNum w:abstractNumId="32">
    <w:nsid w:val="2A31B62D"/>
    <w:multiLevelType w:val="hybridMultilevel"/>
    <w:lvl w:ilvl="0">
      <w:lvlJc w:val="left"/>
      <w:lvlText w:val="(%1)"/>
      <w:numFmt w:val="decimal"/>
      <w:start w:val="1"/>
    </w:lvl>
  </w:abstractNum>
  <w:abstractNum w:abstractNumId="33">
    <w:nsid w:val="1849C29B"/>
    <w:multiLevelType w:val="hybridMultilevel"/>
    <w:lvl w:ilvl="0">
      <w:lvlJc w:val="left"/>
      <w:lvlText w:val="(%1)"/>
      <w:numFmt w:val="decimal"/>
      <w:start w:val="1"/>
    </w:lvl>
  </w:abstractNum>
  <w:abstractNum w:abstractNumId="34">
    <w:nsid w:val="7DFF9D09"/>
    <w:multiLevelType w:val="hybridMultilevel"/>
    <w:lvl w:ilvl="0">
      <w:lvlJc w:val="left"/>
      <w:lvlText w:val="(%1)"/>
      <w:numFmt w:val="decimal"/>
      <w:start w:val="1"/>
    </w:lvl>
  </w:abstractNum>
  <w:abstractNum w:abstractNumId="35">
    <w:nsid w:val="754342"/>
    <w:multiLevelType w:val="hybridMultilevel"/>
    <w:lvl w:ilvl="0">
      <w:lvlJc w:val="left"/>
      <w:lvlText w:val="(%1)"/>
      <w:numFmt w:val="decimal"/>
      <w:start w:val="1"/>
    </w:lvl>
  </w:abstractNum>
  <w:abstractNum w:abstractNumId="36">
    <w:nsid w:val="69E7F3E5"/>
    <w:multiLevelType w:val="hybridMultilevel"/>
    <w:lvl w:ilvl="0">
      <w:lvlJc w:val="left"/>
      <w:lvlText w:val="(%1)"/>
      <w:numFmt w:val="decimal"/>
      <w:start w:val="1"/>
    </w:lvl>
  </w:abstractNum>
  <w:abstractNum w:abstractNumId="37">
    <w:nsid w:val="2A6DE806"/>
    <w:multiLevelType w:val="hybridMultilevel"/>
    <w:lvl w:ilvl="0">
      <w:lvlJc w:val="left"/>
      <w:lvlText w:val="(%1)"/>
      <w:numFmt w:val="decimal"/>
      <w:start w:val="1"/>
    </w:lvl>
  </w:abstractNum>
  <w:abstractNum w:abstractNumId="38">
    <w:nsid w:val="1816F8C4"/>
    <w:multiLevelType w:val="hybridMultilevel"/>
    <w:lvl w:ilvl="0">
      <w:lvlJc w:val="left"/>
      <w:lvlText w:val="•"/>
      <w:numFmt w:val="bullet"/>
      <w:start w:val="1"/>
    </w:lvl>
  </w:abstractNum>
  <w:abstractNum w:abstractNumId="39">
    <w:nsid w:val="37DF2233"/>
    <w:multiLevelType w:val="hybridMultilevel"/>
    <w:lvl w:ilvl="0">
      <w:lvlJc w:val="left"/>
      <w:lvlText w:val="•"/>
      <w:numFmt w:val="bullet"/>
      <w:start w:val="1"/>
    </w:lvl>
  </w:abstractNum>
  <w:abstractNum w:abstractNumId="40">
    <w:nsid w:val="7AB49DAF"/>
    <w:multiLevelType w:val="hybridMultilevel"/>
    <w:lvl w:ilvl="0">
      <w:lvlJc w:val="left"/>
      <w:lvlText w:val="%1"/>
      <w:numFmt w:val="decimal"/>
      <w:start w:val="32"/>
    </w:lvl>
  </w:abstractNum>
  <w:abstractNum w:abstractNumId="41">
    <w:nsid w:val="759F82CD"/>
    <w:multiLevelType w:val="hybridMultilevel"/>
    <w:lvl w:ilvl="0">
      <w:lvlJc w:val="left"/>
      <w:lvlText w:val="%1"/>
      <w:numFmt w:val="decimal"/>
      <w:start w:val="101"/>
    </w:lvl>
  </w:abstractNum>
  <w:abstractNum w:abstractNumId="42">
    <w:nsid w:val="61E74EA3"/>
    <w:multiLevelType w:val="hybridMultilevel"/>
    <w:lvl w:ilvl="0">
      <w:lvlJc w:val="left"/>
      <w:lvlText w:val="*"/>
      <w:numFmt w:val="bullet"/>
      <w:start w:val="1"/>
    </w:lvl>
    <w:lvl w:ilvl="1">
      <w:lvlJc w:val="left"/>
      <w:lvlText w:val="%2"/>
      <w:numFmt w:val="decimal"/>
      <w:start w:val="104"/>
    </w:lvl>
  </w:abstractNum>
  <w:abstractNum w:abstractNumId="43">
    <w:nsid w:val="597B4D84"/>
    <w:multiLevelType w:val="hybridMultilevel"/>
    <w:lvl w:ilvl="0">
      <w:lvlJc w:val="left"/>
      <w:lvlText w:val="(%1)"/>
      <w:numFmt w:val="lowerLetter"/>
      <w:start w:val="1"/>
    </w:lvl>
  </w:abstractNum>
  <w:abstractNum w:abstractNumId="44">
    <w:nsid w:val="F819E7F"/>
    <w:multiLevelType w:val="hybridMultilevel"/>
    <w:lvl w:ilvl="0">
      <w:lvlJc w:val="left"/>
      <w:lvlText w:val="%1"/>
      <w:numFmt w:val="lowerLetter"/>
      <w:start w:val="1"/>
    </w:lvl>
    <w:lvl w:ilvl="1">
      <w:lvlJc w:val="left"/>
      <w:lvlText w:val="(%2)"/>
      <w:numFmt w:val="lowerLetter"/>
      <w:start w:val="1"/>
    </w:lvl>
  </w:abstractNum>
  <w:abstractNum w:abstractNumId="45">
    <w:nsid w:val="57C7D42D"/>
    <w:multiLevelType w:val="hybridMultilevel"/>
    <w:lvl w:ilvl="0">
      <w:lvlJc w:val="left"/>
      <w:lvlText w:val="(%1)"/>
      <w:numFmt w:val="lowerLetter"/>
      <w:start w:val="35"/>
    </w:lvl>
    <w:lvl w:ilvl="1">
      <w:lvlJc w:val="left"/>
      <w:lvlText w:val="(%2)"/>
      <w:numFmt w:val="lowerLetter"/>
      <w:start w:val="4"/>
    </w:lvl>
  </w:abstractNum>
  <w:abstractNum w:abstractNumId="46">
    <w:nsid w:val="312167AD"/>
    <w:multiLevelType w:val="hybridMultilevel"/>
    <w:lvl w:ilvl="0">
      <w:lvlJc w:val="left"/>
      <w:lvlText w:val="(%1)"/>
      <w:numFmt w:val="lowerLetter"/>
      <w:start w:val="5"/>
    </w:lvl>
  </w:abstractNum>
  <w:abstractNum w:abstractNumId="47">
    <w:nsid w:val="631B64D4"/>
    <w:multiLevelType w:val="hybridMultilevel"/>
    <w:lvl w:ilvl="0">
      <w:lvlJc w:val="left"/>
      <w:lvlText w:val="(%1)"/>
      <w:numFmt w:val="lowerLetter"/>
      <w:start w:val="1"/>
    </w:lvl>
  </w:abstractNum>
  <w:abstractNum w:abstractNumId="48">
    <w:nsid w:val="78B5E776"/>
    <w:multiLevelType w:val="hybridMultilevel"/>
    <w:lvl w:ilvl="0">
      <w:lvlJc w:val="left"/>
      <w:lvlText w:val="(%1)"/>
      <w:numFmt w:val="lowerLetter"/>
      <w:start w:val="1"/>
    </w:lvl>
  </w:abstractNum>
  <w:abstractNum w:abstractNumId="49">
    <w:nsid w:val="75486E47"/>
    <w:multiLevelType w:val="hybridMultilevel"/>
    <w:lvl w:ilvl="0">
      <w:lvlJc w:val="left"/>
      <w:lvlText w:val="(%1)"/>
      <w:numFmt w:val="lowerLetter"/>
      <w:start w:val="1"/>
    </w:lvl>
    <w:lvl w:ilvl="1">
      <w:lvlJc w:val="left"/>
      <w:lvlText w:val="(%2)"/>
      <w:numFmt w:val="lowerLetter"/>
      <w:start w:val="9"/>
    </w:lvl>
  </w:abstractNum>
  <w:abstractNum w:abstractNumId="50">
    <w:nsid w:val="6E534CDE"/>
    <w:multiLevelType w:val="hybridMultilevel"/>
    <w:lvl w:ilvl="0">
      <w:lvlJc w:val="left"/>
      <w:lvlText w:val="%1"/>
      <w:numFmt w:val="lowerLetter"/>
      <w:start w:val="1"/>
    </w:lvl>
    <w:lvl w:ilvl="1">
      <w:lvlJc w:val="left"/>
      <w:lvlText w:val="(%2)"/>
      <w:numFmt w:val="lowerRoman"/>
      <w:start w:val="2"/>
    </w:lvl>
  </w:abstractNum>
  <w:abstractNum w:abstractNumId="51">
    <w:nsid w:val="1A0DDE32"/>
    <w:multiLevelType w:val="hybridMultilevel"/>
    <w:lvl w:ilvl="0">
      <w:lvlJc w:val="left"/>
      <w:lvlText w:val="(%1)"/>
      <w:numFmt w:val="lowerLetter"/>
      <w:start w:val="7"/>
    </w:lvl>
    <w:lvl w:ilvl="1">
      <w:lvlJc w:val="left"/>
      <w:lvlText w:val="%2"/>
      <w:numFmt w:val="lowerRoman"/>
      <w:start w:val="1"/>
    </w:lvl>
  </w:abstractNum>
  <w:abstractNum w:abstractNumId="52">
    <w:nsid w:val="65968C1C"/>
    <w:multiLevelType w:val="hybridMultilevel"/>
    <w:lvl w:ilvl="0">
      <w:lvlJc w:val="left"/>
      <w:lvlText w:val="(%1)"/>
      <w:numFmt w:val="lowerLetter"/>
      <w:start w:val="1"/>
    </w:lvl>
  </w:abstractNum>
  <w:abstractNum w:abstractNumId="53">
    <w:nsid w:val="46263DEC"/>
    <w:multiLevelType w:val="hybridMultilevel"/>
    <w:lvl w:ilvl="0">
      <w:lvlJc w:val="left"/>
      <w:lvlText w:val="(%1)"/>
      <w:numFmt w:val="lowerLetter"/>
      <w:start w:val="2"/>
    </w:lvl>
  </w:abstractNum>
  <w:abstractNum w:abstractNumId="54">
    <w:nsid w:val="260D8C4A"/>
    <w:multiLevelType w:val="hybridMultilevel"/>
    <w:lvl w:ilvl="0">
      <w:lvlJc w:val="left"/>
      <w:lvlText w:val="(%1)"/>
      <w:numFmt w:val="lowerLetter"/>
      <w:start w:val="1"/>
    </w:lvl>
    <w:lvl w:ilvl="1">
      <w:lvlJc w:val="left"/>
      <w:lvlText w:val="(%2)"/>
      <w:numFmt w:val="lowerRoman"/>
      <w:start w:val="1"/>
    </w:lvl>
  </w:abstractNum>
  <w:abstractNum w:abstractNumId="55">
    <w:nsid w:val="73D4D3C4"/>
    <w:multiLevelType w:val="hybridMultilevel"/>
    <w:lvl w:ilvl="0">
      <w:lvlJc w:val="left"/>
      <w:lvlText w:val="%1"/>
      <w:numFmt w:val="lowerLetter"/>
      <w:start w:val="1"/>
    </w:lvl>
    <w:lvl w:ilvl="1">
      <w:lvlJc w:val="left"/>
      <w:lvlText w:val="(%2)"/>
      <w:numFmt w:val="lowerRoman"/>
      <w:start w:val="4"/>
    </w:lvl>
  </w:abstractNum>
  <w:abstractNum w:abstractNumId="56">
    <w:nsid w:val="746F2E30"/>
    <w:multiLevelType w:val="hybridMultilevel"/>
    <w:lvl w:ilvl="0">
      <w:lvlJc w:val="left"/>
      <w:lvlText w:val="(%1)"/>
      <w:numFmt w:val="lowerLetter"/>
      <w:start w:val="2"/>
    </w:lvl>
    <w:lvl w:ilvl="1">
      <w:lvlJc w:val="left"/>
      <w:lvlText w:val="%2"/>
      <w:numFmt w:val="lowerRoman"/>
      <w:start w:val="1"/>
    </w:lvl>
  </w:abstractNum>
  <w:abstractNum w:abstractNumId="57">
    <w:nsid w:val="6FDE8AF6"/>
    <w:multiLevelType w:val="hybridMultilevel"/>
    <w:lvl w:ilvl="0">
      <w:lvlJc w:val="left"/>
      <w:lvlText w:val="%1"/>
      <w:numFmt w:val="lowerLetter"/>
      <w:start w:val="1"/>
    </w:lvl>
    <w:lvl w:ilvl="1">
      <w:lvlJc w:val="left"/>
      <w:lvlText w:val="(%2)"/>
      <w:numFmt w:val="lowerLetter"/>
      <w:start w:val="3"/>
    </w:lvl>
  </w:abstractNum>
  <w:abstractNum w:abstractNumId="58">
    <w:nsid w:val="3FC32E20"/>
    <w:multiLevelType w:val="hybridMultilevel"/>
    <w:lvl w:ilvl="0">
      <w:lvlJc w:val="left"/>
      <w:lvlText w:val="(%1)"/>
      <w:numFmt w:val="lowerLetter"/>
      <w:start w:val="61"/>
    </w:lvl>
    <w:lvl w:ilvl="1">
      <w:lvlJc w:val="left"/>
      <w:lvlText w:val="(%2)"/>
      <w:numFmt w:val="lowerLetter"/>
      <w:start w:val="4"/>
    </w:lvl>
  </w:abstractNum>
  <w:abstractNum w:abstractNumId="59">
    <w:nsid w:val="49C0E823"/>
    <w:multiLevelType w:val="hybridMultilevel"/>
    <w:lvl w:ilvl="0">
      <w:lvlJc w:val="left"/>
      <w:lvlText w:val="(%1)"/>
      <w:numFmt w:val="lowerLetter"/>
      <w:start w:val="2"/>
    </w:lvl>
  </w:abstractNum>
  <w:abstractNum w:abstractNumId="60">
    <w:nsid w:val="14D53685"/>
    <w:multiLevelType w:val="hybridMultilevel"/>
    <w:lvl w:ilvl="0">
      <w:lvlJc w:val="left"/>
      <w:lvlText w:val="(%1)"/>
      <w:numFmt w:val="lowerLetter"/>
      <w:start w:val="1"/>
    </w:lvl>
  </w:abstractNum>
  <w:abstractNum w:abstractNumId="61">
    <w:nsid w:val="230F856C"/>
    <w:multiLevelType w:val="hybridMultilevel"/>
    <w:lvl w:ilvl="0">
      <w:lvlJc w:val="left"/>
      <w:lvlText w:val="(%1)"/>
      <w:numFmt w:val="lowerLetter"/>
      <w:start w:val="1"/>
    </w:lvl>
  </w:abstractNum>
  <w:abstractNum w:abstractNumId="62">
    <w:nsid w:val="6EAA85FB"/>
    <w:multiLevelType w:val="hybridMultilevel"/>
    <w:lvl w:ilvl="0">
      <w:lvlJc w:val="left"/>
      <w:lvlText w:val="(%1)"/>
      <w:numFmt w:val="lowerLetter"/>
      <w:start w:val="1"/>
    </w:lvl>
  </w:abstractNum>
  <w:abstractNum w:abstractNumId="63">
    <w:nsid w:val="3F06ECB2"/>
    <w:multiLevelType w:val="hybridMultilevel"/>
    <w:lvl w:ilvl="0">
      <w:lvlJc w:val="left"/>
      <w:lvlText w:val="(%1)"/>
      <w:numFmt w:val="lowerLetter"/>
      <w:start w:val="1"/>
    </w:lvl>
    <w:lvl w:ilvl="1">
      <w:lvlJc w:val="left"/>
      <w:lvlText w:val="(%2)"/>
      <w:numFmt w:val="lowerRoman"/>
      <w:start w:val="1"/>
    </w:lvl>
  </w:abstractNum>
  <w:abstractNum w:abstractNumId="64">
    <w:nsid w:val="3B594807"/>
    <w:multiLevelType w:val="hybridMultilevel"/>
    <w:lvl w:ilvl="0">
      <w:lvlJc w:val="left"/>
      <w:lvlText w:val="%1"/>
      <w:numFmt w:val="lowerLetter"/>
      <w:start w:val="1"/>
    </w:lvl>
    <w:lvl w:ilvl="1">
      <w:lvlJc w:val="left"/>
      <w:lvlText w:val="(%2)"/>
      <w:numFmt w:val="lowerRoman"/>
      <w:start w:val="3"/>
    </w:lvl>
  </w:abstractNum>
  <w:abstractNum w:abstractNumId="65">
    <w:nsid w:val="6CAA2304"/>
    <w:multiLevelType w:val="hybridMultilevel"/>
    <w:lvl w:ilvl="0">
      <w:lvlJc w:val="left"/>
      <w:lvlText w:val="(%1)"/>
      <w:numFmt w:val="lowerLetter"/>
      <w:start w:val="2"/>
    </w:lvl>
    <w:lvl w:ilvl="1">
      <w:lvlJc w:val="left"/>
      <w:lvlText w:val="%2"/>
      <w:numFmt w:val="lowerRoman"/>
      <w:start w:val="1"/>
    </w:lvl>
  </w:abstractNum>
  <w:abstractNum w:abstractNumId="66">
    <w:nsid w:val="3F7C2FF4"/>
    <w:multiLevelType w:val="hybridMultilevel"/>
    <w:lvl w:ilvl="0">
      <w:lvlJc w:val="left"/>
      <w:lvlText w:val="(%1)"/>
      <w:numFmt w:val="lowerLetter"/>
      <w:start w:val="5"/>
    </w:lvl>
  </w:abstractNum>
  <w:abstractNum w:abstractNumId="67">
    <w:nsid w:val="25413BEC"/>
    <w:multiLevelType w:val="hybridMultilevel"/>
    <w:lvl w:ilvl="0">
      <w:lvlJc w:val="left"/>
      <w:lvlText w:val="(%1)"/>
      <w:numFmt w:val="lowerLetter"/>
      <w:start w:val="1"/>
    </w:lvl>
  </w:abstractNum>
  <w:abstractNum w:abstractNumId="68">
    <w:nsid w:val="17180B0B"/>
    <w:multiLevelType w:val="hybridMultilevel"/>
    <w:lvl w:ilvl="0">
      <w:lvlJc w:val="left"/>
      <w:lvlText w:val="•"/>
      <w:numFmt w:val="bullet"/>
      <w:start w:val="1"/>
    </w:lvl>
  </w:abstractNum>
  <w:abstractNum w:abstractNumId="69">
    <w:nsid w:val="579328B9"/>
    <w:multiLevelType w:val="hybridMultilevel"/>
    <w:lvl w:ilvl="0">
      <w:lvlJc w:val="left"/>
      <w:lvlText w:val="(%1)"/>
      <w:numFmt w:val="decimal"/>
      <w:start w:val="1"/>
    </w:lvl>
  </w:abstractNum>
  <w:abstractNum w:abstractNumId="70">
    <w:nsid w:val="5D205E20"/>
    <w:multiLevelType w:val="hybridMultilevel"/>
    <w:lvl w:ilvl="0">
      <w:lvlJc w:val="left"/>
      <w:lvlText w:val="(%1)"/>
      <w:numFmt w:val="decimal"/>
      <w:start w:val="1"/>
    </w:lvl>
  </w:abstractNum>
  <w:abstractNum w:abstractNumId="71">
    <w:nsid w:val="11CCA8BA"/>
    <w:multiLevelType w:val="hybridMultilevel"/>
    <w:lvl w:ilvl="0">
      <w:lvlJc w:val="left"/>
      <w:lvlText w:val="(%1)"/>
      <w:numFmt w:val="decimal"/>
      <w:start w:val="3"/>
    </w:lvl>
  </w:abstractNum>
  <w:abstractNum w:abstractNumId="72">
    <w:nsid w:val="4D32AB86"/>
    <w:multiLevelType w:val="hybridMultilevel"/>
    <w:lvl w:ilvl="0">
      <w:lvlJc w:val="left"/>
      <w:lvlText w:val="(%1)"/>
      <w:numFmt w:val="decimal"/>
      <w:start w:val="1"/>
    </w:lvl>
  </w:abstractNum>
  <w:abstractNum w:abstractNumId="73">
    <w:nsid w:val="3F07ACC3"/>
    <w:multiLevelType w:val="hybridMultilevel"/>
    <w:lvl w:ilvl="0">
      <w:lvlJc w:val="left"/>
      <w:lvlText w:val="(%1)"/>
      <w:numFmt w:val="decimal"/>
      <w:start w:val="1"/>
    </w:lvl>
  </w:abstractNum>
  <w:abstractNum w:abstractNumId="74">
    <w:nsid w:val="6B47F63E"/>
    <w:multiLevelType w:val="hybridMultilevel"/>
    <w:lvl w:ilvl="0">
      <w:lvlJc w:val="left"/>
      <w:lvlText w:val="(%1)"/>
      <w:numFmt w:val="decimal"/>
      <w:start w:val="4"/>
    </w:lvl>
  </w:abstractNum>
  <w:abstractNum w:abstractNumId="75">
    <w:nsid w:val="5CB44A05"/>
    <w:multiLevelType w:val="hybridMultilevel"/>
    <w:lvl w:ilvl="0">
      <w:lvlJc w:val="left"/>
      <w:lvlText w:val="(%1)"/>
      <w:numFmt w:val="decimal"/>
      <w:start w:val="1"/>
    </w:lvl>
  </w:abstractNum>
  <w:abstractNum w:abstractNumId="76">
    <w:nsid w:val="16CF80F1"/>
    <w:multiLevelType w:val="hybridMultilevel"/>
    <w:lvl w:ilvl="0">
      <w:lvlJc w:val="left"/>
      <w:lvlText w:val="(%1)"/>
      <w:numFmt w:val="decimal"/>
      <w:start w:val="1"/>
    </w:lvl>
  </w:abstractNum>
  <w:abstractNum w:abstractNumId="77">
    <w:nsid w:val="1C695DEC"/>
    <w:multiLevelType w:val="hybridMultilevel"/>
    <w:lvl w:ilvl="0">
      <w:lvlJc w:val="left"/>
      <w:lvlText w:val="(%1)"/>
      <w:numFmt w:val="decimal"/>
      <w:start w:val="1"/>
    </w:lvl>
  </w:abstractNum>
  <w:abstractNum w:abstractNumId="78">
    <w:nsid w:val="3FCFAED9"/>
    <w:multiLevelType w:val="hybridMultilevel"/>
    <w:lvl w:ilvl="0">
      <w:lvlJc w:val="left"/>
      <w:lvlText w:val="(%1)"/>
      <w:numFmt w:val="decimal"/>
      <w:start w:val="1"/>
    </w:lvl>
  </w:abstractNum>
  <w:abstractNum w:abstractNumId="79">
    <w:nsid w:val="F856867"/>
    <w:multiLevelType w:val="hybridMultilevel"/>
    <w:lvl w:ilvl="0">
      <w:lvlJc w:val="left"/>
      <w:lvlText w:val="(%1)"/>
      <w:numFmt w:val="decimal"/>
      <w:start w:val="1"/>
    </w:lvl>
  </w:abstractNum>
  <w:abstractNum w:abstractNumId="80">
    <w:nsid w:val="11B1CC33"/>
    <w:multiLevelType w:val="hybridMultilevel"/>
    <w:lvl w:ilvl="0">
      <w:lvlJc w:val="left"/>
      <w:lvlText w:val="(%1)"/>
      <w:numFmt w:val="lowerLetter"/>
      <w:start w:val="1"/>
    </w:lvl>
  </w:abstractNum>
  <w:abstractNum w:abstractNumId="81">
    <w:nsid w:val="2E22FBB7"/>
    <w:multiLevelType w:val="hybridMultilevel"/>
    <w:lvl w:ilvl="0">
      <w:lvlJc w:val="left"/>
      <w:lvlText w:val="(%1)"/>
      <w:numFmt w:val="decimal"/>
      <w:start w:val="1"/>
    </w:lvl>
  </w:abstractNum>
  <w:abstractNum w:abstractNumId="82">
    <w:nsid w:val="29934699"/>
    <w:multiLevelType w:val="hybridMultilevel"/>
    <w:lvl w:ilvl="0">
      <w:lvlJc w:val="left"/>
      <w:lvlText w:val="(%1)"/>
      <w:numFmt w:val="decimal"/>
      <w:start w:val="1"/>
    </w:lvl>
  </w:abstractNum>
  <w:abstractNum w:abstractNumId="83">
    <w:nsid w:val="77485850"/>
    <w:multiLevelType w:val="hybridMultilevel"/>
    <w:lvl w:ilvl="0">
      <w:lvlJc w:val="left"/>
      <w:lvlText w:val="(%1)"/>
      <w:numFmt w:val="decimal"/>
      <w:start w:val="1"/>
    </w:lvl>
  </w:abstractNum>
  <w:abstractNum w:abstractNumId="84">
    <w:nsid w:val="744939A3"/>
    <w:multiLevelType w:val="hybridMultilevel"/>
    <w:lvl w:ilvl="0">
      <w:lvlJc w:val="left"/>
      <w:lvlText w:val="(%1)"/>
      <w:numFmt w:val="decimal"/>
      <w:start w:val="2"/>
    </w:lvl>
  </w:abstractNum>
  <w:abstractNum w:abstractNumId="85">
    <w:nsid w:val="4FA0D2E3"/>
    <w:multiLevelType w:val="hybridMultilevel"/>
    <w:lvl w:ilvl="0">
      <w:lvlJc w:val="left"/>
      <w:lvlText w:val="(%1)"/>
      <w:numFmt w:val="decimal"/>
      <w:start w:val="1"/>
    </w:lvl>
  </w:abstractNum>
  <w:abstractNum w:abstractNumId="86">
    <w:nsid w:val="6B1D2C14"/>
    <w:multiLevelType w:val="hybridMultilevel"/>
    <w:lvl w:ilvl="0">
      <w:lvlJc w:val="left"/>
      <w:lvlText w:val="(%1)"/>
      <w:numFmt w:val="decimal"/>
      <w:start w:val="8"/>
    </w:lvl>
  </w:abstractNum>
  <w:abstractNum w:abstractNumId="87">
    <w:nsid w:val="68B867D3"/>
    <w:multiLevelType w:val="hybridMultilevel"/>
    <w:lvl w:ilvl="0">
      <w:lvlJc w:val="left"/>
      <w:lvlText w:val="(%1)"/>
      <w:numFmt w:val="lowerLetter"/>
      <w:start w:val="1"/>
    </w:lvl>
  </w:abstractNum>
  <w:abstractNum w:abstractNumId="88">
    <w:nsid w:val="3F7F5DD9"/>
    <w:multiLevelType w:val="hybridMultilevel"/>
    <w:lvl w:ilvl="0">
      <w:lvlJc w:val="left"/>
      <w:lvlText w:val="(%1)"/>
      <w:numFmt w:val="lowerLetter"/>
      <w:start w:val="2"/>
    </w:lvl>
  </w:abstractNum>
  <w:abstractNum w:abstractNumId="89">
    <w:nsid w:val="2AE05A34"/>
    <w:multiLevelType w:val="hybridMultilevel"/>
    <w:lvl w:ilvl="0">
      <w:lvlJc w:val="left"/>
      <w:lvlText w:val="(%1)"/>
      <w:numFmt w:val="lowerLetter"/>
      <w:start w:val="3"/>
    </w:lvl>
  </w:abstractNum>
  <w:abstractNum w:abstractNumId="90">
    <w:nsid w:val="32794FF7"/>
    <w:multiLevelType w:val="hybridMultilevel"/>
    <w:lvl w:ilvl="0">
      <w:lvlJc w:val="left"/>
      <w:lvlText w:val="(%1)"/>
      <w:numFmt w:val="lowerLetter"/>
      <w:start w:val="1"/>
    </w:lvl>
    <w:lvl w:ilvl="1">
      <w:lvlJc w:val="left"/>
      <w:lvlText w:val="(%2)"/>
      <w:numFmt w:val="decimal"/>
      <w:start w:val="1"/>
    </w:lvl>
  </w:abstractNum>
  <w:abstractNum w:abstractNumId="91">
    <w:nsid w:val="5454945E"/>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lvl w:ilvl="3">
      <w:lvlJc w:val="left"/>
      <w:lvlText w:val="(%4)"/>
      <w:numFmt w:val="lowerRoman"/>
      <w:start w:val="1"/>
    </w:lvl>
  </w:abstractNum>
  <w:abstractNum w:abstractNumId="92">
    <w:nsid w:val="4DEFDFA0"/>
    <w:multiLevelType w:val="hybridMultilevel"/>
    <w:lvl w:ilvl="0">
      <w:lvlJc w:val="left"/>
      <w:lvlText w:val="(%1)"/>
      <w:numFmt w:val="upperLetter"/>
      <w:start w:val="2"/>
    </w:lvl>
    <w:lvl w:ilvl="1">
      <w:lvlJc w:val="left"/>
      <w:lvlText w:val="(%2)"/>
      <w:numFmt w:val="lowerRoman"/>
      <w:start w:val="1"/>
    </w:lvl>
  </w:abstractNum>
  <w:abstractNum w:abstractNumId="93">
    <w:nsid w:val="2123D5F2"/>
    <w:multiLevelType w:val="hybridMultilevel"/>
    <w:lvl w:ilvl="0">
      <w:lvlJc w:val="left"/>
      <w:lvlText w:val="(%1)"/>
      <w:numFmt w:val="decimal"/>
      <w:start w:val="3"/>
    </w:lvl>
    <w:lvl w:ilvl="1">
      <w:lvlJc w:val="left"/>
      <w:lvlText w:val="(%2)"/>
      <w:numFmt w:val="upperLetter"/>
      <w:start w:val="1"/>
    </w:lvl>
  </w:abstractNum>
  <w:abstractNum w:abstractNumId="94">
    <w:nsid w:val="135B8110"/>
    <w:multiLevelType w:val="hybridMultilevel"/>
    <w:lvl w:ilvl="0">
      <w:lvlJc w:val="left"/>
      <w:lvlText w:val="(%1)"/>
      <w:numFmt w:val="decimal"/>
      <w:start w:val="2"/>
    </w:lvl>
    <w:lvl w:ilvl="1">
      <w:lvlJc w:val="left"/>
      <w:lvlText w:val="%2"/>
      <w:numFmt w:val="upperLetter"/>
      <w:start w:val="1"/>
    </w:lvl>
  </w:abstractNum>
  <w:abstractNum w:abstractNumId="95">
    <w:nsid w:val="94927A8"/>
    <w:multiLevelType w:val="hybridMultilevel"/>
    <w:lvl w:ilvl="0">
      <w:lvlJc w:val="left"/>
      <w:lvlText w:val="(%1)"/>
      <w:numFmt w:val="decimal"/>
      <w:start w:val="4"/>
    </w:lvl>
    <w:lvl w:ilvl="1">
      <w:lvlJc w:val="left"/>
      <w:lvlText w:val="(%2)"/>
      <w:numFmt w:val="upperLetter"/>
      <w:start w:val="1"/>
    </w:lvl>
  </w:abstractNum>
  <w:abstractNum w:abstractNumId="96">
    <w:nsid w:val="DCDF8F6"/>
    <w:multiLevelType w:val="hybridMultilevel"/>
    <w:lvl w:ilvl="0">
      <w:lvlJc w:val="left"/>
      <w:lvlText w:val="(%1)"/>
      <w:numFmt w:val="upperLetter"/>
      <w:start w:val="2"/>
    </w:lvl>
  </w:abstractNum>
  <w:abstractNum w:abstractNumId="97">
    <w:nsid w:val="52D7B105"/>
    <w:multiLevelType w:val="hybridMultilevel"/>
    <w:lvl w:ilvl="0">
      <w:lvlJc w:val="left"/>
      <w:lvlText w:val="(%1)"/>
      <w:numFmt w:val="lowerLetter"/>
      <w:start w:val="3"/>
    </w:lvl>
    <w:lvl w:ilvl="1">
      <w:lvlJc w:val="left"/>
      <w:lvlText w:val="(%2)"/>
      <w:numFmt w:val="decimal"/>
      <w:start w:val="1"/>
    </w:lvl>
    <w:lvl w:ilvl="2">
      <w:lvlJc w:val="left"/>
      <w:lvlText w:val="(%3)"/>
      <w:numFmt w:val="upperLetter"/>
      <w:start w:val="1"/>
    </w:lvl>
  </w:abstractNum>
  <w:abstractNum w:abstractNumId="98">
    <w:nsid w:val="2E8A6394"/>
    <w:multiLevelType w:val="hybridMultilevel"/>
    <w:lvl w:ilvl="0">
      <w:lvlJc w:val="left"/>
      <w:lvlText w:val="(%1)"/>
      <w:numFmt w:val="upperLetter"/>
      <w:start w:val="3"/>
    </w:lvl>
  </w:abstractNum>
  <w:abstractNum w:abstractNumId="99">
    <w:nsid w:val="24E60401"/>
    <w:multiLevelType w:val="hybridMultilevel"/>
    <w:lvl w:ilvl="0">
      <w:lvlJc w:val="left"/>
      <w:lvlText w:val="(%1)"/>
      <w:numFmt w:val="decimal"/>
      <w:start w:val="2"/>
    </w:lvl>
    <w:lvl w:ilvl="1">
      <w:lvlJc w:val="left"/>
      <w:lvlText w:val="(%2)"/>
      <w:numFmt w:val="upperLetter"/>
      <w:start w:val="1"/>
    </w:lvl>
  </w:abstractNum>
  <w:abstractNum w:abstractNumId="100">
    <w:nsid w:val="2A6AD9BE"/>
    <w:multiLevelType w:val="hybridMultilevel"/>
    <w:lvl w:ilvl="0">
      <w:lvlJc w:val="left"/>
      <w:lvlText w:val="(%1)"/>
      <w:numFmt w:val="upperLetter"/>
      <w:start w:val="2"/>
    </w:lvl>
  </w:abstractNum>
  <w:abstractNum w:abstractNumId="101">
    <w:nsid w:val="BAAC1B4"/>
    <w:multiLevelType w:val="hybridMultilevel"/>
    <w:lvl w:ilvl="0">
      <w:lvlJc w:val="left"/>
      <w:lvlText w:val="%1"/>
      <w:numFmt w:val="lowerLetter"/>
      <w:start w:val="1"/>
    </w:lvl>
    <w:lvl w:ilvl="1">
      <w:lvlJc w:val="left"/>
      <w:lvlText w:val="(%2)"/>
      <w:numFmt w:val="decimal"/>
      <w:start w:val="3"/>
    </w:lvl>
    <w:lvl w:ilvl="2">
      <w:lvlJc w:val="left"/>
      <w:lvlText w:val="%3"/>
      <w:numFmt w:val="upperLetter"/>
      <w:start w:val="1"/>
    </w:lvl>
  </w:abstractNum>
  <w:abstractNum w:abstractNumId="102">
    <w:nsid w:val="36B2ACBC"/>
    <w:multiLevelType w:val="hybridMultilevel"/>
    <w:lvl w:ilvl="0">
      <w:lvlJc w:val="left"/>
      <w:lvlText w:val="(%1)"/>
      <w:numFmt w:val="lowerLetter"/>
      <w:start w:val="4"/>
    </w:lvl>
    <w:lvl w:ilvl="1">
      <w:lvlJc w:val="left"/>
      <w:lvlText w:val="(%2)"/>
      <w:numFmt w:val="decimal"/>
      <w:start w:val="1"/>
    </w:lvl>
    <w:lvl w:ilvl="2">
      <w:lvlJc w:val="left"/>
      <w:lvlText w:val="(%3)"/>
      <w:numFmt w:val="upperLetter"/>
      <w:start w:val="1"/>
    </w:lvl>
  </w:abstractNum>
  <w:abstractNum w:abstractNumId="103">
    <w:nsid w:val="779D8544"/>
    <w:multiLevelType w:val="hybridMultilevel"/>
    <w:lvl w:ilvl="0">
      <w:lvlJc w:val="left"/>
      <w:lvlText w:val="(%1)"/>
      <w:numFmt w:val="upperLetter"/>
      <w:start w:val="2"/>
    </w:lvl>
  </w:abstractNum>
  <w:abstractNum w:abstractNumId="104">
    <w:nsid w:val="4AB26E78"/>
    <w:multiLevelType w:val="hybridMultilevel"/>
    <w:lvl w:ilvl="0">
      <w:lvlJc w:val="left"/>
      <w:lvlText w:val="(%1)"/>
      <w:numFmt w:val="decimal"/>
      <w:start w:val="2"/>
    </w:lvl>
    <w:lvl w:ilvl="1">
      <w:lvlJc w:val="left"/>
      <w:lvlText w:val="(%2)"/>
      <w:numFmt w:val="upperLetter"/>
      <w:start w:val="1"/>
    </w:lvl>
  </w:abstractNum>
  <w:abstractNum w:abstractNumId="105">
    <w:nsid w:val="21FAA2FA"/>
    <w:multiLevelType w:val="hybridMultilevel"/>
    <w:lvl w:ilvl="0">
      <w:lvlJc w:val="left"/>
      <w:lvlText w:val="(%1)"/>
      <w:numFmt w:val="upperLetter"/>
      <w:start w:val="2"/>
    </w:lvl>
  </w:abstractNum>
  <w:abstractNum w:abstractNumId="106">
    <w:nsid w:val="5451CF49"/>
    <w:multiLevelType w:val="hybridMultilevel"/>
    <w:lvl w:ilvl="0">
      <w:lvlJc w:val="left"/>
      <w:lvlText w:val="(%1)"/>
      <w:numFmt w:val="decimal"/>
      <w:start w:val="3"/>
    </w:lvl>
  </w:abstractNum>
  <w:abstractNum w:abstractNumId="107">
    <w:nsid w:val="6181EF69"/>
    <w:multiLevelType w:val="hybridMultilevel"/>
    <w:lvl w:ilvl="0">
      <w:lvlJc w:val="left"/>
      <w:lvlText w:val="(%1)"/>
      <w:numFmt w:val="lowerLetter"/>
      <w:start w:val="5"/>
    </w:lvl>
    <w:lvl w:ilvl="1">
      <w:lvlJc w:val="left"/>
      <w:lvlText w:val="(%2)"/>
      <w:numFmt w:val="decimal"/>
      <w:start w:val="1"/>
    </w:lvl>
  </w:abstractNum>
  <w:abstractNum w:abstractNumId="108">
    <w:nsid w:val="3E6400E6"/>
    <w:multiLevelType w:val="hybridMultilevel"/>
    <w:lvl w:ilvl="0">
      <w:lvlJc w:val="left"/>
      <w:lvlText w:val="%1"/>
      <w:numFmt w:val="decimal"/>
      <w:start w:val="1"/>
    </w:lvl>
    <w:lvl w:ilvl="1">
      <w:lvlJc w:val="left"/>
      <w:lvlText w:val="(%2)"/>
      <w:numFmt w:val="upperLetter"/>
      <w:start w:val="1"/>
    </w:lvl>
  </w:abstractNum>
  <w:abstractNum w:abstractNumId="109">
    <w:nsid w:val="14217E23"/>
    <w:multiLevelType w:val="hybridMultilevel"/>
    <w:lvl w:ilvl="0">
      <w:lvlJc w:val="left"/>
      <w:lvlText w:val="(%1)"/>
      <w:numFmt w:val="decimal"/>
      <w:start w:val="2"/>
    </w:lvl>
    <w:lvl w:ilvl="1">
      <w:lvlJc w:val="left"/>
      <w:lvlText w:val="(%2)"/>
      <w:numFmt w:val="upperLetter"/>
      <w:start w:val="1"/>
    </w:lvl>
  </w:abstractNum>
  <w:abstractNum w:abstractNumId="110">
    <w:nsid w:val="710757D0"/>
    <w:multiLevelType w:val="hybridMultilevel"/>
    <w:lvl w:ilvl="0">
      <w:lvlJc w:val="left"/>
      <w:lvlText w:val="(%1)"/>
      <w:numFmt w:val="decimal"/>
      <w:start w:val="3"/>
    </w:lvl>
  </w:abstractNum>
  <w:abstractNum w:abstractNumId="111">
    <w:nsid w:val="5015CD1A"/>
    <w:multiLevelType w:val="hybridMultilevel"/>
    <w:lvl w:ilvl="0">
      <w:lvlJc w:val="left"/>
      <w:lvlText w:val="(%1)"/>
      <w:numFmt w:val="lowerLetter"/>
      <w:start w:val="6"/>
    </w:lvl>
    <w:lvl w:ilvl="1">
      <w:lvlJc w:val="left"/>
      <w:lvlText w:val="(%2)"/>
      <w:numFmt w:val="decimal"/>
      <w:start w:val="1"/>
    </w:lvl>
  </w:abstractNum>
  <w:abstractNum w:abstractNumId="112">
    <w:nsid w:val="424479DA"/>
    <w:multiLevelType w:val="hybridMultilevel"/>
    <w:lvl w:ilvl="0">
      <w:lvlJc w:val="left"/>
      <w:lvlText w:val="(%1)"/>
      <w:numFmt w:val="upperLetter"/>
      <w:start w:val="1"/>
    </w:lvl>
  </w:abstractNum>
  <w:abstractNum w:abstractNumId="113">
    <w:nsid w:val="1A9A9E69"/>
    <w:multiLevelType w:val="hybridMultilevel"/>
    <w:lvl w:ilvl="0">
      <w:lvlJc w:val="left"/>
      <w:lvlText w:val="%1"/>
      <w:numFmt w:val="decimal"/>
      <w:start w:val="1"/>
    </w:lvl>
    <w:lvl w:ilvl="1">
      <w:lvlJc w:val="left"/>
      <w:lvlText w:val="(%2)"/>
      <w:numFmt w:val="upperLetter"/>
      <w:start w:val="2"/>
    </w:lvl>
  </w:abstractNum>
  <w:abstractNum w:abstractNumId="114">
    <w:nsid w:val="475E256A"/>
    <w:multiLevelType w:val="hybridMultilevel"/>
    <w:lvl w:ilvl="0">
      <w:lvlJc w:val="left"/>
      <w:lvlText w:val="(%1)"/>
      <w:numFmt w:val="decimal"/>
      <w:start w:val="2"/>
    </w:lvl>
    <w:lvl w:ilvl="1">
      <w:lvlJc w:val="left"/>
      <w:lvlText w:val="%2"/>
      <w:numFmt w:val="upperLetter"/>
      <w:start w:val="1"/>
    </w:lvl>
  </w:abstractNum>
  <w:abstractNum w:abstractNumId="115">
    <w:nsid w:val="368DB37E"/>
    <w:multiLevelType w:val="hybridMultilevel"/>
    <w:lvl w:ilvl="0">
      <w:lvlJc w:val="left"/>
      <w:lvlText w:val="(%1)"/>
      <w:numFmt w:val="lowerLetter"/>
      <w:start w:val="7"/>
    </w:lvl>
    <w:lvl w:ilvl="1">
      <w:lvlJc w:val="left"/>
      <w:lvlText w:val="(%2)"/>
      <w:numFmt w:val="decimal"/>
      <w:start w:val="1"/>
    </w:lvl>
  </w:abstractNum>
  <w:abstractNum w:abstractNumId="116">
    <w:nsid w:val="6A3B714C"/>
    <w:multiLevelType w:val="hybridMultilevel"/>
    <w:lvl w:ilvl="0">
      <w:lvlJc w:val="left"/>
      <w:lvlText w:val="(%1)"/>
      <w:numFmt w:val="decimal"/>
      <w:start w:val="5"/>
    </w:lvl>
    <w:lvl w:ilvl="1">
      <w:lvlJc w:val="left"/>
      <w:lvlText w:val="(%2)"/>
      <w:numFmt w:val="upperLetter"/>
      <w:start w:val="1"/>
    </w:lvl>
  </w:abstractNum>
  <w:abstractNum w:abstractNumId="117">
    <w:nsid w:val="327B517E"/>
    <w:multiLevelType w:val="hybridMultilevel"/>
    <w:lvl w:ilvl="0">
      <w:lvlJc w:val="left"/>
      <w:lvlText w:val="(%1)"/>
      <w:numFmt w:val="lowerLetter"/>
      <w:start w:val="2"/>
    </w:lvl>
  </w:abstractNum>
  <w:abstractNum w:abstractNumId="118">
    <w:nsid w:val="1F461B51"/>
    <w:multiLevelType w:val="hybridMultilevel"/>
    <w:lvl w:ilvl="0">
      <w:lvlJc w:val="left"/>
      <w:lvlText w:val="(%1)"/>
      <w:numFmt w:val="lowerLetter"/>
      <w:start w:val="1"/>
    </w:lvl>
  </w:abstractNum>
  <w:abstractNum w:abstractNumId="119">
    <w:nsid w:val="29BACF25"/>
    <w:multiLevelType w:val="hybridMultilevel"/>
    <w:lvl w:ilvl="0">
      <w:lvlJc w:val="left"/>
      <w:lvlText w:val="(%1)"/>
      <w:numFmt w:val="lowerLetter"/>
      <w:start w:val="1"/>
    </w:lvl>
  </w:abstractNum>
  <w:abstractNum w:abstractNumId="120">
    <w:nsid w:val="5D5BABB3"/>
    <w:multiLevelType w:val="hybridMultilevel"/>
    <w:lvl w:ilvl="0">
      <w:lvlJc w:val="left"/>
      <w:lvlText w:val="(%1)"/>
      <w:numFmt w:val="lowerLetter"/>
      <w:start w:val="1"/>
    </w:lvl>
  </w:abstractNum>
  <w:abstractNum w:abstractNumId="121">
    <w:nsid w:val="51BF6B48"/>
    <w:multiLevelType w:val="hybridMultilevel"/>
    <w:lvl w:ilvl="0">
      <w:lvlJc w:val="left"/>
      <w:lvlText w:val="(%1)"/>
      <w:numFmt w:val="lowerLetter"/>
      <w:start w:val="7"/>
    </w:lvl>
  </w:abstractNum>
  <w:abstractNum w:abstractNumId="122">
    <w:nsid w:val="7E0F6384"/>
    <w:multiLevelType w:val="hybridMultilevel"/>
    <w:lvl w:ilvl="0">
      <w:lvlJc w:val="left"/>
      <w:lvlText w:val="(%1)"/>
      <w:numFmt w:val="lowerLetter"/>
      <w:start w:val="1"/>
    </w:lvl>
    <w:lvl w:ilvl="1">
      <w:lvlJc w:val="left"/>
      <w:lvlText w:val="(%2)"/>
      <w:numFmt w:val="decimal"/>
      <w:start w:val="1"/>
    </w:lvl>
  </w:abstractNum>
  <w:abstractNum w:abstractNumId="123">
    <w:nsid w:val="2B4B8B53"/>
    <w:multiLevelType w:val="hybridMultilevel"/>
    <w:lvl w:ilvl="0">
      <w:lvlJc w:val="left"/>
      <w:lvlText w:val="(%1)"/>
      <w:numFmt w:val="lowerLetter"/>
      <w:start w:val="3"/>
    </w:lvl>
  </w:abstractNum>
  <w:abstractNum w:abstractNumId="124">
    <w:nsid w:val="72E3413A"/>
    <w:multiLevelType w:val="hybridMultilevel"/>
    <w:lvl w:ilvl="0">
      <w:lvlJc w:val="left"/>
      <w:lvlText w:val="(%1)"/>
      <w:numFmt w:val="lowerLetter"/>
      <w:start w:val="5"/>
    </w:lvl>
  </w:abstractNum>
  <w:abstractNum w:abstractNumId="125">
    <w:nsid w:val="116AE494"/>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126">
    <w:nsid w:val="3494B2FB"/>
    <w:multiLevelType w:val="hybridMultilevel"/>
    <w:lvl w:ilvl="0">
      <w:lvlJc w:val="left"/>
      <w:lvlText w:val="(%1)"/>
      <w:numFmt w:val="lowerRoman"/>
      <w:start w:val="1"/>
    </w:lvl>
  </w:abstractNum>
  <w:abstractNum w:abstractNumId="127">
    <w:nsid w:val="B13A31"/>
    <w:multiLevelType w:val="hybridMultilevel"/>
    <w:lvl w:ilvl="0">
      <w:lvlJc w:val="left"/>
      <w:lvlText w:val="(%1)"/>
      <w:numFmt w:val="lowerLetter"/>
      <w:start w:val="2"/>
    </w:lvl>
  </w:abstractNum>
  <w:abstractNum w:abstractNumId="128">
    <w:nsid w:val="64429599"/>
    <w:multiLevelType w:val="hybridMultilevel"/>
    <w:lvl w:ilvl="0">
      <w:lvlJc w:val="left"/>
      <w:lvlText w:val="(%1)"/>
      <w:numFmt w:val="lowerLetter"/>
      <w:start w:val="1"/>
    </w:lvl>
    <w:lvl w:ilvl="1">
      <w:lvlJc w:val="left"/>
      <w:lvlText w:val="(%2)"/>
      <w:numFmt w:val="decimal"/>
      <w:start w:val="1"/>
    </w:lvl>
  </w:abstractNum>
  <w:abstractNum w:abstractNumId="129">
    <w:nsid w:val="631F1690"/>
    <w:multiLevelType w:val="hybridMultilevel"/>
    <w:lvl w:ilvl="0">
      <w:lvlJc w:val="left"/>
      <w:lvlText w:val="(%1)"/>
      <w:numFmt w:val="lowerLetter"/>
      <w:start w:val="2"/>
    </w:lvl>
    <w:lvl w:ilvl="1">
      <w:lvlJc w:val="left"/>
      <w:lvlText w:val="(%2)"/>
      <w:numFmt w:val="decimal"/>
      <w:start w:val="1"/>
    </w:lvl>
  </w:abstractNum>
  <w:abstractNum w:abstractNumId="130">
    <w:nsid w:val="25973E32"/>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131">
    <w:nsid w:val="EAD6F57"/>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132">
    <w:nsid w:val="6EC9D844"/>
    <w:multiLevelType w:val="hybridMultilevel"/>
    <w:lvl w:ilvl="0">
      <w:lvlJc w:val="left"/>
      <w:lvlText w:val="(%1)"/>
      <w:numFmt w:val="decimal"/>
      <w:start w:val="3"/>
    </w:lvl>
    <w:lvl w:ilvl="1">
      <w:lvlJc w:val="left"/>
      <w:lvlText w:val="(%2)"/>
      <w:numFmt w:val="lowerLetter"/>
      <w:start w:val="1"/>
    </w:lvl>
  </w:abstractNum>
  <w:abstractNum w:abstractNumId="133">
    <w:nsid w:val="5C49EAEE"/>
    <w:multiLevelType w:val="hybridMultilevel"/>
    <w:lvl w:ilvl="0">
      <w:lvlJc w:val="left"/>
      <w:lvlText w:val="(%1)"/>
      <w:numFmt w:val="lowerLetter"/>
      <w:start w:val="1"/>
    </w:lvl>
  </w:abstractNum>
  <w:abstractNum w:abstractNumId="134">
    <w:nsid w:val="64AF49B"/>
    <w:multiLevelType w:val="hybridMultilevel"/>
    <w:lvl w:ilvl="0">
      <w:lvlJc w:val="left"/>
      <w:lvlText w:val="(%1)"/>
      <w:numFmt w:val="lowerLetter"/>
      <w:start w:val="1"/>
    </w:lvl>
  </w:abstractNum>
  <w:abstractNum w:abstractNumId="135">
    <w:nsid w:val="397C46BC"/>
    <w:multiLevelType w:val="hybridMultilevel"/>
    <w:lvl w:ilvl="0">
      <w:lvlJc w:val="left"/>
      <w:lvlText w:val="(%1)"/>
      <w:numFmt w:val="lowerLetter"/>
      <w:start w:val="1"/>
    </w:lvl>
  </w:abstractNum>
  <w:abstractNum w:abstractNumId="136">
    <w:nsid w:val="7E448DE9"/>
    <w:multiLevelType w:val="hybridMultilevel"/>
    <w:lvl w:ilvl="0">
      <w:lvlJc w:val="left"/>
      <w:lvlText w:val="(%1)"/>
      <w:numFmt w:val="decimal"/>
      <w:start w:val="1"/>
    </w:lvl>
  </w:abstractNum>
  <w:abstractNum w:abstractNumId="137">
    <w:nsid w:val="5A9CC3E5"/>
    <w:multiLevelType w:val="hybridMultilevel"/>
    <w:lvl w:ilvl="0">
      <w:lvlJc w:val="left"/>
      <w:lvlText w:val="(%1)"/>
      <w:numFmt w:val="lowerLetter"/>
      <w:start w:val="2"/>
    </w:lvl>
    <w:lvl w:ilvl="1">
      <w:lvlJc w:val="left"/>
      <w:lvlText w:val="(%2)"/>
      <w:numFmt w:val="decimal"/>
      <w:start w:val="1"/>
    </w:lvl>
  </w:abstractNum>
  <w:abstractNum w:abstractNumId="138">
    <w:nsid w:val="1AFE3625"/>
    <w:multiLevelType w:val="hybridMultilevel"/>
    <w:lvl w:ilvl="0">
      <w:lvlJc w:val="left"/>
      <w:lvlText w:val="(%1)"/>
      <w:numFmt w:val="decimal"/>
      <w:start w:val="3"/>
    </w:lvl>
  </w:abstractNum>
  <w:abstractNum w:abstractNumId="139">
    <w:nsid w:val="3CA88ECF"/>
    <w:multiLevelType w:val="hybridMultilevel"/>
    <w:lvl w:ilvl="0">
      <w:lvlJc w:val="left"/>
      <w:lvlText w:val="(%1)"/>
      <w:numFmt w:val="lowerLetter"/>
      <w:start w:val="3"/>
    </w:lvl>
  </w:abstractNum>
  <w:abstractNum w:abstractNumId="140">
    <w:nsid w:val="6EBE4208"/>
    <w:multiLevelType w:val="hybridMultilevel"/>
    <w:lvl w:ilvl="0">
      <w:lvlJc w:val="left"/>
      <w:lvlText w:val="(%1)"/>
      <w:numFmt w:val="lowerLetter"/>
      <w:start w:val="1"/>
    </w:lvl>
  </w:abstractNum>
  <w:abstractNum w:abstractNumId="141">
    <w:nsid w:val="C058DF5"/>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142">
    <w:nsid w:val="CBE5BE9"/>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1"/>
    </w:lvl>
    <w:lvl w:ilvl="3">
      <w:lvlJc w:val="left"/>
      <w:lvlText w:val="(%4)"/>
      <w:numFmt w:val="upperLetter"/>
      <w:start w:val="2"/>
    </w:lvl>
  </w:abstractNum>
  <w:abstractNum w:abstractNumId="143">
    <w:nsid w:val="3102BBE2"/>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2"/>
    </w:lvl>
    <w:lvl w:ilvl="3">
      <w:lvlJc w:val="left"/>
      <w:lvlText w:val="%4"/>
      <w:numFmt w:val="upperLetter"/>
      <w:start w:val="1"/>
    </w:lvl>
  </w:abstractNum>
  <w:abstractNum w:abstractNumId="144">
    <w:nsid w:val="26A02C5E"/>
    <w:multiLevelType w:val="hybridMultilevel"/>
    <w:lvl w:ilvl="0">
      <w:lvlJc w:val="left"/>
      <w:lvlText w:val="%1"/>
      <w:numFmt w:val="upperLetter"/>
      <w:start w:val="1"/>
    </w:lvl>
    <w:lvl w:ilvl="1">
      <w:lvlJc w:val="left"/>
      <w:lvlText w:val="(%2)"/>
      <w:numFmt w:val="lowerLetter"/>
      <w:start w:val="3"/>
    </w:lvl>
    <w:lvl w:ilvl="2">
      <w:lvlJc w:val="left"/>
      <w:lvlText w:val="%3"/>
      <w:numFmt w:val="decimal"/>
      <w:start w:val="1"/>
    </w:lvl>
    <w:lvl w:ilvl="3">
      <w:lvlJc w:val="left"/>
      <w:lvlText w:val="%4"/>
      <w:numFmt w:val="upperLetter"/>
      <w:start w:val="1"/>
    </w:lvl>
  </w:abstractNum>
  <w:abstractNum w:abstractNumId="145">
    <w:nsid w:val="541C8153"/>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1"/>
    </w:lvl>
    <w:lvl w:ilvl="3">
      <w:lvlJc w:val="left"/>
      <w:lvlText w:val="%4"/>
      <w:numFmt w:val="upperLetter"/>
      <w:start w:val="1"/>
    </w:lvl>
  </w:abstractNum>
  <w:abstractNum w:abstractNumId="146">
    <w:nsid w:val="67906F60"/>
    <w:multiLevelType w:val="hybridMultilevel"/>
    <w:lvl w:ilvl="0">
      <w:lvlJc w:val="left"/>
      <w:lvlText w:val="(%1)"/>
      <w:numFmt w:val="lowerLetter"/>
      <w:start w:val="4"/>
    </w:lvl>
  </w:abstractNum>
  <w:abstractNum w:abstractNumId="147">
    <w:nsid w:val="10DB9DAA"/>
    <w:multiLevelType w:val="hybridMultilevel"/>
    <w:lvl w:ilvl="0">
      <w:lvlJc w:val="left"/>
      <w:lvlText w:val="%1"/>
      <w:numFmt w:val="lowerLetter"/>
      <w:start w:val="1"/>
    </w:lvl>
    <w:lvl w:ilvl="1">
      <w:lvlJc w:val="left"/>
      <w:lvlText w:val="(%2)"/>
      <w:numFmt w:val="decimal"/>
      <w:start w:val="1"/>
    </w:lvl>
  </w:abstractNum>
  <w:abstractNum w:abstractNumId="148">
    <w:nsid w:val="697D2D2"/>
    <w:multiLevelType w:val="hybridMultilevel"/>
    <w:lvl w:ilvl="0">
      <w:lvlJc w:val="left"/>
      <w:lvlText w:val="(%1)"/>
      <w:numFmt w:val="lowerLetter"/>
      <w:start w:val="2"/>
    </w:lvl>
    <w:lvl w:ilvl="1">
      <w:lvlJc w:val="left"/>
      <w:lvlText w:val="(%2)"/>
      <w:numFmt w:val="decimal"/>
      <w:start w:val="1"/>
    </w:lvl>
  </w:abstractNum>
  <w:abstractNum w:abstractNumId="149">
    <w:nsid w:val="6D68AB2"/>
    <w:multiLevelType w:val="hybridMultilevel"/>
    <w:lvl w:ilvl="0">
      <w:lvlJc w:val="left"/>
      <w:lvlText w:val="(%1)"/>
      <w:numFmt w:val="lowerLetter"/>
      <w:start w:val="3"/>
    </w:lvl>
  </w:abstractNum>
  <w:abstractNum w:abstractNumId="150">
    <w:nsid w:val="3A966CD0"/>
    <w:multiLevelType w:val="hybridMultilevel"/>
    <w:lvl w:ilvl="0">
      <w:lvlJc w:val="left"/>
      <w:lvlText w:val="(%1)"/>
      <w:numFmt w:val="decimal"/>
      <w:start w:val="1"/>
    </w:lvl>
  </w:abstractNum>
  <w:abstractNum w:abstractNumId="151">
    <w:nsid w:val="63F37E85"/>
    <w:multiLevelType w:val="hybridMultilevel"/>
    <w:lvl w:ilvl="0">
      <w:lvlJc w:val="left"/>
      <w:lvlText w:val="(%1)"/>
      <w:numFmt w:val="lowerLetter"/>
      <w:start w:val="1"/>
    </w:lvl>
    <w:lvl w:ilvl="1">
      <w:lvlJc w:val="left"/>
      <w:lvlText w:val="(%2)"/>
      <w:numFmt w:val="decimal"/>
      <w:start w:val="1"/>
    </w:lvl>
  </w:abstractNum>
  <w:abstractNum w:abstractNumId="152">
    <w:nsid w:val="5895F5FA"/>
    <w:multiLevelType w:val="hybridMultilevel"/>
    <w:lvl w:ilvl="0">
      <w:lvlJc w:val="left"/>
      <w:lvlText w:val="%1"/>
      <w:numFmt w:val="lowerLetter"/>
      <w:start w:val="1"/>
    </w:lvl>
    <w:lvl w:ilvl="1">
      <w:lvlJc w:val="left"/>
      <w:lvlText w:val="(%2)"/>
      <w:numFmt w:val="decimal"/>
      <w:start w:val="2"/>
    </w:lvl>
  </w:abstractNum>
  <w:abstractNum w:abstractNumId="153">
    <w:nsid w:val="38A5D054"/>
    <w:multiLevelType w:val="hybridMultilevel"/>
    <w:lvl w:ilvl="0">
      <w:lvlJc w:val="left"/>
      <w:lvlText w:val="(%1)"/>
      <w:numFmt w:val="lowerLetter"/>
      <w:start w:val="4"/>
    </w:lvl>
    <w:lvl w:ilvl="1">
      <w:lvlJc w:val="left"/>
      <w:lvlText w:val="(%2)"/>
      <w:numFmt w:val="decimal"/>
      <w:start w:val="1"/>
    </w:lvl>
  </w:abstractNum>
  <w:abstractNum w:abstractNumId="154">
    <w:nsid w:val="F3F09D8"/>
    <w:multiLevelType w:val="hybridMultilevel"/>
    <w:lvl w:ilvl="0">
      <w:lvlJc w:val="left"/>
      <w:lvlText w:val="(%1)"/>
      <w:numFmt w:val="lowerLetter"/>
      <w:start w:val="8"/>
    </w:lvl>
    <w:lvl w:ilvl="1">
      <w:lvlJc w:val="left"/>
      <w:lvlText w:val="(%2)"/>
      <w:numFmt w:val="decimal"/>
      <w:start w:val="1"/>
    </w:lvl>
  </w:abstractNum>
  <w:abstractNum w:abstractNumId="155">
    <w:nsid w:val="4B793735"/>
    <w:multiLevelType w:val="hybridMultilevel"/>
    <w:lvl w:ilvl="0">
      <w:lvlJc w:val="left"/>
      <w:lvlText w:val="(%1)"/>
      <w:numFmt w:val="lowerLetter"/>
      <w:start w:val="2"/>
    </w:lvl>
  </w:abstractNum>
  <w:abstractNum w:abstractNumId="156">
    <w:nsid w:val="4A10B4E8"/>
    <w:multiLevelType w:val="hybridMultilevel"/>
    <w:lvl w:ilvl="0">
      <w:lvlJc w:val="left"/>
      <w:lvlText w:val="(%1)"/>
      <w:numFmt w:val="lowerLetter"/>
      <w:start w:val="1"/>
    </w:lvl>
    <w:lvl w:ilvl="1">
      <w:lvlJc w:val="left"/>
      <w:lvlText w:val="(%2)"/>
      <w:numFmt w:val="decimal"/>
      <w:start w:val="1"/>
    </w:lvl>
  </w:abstractNum>
  <w:abstractNum w:abstractNumId="157">
    <w:nsid w:val="43D3BCD4"/>
    <w:multiLevelType w:val="hybridMultilevel"/>
    <w:lvl w:ilvl="0">
      <w:lvlJc w:val="left"/>
      <w:lvlText w:val="(%1)"/>
      <w:numFmt w:val="lowerLetter"/>
      <w:start w:val="4"/>
    </w:lvl>
  </w:abstractNum>
  <w:abstractNum w:abstractNumId="158">
    <w:nsid w:val="4C2A7166"/>
    <w:multiLevelType w:val="hybridMultilevel"/>
    <w:lvl w:ilvl="0">
      <w:lvlJc w:val="left"/>
      <w:lvlText w:val="(%1)"/>
      <w:numFmt w:val="lowerLetter"/>
      <w:start w:val="1"/>
    </w:lvl>
  </w:abstractNum>
  <w:abstractNum w:abstractNumId="159">
    <w:nsid w:val="2E534A82"/>
    <w:multiLevelType w:val="hybridMultilevel"/>
    <w:lvl w:ilvl="0">
      <w:lvlJc w:val="left"/>
      <w:lvlText w:val="(%1)"/>
      <w:numFmt w:val="lowerLetter"/>
      <w:start w:val="7"/>
    </w:lvl>
  </w:abstractNum>
  <w:abstractNum w:abstractNumId="160">
    <w:nsid w:val="26F2D364"/>
    <w:multiLevelType w:val="hybridMultilevel"/>
    <w:lvl w:ilvl="0">
      <w:lvlJc w:val="left"/>
      <w:lvlText w:val="(%1)"/>
      <w:numFmt w:val="lowerLetter"/>
      <w:start w:val="1"/>
    </w:lvl>
  </w:abstractNum>
  <w:abstractNum w:abstractNumId="161">
    <w:nsid w:val="71C1AF98"/>
    <w:multiLevelType w:val="hybridMultilevel"/>
    <w:lvl w:ilvl="0">
      <w:lvlJc w:val="left"/>
      <w:lvlText w:val="(%1)"/>
      <w:numFmt w:val="lowerLetter"/>
      <w:start w:val="2"/>
    </w:lvl>
  </w:abstractNum>
  <w:abstractNum w:abstractNumId="162">
    <w:nsid w:val="3D00B9D9"/>
    <w:multiLevelType w:val="hybridMultilevel"/>
    <w:lvl w:ilvl="0">
      <w:lvlJc w:val="left"/>
      <w:lvlText w:val="(%1)"/>
      <w:numFmt w:val="lowerLetter"/>
      <w:start w:val="1"/>
    </w:lvl>
    <w:lvl w:ilvl="1">
      <w:lvlJc w:val="left"/>
      <w:lvlText w:val="(%2)"/>
      <w:numFmt w:val="decimal"/>
      <w:start w:val="1"/>
    </w:lvl>
  </w:abstractNum>
  <w:abstractNum w:abstractNumId="163">
    <w:nsid w:val="15BCABA8"/>
    <w:multiLevelType w:val="hybridMultilevel"/>
    <w:lvl w:ilvl="0">
      <w:lvlJc w:val="left"/>
      <w:lvlText w:val="%1"/>
      <w:numFmt w:val="lowerLetter"/>
      <w:start w:val="1"/>
    </w:lvl>
    <w:lvl w:ilvl="1">
      <w:lvlJc w:val="left"/>
      <w:lvlText w:val="(%2)"/>
      <w:numFmt w:val="decimal"/>
      <w:start w:val="3"/>
    </w:lvl>
  </w:abstractNum>
  <w:abstractNum w:abstractNumId="164">
    <w:nsid w:val="4E0B9A87"/>
    <w:multiLevelType w:val="hybridMultilevel"/>
    <w:lvl w:ilvl="0">
      <w:lvlJc w:val="left"/>
      <w:lvlText w:val="(%1)"/>
      <w:numFmt w:val="lowerLetter"/>
      <w:start w:val="3"/>
    </w:lvl>
    <w:lvl w:ilvl="1">
      <w:lvlJc w:val="left"/>
      <w:lvlText w:val="%2"/>
      <w:numFmt w:val="decimal"/>
      <w:start w:val="1"/>
    </w:lvl>
  </w:abstractNum>
  <w:abstractNum w:abstractNumId="165">
    <w:nsid w:val="434BAE75"/>
    <w:multiLevelType w:val="hybridMultilevel"/>
    <w:lvl w:ilvl="0">
      <w:lvlJc w:val="left"/>
      <w:lvlText w:val="(%1)"/>
      <w:numFmt w:val="lowerLetter"/>
      <w:start w:val="1"/>
    </w:lvl>
  </w:abstractNum>
  <w:abstractNum w:abstractNumId="166">
    <w:nsid w:val="4F38F265"/>
    <w:multiLevelType w:val="hybridMultilevel"/>
    <w:lvl w:ilvl="0">
      <w:lvlJc w:val="left"/>
      <w:lvlText w:val="(%1)"/>
      <w:numFmt w:val="lowerLetter"/>
      <w:start w:val="1"/>
    </w:lvl>
  </w:abstractNum>
  <w:abstractNum w:abstractNumId="167">
    <w:nsid w:val="4C502870"/>
    <w:multiLevelType w:val="hybridMultilevel"/>
    <w:lvl w:ilvl="0">
      <w:lvlJc w:val="left"/>
      <w:lvlText w:val="(%1)"/>
      <w:numFmt w:val="lowerLetter"/>
      <w:start w:val="3"/>
    </w:lvl>
  </w:abstractNum>
  <w:abstractNum w:abstractNumId="168">
    <w:nsid w:val="1DE8725A"/>
    <w:multiLevelType w:val="hybridMultilevel"/>
    <w:lvl w:ilvl="0">
      <w:lvlJc w:val="left"/>
      <w:lvlText w:val="(%1)"/>
      <w:numFmt w:val="lowerLetter"/>
      <w:start w:val="1"/>
    </w:lvl>
  </w:abstractNum>
  <w:abstractNum w:abstractNumId="169">
    <w:nsid w:val="6A37288A"/>
    <w:multiLevelType w:val="hybridMultilevel"/>
    <w:lvl w:ilvl="0">
      <w:lvlJc w:val="left"/>
      <w:lvlText w:val="(%1)"/>
      <w:numFmt w:val="lowerLetter"/>
      <w:start w:val="9"/>
    </w:lvl>
  </w:abstractNum>
  <w:abstractNum w:abstractNumId="170">
    <w:nsid w:val="8F8B73F"/>
    <w:multiLevelType w:val="hybridMultilevel"/>
    <w:lvl w:ilvl="0">
      <w:lvlJc w:val="left"/>
      <w:lvlText w:val="(%1)"/>
      <w:numFmt w:val="lowerLetter"/>
      <w:start w:val="1"/>
    </w:lvl>
  </w:abstractNum>
  <w:abstractNum w:abstractNumId="171">
    <w:nsid w:val="CA6B462"/>
    <w:multiLevelType w:val="hybridMultilevel"/>
    <w:lvl w:ilvl="0">
      <w:lvlJc w:val="left"/>
      <w:lvlText w:val="(%1)"/>
      <w:numFmt w:val="lowerLetter"/>
      <w:start w:val="1"/>
    </w:lvl>
    <w:lvl w:ilvl="1">
      <w:lvlJc w:val="left"/>
      <w:lvlText w:val="(%2)"/>
      <w:numFmt w:val="decimal"/>
      <w:start w:val="1"/>
    </w:lvl>
  </w:abstractNum>
  <w:abstractNum w:abstractNumId="172">
    <w:nsid w:val="763CB680"/>
    <w:multiLevelType w:val="hybridMultilevel"/>
    <w:lvl w:ilvl="0">
      <w:lvlJc w:val="left"/>
      <w:lvlText w:val="(%1)"/>
      <w:numFmt w:val="lowerLetter"/>
      <w:start w:val="1"/>
    </w:lvl>
  </w:abstractNum>
  <w:abstractNum w:abstractNumId="173">
    <w:nsid w:val="15B71329"/>
    <w:multiLevelType w:val="hybridMultilevel"/>
    <w:lvl w:ilvl="0">
      <w:lvlJc w:val="left"/>
      <w:lvlText w:val="(%1)"/>
      <w:numFmt w:val="lowerLetter"/>
      <w:start w:val="1"/>
    </w:lvl>
  </w:abstractNum>
  <w:abstractNum w:abstractNumId="174">
    <w:nsid w:val="3DA97044"/>
    <w:multiLevelType w:val="hybridMultilevel"/>
    <w:lvl w:ilvl="0">
      <w:lvlJc w:val="left"/>
      <w:lvlText w:val="(%1)"/>
      <w:numFmt w:val="lowerLetter"/>
      <w:start w:val="1"/>
    </w:lvl>
  </w:abstractNum>
  <w:abstractNum w:abstractNumId="175">
    <w:nsid w:val="1CDCE2DE"/>
    <w:multiLevelType w:val="hybridMultilevel"/>
    <w:lvl w:ilvl="0">
      <w:lvlJc w:val="left"/>
      <w:lvlText w:val="(%1)"/>
      <w:numFmt w:val="decimal"/>
      <w:start w:val="1"/>
    </w:lvl>
  </w:abstractNum>
  <w:abstractNum w:abstractNumId="176">
    <w:nsid w:val="69D3947C"/>
    <w:multiLevelType w:val="hybridMultilevel"/>
    <w:lvl w:ilvl="0">
      <w:lvlJc w:val="left"/>
      <w:lvlText w:val="(%1)"/>
      <w:numFmt w:val="decimal"/>
      <w:start w:val="2"/>
    </w:lvl>
  </w:abstractNum>
  <w:abstractNum w:abstractNumId="177">
    <w:nsid w:val="2539DFA5"/>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78">
    <w:nsid w:val="2DB88089"/>
    <w:multiLevelType w:val="hybridMultilevel"/>
    <w:lvl w:ilvl="0">
      <w:lvlJc w:val="left"/>
      <w:lvlText w:val="(%1)"/>
      <w:numFmt w:val="lowerLetter"/>
      <w:start w:val="2"/>
    </w:lvl>
    <w:lvl w:ilvl="1">
      <w:lvlJc w:val="left"/>
      <w:lvlText w:val="(%2)"/>
      <w:numFmt w:val="lowerRoman"/>
      <w:start w:val="1"/>
    </w:lvl>
  </w:abstractNum>
  <w:abstractNum w:abstractNumId="179">
    <w:nsid w:val="706B674E"/>
    <w:multiLevelType w:val="hybridMultilevel"/>
    <w:lvl w:ilvl="0">
      <w:lvlJc w:val="left"/>
      <w:lvlText w:val="(%1)"/>
      <w:numFmt w:val="lowerLetter"/>
      <w:start w:val="3"/>
    </w:lvl>
  </w:abstractNum>
  <w:abstractNum w:abstractNumId="180">
    <w:nsid w:val="2C106A57"/>
    <w:multiLevelType w:val="hybridMultilevel"/>
    <w:lvl w:ilvl="0">
      <w:lvlJc w:val="left"/>
      <w:lvlText w:val="(%1)"/>
      <w:numFmt w:val="lowerLetter"/>
      <w:start w:val="5"/>
    </w:lvl>
  </w:abstractNum>
  <w:abstractNum w:abstractNumId="181">
    <w:nsid w:val="684EED59"/>
    <w:multiLevelType w:val="hybridMultilevel"/>
    <w:lvl w:ilvl="0">
      <w:lvlJc w:val="left"/>
      <w:lvlText w:val="(%1)"/>
      <w:numFmt w:val="decimal"/>
      <w:start w:val="6"/>
    </w:lvl>
  </w:abstractNum>
  <w:abstractNum w:abstractNumId="182">
    <w:nsid w:val="545EE5D3"/>
    <w:multiLevelType w:val="hybridMultilevel"/>
    <w:lvl w:ilvl="0">
      <w:lvlJc w:val="left"/>
      <w:lvlText w:val="(%1)"/>
      <w:numFmt w:val="lowerLetter"/>
      <w:start w:val="1"/>
    </w:lvl>
  </w:abstractNum>
  <w:abstractNum w:abstractNumId="183">
    <w:nsid w:val="4A66051"/>
    <w:multiLevelType w:val="hybridMultilevel"/>
    <w:lvl w:ilvl="0">
      <w:lvlJc w:val="left"/>
      <w:lvlText w:val="(%1)"/>
      <w:numFmt w:val="decimal"/>
      <w:start w:val="8"/>
    </w:lvl>
    <w:lvl w:ilvl="1">
      <w:lvlJc w:val="left"/>
      <w:lvlText w:val="(%2)"/>
      <w:numFmt w:val="lowerLetter"/>
      <w:start w:val="1"/>
    </w:lvl>
  </w:abstractNum>
  <w:abstractNum w:abstractNumId="184">
    <w:nsid w:val="20F4BDAD"/>
    <w:multiLevelType w:val="hybridMultilevel"/>
    <w:lvl w:ilvl="0">
      <w:lvlJc w:val="left"/>
      <w:lvlText w:val="(%1)"/>
      <w:numFmt w:val="lowerLetter"/>
      <w:start w:val="1"/>
    </w:lvl>
  </w:abstractNum>
  <w:abstractNum w:abstractNumId="185">
    <w:nsid w:val="639DEFAC"/>
    <w:multiLevelType w:val="hybridMultilevel"/>
    <w:lvl w:ilvl="0">
      <w:lvlJc w:val="left"/>
      <w:lvlText w:val="%1"/>
      <w:numFmt w:val="lowerRoman"/>
      <w:start w:val="1"/>
    </w:lvl>
    <w:lvl w:ilvl="1">
      <w:lvlJc w:val="left"/>
      <w:lvlText w:val="(%2)"/>
      <w:numFmt w:val="decimal"/>
      <w:start w:val="9"/>
    </w:lvl>
  </w:abstractNum>
  <w:abstractNum w:abstractNumId="186">
    <w:nsid w:val="501F9786"/>
    <w:multiLevelType w:val="hybridMultilevel"/>
    <w:lvl w:ilvl="0">
      <w:lvlJc w:val="left"/>
      <w:lvlText w:val="(%1)"/>
      <w:numFmt w:val="lowerRoman"/>
      <w:start w:val="1"/>
    </w:lvl>
    <w:lvl w:ilvl="1">
      <w:lvlJc w:val="left"/>
      <w:lvlText w:val="(%2)"/>
      <w:numFmt w:val="decimal"/>
      <w:start w:val="11"/>
    </w:lvl>
  </w:abstractNum>
  <w:abstractNum w:abstractNumId="187">
    <w:nsid w:val="6B057295"/>
    <w:multiLevelType w:val="hybridMultilevel"/>
    <w:lvl w:ilvl="0">
      <w:lvlJc w:val="left"/>
      <w:lvlText w:val="%1"/>
      <w:numFmt w:val="lowerLetter"/>
      <w:start w:val="1"/>
    </w:lvl>
    <w:lvl w:ilvl="1">
      <w:lvlJc w:val="left"/>
      <w:lvlText w:val="(%2)"/>
      <w:numFmt w:val="decimal"/>
      <w:start w:val="12"/>
    </w:lvl>
    <w:lvl w:ilvl="2">
      <w:lvlJc w:val="left"/>
      <w:lvlText w:val="(%3)"/>
      <w:numFmt w:val="lowerLetter"/>
      <w:start w:val="1"/>
    </w:lvl>
  </w:abstractNum>
  <w:abstractNum w:abstractNumId="188">
    <w:nsid w:val="2771AC80"/>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3"/>
    </w:lvl>
  </w:abstractNum>
  <w:abstractNum w:abstractNumId="189">
    <w:nsid w:val="1C4A08EC"/>
    <w:multiLevelType w:val="hybridMultilevel"/>
    <w:lvl w:ilvl="0">
      <w:lvlJc w:val="left"/>
      <w:lvlText w:val="(%1)"/>
      <w:numFmt w:val="lowerRoman"/>
      <w:start w:val="5"/>
    </w:lvl>
    <w:lvl w:ilvl="1">
      <w:lvlJc w:val="left"/>
      <w:lvlText w:val="%2"/>
      <w:numFmt w:val="decimal"/>
      <w:start w:val="1"/>
    </w:lvl>
  </w:abstractNum>
  <w:abstractNum w:abstractNumId="190">
    <w:nsid w:val="1958BD17"/>
    <w:multiLevelType w:val="hybridMultilevel"/>
    <w:lvl w:ilvl="0">
      <w:lvlJc w:val="left"/>
      <w:lvlText w:val="(%1)"/>
      <w:numFmt w:val="lowerRoman"/>
      <w:start w:val="9"/>
    </w:lvl>
    <w:lvl w:ilvl="1">
      <w:lvlJc w:val="left"/>
      <w:lvlText w:val="(%2)"/>
      <w:numFmt w:val="decimal"/>
      <w:start w:val="14"/>
    </w:lvl>
  </w:abstractNum>
  <w:abstractNum w:abstractNumId="191">
    <w:nsid w:val="4E647FE4"/>
    <w:multiLevelType w:val="hybridMultilevel"/>
    <w:lvl w:ilvl="0">
      <w:lvlJc w:val="left"/>
      <w:lvlText w:val="(%1)"/>
      <w:numFmt w:val="decimal"/>
      <w:start w:val="15"/>
    </w:lvl>
  </w:abstractNum>
  <w:abstractNum w:abstractNumId="192">
    <w:nsid w:val="E0BB885"/>
    <w:multiLevelType w:val="hybridMultilevel"/>
    <w:lvl w:ilvl="0">
      <w:lvlJc w:val="left"/>
      <w:lvlText w:val="(%1)"/>
      <w:numFmt w:val="decimal"/>
      <w:start w:val="17"/>
    </w:lvl>
  </w:abstractNum>
  <w:abstractNum w:abstractNumId="193">
    <w:nsid w:val="565976F1"/>
    <w:multiLevelType w:val="hybridMultilevel"/>
    <w:lvl w:ilvl="0">
      <w:lvlJc w:val="left"/>
      <w:lvlText w:val="*"/>
      <w:numFmt w:val="bullet"/>
      <w:start w:val="1"/>
    </w:lvl>
  </w:abstractNum>
  <w:abstractNum w:abstractNumId="194">
    <w:nsid w:val="64212B8C"/>
    <w:multiLevelType w:val="hybridMultilevel"/>
    <w:lvl w:ilvl="0">
      <w:lvlJc w:val="left"/>
      <w:lvlText w:val="%1."/>
      <w:numFmt w:val="decimal"/>
      <w:start w:val="1"/>
    </w:lvl>
  </w:abstractNum>
  <w:abstractNum w:abstractNumId="195">
    <w:nsid w:val="5C17530C"/>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196">
    <w:nsid w:val="19A52566"/>
    <w:multiLevelType w:val="hybridMultilevel"/>
    <w:lvl w:ilvl="0">
      <w:lvlJc w:val="left"/>
      <w:lvlText w:val="(%1)"/>
      <w:numFmt w:val="lowerLetter"/>
      <w:start w:val="25"/>
    </w:lvl>
    <w:lvl w:ilvl="1">
      <w:lvlJc w:val="left"/>
      <w:lvlText w:val="%2."/>
      <w:numFmt w:val="decimal"/>
      <w:start w:val="3"/>
    </w:lvl>
    <w:lvl w:ilvl="2">
      <w:lvlJc w:val="left"/>
      <w:lvlText w:val="(%3)"/>
      <w:numFmt w:val="lowerLetter"/>
      <w:start w:val="1"/>
    </w:lvl>
  </w:abstractNum>
  <w:abstractNum w:abstractNumId="197">
    <w:nsid w:val="335A1DF1"/>
    <w:multiLevelType w:val="hybridMultilevel"/>
    <w:lvl w:ilvl="0">
      <w:lvlJc w:val="left"/>
      <w:lvlText w:val="(%1)"/>
      <w:numFmt w:val="lowerLetter"/>
      <w:start w:val="2"/>
    </w:lvl>
  </w:abstractNum>
  <w:abstractNum w:abstractNumId="198">
    <w:nsid w:val="28677B7C"/>
    <w:multiLevelType w:val="hybridMultilevel"/>
    <w:lvl w:ilvl="0">
      <w:lvlJc w:val="left"/>
      <w:lvlText w:val="%1"/>
      <w:numFmt w:val="decimal"/>
      <w:start w:val="1"/>
    </w:lvl>
    <w:lvl w:ilvl="1">
      <w:lvlJc w:val="left"/>
      <w:lvlText w:val="(%2)"/>
      <w:numFmt w:val="lowerLetter"/>
      <w:start w:val="3"/>
    </w:lvl>
  </w:abstractNum>
  <w:abstractNum w:abstractNumId="199">
    <w:nsid w:val="378D97C0"/>
    <w:multiLevelType w:val="hybridMultilevel"/>
    <w:lvl w:ilvl="0">
      <w:lvlJc w:val="left"/>
      <w:lvlText w:val="%1."/>
      <w:numFmt w:val="decimal"/>
      <w:start w:val="4"/>
    </w:lvl>
    <w:lvl w:ilvl="1">
      <w:lvlJc w:val="left"/>
      <w:lvlText w:val="(%2)"/>
      <w:numFmt w:val="lowerLetter"/>
      <w:start w:val="1"/>
    </w:lvl>
  </w:abstractNum>
  <w:abstractNum w:abstractNumId="200">
    <w:nsid w:val="1D91467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01">
    <w:nsid w:val="316032BB"/>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02">
    <w:nsid w:val="44344C22"/>
    <w:multiLevelType w:val="hybridMultilevel"/>
    <w:lvl w:ilvl="0">
      <w:lvlJc w:val="left"/>
      <w:lvlText w:val="(%1)"/>
      <w:numFmt w:val="lowerLetter"/>
      <w:start w:val="1"/>
    </w:lvl>
    <w:lvl w:ilvl="1">
      <w:lvlJc w:val="left"/>
      <w:lvlText w:val="(%2)"/>
      <w:numFmt w:val="lowerRoman"/>
      <w:start w:val="1"/>
    </w:lvl>
  </w:abstractNum>
  <w:abstractNum w:abstractNumId="203">
    <w:nsid w:val="13CDFCFC"/>
    <w:multiLevelType w:val="hybridMultilevel"/>
    <w:lvl w:ilvl="0">
      <w:lvlJc w:val="left"/>
      <w:lvlText w:val="%1."/>
      <w:numFmt w:val="decimal"/>
      <w:start w:val="1"/>
    </w:lvl>
  </w:abstractNum>
  <w:abstractNum w:abstractNumId="204">
    <w:nsid w:val="471745E4"/>
    <w:multiLevelType w:val="hybridMultilevel"/>
    <w:lvl w:ilvl="0">
      <w:lvlJc w:val="left"/>
      <w:lvlText w:val="(%1)"/>
      <w:numFmt w:val="lowerLetter"/>
      <w:start w:val="1"/>
    </w:lvl>
  </w:abstractNum>
  <w:abstractNum w:abstractNumId="205">
    <w:nsid w:val="1DDBC66"/>
    <w:multiLevelType w:val="hybridMultilevel"/>
    <w:lvl w:ilvl="0">
      <w:lvlJc w:val="left"/>
      <w:lvlText w:val="(%1)"/>
      <w:numFmt w:val="lowerLetter"/>
      <w:start w:val="2"/>
    </w:lvl>
  </w:abstractNum>
  <w:abstractNum w:abstractNumId="206">
    <w:nsid w:val="30AADFDA"/>
    <w:multiLevelType w:val="hybridMultilevel"/>
    <w:lvl w:ilvl="0">
      <w:lvlJc w:val="left"/>
      <w:lvlText w:val="%1."/>
      <w:numFmt w:val="decimal"/>
      <w:start w:val="2"/>
    </w:lvl>
  </w:abstractNum>
  <w:abstractNum w:abstractNumId="207">
    <w:nsid w:val="30EADA61"/>
    <w:multiLevelType w:val="hybridMultilevel"/>
    <w:lvl w:ilvl="0">
      <w:lvlJc w:val="left"/>
      <w:lvlText w:val="(%1)"/>
      <w:numFmt w:val="lowerLetter"/>
      <w:start w:val="1"/>
    </w:lvl>
  </w:abstractNum>
  <w:abstractNum w:abstractNumId="208">
    <w:nsid w:val="27179C0B"/>
    <w:multiLevelType w:val="hybridMultilevel"/>
    <w:lvl w:ilvl="0">
      <w:lvlJc w:val="left"/>
      <w:lvlText w:val="(%1)"/>
      <w:numFmt w:val="lowerLetter"/>
      <w:start w:val="2"/>
    </w:lvl>
  </w:abstractNum>
  <w:abstractNum w:abstractNumId="209">
    <w:nsid w:val="5E636063"/>
    <w:multiLevelType w:val="hybridMultilevel"/>
    <w:lvl w:ilvl="0">
      <w:lvlJc w:val="left"/>
      <w:lvlText w:val="%1."/>
      <w:numFmt w:val="decimal"/>
      <w:start w:val="1"/>
    </w:lvl>
    <w:lvl w:ilvl="1">
      <w:lvlJc w:val="left"/>
      <w:lvlText w:val="(%2)"/>
      <w:numFmt w:val="lowerLetter"/>
      <w:start w:val="1"/>
    </w:lvl>
  </w:abstractNum>
  <w:abstractNum w:abstractNumId="210">
    <w:nsid w:val="215641AF"/>
    <w:multiLevelType w:val="hybridMultilevel"/>
    <w:lvl w:ilvl="0">
      <w:lvlJc w:val="left"/>
      <w:lvlText w:val="(%1)"/>
      <w:numFmt w:val="lowerLetter"/>
      <w:start w:val="2"/>
    </w:lvl>
    <w:lvl w:ilvl="1">
      <w:lvlJc w:val="left"/>
      <w:lvlText w:val="(%2)"/>
      <w:numFmt w:val="lowerRoman"/>
      <w:start w:val="1"/>
    </w:lvl>
  </w:abstractNum>
  <w:abstractNum w:abstractNumId="211">
    <w:nsid w:val="53280662"/>
    <w:multiLevelType w:val="hybridMultilevel"/>
    <w:lvl w:ilvl="0">
      <w:lvlJc w:val="left"/>
      <w:lvlText w:val="(%1)"/>
      <w:numFmt w:val="lowerLetter"/>
      <w:start w:val="4"/>
    </w:lvl>
    <w:lvl w:ilvl="1">
      <w:lvlJc w:val="left"/>
      <w:lvlText w:val="(%2)"/>
      <w:numFmt w:val="lowerRoman"/>
      <w:start w:val="1"/>
    </w:lvl>
  </w:abstractNum>
  <w:abstractNum w:abstractNumId="212">
    <w:nsid w:val="46B24DBC"/>
    <w:multiLevelType w:val="hybridMultilevel"/>
    <w:lvl w:ilvl="0">
      <w:lvlJc w:val="left"/>
      <w:lvlText w:val="(%1)"/>
      <w:numFmt w:val="lowerLetter"/>
      <w:start w:val="5"/>
    </w:lvl>
  </w:abstractNum>
  <w:abstractNum w:abstractNumId="213">
    <w:nsid w:val="75B52783"/>
    <w:multiLevelType w:val="hybridMultilevel"/>
    <w:lvl w:ilvl="0">
      <w:lvlJc w:val="left"/>
      <w:lvlText w:val="(%1)"/>
      <w:numFmt w:val="lowerRoman"/>
      <w:start w:val="1"/>
    </w:lvl>
    <w:lvl w:ilvl="1">
      <w:lvlJc w:val="left"/>
      <w:lvlText w:val="(%2)"/>
      <w:numFmt w:val="lowerRoman"/>
      <w:start w:val="1"/>
    </w:lvl>
  </w:abstractNum>
  <w:abstractNum w:abstractNumId="214">
    <w:nsid w:val="57CE66B4"/>
    <w:multiLevelType w:val="hybridMultilevel"/>
    <w:lvl w:ilvl="0">
      <w:lvlJc w:val="left"/>
      <w:lvlText w:val="(%1)"/>
      <w:numFmt w:val="lowerLetter"/>
      <w:start w:val="10"/>
    </w:lvl>
  </w:abstractNum>
  <w:abstractNum w:abstractNumId="215">
    <w:nsid w:val="67A70B69"/>
    <w:multiLevelType w:val="hybridMultilevel"/>
    <w:lvl w:ilvl="0">
      <w:lvlJc w:val="left"/>
      <w:lvlText w:val="%1"/>
      <w:numFmt w:val="decimal"/>
      <w:start w:val="1"/>
    </w:lvl>
    <w:lvl w:ilvl="1">
      <w:lvlJc w:val="left"/>
      <w:lvlText w:val="(%2)"/>
      <w:numFmt w:val="lowerLetter"/>
      <w:start w:val="12"/>
    </w:lvl>
  </w:abstractNum>
  <w:abstractNum w:abstractNumId="216">
    <w:nsid w:val="5953172F"/>
    <w:multiLevelType w:val="hybridMultilevel"/>
    <w:lvl w:ilvl="0">
      <w:lvlJc w:val="left"/>
      <w:lvlText w:val="%1."/>
      <w:numFmt w:val="decimal"/>
      <w:start w:val="2"/>
    </w:lvl>
    <w:lvl w:ilvl="1">
      <w:lvlJc w:val="left"/>
      <w:lvlText w:val="%2"/>
      <w:numFmt w:val="lowerLetter"/>
      <w:start w:val="1"/>
    </w:lvl>
  </w:abstractNum>
  <w:abstractNum w:abstractNumId="217">
    <w:nsid w:val="27EDFE3A"/>
    <w:multiLevelType w:val="hybridMultilevel"/>
    <w:lvl w:ilvl="0">
      <w:lvlJc w:val="left"/>
      <w:lvlText w:val="%1."/>
      <w:numFmt w:val="decimal"/>
      <w:start w:val="3"/>
    </w:lvl>
  </w:abstractNum>
  <w:abstractNum w:abstractNumId="218">
    <w:nsid w:val="52AC7DFF"/>
    <w:multiLevelType w:val="hybridMultilevel"/>
    <w:lvl w:ilvl="0">
      <w:lvlJc w:val="left"/>
      <w:lvlText w:val="%1."/>
      <w:numFmt w:val="decimal"/>
      <w:start w:val="5"/>
    </w:lvl>
  </w:abstractNum>
  <w:abstractNum w:abstractNumId="219">
    <w:nsid w:val="C4C3AF"/>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20">
    <w:nsid w:val="44380727"/>
    <w:multiLevelType w:val="hybridMultilevel"/>
    <w:lvl w:ilvl="0">
      <w:lvlJc w:val="left"/>
      <w:lvlText w:val="(%1)"/>
      <w:numFmt w:val="lowerRoman"/>
      <w:start w:val="6"/>
    </w:lvl>
  </w:abstractNum>
  <w:abstractNum w:abstractNumId="221">
    <w:nsid w:val="6C053B16"/>
    <w:multiLevelType w:val="hybridMultilevel"/>
    <w:lvl w:ilvl="0">
      <w:lvlJc w:val="left"/>
      <w:lvlText w:val="(%1)"/>
      <w:numFmt w:val="lowerLetter"/>
      <w:start w:val="2"/>
    </w:lvl>
    <w:lvl w:ilvl="1">
      <w:lvlJc w:val="left"/>
      <w:lvlText w:val="(%2)"/>
      <w:numFmt w:val="lowerLetter"/>
      <w:start w:val="9"/>
    </w:lvl>
  </w:abstractNum>
  <w:abstractNum w:abstractNumId="222">
    <w:nsid w:val="4F29439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223">
    <w:nsid w:val="5243BFAC"/>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24">
    <w:nsid w:val="425EB207"/>
    <w:multiLevelType w:val="hybridMultilevel"/>
    <w:lvl w:ilvl="0">
      <w:lvlJc w:val="left"/>
      <w:lvlText w:val="(%1)"/>
      <w:numFmt w:val="lowerLetter"/>
      <w:start w:val="3"/>
    </w:lvl>
  </w:abstractNum>
  <w:abstractNum w:abstractNumId="225">
    <w:nsid w:val="334A6F1F"/>
    <w:multiLevelType w:val="hybridMultilevel"/>
    <w:lvl w:ilvl="0">
      <w:lvlJc w:val="left"/>
      <w:lvlText w:val="(%1)"/>
      <w:numFmt w:val="lowerLetter"/>
      <w:start w:val="4"/>
    </w:lvl>
  </w:abstractNum>
  <w:abstractNum w:abstractNumId="226">
    <w:nsid w:val="2E5B12B8"/>
    <w:multiLevelType w:val="hybridMultilevel"/>
    <w:lvl w:ilvl="0">
      <w:lvlJc w:val="left"/>
      <w:lvlText w:val="%1"/>
      <w:numFmt w:val="decimal"/>
      <w:start w:val="1"/>
    </w:lvl>
    <w:lvl w:ilvl="1">
      <w:lvlJc w:val="left"/>
      <w:lvlText w:val="(%2)"/>
      <w:numFmt w:val="lowerLetter"/>
      <w:start w:val="8"/>
    </w:lvl>
  </w:abstractNum>
  <w:abstractNum w:abstractNumId="227">
    <w:nsid w:val="5C03D76D"/>
    <w:multiLevelType w:val="hybridMultilevel"/>
    <w:lvl w:ilvl="0">
      <w:lvlJc w:val="left"/>
      <w:lvlText w:val="%1."/>
      <w:numFmt w:val="decimal"/>
      <w:start w:val="8"/>
    </w:lvl>
    <w:lvl w:ilvl="1">
      <w:lvlJc w:val="left"/>
      <w:lvlText w:val="(%2)"/>
      <w:numFmt w:val="lowerLetter"/>
      <w:start w:val="1"/>
    </w:lvl>
  </w:abstractNum>
  <w:abstractNum w:abstractNumId="228">
    <w:nsid w:val="66A48D11"/>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29">
    <w:nsid w:val="56C28E34"/>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230">
    <w:nsid w:val="13916F2D"/>
    <w:multiLevelType w:val="hybridMultilevel"/>
    <w:lvl w:ilvl="0">
      <w:lvlJc w:val="left"/>
      <w:lvlText w:val="%1"/>
      <w:numFmt w:val="decimal"/>
      <w:start w:val="1"/>
    </w:lvl>
    <w:lvl w:ilvl="1">
      <w:lvlJc w:val="left"/>
      <w:lvlText w:val="(%2)"/>
      <w:numFmt w:val="lowerLetter"/>
      <w:start w:val="2"/>
    </w:lvl>
  </w:abstractNum>
  <w:abstractNum w:abstractNumId="231">
    <w:nsid w:val="435D38D"/>
    <w:multiLevelType w:val="hybridMultilevel"/>
    <w:lvl w:ilvl="0">
      <w:lvlJc w:val="left"/>
      <w:lvlText w:val="%1."/>
      <w:numFmt w:val="decimal"/>
      <w:start w:val="10"/>
    </w:lvl>
    <w:lvl w:ilvl="1">
      <w:lvlJc w:val="left"/>
      <w:lvlText w:val="(%2)"/>
      <w:numFmt w:val="lowerLetter"/>
      <w:start w:val="1"/>
    </w:lvl>
  </w:abstractNum>
  <w:abstractNum w:abstractNumId="232">
    <w:nsid w:val="822C0EF"/>
    <w:multiLevelType w:val="hybridMultilevel"/>
    <w:lvl w:ilvl="0">
      <w:lvlJc w:val="left"/>
      <w:lvlText w:val="%1"/>
      <w:numFmt w:val="decimal"/>
      <w:start w:val="1"/>
    </w:lvl>
    <w:lvl w:ilvl="1">
      <w:lvlJc w:val="left"/>
      <w:lvlText w:val="(%2)"/>
      <w:numFmt w:val="lowerLetter"/>
      <w:start w:val="3"/>
    </w:lvl>
  </w:abstractNum>
  <w:abstractNum w:abstractNumId="233">
    <w:nsid w:val="57C5BB4F"/>
    <w:multiLevelType w:val="hybridMultilevel"/>
    <w:lvl w:ilvl="0">
      <w:lvlJc w:val="left"/>
      <w:lvlText w:val="%1."/>
      <w:numFmt w:val="decimal"/>
      <w:start w:val="11"/>
    </w:lvl>
    <w:lvl w:ilvl="1">
      <w:lvlJc w:val="left"/>
      <w:lvlText w:val="%2"/>
      <w:numFmt w:val="lowerLetter"/>
      <w:start w:val="1"/>
    </w:lvl>
  </w:abstractNum>
  <w:abstractNum w:abstractNumId="234">
    <w:nsid w:val="1803D089"/>
    <w:multiLevelType w:val="hybridMultilevel"/>
    <w:lvl w:ilvl="0">
      <w:lvlJc w:val="left"/>
      <w:lvlText w:val="%1."/>
      <w:numFmt w:val="decimal"/>
      <w:start w:val="12"/>
    </w:lvl>
  </w:abstractNum>
  <w:abstractNum w:abstractNumId="235">
    <w:nsid w:val="4F3A06D4"/>
    <w:multiLevelType w:val="hybridMultilevel"/>
    <w:lvl w:ilvl="0">
      <w:lvlJc w:val="left"/>
      <w:lvlText w:val="%1."/>
      <w:numFmt w:val="decimal"/>
      <w:start w:val="18"/>
    </w:lvl>
  </w:abstractNum>
  <w:abstractNum w:abstractNumId="236">
    <w:nsid w:val="59A377B6"/>
    <w:multiLevelType w:val="hybridMultilevel"/>
    <w:lvl w:ilvl="0">
      <w:lvlJc w:val="left"/>
      <w:lvlText w:val="%1."/>
      <w:numFmt w:val="decimal"/>
      <w:start w:val="19"/>
    </w:lvl>
    <w:lvl w:ilvl="1">
      <w:lvlJc w:val="left"/>
      <w:lvlText w:val="(%2)"/>
      <w:numFmt w:val="lowerLetter"/>
      <w:start w:val="1"/>
    </w:lvl>
  </w:abstractNum>
  <w:abstractNum w:abstractNumId="237">
    <w:nsid w:val="48AEB063"/>
    <w:multiLevelType w:val="hybridMultilevel"/>
    <w:lvl w:ilvl="0">
      <w:lvlJc w:val="left"/>
      <w:lvlText w:val="(%1)"/>
      <w:numFmt w:val="lowerLetter"/>
      <w:start w:val="2"/>
    </w:lvl>
  </w:abstractNum>
  <w:abstractNum w:abstractNumId="238">
    <w:nsid w:val="24E135"/>
    <w:multiLevelType w:val="hybridMultilevel"/>
    <w:lvl w:ilvl="0">
      <w:lvlJc w:val="left"/>
      <w:lvlText w:val="(%1)"/>
      <w:numFmt w:val="lowerLetter"/>
      <w:start w:val="6"/>
    </w:lvl>
  </w:abstractNum>
  <w:abstractNum w:abstractNumId="239">
    <w:nsid w:val="BB13C1"/>
    <w:multiLevelType w:val="hybridMultilevel"/>
    <w:lvl w:ilvl="0">
      <w:lvlJc w:val="left"/>
      <w:lvlText w:val="(%1)"/>
      <w:numFmt w:val="lowerRoman"/>
      <w:start w:val="1"/>
    </w:lvl>
  </w:abstractNum>
  <w:abstractNum w:abstractNumId="240">
    <w:nsid w:val="271210C7"/>
    <w:multiLevelType w:val="hybridMultilevel"/>
    <w:lvl w:ilvl="0">
      <w:lvlJc w:val="left"/>
      <w:lvlText w:val="%1."/>
      <w:numFmt w:val="decimal"/>
      <w:start w:val="22"/>
    </w:lvl>
  </w:abstractNum>
  <w:abstractNum w:abstractNumId="241">
    <w:nsid w:val="217B22E4"/>
    <w:multiLevelType w:val="hybridMultilevel"/>
    <w:lvl w:ilvl="0">
      <w:lvlJc w:val="left"/>
      <w:lvlText w:val="%1."/>
      <w:numFmt w:val="decimal"/>
      <w:start w:val="24"/>
    </w:lvl>
  </w:abstractNum>
  <w:abstractNum w:abstractNumId="242">
    <w:nsid w:val="53E31A24"/>
    <w:multiLevelType w:val="hybridMultilevel"/>
    <w:lvl w:ilvl="0">
      <w:lvlJc w:val="left"/>
      <w:lvlText w:val="%1."/>
      <w:numFmt w:val="decimal"/>
      <w:start w:val="1"/>
    </w:lvl>
  </w:abstractNum>
  <w:abstractNum w:abstractNumId="243">
    <w:nsid w:val="6DC45E83"/>
    <w:multiLevelType w:val="hybridMultilevel"/>
    <w:lvl w:ilvl="0">
      <w:lvlJc w:val="left"/>
      <w:lvlText w:val="%1."/>
      <w:numFmt w:val="decimal"/>
      <w:start w:val="1"/>
    </w:lvl>
    <w:lvl w:ilvl="1">
      <w:lvlJc w:val="left"/>
      <w:lvlText w:val="%2)"/>
      <w:numFmt w:val="lowerLetter"/>
      <w:start w:val="1"/>
    </w:lvl>
  </w:abstractNum>
  <w:abstractNum w:abstractNumId="244">
    <w:nsid w:val="17304A67"/>
    <w:multiLevelType w:val="hybridMultilevel"/>
    <w:lvl w:ilvl="0">
      <w:lvlJc w:val="left"/>
      <w:lvlText w:val="%1."/>
      <w:numFmt w:val="decimal"/>
      <w:start w:val="1"/>
    </w:lvl>
    <w:lvl w:ilvl="1">
      <w:lvlJc w:val="left"/>
      <w:lvlText w:val="%2)"/>
      <w:numFmt w:val="lowerLetter"/>
      <w:start w:val="1"/>
    </w:lvl>
  </w:abstractNum>
  <w:abstractNum w:abstractNumId="245">
    <w:nsid w:val="2BB180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58" Type="http://schemas.openxmlformats.org/officeDocument/2006/relationships/image" Target="media/image136.png"/><Relationship Id="rId179" Type="http://schemas.openxmlformats.org/officeDocument/2006/relationships/image" Target="media/image137.png"/><Relationship Id="rId189" Type="http://schemas.openxmlformats.org/officeDocument/2006/relationships/image" Target="media/image138.png"/><Relationship Id="rId190" Type="http://schemas.openxmlformats.org/officeDocument/2006/relationships/image" Target="media/image139.png"/><Relationship Id="rId191" Type="http://schemas.openxmlformats.org/officeDocument/2006/relationships/image" Target="media/image140.png"/><Relationship Id="rId192" Type="http://schemas.openxmlformats.org/officeDocument/2006/relationships/image" Target="media/image141.png"/><Relationship Id="rId193" Type="http://schemas.openxmlformats.org/officeDocument/2006/relationships/image" Target="media/image142.png"/><Relationship Id="rId194" Type="http://schemas.openxmlformats.org/officeDocument/2006/relationships/image" Target="media/image143.png"/><Relationship Id="rId195" Type="http://schemas.openxmlformats.org/officeDocument/2006/relationships/image" Target="media/image144.png"/><Relationship Id="rId196" Type="http://schemas.openxmlformats.org/officeDocument/2006/relationships/image" Target="media/image145.png"/><Relationship Id="rId197" Type="http://schemas.openxmlformats.org/officeDocument/2006/relationships/image" Target="media/image146.png"/><Relationship Id="rId198" Type="http://schemas.openxmlformats.org/officeDocument/2006/relationships/image" Target="media/image147.png"/><Relationship Id="rId199" Type="http://schemas.openxmlformats.org/officeDocument/2006/relationships/image" Target="media/image148.png"/><Relationship Id="rId200" Type="http://schemas.openxmlformats.org/officeDocument/2006/relationships/image" Target="media/image149.png"/><Relationship Id="rId143" Type="http://schemas.openxmlformats.org/officeDocument/2006/relationships/hyperlink" Target="http://www.sec.gov/Archives/edgar/data/1174922/000117492215000044/ex-31.htm" TargetMode="External"/><Relationship Id="rId144" Type="http://schemas.openxmlformats.org/officeDocument/2006/relationships/hyperlink" Target="http://www.sec.gov/Archives/edgar/data/1174922/000091205702037826/a2089719zex-4_1.htm" TargetMode="External"/><Relationship Id="rId145" Type="http://schemas.openxmlformats.org/officeDocument/2006/relationships/hyperlink" Target="http://www.sec.gov/Archives/edgar/data/1174922/000119312513231532/d542917dex41.htm" TargetMode="External"/><Relationship Id="rId146" Type="http://schemas.openxmlformats.org/officeDocument/2006/relationships/hyperlink" Target="http://www.sec.gov/Archives/edgar/data/1174922/000117492215000021/ex410-supplementalindentur.htm" TargetMode="External"/><Relationship Id="rId147" Type="http://schemas.openxmlformats.org/officeDocument/2006/relationships/hyperlink" Target="http://www.sec.gov/Archives/edgar/data/1174922/000117492218000042/ex41x032118x8k.htm" TargetMode="External"/><Relationship Id="rId148" Type="http://schemas.openxmlformats.org/officeDocument/2006/relationships/hyperlink" Target="http://www.sec.gov/Archives/edgar/data/1174922/000117492215000017/ex41-indenture.htm" TargetMode="External"/><Relationship Id="rId149" Type="http://schemas.openxmlformats.org/officeDocument/2006/relationships/hyperlink" Target="http://www.sec.gov/Archives/edgar/data/1174922/000117492217000107/ex41x8k51117.htm" TargetMode="External"/><Relationship Id="rId150" Type="http://schemas.openxmlformats.org/officeDocument/2006/relationships/hyperlink" Target="http://www.sec.gov/Archives/edgar/data/1174922/000117492217000177/ex10x3-20170930.htm" TargetMode="External"/><Relationship Id="rId151" Type="http://schemas.openxmlformats.org/officeDocument/2006/relationships/hyperlink" Target="http://www.sec.gov/Archives/edgar/data/1174922/000117492217000177/ex10x4-20170930.htm" TargetMode="External"/><Relationship Id="rId152" Type="http://schemas.openxmlformats.org/officeDocument/2006/relationships/hyperlink" Target="http://www.sec.gov/Archives/edgar/data/1174922/000117492219000115/ex41-seniornotesindent.htm" TargetMode="External"/><Relationship Id="rId153" Type="http://schemas.openxmlformats.org/officeDocument/2006/relationships/hyperlink" Target="http://www.sec.gov/Archives/edgar/data/1174922/000117492219000115/ex101-wynn2019xcredita.htm" TargetMode="External"/><Relationship Id="rId154" Type="http://schemas.openxmlformats.org/officeDocument/2006/relationships/hyperlink" Target="http://www.sec.gov/Archives/edgar/data/1174922/000117492219000065/wynn-incrementaljoinderagr.htm" TargetMode="External"/><Relationship Id="rId155" Type="http://schemas.openxmlformats.org/officeDocument/2006/relationships/hyperlink" Target="http://www.sec.gov/Archives/edgar/data/1174922/000117492219000021/a1021-commontermsagreement.htm" TargetMode="External"/><Relationship Id="rId156" Type="http://schemas.openxmlformats.org/officeDocument/2006/relationships/hyperlink" Target="http://www.sec.gov/Archives/edgar/data/1174922/000117492219000021/a1022-termfacilityagreemen.htm" TargetMode="External"/><Relationship Id="rId157" Type="http://schemas.openxmlformats.org/officeDocument/2006/relationships/hyperlink" Target="http://www.sec.gov/Archives/edgar/data/1174922/000117492219000021/a1023-revolvingcreditfacil.htm" TargetMode="External"/><Relationship Id="rId159" Type="http://schemas.openxmlformats.org/officeDocument/2006/relationships/hyperlink" Target="http://www.sec.gov/Archives/edgar/data/1174922/000117492215000106/ex-101.htm" TargetMode="External"/><Relationship Id="rId160" Type="http://schemas.openxmlformats.org/officeDocument/2006/relationships/hyperlink" Target="http://www.sec.gov/Archives/edgar/data/1174922/000117492215000106/ex-102.htm" TargetMode="External"/><Relationship Id="rId161" Type="http://schemas.openxmlformats.org/officeDocument/2006/relationships/hyperlink" Target="http://www.sec.gov/Archives/edgar/data/1174922/000117492215000106/ex-103.htm" TargetMode="External"/><Relationship Id="rId162" Type="http://schemas.openxmlformats.org/officeDocument/2006/relationships/hyperlink" Target="http://www.sec.gov/Archives/edgar/data/1174922/000119312504186496/dex1026.htm" TargetMode="External"/><Relationship Id="rId163" Type="http://schemas.openxmlformats.org/officeDocument/2006/relationships/hyperlink" Target="http://www.sec.gov/Archives/edgar/data/1174922/000117492218000133/ex101x072518x8k.htm" TargetMode="External"/><Relationship Id="rId164" Type="http://schemas.openxmlformats.org/officeDocument/2006/relationships/hyperlink" Target="http://www.sec.gov/Archives/edgar/data/1174922/000091205702032887/a2085104zex-10_24.htm" TargetMode="External"/><Relationship Id="rId165" Type="http://schemas.openxmlformats.org/officeDocument/2006/relationships/hyperlink" Target="http://www.sec.gov/Archives/edgar/data/1174922/000091205702035839/a2088833zex-10_27.htm" TargetMode="External"/><Relationship Id="rId166" Type="http://schemas.openxmlformats.org/officeDocument/2006/relationships/hyperlink" Target="http://www.sec.gov/Archives/edgar/data/1174922/000119312504130300/dex108.htm" TargetMode="External"/><Relationship Id="rId167" Type="http://schemas.openxmlformats.org/officeDocument/2006/relationships/hyperlink" Target="http://www.sec.gov/Archives/edgar/data/1174922/000119312512203005/d342364dex101.htm" TargetMode="External"/><Relationship Id="rId168" Type="http://schemas.openxmlformats.org/officeDocument/2006/relationships/hyperlink" Target="http://www.sec.gov/Archives/edgar/data/1174922/000119312504186496/dex1030.htm" TargetMode="External"/><Relationship Id="rId169" Type="http://schemas.openxmlformats.org/officeDocument/2006/relationships/hyperlink" Target="http://www.sec.gov/Archives/edgar/data/1174922/000117492215000021/ex10110-corporateallocatio.htm" TargetMode="External"/><Relationship Id="rId170" Type="http://schemas.openxmlformats.org/officeDocument/2006/relationships/hyperlink" Target="http://www.sec.gov/Archives/edgar/data/1174922/000117492215000021/ex10111-amendedandrestated.htm" TargetMode="External"/><Relationship Id="rId171" Type="http://schemas.openxmlformats.org/officeDocument/2006/relationships/hyperlink" Target="http://www.sec.gov/Archives/edgar/data/1174922/000117492215000021/ex10112-managementfeecorpo.htm" TargetMode="External"/><Relationship Id="rId172" Type="http://schemas.openxmlformats.org/officeDocument/2006/relationships/hyperlink" Target="http://www.sec.gov/Archives/edgar/data/1174922/000117492216000144/ex10113.htm" TargetMode="External"/><Relationship Id="rId173" Type="http://schemas.openxmlformats.org/officeDocument/2006/relationships/hyperlink" Target="http://www.sec.gov/Archives/edgar/data/1174922/000117492215000021/ex10113-intellectualproper.htm" TargetMode="External"/><Relationship Id="rId174" Type="http://schemas.openxmlformats.org/officeDocument/2006/relationships/hyperlink" Target="http://www.sec.gov/Archives/edgar/data/1174922/000117492215000021/ex10114-amendedandrestated.htm" TargetMode="External"/><Relationship Id="rId175" Type="http://schemas.openxmlformats.org/officeDocument/2006/relationships/hyperlink" Target="http://www.sec.gov/Archives/edgar/data/1174922/000117492215000044/ex-108.htm" TargetMode="External"/><Relationship Id="rId176" Type="http://schemas.openxmlformats.org/officeDocument/2006/relationships/hyperlink" Target="http://www.sec.gov/Archives/edgar/data/1174922/000117492216000144/ex10524.htm" TargetMode="External"/><Relationship Id="rId177" Type="http://schemas.openxmlformats.org/officeDocument/2006/relationships/hyperlink" Target="http://www.sec.gov/Archives/edgar/data/1174922/000119312504186496/dex102.htm" TargetMode="External"/><Relationship Id="rId178" Type="http://schemas.openxmlformats.org/officeDocument/2006/relationships/hyperlink" Target="http://www.sec.gov/Archives/edgar/data/1174922/000119312504186496/dex103.htm" TargetMode="External"/><Relationship Id="rId180" Type="http://schemas.openxmlformats.org/officeDocument/2006/relationships/hyperlink" Target="http://www.sec.gov/Archives/edgar/data/1174922/000117492217000098/ex103.htm" TargetMode="External"/><Relationship Id="rId181" Type="http://schemas.openxmlformats.org/officeDocument/2006/relationships/hyperlink" Target="http://www.sec.gov/Archives/edgar/data/1174922/000117492218000100/ex107-20180331.htm" TargetMode="External"/><Relationship Id="rId182" Type="http://schemas.openxmlformats.org/officeDocument/2006/relationships/hyperlink" Target="http://www.sec.gov/Archives/edgar/data/1174922/000117492219000080/ex102-billingscraig2nd.htm" TargetMode="External"/><Relationship Id="rId183" Type="http://schemas.openxmlformats.org/officeDocument/2006/relationships/hyperlink" Target="http://www.sec.gov/Archives/edgar/data/1174922/000117492218000160/ex10x6-20180630.htm" TargetMode="External"/><Relationship Id="rId184" Type="http://schemas.openxmlformats.org/officeDocument/2006/relationships/hyperlink" Target="http://www.sec.gov/Archives/edgar/data/1174922/000117492219000080/ex103-whittemoreellen1.htm" TargetMode="External"/><Relationship Id="rId185" Type="http://schemas.openxmlformats.org/officeDocument/2006/relationships/hyperlink" Target="http://www.sec.gov/Archives/edgar/data/1174922/000117492217000027/ex1021.htm" TargetMode="External"/><Relationship Id="rId186" Type="http://schemas.openxmlformats.org/officeDocument/2006/relationships/hyperlink" Target="http://www.sec.gov/Archives/edgar/data/1174922/000119312518239080/d534193dex101.htm" TargetMode="External"/><Relationship Id="rId187" Type="http://schemas.openxmlformats.org/officeDocument/2006/relationships/hyperlink" Target="http://www.sec.gov/Archives/edgar/data/1174922/000117492218000019/ex10320-20171231.htm" TargetMode="External"/><Relationship Id="rId188" Type="http://schemas.openxmlformats.org/officeDocument/2006/relationships/hyperlink" Target="http://www.sec.gov/Archives/edgar/data/1174922/000091205702035839/a2088833zex-10_1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2020-02-28T16:08:51Z</dcterms:created>
  <dcterms:modified xsi:type="dcterms:W3CDTF">2020-02-28T16:08:51Z</dcterms:modified>
</cp:coreProperties>
</file>