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20" w:type="dxa"/>
        <w:tblCellMar>
          <w:top w:w="0" w:type="dxa"/>
          <w:left w:w="0" w:type="dxa"/>
          <w:bottom w:w="0" w:type="dxa"/>
          <w:right w:w="0" w:type="dxa"/>
        </w:tblCellMar>
      </w:tblPr>
      <w:tr>
        <w:trPr>
          <w:trHeight w:val="212"/>
        </w:trPr>
        <w:tc>
          <w:tcPr>
            <w:tcW w:w="276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Nevada</w:t>
            </w:r>
          </w:p>
        </w:tc>
        <w:tc>
          <w:tcPr>
            <w:tcW w:w="46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000-50028</w:t>
            </w:r>
          </w:p>
        </w:tc>
        <w:tc>
          <w:tcPr>
            <w:tcW w:w="176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276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680" w:type="dxa"/>
            <w:vAlign w:val="bottom"/>
          </w:tcPr>
          <w:p>
            <w:pPr>
              <w:ind w:left="1760"/>
              <w:spacing w:after="0" w:line="149" w:lineRule="exact"/>
              <w:rPr>
                <w:sz w:val="20"/>
                <w:szCs w:val="20"/>
                <w:color w:val="auto"/>
              </w:rPr>
            </w:pPr>
            <w:r>
              <w:rPr>
                <w:rFonts w:ascii="Arial" w:cs="Arial" w:eastAsia="Arial" w:hAnsi="Arial"/>
                <w:sz w:val="14"/>
                <w:szCs w:val="14"/>
                <w:b w:val="1"/>
                <w:bCs w:val="1"/>
                <w:color w:val="auto"/>
              </w:rPr>
              <w:t>(Commission</w:t>
            </w:r>
          </w:p>
        </w:tc>
        <w:tc>
          <w:tcPr>
            <w:tcW w:w="1760" w:type="dxa"/>
            <w:vAlign w:val="bottom"/>
          </w:tcPr>
          <w:p>
            <w:pPr>
              <w:jc w:val="center"/>
              <w:ind w:left="5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60" w:type="dxa"/>
            <w:vAlign w:val="bottom"/>
          </w:tcPr>
          <w:p>
            <w:pPr>
              <w:jc w:val="center"/>
              <w:ind w:right="279"/>
              <w:spacing w:after="0"/>
              <w:rPr>
                <w:sz w:val="20"/>
                <w:szCs w:val="20"/>
                <w:color w:val="auto"/>
              </w:rPr>
            </w:pPr>
            <w:r>
              <w:rPr>
                <w:rFonts w:ascii="Arial" w:cs="Arial" w:eastAsia="Arial" w:hAnsi="Arial"/>
                <w:sz w:val="14"/>
                <w:szCs w:val="14"/>
                <w:b w:val="1"/>
                <w:bCs w:val="1"/>
                <w:color w:val="auto"/>
                <w:w w:val="92"/>
              </w:rPr>
              <w:t>of incorporation)</w:t>
            </w:r>
          </w:p>
        </w:tc>
        <w:tc>
          <w:tcPr>
            <w:tcW w:w="4680" w:type="dxa"/>
            <w:vAlign w:val="bottom"/>
          </w:tcPr>
          <w:p>
            <w:pPr>
              <w:ind w:left="1740"/>
              <w:spacing w:after="0"/>
              <w:rPr>
                <w:sz w:val="20"/>
                <w:szCs w:val="20"/>
                <w:color w:val="auto"/>
              </w:rPr>
            </w:pPr>
            <w:r>
              <w:rPr>
                <w:rFonts w:ascii="Arial" w:cs="Arial" w:eastAsia="Arial" w:hAnsi="Arial"/>
                <w:sz w:val="14"/>
                <w:szCs w:val="14"/>
                <w:b w:val="1"/>
                <w:bCs w:val="1"/>
                <w:color w:val="auto"/>
              </w:rPr>
              <w:t>File Number)</w:t>
            </w:r>
          </w:p>
        </w:tc>
        <w:tc>
          <w:tcPr>
            <w:tcW w:w="1760" w:type="dxa"/>
            <w:vAlign w:val="bottom"/>
          </w:tcPr>
          <w:p>
            <w:pPr>
              <w:jc w:val="center"/>
              <w:ind w:left="5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760" w:type="dxa"/>
            <w:vAlign w:val="bottom"/>
          </w:tcPr>
          <w:p>
            <w:pPr>
              <w:jc w:val="center"/>
              <w:ind w:right="159"/>
              <w:spacing w:after="0"/>
              <w:rPr>
                <w:sz w:val="20"/>
                <w:szCs w:val="20"/>
                <w:color w:val="auto"/>
              </w:rPr>
            </w:pPr>
            <w:r>
              <w:rPr>
                <w:rFonts w:ascii="Arial" w:cs="Arial" w:eastAsia="Arial" w:hAnsi="Arial"/>
                <w:sz w:val="18"/>
                <w:szCs w:val="18"/>
                <w:b w:val="1"/>
                <w:bCs w:val="1"/>
                <w:color w:val="auto"/>
                <w:w w:val="88"/>
              </w:rPr>
              <w:t>3131 Las Vegas Boulevard South</w:t>
            </w:r>
          </w:p>
        </w:tc>
        <w:tc>
          <w:tcPr>
            <w:tcW w:w="4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5"/>
        </w:trPr>
        <w:tc>
          <w:tcPr>
            <w:tcW w:w="2760" w:type="dxa"/>
            <w:vAlign w:val="bottom"/>
          </w:tcPr>
          <w:p>
            <w:pPr>
              <w:jc w:val="center"/>
              <w:ind w:right="159"/>
              <w:spacing w:after="0"/>
              <w:rPr>
                <w:sz w:val="20"/>
                <w:szCs w:val="20"/>
                <w:color w:val="auto"/>
              </w:rPr>
            </w:pPr>
            <w:r>
              <w:rPr>
                <w:rFonts w:ascii="Arial" w:cs="Arial" w:eastAsia="Arial" w:hAnsi="Arial"/>
                <w:sz w:val="18"/>
                <w:szCs w:val="18"/>
                <w:b w:val="1"/>
                <w:bCs w:val="1"/>
                <w:color w:val="auto"/>
                <w:w w:val="88"/>
              </w:rPr>
              <w:t>Las Vegas, Nevada</w:t>
            </w:r>
          </w:p>
        </w:tc>
        <w:tc>
          <w:tcPr>
            <w:tcW w:w="4680" w:type="dxa"/>
            <w:vAlign w:val="bottom"/>
          </w:tcPr>
          <w:p>
            <w:pPr>
              <w:spacing w:after="0"/>
              <w:rPr>
                <w:sz w:val="19"/>
                <w:szCs w:val="19"/>
                <w:color w:val="auto"/>
              </w:rPr>
            </w:pPr>
          </w:p>
        </w:tc>
        <w:tc>
          <w:tcPr>
            <w:tcW w:w="17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186"/>
        </w:trPr>
        <w:tc>
          <w:tcPr>
            <w:tcW w:w="276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80" w:type="dxa"/>
            <w:vAlign w:val="bottom"/>
          </w:tcPr>
          <w:p>
            <w:pPr>
              <w:spacing w:after="0"/>
              <w:rPr>
                <w:sz w:val="16"/>
                <w:szCs w:val="16"/>
                <w:color w:val="auto"/>
              </w:rPr>
            </w:pPr>
          </w:p>
        </w:tc>
        <w:tc>
          <w:tcPr>
            <w:tcW w:w="1760" w:type="dxa"/>
            <w:vAlign w:val="bottom"/>
          </w:tcPr>
          <w:p>
            <w:pPr>
              <w:jc w:val="center"/>
              <w:ind w:left="56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2760" w:type="dxa"/>
            <w:vAlign w:val="bottom"/>
          </w:tcPr>
          <w:p>
            <w:pPr>
              <w:spacing w:after="0"/>
              <w:rPr>
                <w:sz w:val="24"/>
                <w:szCs w:val="24"/>
                <w:color w:val="auto"/>
              </w:rPr>
            </w:pPr>
          </w:p>
        </w:tc>
        <w:tc>
          <w:tcPr>
            <w:tcW w:w="4680" w:type="dxa"/>
            <w:vAlign w:val="bottom"/>
          </w:tcPr>
          <w:p>
            <w:pPr>
              <w:jc w:val="center"/>
              <w:ind w:right="320"/>
              <w:spacing w:after="0"/>
              <w:rPr>
                <w:sz w:val="20"/>
                <w:szCs w:val="20"/>
                <w:color w:val="auto"/>
              </w:rPr>
            </w:pPr>
            <w:r>
              <w:rPr>
                <w:rFonts w:ascii="Arial" w:cs="Arial" w:eastAsia="Arial" w:hAnsi="Arial"/>
                <w:sz w:val="18"/>
                <w:szCs w:val="18"/>
                <w:b w:val="1"/>
                <w:bCs w:val="1"/>
                <w:color w:val="auto"/>
                <w:w w:val="90"/>
              </w:rPr>
              <w:t>(702) 770-7555</w:t>
            </w:r>
          </w:p>
        </w:tc>
        <w:tc>
          <w:tcPr>
            <w:tcW w:w="1760" w:type="dxa"/>
            <w:vAlign w:val="bottom"/>
          </w:tcPr>
          <w:p>
            <w:pPr>
              <w:spacing w:after="0"/>
              <w:rPr>
                <w:sz w:val="24"/>
                <w:szCs w:val="24"/>
                <w:color w:val="auto"/>
              </w:rPr>
            </w:pPr>
          </w:p>
        </w:tc>
      </w:tr>
      <w:tr>
        <w:trPr>
          <w:trHeight w:val="186"/>
        </w:trPr>
        <w:tc>
          <w:tcPr>
            <w:tcW w:w="2760" w:type="dxa"/>
            <w:vAlign w:val="bottom"/>
          </w:tcPr>
          <w:p>
            <w:pPr>
              <w:spacing w:after="0"/>
              <w:rPr>
                <w:sz w:val="16"/>
                <w:szCs w:val="16"/>
                <w:color w:val="auto"/>
              </w:rPr>
            </w:pPr>
          </w:p>
        </w:tc>
        <w:tc>
          <w:tcPr>
            <w:tcW w:w="4680" w:type="dxa"/>
            <w:vAlign w:val="bottom"/>
          </w:tcPr>
          <w:p>
            <w:pPr>
              <w:jc w:val="center"/>
              <w:ind w:right="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60" w:type="dxa"/>
            <w:vAlign w:val="bottom"/>
          </w:tcPr>
          <w:p>
            <w:pPr>
              <w:spacing w:after="0"/>
              <w:rPr>
                <w:sz w:val="16"/>
                <w:szCs w:val="16"/>
                <w:color w:val="auto"/>
              </w:rPr>
            </w:pPr>
          </w:p>
        </w:tc>
      </w:tr>
      <w:tr>
        <w:trPr>
          <w:trHeight w:val="394"/>
        </w:trPr>
        <w:tc>
          <w:tcPr>
            <w:tcW w:w="2760" w:type="dxa"/>
            <w:vAlign w:val="bottom"/>
          </w:tcPr>
          <w:p>
            <w:pPr>
              <w:spacing w:after="0"/>
              <w:rPr>
                <w:sz w:val="24"/>
                <w:szCs w:val="24"/>
                <w:color w:val="auto"/>
              </w:rPr>
            </w:pPr>
          </w:p>
        </w:tc>
        <w:tc>
          <w:tcPr>
            <w:tcW w:w="4680" w:type="dxa"/>
            <w:vAlign w:val="bottom"/>
          </w:tcPr>
          <w:p>
            <w:pPr>
              <w:jc w:val="center"/>
              <w:ind w:right="320"/>
              <w:spacing w:after="0"/>
              <w:rPr>
                <w:sz w:val="20"/>
                <w:szCs w:val="20"/>
                <w:color w:val="auto"/>
              </w:rPr>
            </w:pPr>
            <w:r>
              <w:rPr>
                <w:rFonts w:ascii="Arial" w:cs="Arial" w:eastAsia="Arial" w:hAnsi="Arial"/>
                <w:sz w:val="18"/>
                <w:szCs w:val="18"/>
                <w:b w:val="1"/>
                <w:bCs w:val="1"/>
                <w:color w:val="auto"/>
                <w:w w:val="92"/>
              </w:rPr>
              <w:t>Not Applicable</w:t>
            </w:r>
          </w:p>
        </w:tc>
        <w:tc>
          <w:tcPr>
            <w:tcW w:w="1760" w:type="dxa"/>
            <w:vAlign w:val="bottom"/>
          </w:tcPr>
          <w:p>
            <w:pPr>
              <w:spacing w:after="0"/>
              <w:rPr>
                <w:sz w:val="24"/>
                <w:szCs w:val="24"/>
                <w:color w:val="auto"/>
              </w:rPr>
            </w:pPr>
          </w:p>
        </w:tc>
      </w:tr>
      <w:tr>
        <w:trPr>
          <w:trHeight w:val="186"/>
        </w:trPr>
        <w:tc>
          <w:tcPr>
            <w:tcW w:w="2760" w:type="dxa"/>
            <w:vAlign w:val="bottom"/>
          </w:tcPr>
          <w:p>
            <w:pPr>
              <w:spacing w:after="0"/>
              <w:rPr>
                <w:sz w:val="16"/>
                <w:szCs w:val="16"/>
                <w:color w:val="auto"/>
              </w:rPr>
            </w:pPr>
          </w:p>
        </w:tc>
        <w:tc>
          <w:tcPr>
            <w:tcW w:w="4680" w:type="dxa"/>
            <w:vAlign w:val="bottom"/>
          </w:tcPr>
          <w:p>
            <w:pPr>
              <w:jc w:val="center"/>
              <w:ind w:right="32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Wynn Resorts, Limited is filing this Amendment No. 1 to its Current Report on Form 8-K dated February 9, 2018 (the “Original Report”) to provide additional commentary regarding pending litigation and to correct errors in Item 7.01 of the Original Report. No other changes have been made to the Original Report.</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80" w:firstLine="441"/>
        <w:spacing w:after="0" w:line="284" w:lineRule="auto"/>
        <w:rPr>
          <w:sz w:val="20"/>
          <w:szCs w:val="20"/>
          <w:color w:val="auto"/>
        </w:rPr>
      </w:pPr>
      <w:r>
        <w:rPr>
          <w:rFonts w:ascii="Arial" w:cs="Arial" w:eastAsia="Arial" w:hAnsi="Arial"/>
          <w:sz w:val="16"/>
          <w:szCs w:val="16"/>
          <w:color w:val="auto"/>
        </w:rPr>
        <w:t>On February 9, 2018, Wynn Resorts, Limited (the “Company”) was informed that counsel for Mr. Stephen A. Wynn submitted a letter (the “Letter”) to the parties in a lawsuit which is pending in the District Court in Clark County, Nevada (the “Nevada Court”) in which Elaine P. Wynn has asserted certain cross claims against Mr. Wynn. The Letter states that, in light of the significant changed circumstances triggered by Mr. Wynn’s resignation as the Chief Executive Officer and Chairman of the Board of the Company and of Wynn Macau, Limited, Mr. Wynn no longer contests that the Amended and Restated Stockholders Agreement, dated January 6, 2010, by and among Stephen A. Wynn, Elaine P. Wynn and Aruze USA, Inc. (the “2010 Stockholders Agreement”) is invalid and unenforceable. The Letter further states that, while Mr. Wynn does not agree with Ms. Wynn’s bases for claiming the 2010 Stockholders Agreement is invalid and unenforceable, he does agree that it no longer binds either party and that, as such, it is</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Wynn’s position that certain of the cross claims asserted by Ms. Wynn in the pending case are now moot. A copy of the Letter is attached hereto and furnished as Exhibit 99.1. There can be no assurance that the Nevada Court will concur with the position now taken by Mr. Wynn, or that the 2010 Stockholders Agreement will in fact be deemed to no longer bind Mr. Wynn or Ms. Wynn.</w:t>
      </w:r>
    </w:p>
    <w:p>
      <w:pPr>
        <w:spacing w:after="0" w:line="190"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Mr. Wynn has informed the Company that regardless of whether the 2010 Stockholders Agreement is in effect, he has no immediate plans to sell shares that he owns and that if he elects to sell any such shares over time, he will seek to conduct such sales in an orderly fashion.</w:t>
      </w:r>
    </w:p>
    <w:p>
      <w:pPr>
        <w:spacing w:after="0" w:line="14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This Form 8-K contains forward-looking statements that are subject to a number of risks and uncertainties that could cause actual results to differ materially from those we express in these forward-looking statements, including, but not limited to, the risks related to the litigation described above and the 2010 Stockholders Agreement as described in the Company’s Annual Report on Form 10-K for the year ended December 31, 2016 (including under Item 8. “Financial Statements and Supplementary Data – Note 17 Commitments and Contingencies,” Item 7. “Management’s Discussion and Analysis of Financial Condition and Results of Operations – Liquidity and Capital Resources,” and Item 1A. “Risk Factors – Risks Related to Share Ownership and Stockholder Matters”)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7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920" w:type="dxa"/>
            <w:vAlign w:val="bottom"/>
          </w:tcPr>
          <w:p>
            <w:pPr>
              <w:spacing w:after="0"/>
              <w:rPr>
                <w:sz w:val="14"/>
                <w:szCs w:val="14"/>
                <w:color w:val="auto"/>
              </w:rPr>
            </w:pPr>
          </w:p>
        </w:tc>
      </w:tr>
      <w:tr>
        <w:trPr>
          <w:trHeight w:val="264"/>
        </w:trPr>
        <w:tc>
          <w:tcPr>
            <w:tcW w:w="720" w:type="dxa"/>
            <w:vAlign w:val="bottom"/>
            <w:gridSpan w:val="2"/>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2"/>
                <w:szCs w:val="22"/>
                <w:color w:val="auto"/>
              </w:rPr>
            </w:pPr>
          </w:p>
        </w:tc>
        <w:tc>
          <w:tcPr>
            <w:tcW w:w="56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Letter to parties by counsel for Mr. Stephen A. Wynn, dated February 9, 2018.</w:t>
              </w:r>
            </w:hyperlink>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Dated: February 12, 2018</w:t>
            </w:r>
          </w:p>
        </w:tc>
        <w:tc>
          <w:tcPr>
            <w:tcW w:w="7260" w:type="dxa"/>
            <w:vAlign w:val="bottom"/>
            <w:gridSpan w:val="2"/>
          </w:tcPr>
          <w:p>
            <w:pPr>
              <w:ind w:left="1900"/>
              <w:spacing w:after="0"/>
              <w:rPr>
                <w:sz w:val="20"/>
                <w:szCs w:val="20"/>
                <w:color w:val="auto"/>
              </w:rPr>
            </w:pPr>
            <w:r>
              <w:rPr>
                <w:rFonts w:ascii="Arial" w:cs="Arial" w:eastAsia="Arial" w:hAnsi="Arial"/>
                <w:sz w:val="18"/>
                <w:szCs w:val="18"/>
                <w:color w:val="auto"/>
              </w:rPr>
              <w:t>By:  /s/ Kim Sinatra</w:t>
            </w:r>
          </w:p>
        </w:tc>
      </w:tr>
      <w:tr>
        <w:trPr>
          <w:trHeight w:val="182"/>
        </w:trPr>
        <w:tc>
          <w:tcPr>
            <w:tcW w:w="3780" w:type="dxa"/>
            <w:vAlign w:val="bottom"/>
          </w:tcPr>
          <w:p>
            <w:pPr>
              <w:spacing w:after="0"/>
              <w:rPr>
                <w:sz w:val="15"/>
                <w:szCs w:val="15"/>
                <w:color w:val="auto"/>
              </w:rPr>
            </w:pPr>
          </w:p>
        </w:tc>
        <w:tc>
          <w:tcPr>
            <w:tcW w:w="2180" w:type="dxa"/>
            <w:vAlign w:val="bottom"/>
          </w:tcPr>
          <w:p>
            <w:pPr>
              <w:ind w:left="1900"/>
              <w:spacing w:after="0" w:line="182" w:lineRule="exact"/>
              <w:rPr>
                <w:sz w:val="20"/>
                <w:szCs w:val="20"/>
                <w:color w:val="auto"/>
              </w:rPr>
            </w:pPr>
            <w:r>
              <w:rPr>
                <w:rFonts w:ascii="Arial" w:cs="Arial" w:eastAsia="Arial" w:hAnsi="Arial"/>
                <w:sz w:val="18"/>
                <w:szCs w:val="18"/>
                <w:color w:val="auto"/>
                <w:w w:val="83"/>
              </w:rPr>
              <w:t>Kim</w:t>
            </w:r>
          </w:p>
        </w:tc>
        <w:tc>
          <w:tcPr>
            <w:tcW w:w="508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Sinatra</w:t>
            </w:r>
          </w:p>
        </w:tc>
      </w:tr>
      <w:tr>
        <w:trPr>
          <w:trHeight w:val="230"/>
        </w:trPr>
        <w:tc>
          <w:tcPr>
            <w:tcW w:w="3780" w:type="dxa"/>
            <w:vAlign w:val="bottom"/>
          </w:tcPr>
          <w:p>
            <w:pPr>
              <w:spacing w:after="0"/>
              <w:rPr>
                <w:sz w:val="20"/>
                <w:szCs w:val="20"/>
                <w:color w:val="auto"/>
              </w:rPr>
            </w:pPr>
          </w:p>
        </w:tc>
        <w:tc>
          <w:tcPr>
            <w:tcW w:w="7260" w:type="dxa"/>
            <w:vAlign w:val="bottom"/>
            <w:gridSpan w:val="2"/>
          </w:tcPr>
          <w:p>
            <w:pPr>
              <w:ind w:left="1900"/>
              <w:spacing w:after="0"/>
              <w:rPr>
                <w:sz w:val="20"/>
                <w:szCs w:val="20"/>
                <w:color w:val="auto"/>
              </w:rPr>
            </w:pPr>
            <w:r>
              <w:rPr>
                <w:rFonts w:ascii="Arial" w:cs="Arial" w:eastAsia="Arial" w:hAnsi="Arial"/>
                <w:sz w:val="18"/>
                <w:szCs w:val="18"/>
                <w:color w:val="auto"/>
              </w:rPr>
              <w:t>Executive Vice President and General Counsel</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VIA EMAIL</w:t>
            </w:r>
          </w:p>
        </w:tc>
        <w:tc>
          <w:tcPr>
            <w:tcW w:w="2640" w:type="dxa"/>
            <w:vAlign w:val="bottom"/>
          </w:tcPr>
          <w:p>
            <w:pPr>
              <w:spacing w:after="0"/>
              <w:rPr>
                <w:sz w:val="17"/>
                <w:szCs w:val="17"/>
                <w:color w:val="auto"/>
              </w:rPr>
            </w:pPr>
          </w:p>
        </w:tc>
        <w:tc>
          <w:tcPr>
            <w:tcW w:w="3120" w:type="dxa"/>
            <w:vAlign w:val="bottom"/>
          </w:tcPr>
          <w:p>
            <w:pPr>
              <w:ind w:left="620"/>
              <w:spacing w:after="0"/>
              <w:rPr>
                <w:sz w:val="20"/>
                <w:szCs w:val="20"/>
                <w:color w:val="auto"/>
              </w:rPr>
            </w:pPr>
            <w:r>
              <w:rPr>
                <w:rFonts w:ascii="Arial" w:cs="Arial" w:eastAsia="Arial" w:hAnsi="Arial"/>
                <w:sz w:val="18"/>
                <w:szCs w:val="18"/>
                <w:color w:val="auto"/>
              </w:rPr>
              <w:t>February 9, 2018</w:t>
            </w:r>
          </w:p>
        </w:tc>
      </w:tr>
      <w:tr>
        <w:trPr>
          <w:trHeight w:val="438"/>
        </w:trPr>
        <w:tc>
          <w:tcPr>
            <w:tcW w:w="3580" w:type="dxa"/>
            <w:vAlign w:val="bottom"/>
            <w:gridSpan w:val="2"/>
          </w:tcPr>
          <w:p>
            <w:pPr>
              <w:spacing w:after="0"/>
              <w:rPr>
                <w:sz w:val="20"/>
                <w:szCs w:val="20"/>
                <w:color w:val="auto"/>
              </w:rPr>
            </w:pPr>
            <w:r>
              <w:rPr>
                <w:rFonts w:ascii="Arial" w:cs="Arial" w:eastAsia="Arial" w:hAnsi="Arial"/>
                <w:sz w:val="18"/>
                <w:szCs w:val="18"/>
                <w:color w:val="auto"/>
              </w:rPr>
              <w:t>GREENBERG TRAURIG</w:t>
            </w:r>
          </w:p>
        </w:tc>
        <w:tc>
          <w:tcPr>
            <w:tcW w:w="3120" w:type="dxa"/>
            <w:vAlign w:val="bottom"/>
          </w:tcPr>
          <w:p>
            <w:pPr>
              <w:ind w:left="1160"/>
              <w:spacing w:after="0"/>
              <w:rPr>
                <w:sz w:val="20"/>
                <w:szCs w:val="20"/>
                <w:color w:val="auto"/>
              </w:rPr>
            </w:pPr>
            <w:r>
              <w:rPr>
                <w:rFonts w:ascii="Arial" w:cs="Arial" w:eastAsia="Arial" w:hAnsi="Arial"/>
                <w:sz w:val="18"/>
                <w:szCs w:val="18"/>
                <w:color w:val="auto"/>
              </w:rPr>
              <w:t>SIDLEY AUSTIN, LLP</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Mark E. Ferrario, Esq.</w:t>
            </w:r>
          </w:p>
        </w:tc>
        <w:tc>
          <w:tcPr>
            <w:tcW w:w="3120" w:type="dxa"/>
            <w:vAlign w:val="bottom"/>
          </w:tcPr>
          <w:p>
            <w:pPr>
              <w:ind w:left="1160"/>
              <w:spacing w:after="0"/>
              <w:rPr>
                <w:sz w:val="20"/>
                <w:szCs w:val="20"/>
                <w:color w:val="auto"/>
              </w:rPr>
            </w:pPr>
            <w:r>
              <w:rPr>
                <w:rFonts w:ascii="Arial" w:cs="Arial" w:eastAsia="Arial" w:hAnsi="Arial"/>
                <w:sz w:val="18"/>
                <w:szCs w:val="18"/>
                <w:color w:val="auto"/>
              </w:rPr>
              <w:t>James M. Cole, Esq.</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3773 Howard Hughes Parkway</w:t>
            </w:r>
          </w:p>
        </w:tc>
        <w:tc>
          <w:tcPr>
            <w:tcW w:w="3120" w:type="dxa"/>
            <w:vAlign w:val="bottom"/>
          </w:tcPr>
          <w:p>
            <w:pPr>
              <w:ind w:left="1160"/>
              <w:spacing w:after="0"/>
              <w:rPr>
                <w:sz w:val="20"/>
                <w:szCs w:val="20"/>
                <w:color w:val="auto"/>
              </w:rPr>
            </w:pPr>
            <w:r>
              <w:rPr>
                <w:rFonts w:ascii="Arial" w:cs="Arial" w:eastAsia="Arial" w:hAnsi="Arial"/>
                <w:sz w:val="18"/>
                <w:szCs w:val="18"/>
                <w:color w:val="auto"/>
              </w:rPr>
              <w:t>Scott D. Stein, Esq.</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Suite 400 North</w:t>
            </w:r>
          </w:p>
        </w:tc>
        <w:tc>
          <w:tcPr>
            <w:tcW w:w="3120" w:type="dxa"/>
            <w:vAlign w:val="bottom"/>
          </w:tcPr>
          <w:p>
            <w:pPr>
              <w:ind w:left="1160"/>
              <w:spacing w:after="0"/>
              <w:rPr>
                <w:sz w:val="20"/>
                <w:szCs w:val="20"/>
                <w:color w:val="auto"/>
              </w:rPr>
            </w:pPr>
            <w:r>
              <w:rPr>
                <w:rFonts w:ascii="Arial" w:cs="Arial" w:eastAsia="Arial" w:hAnsi="Arial"/>
                <w:sz w:val="18"/>
                <w:szCs w:val="18"/>
                <w:color w:val="auto"/>
                <w:w w:val="88"/>
              </w:rPr>
              <w:t>One South Dearborn Street</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Las Vegas, Nevada 89169</w:t>
            </w:r>
          </w:p>
        </w:tc>
        <w:tc>
          <w:tcPr>
            <w:tcW w:w="3120" w:type="dxa"/>
            <w:vAlign w:val="bottom"/>
          </w:tcPr>
          <w:p>
            <w:pPr>
              <w:ind w:left="1160"/>
              <w:spacing w:after="0"/>
              <w:rPr>
                <w:sz w:val="20"/>
                <w:szCs w:val="20"/>
                <w:color w:val="auto"/>
              </w:rPr>
            </w:pPr>
            <w:r>
              <w:rPr>
                <w:rFonts w:ascii="Arial" w:cs="Arial" w:eastAsia="Arial" w:hAnsi="Arial"/>
                <w:sz w:val="18"/>
                <w:szCs w:val="18"/>
                <w:color w:val="auto"/>
              </w:rPr>
              <w:t>Chicago, IL 60603</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JOLLEY URGA WOODBURY LITTLE</w:t>
            </w:r>
          </w:p>
        </w:tc>
        <w:tc>
          <w:tcPr>
            <w:tcW w:w="3120" w:type="dxa"/>
            <w:vAlign w:val="bottom"/>
          </w:tcPr>
          <w:p>
            <w:pPr>
              <w:spacing w:after="0"/>
              <w:rPr>
                <w:sz w:val="24"/>
                <w:szCs w:val="24"/>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William R. Urga, Esq.</w:t>
            </w:r>
          </w:p>
        </w:tc>
        <w:tc>
          <w:tcPr>
            <w:tcW w:w="3120" w:type="dxa"/>
            <w:vAlign w:val="bottom"/>
          </w:tcPr>
          <w:p>
            <w:pPr>
              <w:spacing w:after="0"/>
              <w:rPr>
                <w:sz w:val="18"/>
                <w:szCs w:val="18"/>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David J. Malley, Esq.</w:t>
            </w:r>
          </w:p>
        </w:tc>
        <w:tc>
          <w:tcPr>
            <w:tcW w:w="3120" w:type="dxa"/>
            <w:vAlign w:val="bottom"/>
          </w:tcPr>
          <w:p>
            <w:pPr>
              <w:spacing w:after="0"/>
              <w:rPr>
                <w:sz w:val="18"/>
                <w:szCs w:val="18"/>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330 South Rampart Blvd., #380</w:t>
            </w:r>
          </w:p>
        </w:tc>
        <w:tc>
          <w:tcPr>
            <w:tcW w:w="3120" w:type="dxa"/>
            <w:vAlign w:val="bottom"/>
          </w:tcPr>
          <w:p>
            <w:pPr>
              <w:spacing w:after="0"/>
              <w:rPr>
                <w:sz w:val="19"/>
                <w:szCs w:val="19"/>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Las Vegas, Nevada 89145</w:t>
            </w:r>
          </w:p>
        </w:tc>
        <w:tc>
          <w:tcPr>
            <w:tcW w:w="3120" w:type="dxa"/>
            <w:vAlign w:val="bottom"/>
          </w:tcPr>
          <w:p>
            <w:pPr>
              <w:spacing w:after="0"/>
              <w:rPr>
                <w:sz w:val="20"/>
                <w:szCs w:val="20"/>
                <w:color w:val="auto"/>
              </w:rPr>
            </w:pPr>
          </w:p>
        </w:tc>
      </w:tr>
    </w:tbl>
    <w:p>
      <w:pPr>
        <w:spacing w:after="0" w:line="229"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Wynn Resorts, Limited vs. Kazuo Okada, et al., Case No. A-12-656710-B</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Counsel:</w:t>
      </w:r>
    </w:p>
    <w:p>
      <w:pPr>
        <w:spacing w:after="0" w:line="117"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 xml:space="preserve">As you now know, Stephen A. Wynn (“Mr. Wynn”) has resigned as the Chief Executive Officer and Chairman of the Board of Wynn Resorts, Limited and Wynn Macau, Limited effective February 6, 2018. As you also know, Elaine P. Wynn (“Ms. Wynn”) has asserted multiple claims against Mr. Wynn in the above-referenced litigation seeking a judicial declaration that the Amended and Restated Stockholders Agreement dated January 6, 2010 (the “2010 Stockholders Agreement”) “is invalid and unenforceable as a matter of law.” </w:t>
      </w:r>
      <w:r>
        <w:rPr>
          <w:rFonts w:ascii="Arial" w:cs="Arial" w:eastAsia="Arial" w:hAnsi="Arial"/>
          <w:sz w:val="17"/>
          <w:szCs w:val="17"/>
          <w:i w:val="1"/>
          <w:iCs w:val="1"/>
          <w:color w:val="auto"/>
        </w:rPr>
        <w:t>See</w:t>
      </w:r>
      <w:r>
        <w:rPr>
          <w:rFonts w:ascii="Arial" w:cs="Arial" w:eastAsia="Arial" w:hAnsi="Arial"/>
          <w:sz w:val="17"/>
          <w:szCs w:val="17"/>
          <w:color w:val="auto"/>
        </w:rPr>
        <w:t xml:space="preserve"> 6ACC ¶ 1. Each of the subject claims is premised on the allegation that “[a]n actual controversy exists among Mr. Wynn, Ms. Wynn and Aruze with respect to the validity and/or enforceability of the January 2010 Stockholders Agreement.” </w:t>
      </w:r>
      <w:r>
        <w:rPr>
          <w:rFonts w:ascii="Arial" w:cs="Arial" w:eastAsia="Arial" w:hAnsi="Arial"/>
          <w:sz w:val="17"/>
          <w:szCs w:val="17"/>
          <w:i w:val="1"/>
          <w:iCs w:val="1"/>
          <w:color w:val="auto"/>
        </w:rPr>
        <w:t>See</w:t>
      </w:r>
      <w:r>
        <w:rPr>
          <w:rFonts w:ascii="Arial" w:cs="Arial" w:eastAsia="Arial" w:hAnsi="Arial"/>
          <w:sz w:val="17"/>
          <w:szCs w:val="17"/>
          <w:color w:val="auto"/>
        </w:rPr>
        <w:t xml:space="preserve"> 6ACC ¶¶ 68, 76, 82, 87, 93, and 114 (Claims 1-5; 7).</w:t>
      </w:r>
    </w:p>
    <w:p>
      <w:pPr>
        <w:spacing w:after="0" w:line="178"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In light of the significant changed circumstances triggered by Mr. Wynn’s resignation, this letter hereby constitutes formal notice that Mr. Wynn no longer contests Ms. Wynn’s judicial admission that the 2010 Stockholders Agreement is invalid and unenforceable. Accordingly, while Mr. Wynn does not agree with Ms. Wynn’s bases for claiming the 2010 Stockholders Agreement is now invalid and unenforceable, he does agree that it no longer binds either party. As such, it is Mr. Wynn’s position that there is no longer a live controversy between the parties on this issue, and that Claims 1 through 5, 7, and 10 are now moot.</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 E. Ferrario, Esq., et 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Mr. Wynn plans to advise the Court of this development so that it may consider the same and streamline its preparation in advance of next week’s summary judgment hearings.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CAMPBELL &amp; WILLIAMS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Donald J. Campbell, Esq.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DJC:jyc</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2019-12-29T01:18:32Z</dcterms:created>
  <dcterms:modified xsi:type="dcterms:W3CDTF">2019-12-29T01:18:32Z</dcterms:modified>
</cp:coreProperties>
</file>