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137795</wp:posOffset>
            </wp:positionV>
            <wp:extent cx="29038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2132330</wp:posOffset>
            </wp:positionH>
            <wp:positionV relativeFrom="paragraph">
              <wp:posOffset>43815</wp:posOffset>
            </wp:positionV>
            <wp:extent cx="29038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September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66675</wp:posOffset>
            </wp:positionV>
            <wp:extent cx="29038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WYNN RESORTS, LIMITED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4040" w:type="dxa"/>
            <w:vAlign w:val="bottom"/>
            <w:gridSpan w:val="3"/>
          </w:tcPr>
          <w:p>
            <w:pPr>
              <w:ind w:left="1880"/>
              <w:spacing w:after="0"/>
              <w:rPr>
                <w:sz w:val="20"/>
                <w:szCs w:val="20"/>
                <w:color w:val="auto"/>
              </w:rPr>
            </w:pPr>
            <w:r>
              <w:rPr>
                <w:rFonts w:ascii="Times New Roman" w:cs="Times New Roman" w:eastAsia="Times New Roman" w:hAnsi="Times New Roman"/>
                <w:sz w:val="14"/>
                <w:szCs w:val="14"/>
                <w:b w:val="1"/>
                <w:bCs w:val="1"/>
                <w:color w:val="auto"/>
              </w:rPr>
              <w:t>000-50028</w:t>
            </w:r>
          </w:p>
        </w:tc>
        <w:tc>
          <w:tcPr>
            <w:tcW w:w="2620" w:type="dxa"/>
            <w:vAlign w:val="bottom"/>
            <w:gridSpan w:val="2"/>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46-0484987</w:t>
            </w:r>
          </w:p>
        </w:tc>
        <w:tc>
          <w:tcPr>
            <w:tcW w:w="1260" w:type="dxa"/>
            <w:vAlign w:val="bottom"/>
          </w:tcPr>
          <w:p>
            <w:pPr>
              <w:spacing w:after="0"/>
              <w:rPr>
                <w:sz w:val="15"/>
                <w:szCs w:val="15"/>
                <w:color w:val="auto"/>
              </w:rPr>
            </w:pPr>
          </w:p>
        </w:tc>
      </w:tr>
      <w:tr>
        <w:trPr>
          <w:trHeight w:val="117"/>
        </w:trPr>
        <w:tc>
          <w:tcPr>
            <w:tcW w:w="1000" w:type="dxa"/>
            <w:vAlign w:val="bottom"/>
          </w:tcPr>
          <w:p>
            <w:pPr>
              <w:spacing w:after="0"/>
              <w:rPr>
                <w:sz w:val="10"/>
                <w:szCs w:val="10"/>
                <w:color w:val="auto"/>
              </w:rPr>
            </w:pPr>
          </w:p>
        </w:tc>
        <w:tc>
          <w:tcPr>
            <w:tcW w:w="2360" w:type="dxa"/>
            <w:vAlign w:val="bottom"/>
            <w:gridSpan w:val="2"/>
          </w:tcPr>
          <w:p>
            <w:pPr>
              <w:jc w:val="center"/>
              <w:ind w:right="740"/>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6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540" w:type="dxa"/>
            <w:vAlign w:val="bottom"/>
          </w:tcPr>
          <w:p>
            <w:pPr>
              <w:spacing w:after="0"/>
              <w:rPr>
                <w:sz w:val="10"/>
                <w:szCs w:val="10"/>
                <w:color w:val="auto"/>
              </w:rPr>
            </w:pPr>
          </w:p>
        </w:tc>
        <w:tc>
          <w:tcPr>
            <w:tcW w:w="2080" w:type="dxa"/>
            <w:vAlign w:val="bottom"/>
          </w:tcPr>
          <w:p>
            <w:pPr>
              <w:jc w:val="center"/>
              <w:ind w:left="723"/>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1260" w:type="dxa"/>
            <w:vAlign w:val="bottom"/>
          </w:tcPr>
          <w:p>
            <w:pPr>
              <w:spacing w:after="0"/>
              <w:rPr>
                <w:sz w:val="10"/>
                <w:szCs w:val="10"/>
                <w:color w:val="auto"/>
              </w:rPr>
            </w:pPr>
          </w:p>
        </w:tc>
      </w:tr>
      <w:tr>
        <w:trPr>
          <w:trHeight w:val="149"/>
        </w:trPr>
        <w:tc>
          <w:tcPr>
            <w:tcW w:w="1000" w:type="dxa"/>
            <w:vAlign w:val="bottom"/>
          </w:tcPr>
          <w:p>
            <w:pPr>
              <w:spacing w:after="0"/>
              <w:rPr>
                <w:sz w:val="12"/>
                <w:szCs w:val="12"/>
                <w:color w:val="auto"/>
              </w:rPr>
            </w:pP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540" w:type="dxa"/>
            <w:vAlign w:val="bottom"/>
          </w:tcPr>
          <w:p>
            <w:pPr>
              <w:spacing w:after="0"/>
              <w:rPr>
                <w:sz w:val="12"/>
                <w:szCs w:val="12"/>
                <w:color w:val="auto"/>
              </w:rPr>
            </w:pPr>
          </w:p>
        </w:tc>
        <w:tc>
          <w:tcPr>
            <w:tcW w:w="2080" w:type="dxa"/>
            <w:vAlign w:val="bottom"/>
          </w:tcPr>
          <w:p>
            <w:pPr>
              <w:jc w:val="center"/>
              <w:ind w:left="723"/>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1260" w:type="dxa"/>
            <w:vAlign w:val="bottom"/>
          </w:tcPr>
          <w:p>
            <w:pPr>
              <w:spacing w:after="0"/>
              <w:rPr>
                <w:sz w:val="12"/>
                <w:szCs w:val="12"/>
                <w:color w:val="auto"/>
              </w:rPr>
            </w:pPr>
          </w:p>
        </w:tc>
      </w:tr>
      <w:tr>
        <w:trPr>
          <w:trHeight w:val="183"/>
        </w:trPr>
        <w:tc>
          <w:tcPr>
            <w:tcW w:w="3360" w:type="dxa"/>
            <w:vAlign w:val="bottom"/>
            <w:gridSpan w:val="3"/>
          </w:tcPr>
          <w:p>
            <w:pPr>
              <w:jc w:val="center"/>
              <w:ind w:left="193"/>
              <w:spacing w:after="0"/>
              <w:rPr>
                <w:sz w:val="20"/>
                <w:szCs w:val="20"/>
                <w:color w:val="auto"/>
              </w:rPr>
            </w:pPr>
            <w:r>
              <w:rPr>
                <w:rFonts w:ascii="Times New Roman" w:cs="Times New Roman" w:eastAsia="Times New Roman" w:hAnsi="Times New Roman"/>
                <w:sz w:val="14"/>
                <w:szCs w:val="14"/>
                <w:b w:val="1"/>
                <w:bCs w:val="1"/>
                <w:color w:val="auto"/>
              </w:rPr>
              <w:t>3131 Las Vegas Boulevard South</w:t>
            </w: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8"/>
        </w:trPr>
        <w:tc>
          <w:tcPr>
            <w:tcW w:w="1000" w:type="dxa"/>
            <w:vAlign w:val="bottom"/>
          </w:tcPr>
          <w:p>
            <w:pPr>
              <w:spacing w:after="0"/>
              <w:rPr>
                <w:sz w:val="15"/>
                <w:szCs w:val="15"/>
                <w:color w:val="auto"/>
              </w:rPr>
            </w:pP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Las Vegas, Nevada</w:t>
            </w: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620" w:type="dxa"/>
            <w:vAlign w:val="bottom"/>
            <w:gridSpan w:val="2"/>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89109</w:t>
            </w:r>
          </w:p>
        </w:tc>
        <w:tc>
          <w:tcPr>
            <w:tcW w:w="1260" w:type="dxa"/>
            <w:vAlign w:val="bottom"/>
          </w:tcPr>
          <w:p>
            <w:pPr>
              <w:spacing w:after="0"/>
              <w:rPr>
                <w:sz w:val="15"/>
                <w:szCs w:val="15"/>
                <w:color w:val="auto"/>
              </w:rPr>
            </w:pPr>
          </w:p>
        </w:tc>
      </w:tr>
      <w:tr>
        <w:trPr>
          <w:trHeight w:val="149"/>
        </w:trPr>
        <w:tc>
          <w:tcPr>
            <w:tcW w:w="3360" w:type="dxa"/>
            <w:vAlign w:val="bottom"/>
            <w:gridSpan w:val="3"/>
          </w:tcPr>
          <w:p>
            <w:pPr>
              <w:jc w:val="center"/>
              <w:ind w:left="19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80" w:type="dxa"/>
            <w:vAlign w:val="bottom"/>
          </w:tcPr>
          <w:p>
            <w:pPr>
              <w:jc w:val="center"/>
              <w:ind w:left="723"/>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1260" w:type="dxa"/>
            <w:vAlign w:val="bottom"/>
          </w:tcPr>
          <w:p>
            <w:pPr>
              <w:spacing w:after="0"/>
              <w:rPr>
                <w:sz w:val="12"/>
                <w:szCs w:val="12"/>
                <w:color w:val="auto"/>
              </w:rPr>
            </w:pPr>
          </w:p>
        </w:tc>
      </w:tr>
      <w:tr>
        <w:trPr>
          <w:trHeight w:val="541"/>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(702) 770-7555</w:t>
            </w:r>
          </w:p>
        </w:tc>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80" w:type="dxa"/>
            <w:vAlign w:val="bottom"/>
            <w:gridSpan w:val="2"/>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5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329"/>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tcPr>
          <w:p>
            <w:pPr>
              <w:jc w:val="center"/>
              <w:ind w:right="1179"/>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58"/>
        </w:trPr>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gridSpan w:val="2"/>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540" w:type="dxa"/>
            <w:vAlign w:val="bottom"/>
            <w:tcBorders>
              <w:bottom w:val="single" w:sz="8" w:color="auto"/>
            </w:tcBorders>
          </w:tcPr>
          <w:p>
            <w:pPr>
              <w:spacing w:after="0"/>
              <w:rPr>
                <w:sz w:val="13"/>
                <w:szCs w:val="13"/>
                <w:color w:val="auto"/>
              </w:rPr>
            </w:pPr>
          </w:p>
        </w:tc>
        <w:tc>
          <w:tcPr>
            <w:tcW w:w="20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466"/>
        </w:trPr>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10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300" w:type="dxa"/>
            <w:vAlign w:val="bottom"/>
          </w:tcPr>
          <w:p>
            <w:pPr>
              <w:spacing w:after="0"/>
              <w:rPr>
                <w:sz w:val="14"/>
                <w:szCs w:val="14"/>
                <w:color w:val="auto"/>
              </w:rPr>
            </w:pPr>
          </w:p>
        </w:tc>
        <w:tc>
          <w:tcPr>
            <w:tcW w:w="4040" w:type="dxa"/>
            <w:vAlign w:val="bottom"/>
            <w:gridSpan w:val="3"/>
          </w:tcPr>
          <w:p>
            <w:pPr>
              <w:jc w:val="center"/>
              <w:ind w:right="153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126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33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Common stock, par value $0.01</w:t>
            </w:r>
          </w:p>
        </w:tc>
        <w:tc>
          <w:tcPr>
            <w:tcW w:w="660" w:type="dxa"/>
            <w:vAlign w:val="bottom"/>
          </w:tcPr>
          <w:p>
            <w:pPr>
              <w:spacing w:after="0"/>
              <w:rPr>
                <w:sz w:val="16"/>
                <w:szCs w:val="16"/>
                <w:color w:val="auto"/>
              </w:rPr>
            </w:pPr>
          </w:p>
        </w:tc>
        <w:tc>
          <w:tcPr>
            <w:tcW w:w="3380" w:type="dxa"/>
            <w:vAlign w:val="bottom"/>
            <w:gridSpan w:val="2"/>
          </w:tcPr>
          <w:p>
            <w:pPr>
              <w:jc w:val="center"/>
              <w:ind w:right="2199"/>
              <w:spacing w:after="0"/>
              <w:rPr>
                <w:sz w:val="20"/>
                <w:szCs w:val="20"/>
                <w:color w:val="auto"/>
              </w:rPr>
            </w:pPr>
            <w:r>
              <w:rPr>
                <w:rFonts w:ascii="Times New Roman" w:cs="Times New Roman" w:eastAsia="Times New Roman" w:hAnsi="Times New Roman"/>
                <w:sz w:val="14"/>
                <w:szCs w:val="14"/>
                <w:color w:val="auto"/>
              </w:rPr>
              <w:t>WYNN</w:t>
            </w:r>
          </w:p>
        </w:tc>
        <w:tc>
          <w:tcPr>
            <w:tcW w:w="26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1260" w:type="dxa"/>
            <w:vAlign w:val="bottom"/>
          </w:tcPr>
          <w:p>
            <w:pPr>
              <w:spacing w:after="0"/>
              <w:rPr>
                <w:sz w:val="16"/>
                <w:szCs w:val="16"/>
                <w:color w:val="auto"/>
              </w:rPr>
            </w:pPr>
          </w:p>
        </w:tc>
      </w:tr>
      <w:tr>
        <w:trPr>
          <w:trHeight w:val="161"/>
        </w:trPr>
        <w:tc>
          <w:tcPr>
            <w:tcW w:w="10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bl>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4"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8"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9"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539750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Item 1.01</w:t>
      </w:r>
      <w:r>
        <w:rPr>
          <w:sz w:val="20"/>
          <w:szCs w:val="20"/>
          <w:color w:val="auto"/>
        </w:rPr>
        <w:tab/>
      </w:r>
      <w:r>
        <w:rPr>
          <w:rFonts w:ascii="Times New Roman" w:cs="Times New Roman" w:eastAsia="Times New Roman" w:hAnsi="Times New Roman"/>
          <w:sz w:val="14"/>
          <w:szCs w:val="14"/>
          <w:b w:val="1"/>
          <w:bCs w:val="1"/>
          <w:color w:val="auto"/>
        </w:rPr>
        <w:t>Entry into a Material Definitive Agreement.</w:t>
      </w:r>
    </w:p>
    <w:p>
      <w:pPr>
        <w:spacing w:after="0" w:line="85"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On September 20, 2024, Wynn Macau, Limited (“WML”), an indirect subsidiary of Wynn Resorts, Limited (the “Registrant”) with its shares listed on The Stock Exchange of Hong Kong Limited (the “HKSE”), entered into an amendment agreement (the “Second Amendment Agreement”) to its existing facility agreement dated as of September 16, 2021, as amended on May 5, 2022 and as amended and restated on June 27, 2023 (the "Existing Facility Agreement"). The Second Amendment Agreement amends the Existing Facility Agreement to, among other things, extend the maturity date of the outstanding loans under the Existing Facility Agreement for three years to September 16, 2028 (or if September 16, 2028 is not a business day, the immediately preceding business day). Customary extension fees and expenses will be paid by WM Cayman Holdings Limited II, a wholly-owned subsidiary of WML, in connection with the Second Amendment Agreement.</w:t>
      </w:r>
    </w:p>
    <w:p>
      <w:pPr>
        <w:spacing w:after="0" w:line="3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Second Amendment Agreement is qualified in its entirety by reference to the full text of the Second Amendment Agreement, which is filed herewith as Exhibits 10.1 and incorporated herein by this reference.</w:t>
      </w:r>
    </w:p>
    <w:p>
      <w:pPr>
        <w:spacing w:after="0" w:line="69"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September 23, 2024, WML filed with the HKSE an announcement regarding the Second Amendment Agreement, which announcement is furnished herewith as Exhibit 99.1.</w:t>
      </w:r>
    </w:p>
    <w:p>
      <w:pPr>
        <w:spacing w:after="0" w:line="20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information furnished pursuant to this Item 7.01, including Exhibit 99.1 hereto, shall not be deemed to be “filed” for purposes of Section 18 of the Securities Exchange Act of 1934, as amended, nor shall it be deemed incorporated by reference in any filing under the Securities Act of 1933, as amended, except as shall be expressly set forth by specific reference in such a filing.</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9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244"/>
        </w:trPr>
        <w:tc>
          <w:tcPr>
            <w:tcW w:w="20" w:type="dxa"/>
            <w:vAlign w:val="bottom"/>
          </w:tcPr>
          <w:p>
            <w:pPr>
              <w:spacing w:after="0"/>
              <w:rPr>
                <w:sz w:val="21"/>
                <w:szCs w:val="21"/>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 Exhibits.</w:t>
            </w:r>
          </w:p>
        </w:tc>
        <w:tc>
          <w:tcPr>
            <w:tcW w:w="5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580" w:type="dxa"/>
            <w:vAlign w:val="bottom"/>
          </w:tcPr>
          <w:p>
            <w:pPr>
              <w:spacing w:after="0"/>
              <w:rPr>
                <w:sz w:val="21"/>
                <w:szCs w:val="21"/>
                <w:color w:val="auto"/>
              </w:rPr>
            </w:pPr>
          </w:p>
        </w:tc>
      </w:tr>
      <w:tr>
        <w:trPr>
          <w:trHeight w:val="138"/>
        </w:trPr>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78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Description</w:t>
            </w:r>
          </w:p>
        </w:tc>
        <w:tc>
          <w:tcPr>
            <w:tcW w:w="9360" w:type="dxa"/>
            <w:vAlign w:val="bottom"/>
            <w:gridSpan w:val="3"/>
          </w:tcPr>
          <w:p>
            <w:pPr>
              <w:spacing w:after="0"/>
              <w:rPr>
                <w:sz w:val="12"/>
                <w:szCs w:val="12"/>
                <w:color w:val="auto"/>
              </w:rPr>
            </w:pPr>
          </w:p>
        </w:tc>
      </w:tr>
      <w:tr>
        <w:trPr>
          <w:trHeight w:val="213"/>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780" w:type="dxa"/>
            <w:vAlign w:val="bottom"/>
          </w:tcPr>
          <w:p>
            <w:pPr>
              <w:spacing w:after="0"/>
              <w:rPr>
                <w:sz w:val="18"/>
                <w:szCs w:val="18"/>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Second Amendment Agreement to the Existing Facility Agreement, dated September 20, 2024</w:t>
            </w:r>
          </w:p>
        </w:tc>
      </w:tr>
      <w:tr>
        <w:trPr>
          <w:trHeight w:val="160"/>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78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Announcement of Wynn Macau, Limited, dated September 23, 2024</w:t>
            </w:r>
          </w:p>
        </w:tc>
        <w:tc>
          <w:tcPr>
            <w:tcW w:w="1460" w:type="dxa"/>
            <w:vAlign w:val="bottom"/>
            <w:tcBorders>
              <w:top w:val="single" w:sz="8" w:color="0000FF"/>
            </w:tcBorders>
          </w:tcPr>
          <w:p>
            <w:pPr>
              <w:spacing w:after="0"/>
              <w:rPr>
                <w:sz w:val="13"/>
                <w:szCs w:val="13"/>
                <w:color w:val="auto"/>
              </w:rPr>
            </w:pPr>
          </w:p>
        </w:tc>
        <w:tc>
          <w:tcPr>
            <w:tcW w:w="4580" w:type="dxa"/>
            <w:vAlign w:val="bottom"/>
          </w:tcPr>
          <w:p>
            <w:pPr>
              <w:spacing w:after="0"/>
              <w:rPr>
                <w:sz w:val="13"/>
                <w:szCs w:val="13"/>
                <w:color w:val="auto"/>
              </w:rPr>
            </w:pPr>
          </w:p>
        </w:tc>
      </w:tr>
      <w:tr>
        <w:trPr>
          <w:trHeight w:val="192"/>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780" w:type="dxa"/>
            <w:vAlign w:val="bottom"/>
          </w:tcPr>
          <w:p>
            <w:pPr>
              <w:spacing w:after="0"/>
              <w:rPr>
                <w:sz w:val="16"/>
                <w:szCs w:val="16"/>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 w:name="page3"/>
    <w:bookmarkEnd w:id="2"/>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WYNN RESORTS, LIMITED</w:t>
            </w: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Dated: September 23, 2024</w:t>
            </w:r>
          </w:p>
        </w:tc>
        <w:tc>
          <w:tcPr>
            <w:tcW w:w="3060" w:type="dxa"/>
            <w:vAlign w:val="bottom"/>
          </w:tcPr>
          <w:p>
            <w:pPr>
              <w:ind w:left="2460"/>
              <w:spacing w:after="0"/>
              <w:rPr>
                <w:sz w:val="20"/>
                <w:szCs w:val="20"/>
                <w:color w:val="auto"/>
              </w:rPr>
            </w:pPr>
            <w:r>
              <w:rPr>
                <w:rFonts w:ascii="Times New Roman" w:cs="Times New Roman" w:eastAsia="Times New Roman" w:hAnsi="Times New Roman"/>
                <w:sz w:val="14"/>
                <w:szCs w:val="14"/>
                <w:color w:val="auto"/>
              </w:rPr>
              <w:t>By:</w:t>
            </w:r>
          </w:p>
        </w:tc>
        <w:tc>
          <w:tcPr>
            <w:tcW w:w="3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 Julie Cameron-Doe</w:t>
            </w:r>
          </w:p>
        </w:tc>
      </w:tr>
      <w:tr>
        <w:trPr>
          <w:trHeight w:val="167"/>
        </w:trPr>
        <w:tc>
          <w:tcPr>
            <w:tcW w:w="40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Julie Cameron-Doe</w:t>
            </w:r>
          </w:p>
        </w:tc>
      </w:tr>
      <w:tr>
        <w:trPr>
          <w:trHeight w:val="184"/>
        </w:trPr>
        <w:tc>
          <w:tcPr>
            <w:tcW w:w="40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000"/>
          </w:cols>
          <w:pgMar w:left="660" w:top="728" w:right="2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AMENDMENT AGREEMENT</w:t>
      </w:r>
    </w:p>
    <w:p>
      <w:pPr>
        <w:spacing w:after="0" w:line="17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color w:val="auto"/>
        </w:rPr>
        <w:t xml:space="preserve">DATED </w:t>
      </w:r>
      <w:r>
        <w:rPr>
          <w:rFonts w:ascii="Times New Roman" w:cs="Times New Roman" w:eastAsia="Times New Roman" w:hAnsi="Times New Roman"/>
          <w:sz w:val="17"/>
          <w:szCs w:val="17"/>
          <w:u w:val="single" w:color="auto"/>
          <w:color w:val="auto"/>
        </w:rPr>
        <w:t>20 September</w:t>
      </w:r>
      <w:r>
        <w:rPr>
          <w:rFonts w:ascii="Times New Roman" w:cs="Times New Roman" w:eastAsia="Times New Roman" w:hAnsi="Times New Roman"/>
          <w:sz w:val="17"/>
          <w:szCs w:val="17"/>
          <w:color w:val="auto"/>
        </w:rPr>
        <w:t xml:space="preserve"> 2024</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FOR</w:t>
      </w:r>
    </w:p>
    <w:p>
      <w:pPr>
        <w:spacing w:after="0" w:line="17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AS THE COMPANY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WM CAYMAN HOLDINGS LIMITED 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AS THE BORROWER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ARRANGED BY</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BANK OF CHINA LIMITED, MACAU BRANCH</w:t>
      </w:r>
    </w:p>
    <w:p>
      <w:pPr>
        <w:spacing w:after="0" w:line="18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color w:val="auto"/>
        </w:rPr>
        <w:t>WITH</w:t>
      </w:r>
    </w:p>
    <w:p>
      <w:pPr>
        <w:spacing w:after="0" w:line="17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6"/>
          <w:szCs w:val="16"/>
          <w:b w:val="1"/>
          <w:bCs w:val="1"/>
          <w:color w:val="auto"/>
        </w:rPr>
        <w:t>BANK OF CHINA LIMITED, MACAU BRANCH</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ACTING 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120650</wp:posOffset>
            </wp:positionV>
            <wp:extent cx="46081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08195" cy="6985"/>
                    </a:xfrm>
                    <a:prstGeom prst="rect">
                      <a:avLst/>
                    </a:prstGeom>
                    <a:noFill/>
                  </pic:spPr>
                </pic:pic>
              </a:graphicData>
            </a:graphic>
          </wp:anchor>
        </w:drawing>
      </w:r>
    </w:p>
    <w:p>
      <w:pPr>
        <w:spacing w:after="0" w:line="1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RELATING TO THE FACILITY AGREEMENT</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DATED 16 SEPTEMBER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12700</wp:posOffset>
            </wp:positionV>
            <wp:extent cx="46081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08195" cy="698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3"/>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Clause</w:t>
            </w:r>
          </w:p>
        </w:tc>
        <w:tc>
          <w:tcPr>
            <w:tcW w:w="4060" w:type="dxa"/>
            <w:vAlign w:val="bottom"/>
          </w:tcPr>
          <w:p>
            <w:pPr>
              <w:spacing w:after="0"/>
              <w:rPr>
                <w:sz w:val="19"/>
                <w:szCs w:val="19"/>
                <w:color w:val="auto"/>
              </w:rPr>
            </w:pPr>
          </w:p>
        </w:tc>
        <w:tc>
          <w:tcPr>
            <w:tcW w:w="53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CONTENTS</w:t>
            </w:r>
          </w:p>
        </w:tc>
        <w:tc>
          <w:tcPr>
            <w:tcW w:w="0" w:type="dxa"/>
            <w:vAlign w:val="bottom"/>
          </w:tcPr>
          <w:p>
            <w:pPr>
              <w:spacing w:after="0"/>
              <w:rPr>
                <w:sz w:val="1"/>
                <w:szCs w:val="1"/>
                <w:color w:val="auto"/>
              </w:rPr>
            </w:pPr>
          </w:p>
        </w:tc>
      </w:tr>
      <w:tr>
        <w:trPr>
          <w:trHeight w:val="212"/>
        </w:trPr>
        <w:tc>
          <w:tcPr>
            <w:tcW w:w="760" w:type="dxa"/>
            <w:vAlign w:val="bottom"/>
            <w:gridSpan w:val="2"/>
            <w:vMerge w:val="continue"/>
          </w:tcPr>
          <w:p>
            <w:pPr>
              <w:spacing w:after="0"/>
              <w:rPr>
                <w:sz w:val="18"/>
                <w:szCs w:val="18"/>
                <w:color w:val="auto"/>
              </w:rPr>
            </w:pPr>
          </w:p>
        </w:tc>
        <w:tc>
          <w:tcPr>
            <w:tcW w:w="40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5"/>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46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Definitions and Interpretations</w:t>
            </w:r>
          </w:p>
        </w:tc>
        <w:tc>
          <w:tcPr>
            <w:tcW w:w="5380" w:type="dxa"/>
            <w:vAlign w:val="bottom"/>
          </w:tcPr>
          <w:p>
            <w:pPr>
              <w:jc w:val="center"/>
              <w:ind w:left="5135"/>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329"/>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2.</w:t>
            </w:r>
          </w:p>
        </w:tc>
        <w:tc>
          <w:tcPr>
            <w:tcW w:w="46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Representations</w:t>
            </w:r>
          </w:p>
        </w:tc>
        <w:tc>
          <w:tcPr>
            <w:tcW w:w="5380" w:type="dxa"/>
            <w:vAlign w:val="bottom"/>
          </w:tcPr>
          <w:p>
            <w:pPr>
              <w:jc w:val="center"/>
              <w:ind w:left="5135"/>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329"/>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3.</w:t>
            </w:r>
          </w:p>
        </w:tc>
        <w:tc>
          <w:tcPr>
            <w:tcW w:w="46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Amendments</w:t>
            </w:r>
          </w:p>
        </w:tc>
        <w:tc>
          <w:tcPr>
            <w:tcW w:w="5380" w:type="dxa"/>
            <w:vAlign w:val="bottom"/>
          </w:tcPr>
          <w:p>
            <w:pPr>
              <w:jc w:val="center"/>
              <w:ind w:left="5135"/>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329"/>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4.</w:t>
            </w:r>
          </w:p>
        </w:tc>
        <w:tc>
          <w:tcPr>
            <w:tcW w:w="46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Continuity and Further Assurance</w:t>
            </w:r>
          </w:p>
        </w:tc>
        <w:tc>
          <w:tcPr>
            <w:tcW w:w="5380" w:type="dxa"/>
            <w:vAlign w:val="bottom"/>
          </w:tcPr>
          <w:p>
            <w:pPr>
              <w:jc w:val="center"/>
              <w:ind w:left="5135"/>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329"/>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5.</w:t>
            </w:r>
          </w:p>
        </w:tc>
        <w:tc>
          <w:tcPr>
            <w:tcW w:w="46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Extension Fee</w:t>
            </w:r>
          </w:p>
        </w:tc>
        <w:tc>
          <w:tcPr>
            <w:tcW w:w="5380" w:type="dxa"/>
            <w:vAlign w:val="bottom"/>
          </w:tcPr>
          <w:p>
            <w:pPr>
              <w:jc w:val="center"/>
              <w:ind w:left="5135"/>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329"/>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6.</w:t>
            </w:r>
          </w:p>
        </w:tc>
        <w:tc>
          <w:tcPr>
            <w:tcW w:w="46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Costs and Expenses</w:t>
            </w:r>
          </w:p>
        </w:tc>
        <w:tc>
          <w:tcPr>
            <w:tcW w:w="5380" w:type="dxa"/>
            <w:vAlign w:val="bottom"/>
          </w:tcPr>
          <w:p>
            <w:pPr>
              <w:jc w:val="center"/>
              <w:ind w:left="5135"/>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329"/>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7.</w:t>
            </w:r>
          </w:p>
        </w:tc>
        <w:tc>
          <w:tcPr>
            <w:tcW w:w="46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Miscellaneous</w:t>
            </w:r>
          </w:p>
        </w:tc>
        <w:tc>
          <w:tcPr>
            <w:tcW w:w="5380" w:type="dxa"/>
            <w:vAlign w:val="bottom"/>
          </w:tcPr>
          <w:p>
            <w:pPr>
              <w:jc w:val="center"/>
              <w:ind w:left="5135"/>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329"/>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8.</w:t>
            </w:r>
          </w:p>
        </w:tc>
        <w:tc>
          <w:tcPr>
            <w:tcW w:w="46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Governing Law</w:t>
            </w:r>
          </w:p>
        </w:tc>
        <w:tc>
          <w:tcPr>
            <w:tcW w:w="5380" w:type="dxa"/>
            <w:vAlign w:val="bottom"/>
          </w:tcPr>
          <w:p>
            <w:pPr>
              <w:jc w:val="center"/>
              <w:ind w:left="5135"/>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530"/>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Schedule 1</w:t>
            </w:r>
          </w:p>
        </w:tc>
        <w:tc>
          <w:tcPr>
            <w:tcW w:w="4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Subordinated Creditors and Subordinated Debtors</w:t>
            </w:r>
          </w:p>
        </w:tc>
        <w:tc>
          <w:tcPr>
            <w:tcW w:w="5380" w:type="dxa"/>
            <w:vAlign w:val="bottom"/>
          </w:tcPr>
          <w:p>
            <w:pPr>
              <w:jc w:val="center"/>
              <w:ind w:left="5135"/>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318"/>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Schedule 2</w:t>
            </w:r>
          </w:p>
        </w:tc>
        <w:tc>
          <w:tcPr>
            <w:tcW w:w="4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Conditions Precedent</w:t>
            </w:r>
          </w:p>
        </w:tc>
        <w:tc>
          <w:tcPr>
            <w:tcW w:w="5380" w:type="dxa"/>
            <w:vAlign w:val="bottom"/>
          </w:tcPr>
          <w:p>
            <w:pPr>
              <w:jc w:val="center"/>
              <w:ind w:left="5135"/>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318"/>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Schedule 3</w:t>
            </w:r>
          </w:p>
        </w:tc>
        <w:tc>
          <w:tcPr>
            <w:tcW w:w="4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Amendments to Existing Facility Agreement</w:t>
            </w:r>
          </w:p>
        </w:tc>
        <w:tc>
          <w:tcPr>
            <w:tcW w:w="5380" w:type="dxa"/>
            <w:vAlign w:val="bottom"/>
          </w:tcPr>
          <w:p>
            <w:pPr>
              <w:jc w:val="center"/>
              <w:ind w:left="5135"/>
              <w:spacing w:after="0"/>
              <w:rPr>
                <w:sz w:val="20"/>
                <w:szCs w:val="20"/>
                <w:color w:val="auto"/>
              </w:rPr>
            </w:pPr>
            <w:r>
              <w:rPr>
                <w:rFonts w:ascii="Times New Roman" w:cs="Times New Roman" w:eastAsia="Times New Roman" w:hAnsi="Times New Roman"/>
                <w:sz w:val="17"/>
                <w:szCs w:val="17"/>
                <w:color w:val="auto"/>
                <w:w w:val="93"/>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 i -</w:t>
      </w:r>
    </w:p>
    <w:p>
      <w:pPr>
        <w:sectPr>
          <w:pgSz w:w="11900" w:h="16838" w:orient="portrait"/>
          <w:cols w:equalWidth="0" w:num="1">
            <w:col w:w="10200"/>
          </w:cols>
          <w:pgMar w:left="320" w:top="1165" w:right="1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 xml:space="preserve">THIS AGREEMENT </w:t>
      </w:r>
      <w:r>
        <w:rPr>
          <w:rFonts w:ascii="Times New Roman" w:cs="Times New Roman" w:eastAsia="Times New Roman" w:hAnsi="Times New Roman"/>
          <w:sz w:val="17"/>
          <w:szCs w:val="17"/>
          <w:color w:val="auto"/>
        </w:rPr>
        <w:t>is dated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20 September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and made between:</w:t>
      </w:r>
    </w:p>
    <w:p>
      <w:pPr>
        <w:spacing w:after="0" w:line="176" w:lineRule="exact"/>
        <w:rPr>
          <w:sz w:val="20"/>
          <w:szCs w:val="20"/>
          <w:color w:val="auto"/>
        </w:rPr>
      </w:pPr>
    </w:p>
    <w:p>
      <w:pPr>
        <w:jc w:val="both"/>
        <w:ind w:left="520" w:hanging="515"/>
        <w:spacing w:after="0" w:line="271" w:lineRule="auto"/>
        <w:tabs>
          <w:tab w:leader="none" w:pos="5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WYNN MACAU, LIMITED</w:t>
      </w:r>
      <w:r>
        <w:rPr>
          <w:rFonts w:ascii="Times New Roman" w:cs="Times New Roman" w:eastAsia="Times New Roman" w:hAnsi="Times New Roman"/>
          <w:sz w:val="17"/>
          <w:szCs w:val="17"/>
          <w:color w:val="auto"/>
        </w:rPr>
        <w:t>, an exempted company incorporated in the Cayman Islands with limited liability with registered office at c/o Maples Corporate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Limited, PO Box 309, Ugland House, South Church Street, George Town, Grand Cayman KY1-1104, Cayman Islands with registration number 230109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122" w:lineRule="exact"/>
        <w:rPr>
          <w:rFonts w:ascii="Times New Roman" w:cs="Times New Roman" w:eastAsia="Times New Roman" w:hAnsi="Times New Roman"/>
          <w:sz w:val="17"/>
          <w:szCs w:val="17"/>
          <w:color w:val="auto"/>
        </w:rPr>
      </w:pPr>
    </w:p>
    <w:p>
      <w:pPr>
        <w:jc w:val="both"/>
        <w:ind w:left="520" w:hanging="515"/>
        <w:spacing w:after="0" w:line="264" w:lineRule="auto"/>
        <w:tabs>
          <w:tab w:leader="none" w:pos="5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WM CAYMAN HOLDINGS LIMITED II</w:t>
      </w:r>
      <w:r>
        <w:rPr>
          <w:rFonts w:ascii="Times New Roman" w:cs="Times New Roman" w:eastAsia="Times New Roman" w:hAnsi="Times New Roman"/>
          <w:sz w:val="17"/>
          <w:szCs w:val="17"/>
          <w:color w:val="auto"/>
        </w:rPr>
        <w:t>, an exempted company incorporated in the Cayman Islands with limited liability with registered office at c/o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Maples Corporate Services Limited, PO Box 309, Ugland House, South Church Street, George Town, Grand Cayman KY1-1104, Cayman Islands with registration number 230468(the "</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w:t>
      </w:r>
    </w:p>
    <w:p>
      <w:pPr>
        <w:spacing w:after="0" w:line="129" w:lineRule="exact"/>
        <w:rPr>
          <w:rFonts w:ascii="Times New Roman" w:cs="Times New Roman" w:eastAsia="Times New Roman" w:hAnsi="Times New Roman"/>
          <w:sz w:val="17"/>
          <w:szCs w:val="17"/>
          <w:color w:val="auto"/>
        </w:rPr>
      </w:pPr>
    </w:p>
    <w:p>
      <w:pPr>
        <w:ind w:left="520" w:hanging="515"/>
        <w:spacing w:after="0" w:line="294" w:lineRule="auto"/>
        <w:tabs>
          <w:tab w:leader="none" w:pos="5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THE ENTITIES </w:t>
      </w:r>
      <w:r>
        <w:rPr>
          <w:rFonts w:ascii="Times New Roman" w:cs="Times New Roman" w:eastAsia="Times New Roman" w:hAnsi="Times New Roman"/>
          <w:sz w:val="17"/>
          <w:szCs w:val="17"/>
          <w:color w:val="auto"/>
        </w:rPr>
        <w:t>listed in Part A (</w:t>
      </w:r>
      <w:r>
        <w:rPr>
          <w:rFonts w:ascii="Times New Roman" w:cs="Times New Roman" w:eastAsia="Times New Roman" w:hAnsi="Times New Roman"/>
          <w:sz w:val="17"/>
          <w:szCs w:val="17"/>
          <w:i w:val="1"/>
          <w:iCs w:val="1"/>
          <w:color w:val="auto"/>
        </w:rPr>
        <w:t>The Subordinated Creditors</w:t>
      </w:r>
      <w:r>
        <w:rPr>
          <w:rFonts w:ascii="Times New Roman" w:cs="Times New Roman" w:eastAsia="Times New Roman" w:hAnsi="Times New Roman"/>
          <w:sz w:val="17"/>
          <w:szCs w:val="17"/>
          <w:color w:val="auto"/>
        </w:rPr>
        <w:t>) of Schedule 1 (</w:t>
      </w:r>
      <w:r>
        <w:rPr>
          <w:rFonts w:ascii="Times New Roman" w:cs="Times New Roman" w:eastAsia="Times New Roman" w:hAnsi="Times New Roman"/>
          <w:sz w:val="17"/>
          <w:szCs w:val="17"/>
          <w:i w:val="1"/>
          <w:iCs w:val="1"/>
          <w:color w:val="auto"/>
        </w:rPr>
        <w:t>The Subordinated Creditors and Subordinated Debtors</w:t>
      </w:r>
      <w:r>
        <w:rPr>
          <w:rFonts w:ascii="Times New Roman" w:cs="Times New Roman" w:eastAsia="Times New Roman" w:hAnsi="Times New Roman"/>
          <w:sz w:val="17"/>
          <w:szCs w:val="17"/>
          <w:color w:val="auto"/>
        </w:rPr>
        <w:t>) as subordinated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creditors (the "</w:t>
      </w:r>
      <w:r>
        <w:rPr>
          <w:rFonts w:ascii="Times New Roman" w:cs="Times New Roman" w:eastAsia="Times New Roman" w:hAnsi="Times New Roman"/>
          <w:sz w:val="17"/>
          <w:szCs w:val="17"/>
          <w:b w:val="1"/>
          <w:bCs w:val="1"/>
          <w:color w:val="auto"/>
        </w:rPr>
        <w:t>Subordinated Creditors</w:t>
      </w:r>
      <w:r>
        <w:rPr>
          <w:rFonts w:ascii="Times New Roman" w:cs="Times New Roman" w:eastAsia="Times New Roman" w:hAnsi="Times New Roman"/>
          <w:sz w:val="17"/>
          <w:szCs w:val="17"/>
          <w:color w:val="auto"/>
        </w:rPr>
        <w:t>");</w:t>
      </w:r>
    </w:p>
    <w:p>
      <w:pPr>
        <w:spacing w:after="0" w:line="104" w:lineRule="exact"/>
        <w:rPr>
          <w:rFonts w:ascii="Times New Roman" w:cs="Times New Roman" w:eastAsia="Times New Roman" w:hAnsi="Times New Roman"/>
          <w:sz w:val="17"/>
          <w:szCs w:val="17"/>
          <w:color w:val="auto"/>
        </w:rPr>
      </w:pPr>
    </w:p>
    <w:p>
      <w:pPr>
        <w:ind w:left="520" w:hanging="515"/>
        <w:spacing w:after="0" w:line="281" w:lineRule="auto"/>
        <w:tabs>
          <w:tab w:leader="none" w:pos="5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THE ENTITIES </w:t>
      </w:r>
      <w:r>
        <w:rPr>
          <w:rFonts w:ascii="Times New Roman" w:cs="Times New Roman" w:eastAsia="Times New Roman" w:hAnsi="Times New Roman"/>
          <w:sz w:val="17"/>
          <w:szCs w:val="17"/>
          <w:color w:val="auto"/>
        </w:rPr>
        <w:t>listed in Part B (</w:t>
      </w:r>
      <w:r>
        <w:rPr>
          <w:rFonts w:ascii="Times New Roman" w:cs="Times New Roman" w:eastAsia="Times New Roman" w:hAnsi="Times New Roman"/>
          <w:sz w:val="17"/>
          <w:szCs w:val="17"/>
          <w:i w:val="1"/>
          <w:iCs w:val="1"/>
          <w:color w:val="auto"/>
        </w:rPr>
        <w:t>The Subordinated Debtors</w:t>
      </w:r>
      <w:r>
        <w:rPr>
          <w:rFonts w:ascii="Times New Roman" w:cs="Times New Roman" w:eastAsia="Times New Roman" w:hAnsi="Times New Roman"/>
          <w:sz w:val="17"/>
          <w:szCs w:val="17"/>
          <w:color w:val="auto"/>
        </w:rPr>
        <w:t>) of Schedule 1 (</w:t>
      </w:r>
      <w:r>
        <w:rPr>
          <w:rFonts w:ascii="Times New Roman" w:cs="Times New Roman" w:eastAsia="Times New Roman" w:hAnsi="Times New Roman"/>
          <w:sz w:val="17"/>
          <w:szCs w:val="17"/>
          <w:i w:val="1"/>
          <w:iCs w:val="1"/>
          <w:color w:val="auto"/>
        </w:rPr>
        <w:t>The Subordinated Creditors and Subordinated Debtors</w:t>
      </w:r>
      <w:r>
        <w:rPr>
          <w:rFonts w:ascii="Times New Roman" w:cs="Times New Roman" w:eastAsia="Times New Roman" w:hAnsi="Times New Roman"/>
          <w:sz w:val="17"/>
          <w:szCs w:val="17"/>
          <w:color w:val="auto"/>
        </w:rPr>
        <w:t>) as subordinated debtors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Subordinated Debtors</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BANK OF CHINA LIMITED, MACAU BRANCH </w:t>
      </w:r>
      <w:r>
        <w:rPr>
          <w:rFonts w:ascii="Times New Roman" w:cs="Times New Roman" w:eastAsia="Times New Roman" w:hAnsi="Times New Roman"/>
          <w:sz w:val="17"/>
          <w:szCs w:val="17"/>
          <w:color w:val="auto"/>
        </w:rPr>
        <w:t>as mandated lead arranger (the "</w:t>
      </w:r>
      <w:r>
        <w:rPr>
          <w:rFonts w:ascii="Times New Roman" w:cs="Times New Roman" w:eastAsia="Times New Roman" w:hAnsi="Times New Roman"/>
          <w:sz w:val="17"/>
          <w:szCs w:val="17"/>
          <w:b w:val="1"/>
          <w:bCs w:val="1"/>
          <w:color w:val="auto"/>
        </w:rPr>
        <w:t>Arranger</w:t>
      </w:r>
      <w:r>
        <w:rPr>
          <w:rFonts w:ascii="Times New Roman" w:cs="Times New Roman" w:eastAsia="Times New Roman" w:hAnsi="Times New Roman"/>
          <w:sz w:val="17"/>
          <w:szCs w:val="17"/>
          <w:color w:val="auto"/>
        </w:rPr>
        <w:t>"); and</w:t>
      </w:r>
    </w:p>
    <w:p>
      <w:pPr>
        <w:spacing w:after="0" w:line="175"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BANK OF CHINA LIMITED, MACAU BRANCH </w:t>
      </w:r>
      <w:r>
        <w:rPr>
          <w:rFonts w:ascii="Times New Roman" w:cs="Times New Roman" w:eastAsia="Times New Roman" w:hAnsi="Times New Roman"/>
          <w:sz w:val="17"/>
          <w:szCs w:val="17"/>
          <w:color w:val="auto"/>
        </w:rPr>
        <w:t>as agent of the other Finance Parties (the "</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90" w:lineRule="exact"/>
        <w:rPr>
          <w:sz w:val="20"/>
          <w:szCs w:val="20"/>
          <w:color w:val="auto"/>
        </w:rPr>
      </w:pPr>
    </w:p>
    <w:p>
      <w:pPr>
        <w:ind w:left="500" w:hanging="495"/>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Lenders made facilities available to the Borrower pursuant to the Existing Facility Agreement (as defined below).</w:t>
      </w:r>
    </w:p>
    <w:p>
      <w:pPr>
        <w:spacing w:after="0" w:line="175" w:lineRule="exact"/>
        <w:rPr>
          <w:rFonts w:ascii="Times New Roman" w:cs="Times New Roman" w:eastAsia="Times New Roman" w:hAnsi="Times New Roman"/>
          <w:sz w:val="17"/>
          <w:szCs w:val="17"/>
          <w:color w:val="auto"/>
        </w:rPr>
      </w:pPr>
    </w:p>
    <w:p>
      <w:pPr>
        <w:ind w:left="520" w:hanging="515"/>
        <w:spacing w:after="0" w:line="276" w:lineRule="auto"/>
        <w:tabs>
          <w:tab w:leader="none" w:pos="51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Subordinated Creditors, Subordinated Debtors and the Agent are party to a subordination agreement dated 16 September 2021 (the "</w:t>
      </w:r>
      <w:r>
        <w:rPr>
          <w:rFonts w:ascii="Times New Roman" w:cs="Times New Roman" w:eastAsia="Times New Roman" w:hAnsi="Times New Roman"/>
          <w:sz w:val="17"/>
          <w:szCs w:val="17"/>
          <w:b w:val="1"/>
          <w:bCs w:val="1"/>
          <w:color w:val="auto"/>
        </w:rPr>
        <w:t>Subordination Agreement</w:t>
      </w:r>
      <w:r>
        <w:rPr>
          <w:rFonts w:ascii="Times New Roman" w:cs="Times New Roman" w:eastAsia="Times New Roman" w:hAnsi="Times New Roman"/>
          <w:sz w:val="17"/>
          <w:szCs w:val="17"/>
          <w:color w:val="auto"/>
        </w:rPr>
        <w:t>").</w:t>
      </w:r>
    </w:p>
    <w:p>
      <w:pPr>
        <w:spacing w:after="0" w:line="123" w:lineRule="exact"/>
        <w:rPr>
          <w:rFonts w:ascii="Times New Roman" w:cs="Times New Roman" w:eastAsia="Times New Roman" w:hAnsi="Times New Roman"/>
          <w:sz w:val="17"/>
          <w:szCs w:val="17"/>
          <w:color w:val="auto"/>
        </w:rPr>
      </w:pPr>
    </w:p>
    <w:p>
      <w:pPr>
        <w:ind w:left="520" w:hanging="515"/>
        <w:spacing w:after="0" w:line="276" w:lineRule="auto"/>
        <w:tabs>
          <w:tab w:leader="none" w:pos="51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Lenders, the Borrower and the Company have agreed to extend the Termination Date (as defined in the Existing Facility Agreement) and make certain other amendments to the Existing Facility Agreement.</w:t>
      </w:r>
    </w:p>
    <w:p>
      <w:pPr>
        <w:spacing w:after="0" w:line="129" w:lineRule="exact"/>
        <w:rPr>
          <w:rFonts w:ascii="Times New Roman" w:cs="Times New Roman" w:eastAsia="Times New Roman" w:hAnsi="Times New Roman"/>
          <w:sz w:val="17"/>
          <w:szCs w:val="17"/>
          <w:color w:val="auto"/>
        </w:rPr>
      </w:pPr>
    </w:p>
    <w:p>
      <w:pPr>
        <w:ind w:left="520" w:hanging="515"/>
        <w:spacing w:after="0" w:line="281" w:lineRule="auto"/>
        <w:tabs>
          <w:tab w:leader="none" w:pos="51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agreed that its obligations under clause 17 (</w:t>
      </w:r>
      <w:r>
        <w:rPr>
          <w:rFonts w:ascii="Times New Roman" w:cs="Times New Roman" w:eastAsia="Times New Roman" w:hAnsi="Times New Roman"/>
          <w:sz w:val="17"/>
          <w:szCs w:val="17"/>
          <w:i w:val="1"/>
          <w:iCs w:val="1"/>
          <w:color w:val="auto"/>
        </w:rPr>
        <w:t>Guarantee and Indemnity</w:t>
      </w:r>
      <w:r>
        <w:rPr>
          <w:rFonts w:ascii="Times New Roman" w:cs="Times New Roman" w:eastAsia="Times New Roman" w:hAnsi="Times New Roman"/>
          <w:sz w:val="17"/>
          <w:szCs w:val="17"/>
          <w:color w:val="auto"/>
        </w:rPr>
        <w:t>) of the Facility Agreement shall continue to apply to the obligations of the Borrower under the Facility Agreement, as amended pursuant to this Agreement.</w:t>
      </w:r>
    </w:p>
    <w:p>
      <w:pPr>
        <w:spacing w:after="0" w:line="119" w:lineRule="exact"/>
        <w:rPr>
          <w:rFonts w:ascii="Times New Roman" w:cs="Times New Roman" w:eastAsia="Times New Roman" w:hAnsi="Times New Roman"/>
          <w:sz w:val="17"/>
          <w:szCs w:val="17"/>
          <w:color w:val="auto"/>
        </w:rPr>
      </w:pPr>
    </w:p>
    <w:p>
      <w:pPr>
        <w:ind w:left="520" w:hanging="515"/>
        <w:spacing w:after="0" w:line="276" w:lineRule="auto"/>
        <w:tabs>
          <w:tab w:leader="none" w:pos="51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Subordinated Creditors and the Subordinated Debtors have agreed that the terms of the Subordination Agreement shall continue to apply to the Senior Liabilities (as defined in the Subordination Agreement), as amended pursuant to this Agreement.</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5600" w:hanging="92"/>
        <w:spacing w:after="0"/>
        <w:tabs>
          <w:tab w:leader="none" w:pos="56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w:t>
      </w:r>
    </w:p>
    <w:p>
      <w:pPr>
        <w:sectPr>
          <w:pgSz w:w="11900" w:h="16838" w:orient="portrait"/>
          <w:cols w:equalWidth="0" w:num="1">
            <w:col w:w="11280"/>
          </w:cols>
          <w:pgMar w:left="300" w:top="1144" w:right="319" w:bottom="1440" w:gutter="0" w:footer="0" w:header="0"/>
        </w:sectPr>
      </w:pPr>
    </w:p>
    <w:bookmarkStart w:id="6" w:name="page7"/>
    <w:bookmarkEnd w:id="6"/>
    <w:p>
      <w:pPr>
        <w:ind w:left="520" w:hanging="515"/>
        <w:spacing w:after="0" w:line="276" w:lineRule="auto"/>
        <w:tabs>
          <w:tab w:leader="none" w:pos="5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Lenders have consented to the amendments to the Existing Facility Agreement that are to become effective pursuant to this Agreement. Accordingly, the Agent is authorised to execute this Agreement on behalf of all Lenders pursuant to clause 34 (</w:t>
      </w:r>
      <w:r>
        <w:rPr>
          <w:rFonts w:ascii="Times New Roman" w:cs="Times New Roman" w:eastAsia="Times New Roman" w:hAnsi="Times New Roman"/>
          <w:sz w:val="17"/>
          <w:szCs w:val="17"/>
          <w:i w:val="1"/>
          <w:iCs w:val="1"/>
          <w:color w:val="auto"/>
        </w:rPr>
        <w:t>Amendments and Waivers</w:t>
      </w:r>
      <w:r>
        <w:rPr>
          <w:rFonts w:ascii="Times New Roman" w:cs="Times New Roman" w:eastAsia="Times New Roman" w:hAnsi="Times New Roman"/>
          <w:sz w:val="17"/>
          <w:szCs w:val="17"/>
          <w:color w:val="auto"/>
        </w:rPr>
        <w:t>) of the Existing Facility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 IS AGREED </w:t>
      </w:r>
      <w:r>
        <w:rPr>
          <w:rFonts w:ascii="Times New Roman" w:cs="Times New Roman" w:eastAsia="Times New Roman" w:hAnsi="Times New Roman"/>
          <w:sz w:val="17"/>
          <w:szCs w:val="17"/>
          <w:color w:val="auto"/>
        </w:rPr>
        <w:t>as follows:</w:t>
      </w:r>
    </w:p>
    <w:p>
      <w:pPr>
        <w:spacing w:after="0" w:line="186" w:lineRule="exact"/>
        <w:rPr>
          <w:sz w:val="20"/>
          <w:szCs w:val="20"/>
          <w:color w:val="auto"/>
        </w:rPr>
      </w:pPr>
    </w:p>
    <w:p>
      <w:pPr>
        <w:ind w:left="520" w:hanging="515"/>
        <w:spacing w:after="0"/>
        <w:tabs>
          <w:tab w:leader="none" w:pos="5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DEFINITIONS AND INTERPRETATION</w:t>
      </w:r>
    </w:p>
    <w:p>
      <w:pPr>
        <w:spacing w:after="0" w:line="17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6"/>
          <w:szCs w:val="16"/>
          <w:b w:val="1"/>
          <w:bCs w:val="1"/>
          <w:color w:val="auto"/>
        </w:rPr>
        <w:t>Definitions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this Agreement: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Amended Facility Agreement</w:t>
      </w:r>
      <w:r>
        <w:rPr>
          <w:rFonts w:ascii="Times New Roman" w:cs="Times New Roman" w:eastAsia="Times New Roman" w:hAnsi="Times New Roman"/>
          <w:sz w:val="17"/>
          <w:szCs w:val="17"/>
          <w:color w:val="auto"/>
        </w:rPr>
        <w:t>" means the Existing Facility Agreement, as amended by this Agreement.</w:t>
      </w:r>
    </w:p>
    <w:p>
      <w:pPr>
        <w:spacing w:after="0" w:line="176" w:lineRule="exact"/>
        <w:rPr>
          <w:sz w:val="20"/>
          <w:szCs w:val="20"/>
          <w:color w:val="auto"/>
        </w:rPr>
      </w:pPr>
    </w:p>
    <w:p>
      <w:pPr>
        <w:jc w:val="both"/>
        <w:ind w:left="520"/>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means the date on which the Agent confirms to the Borrower that it has received each of the documents and other evidence listed in Schedule 2 (</w:t>
      </w:r>
      <w:r>
        <w:rPr>
          <w:rFonts w:ascii="Times New Roman" w:cs="Times New Roman" w:eastAsia="Times New Roman" w:hAnsi="Times New Roman"/>
          <w:sz w:val="17"/>
          <w:szCs w:val="17"/>
          <w:i w:val="1"/>
          <w:iCs w:val="1"/>
          <w:color w:val="auto"/>
        </w:rPr>
        <w:t>Conditions Precedent</w:t>
      </w:r>
      <w:r>
        <w:rPr>
          <w:rFonts w:ascii="Times New Roman" w:cs="Times New Roman" w:eastAsia="Times New Roman" w:hAnsi="Times New Roman"/>
          <w:sz w:val="17"/>
          <w:szCs w:val="17"/>
          <w:color w:val="auto"/>
        </w:rPr>
        <w:t>) in a form and substance satisfactory to the Agent.</w:t>
      </w:r>
    </w:p>
    <w:p>
      <w:pPr>
        <w:spacing w:after="0" w:line="105" w:lineRule="exact"/>
        <w:rPr>
          <w:sz w:val="20"/>
          <w:szCs w:val="20"/>
          <w:color w:val="auto"/>
        </w:rPr>
      </w:pPr>
    </w:p>
    <w:p>
      <w:pPr>
        <w:jc w:val="both"/>
        <w:ind w:left="5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Facility Agreement</w:t>
      </w:r>
      <w:r>
        <w:rPr>
          <w:rFonts w:ascii="Times New Roman" w:cs="Times New Roman" w:eastAsia="Times New Roman" w:hAnsi="Times New Roman"/>
          <w:sz w:val="17"/>
          <w:szCs w:val="17"/>
          <w:color w:val="auto"/>
        </w:rPr>
        <w:t>" means the facility agreement dated 16 September 2021 between the Borrower, the Company, the Arranger, the Original Lenders (as defined therein) and the Agent, as amended from time to time prior to the date of this Agreement (including pursuant to the amendment and restatement agreement dated 27 June 2023).</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Extension Fee Letter</w:t>
      </w:r>
      <w:r>
        <w:rPr>
          <w:rFonts w:ascii="Times New Roman" w:cs="Times New Roman" w:eastAsia="Times New Roman" w:hAnsi="Times New Roman"/>
          <w:sz w:val="17"/>
          <w:szCs w:val="17"/>
          <w:color w:val="auto"/>
        </w:rPr>
        <w:t>" means the extension fee letter dated on or about the date of this Agreement between the Agent and the Borrower.</w:t>
      </w:r>
    </w:p>
    <w:p>
      <w:pPr>
        <w:spacing w:after="0" w:line="17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6"/>
          <w:szCs w:val="16"/>
          <w:b w:val="1"/>
          <w:bCs w:val="1"/>
          <w:color w:val="auto"/>
        </w:rPr>
        <w:t>Incorporation of defined terms</w:t>
      </w:r>
    </w:p>
    <w:p>
      <w:pPr>
        <w:spacing w:after="0" w:line="190" w:lineRule="exact"/>
        <w:rPr>
          <w:sz w:val="20"/>
          <w:szCs w:val="20"/>
          <w:color w:val="auto"/>
        </w:rPr>
      </w:pPr>
    </w:p>
    <w:p>
      <w:pPr>
        <w:ind w:left="1020" w:hanging="506"/>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 contrary indication appears, a term defined in the Existing Facility Agreement has the same meaning in this Agreement.</w:t>
      </w:r>
    </w:p>
    <w:p>
      <w:pPr>
        <w:spacing w:after="0" w:line="17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principles of construction set out in the Existing Facility Agreement shall have effect as if set out in this Agreement.</w:t>
      </w:r>
    </w:p>
    <w:p>
      <w:pPr>
        <w:spacing w:after="0" w:line="17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7"/>
          <w:szCs w:val="17"/>
          <w:b w:val="1"/>
          <w:bCs w:val="1"/>
          <w:color w:val="auto"/>
        </w:rPr>
        <w:t>Clauses</w:t>
      </w:r>
    </w:p>
    <w:p>
      <w:pPr>
        <w:spacing w:after="0" w:line="180" w:lineRule="exact"/>
        <w:rPr>
          <w:sz w:val="20"/>
          <w:szCs w:val="20"/>
          <w:color w:val="auto"/>
        </w:rPr>
      </w:pPr>
    </w:p>
    <w:p>
      <w:pPr>
        <w:ind w:left="520"/>
        <w:spacing w:after="0" w:line="276" w:lineRule="auto"/>
        <w:rPr>
          <w:sz w:val="20"/>
          <w:szCs w:val="20"/>
          <w:color w:val="auto"/>
        </w:rPr>
      </w:pPr>
      <w:r>
        <w:rPr>
          <w:rFonts w:ascii="Times New Roman" w:cs="Times New Roman" w:eastAsia="Times New Roman" w:hAnsi="Times New Roman"/>
          <w:sz w:val="17"/>
          <w:szCs w:val="17"/>
          <w:color w:val="auto"/>
        </w:rPr>
        <w:t>In this Agreement any reference to a "Clause" or a "Schedule" is, unless the context otherwise requires, a reference to a Clause in or a Schedule to this Agreement.</w:t>
      </w:r>
    </w:p>
    <w:p>
      <w:pPr>
        <w:spacing w:after="0" w:line="13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6"/>
          <w:szCs w:val="16"/>
          <w:b w:val="1"/>
          <w:bCs w:val="1"/>
          <w:color w:val="auto"/>
        </w:rPr>
        <w:t>Third party rights</w:t>
      </w:r>
    </w:p>
    <w:p>
      <w:pPr>
        <w:spacing w:after="0" w:line="180" w:lineRule="exact"/>
        <w:rPr>
          <w:sz w:val="20"/>
          <w:szCs w:val="20"/>
          <w:color w:val="auto"/>
        </w:rPr>
      </w:pPr>
    </w:p>
    <w:p>
      <w:pPr>
        <w:ind w:left="520"/>
        <w:spacing w:after="0" w:line="276" w:lineRule="auto"/>
        <w:rPr>
          <w:sz w:val="20"/>
          <w:szCs w:val="20"/>
          <w:color w:val="auto"/>
        </w:rPr>
      </w:pPr>
      <w:r>
        <w:rPr>
          <w:rFonts w:ascii="Times New Roman" w:cs="Times New Roman" w:eastAsia="Times New Roman" w:hAnsi="Times New Roman"/>
          <w:sz w:val="17"/>
          <w:szCs w:val="17"/>
          <w:color w:val="auto"/>
        </w:rPr>
        <w:t>A person who is not a party to this Agreement has no right under the Contracts (Rights of Third Parties) Act 1999 to enforce or to enjoy the benefit of any term of this Agreement.</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- 2 -</w:t>
      </w:r>
    </w:p>
    <w:p>
      <w:pPr>
        <w:sectPr>
          <w:pgSz w:w="11900" w:h="16838" w:orient="portrait"/>
          <w:cols w:equalWidth="0" w:num="1">
            <w:col w:w="11280"/>
          </w:cols>
          <w:pgMar w:left="300" w:top="1148" w:right="319" w:bottom="1440" w:gutter="0" w:footer="0" w:header="0"/>
        </w:sectPr>
      </w:pPr>
    </w:p>
    <w:bookmarkStart w:id="7" w:name="page8"/>
    <w:bookmarkEnd w:id="7"/>
    <w:p>
      <w:pPr>
        <w:spacing w:after="0"/>
        <w:tabs>
          <w:tab w:leader="none" w:pos="50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7"/>
          <w:szCs w:val="17"/>
          <w:b w:val="1"/>
          <w:bCs w:val="1"/>
          <w:color w:val="auto"/>
        </w:rPr>
        <w:t>Designation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accordance with the Existing Facility Agreement, each of the Borrower and the Agent designates this Agreement as a Finance Document.</w:t>
      </w:r>
    </w:p>
    <w:p>
      <w:pPr>
        <w:spacing w:after="0" w:line="172" w:lineRule="exact"/>
        <w:rPr>
          <w:sz w:val="20"/>
          <w:szCs w:val="20"/>
          <w:color w:val="auto"/>
        </w:rPr>
      </w:pPr>
    </w:p>
    <w:p>
      <w:pPr>
        <w:ind w:left="520" w:hanging="515"/>
        <w:spacing w:after="0"/>
        <w:tabs>
          <w:tab w:leader="none" w:pos="5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REPRESENTATIONS</w:t>
      </w:r>
    </w:p>
    <w:p>
      <w:pPr>
        <w:spacing w:after="0" w:line="18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6"/>
          <w:szCs w:val="16"/>
          <w:b w:val="1"/>
          <w:bCs w:val="1"/>
          <w:color w:val="auto"/>
        </w:rPr>
        <w:t>No filing or stamp fees or taxes</w:t>
      </w:r>
    </w:p>
    <w:p>
      <w:pPr>
        <w:spacing w:after="0" w:line="176" w:lineRule="exact"/>
        <w:rPr>
          <w:sz w:val="20"/>
          <w:szCs w:val="20"/>
          <w:color w:val="auto"/>
        </w:rPr>
      </w:pPr>
    </w:p>
    <w:p>
      <w:pPr>
        <w:jc w:val="both"/>
        <w:ind w:left="520"/>
        <w:spacing w:after="0" w:line="264" w:lineRule="auto"/>
        <w:rPr>
          <w:sz w:val="20"/>
          <w:szCs w:val="20"/>
          <w:color w:val="auto"/>
        </w:rPr>
      </w:pPr>
      <w:r>
        <w:rPr>
          <w:rFonts w:ascii="Times New Roman" w:cs="Times New Roman" w:eastAsia="Times New Roman" w:hAnsi="Times New Roman"/>
          <w:sz w:val="17"/>
          <w:szCs w:val="17"/>
          <w:color w:val="auto"/>
        </w:rPr>
        <w:t>Each Obligor makes the representations and warranties set out in clause 18.8 (</w:t>
      </w:r>
      <w:r>
        <w:rPr>
          <w:rFonts w:ascii="Times New Roman" w:cs="Times New Roman" w:eastAsia="Times New Roman" w:hAnsi="Times New Roman"/>
          <w:sz w:val="17"/>
          <w:szCs w:val="17"/>
          <w:i w:val="1"/>
          <w:iCs w:val="1"/>
          <w:color w:val="auto"/>
        </w:rPr>
        <w:t>No filing or stamp fees or taxes</w:t>
      </w:r>
      <w:r>
        <w:rPr>
          <w:rFonts w:ascii="Times New Roman" w:cs="Times New Roman" w:eastAsia="Times New Roman" w:hAnsi="Times New Roman"/>
          <w:sz w:val="17"/>
          <w:szCs w:val="17"/>
          <w:color w:val="auto"/>
        </w:rPr>
        <w:t>) of the Existing Facility Agreement on the Effective Date to the Finance Parties, but as if references to "Finance Documents" therein were references to this Agreement and the Amended Facility Agreement.</w:t>
      </w:r>
    </w:p>
    <w:p>
      <w:pPr>
        <w:spacing w:after="0" w:line="1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6"/>
          <w:szCs w:val="16"/>
          <w:b w:val="1"/>
          <w:bCs w:val="1"/>
          <w:color w:val="auto"/>
        </w:rPr>
        <w:t>Repeating Representations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Repeating Representations are deemed to be made by each Obligor (in each case, by reference to the facts and circumstances then existing) on:</w:t>
      </w:r>
    </w:p>
    <w:p>
      <w:pPr>
        <w:spacing w:after="0" w:line="176" w:lineRule="exact"/>
        <w:rPr>
          <w:sz w:val="20"/>
          <w:szCs w:val="20"/>
          <w:color w:val="auto"/>
        </w:rPr>
      </w:pPr>
    </w:p>
    <w:p>
      <w:pPr>
        <w:ind w:left="1020" w:hanging="506"/>
        <w:spacing w:after="0"/>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this Agreement; and</w:t>
      </w:r>
    </w:p>
    <w:p>
      <w:pPr>
        <w:spacing w:after="0" w:line="17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 Date,</w:t>
      </w:r>
    </w:p>
    <w:p>
      <w:pPr>
        <w:spacing w:after="0" w:line="176" w:lineRule="exact"/>
        <w:rPr>
          <w:sz w:val="20"/>
          <w:szCs w:val="20"/>
          <w:color w:val="auto"/>
        </w:rPr>
      </w:pPr>
    </w:p>
    <w:p>
      <w:pPr>
        <w:ind w:left="520"/>
        <w:spacing w:after="0" w:line="276" w:lineRule="auto"/>
        <w:rPr>
          <w:sz w:val="20"/>
          <w:szCs w:val="20"/>
          <w:color w:val="auto"/>
        </w:rPr>
      </w:pPr>
      <w:r>
        <w:rPr>
          <w:rFonts w:ascii="Times New Roman" w:cs="Times New Roman" w:eastAsia="Times New Roman" w:hAnsi="Times New Roman"/>
          <w:sz w:val="17"/>
          <w:szCs w:val="17"/>
          <w:color w:val="auto"/>
        </w:rPr>
        <w:t>as if references to "this Agreement" or "Finance Documents" in the Repeating Representations included this Agreement, the Existing Facility Agreement and, on the Effective Date, the Amended Facility Agreement.</w:t>
      </w:r>
    </w:p>
    <w:p>
      <w:pPr>
        <w:spacing w:after="0" w:line="119" w:lineRule="exact"/>
        <w:rPr>
          <w:sz w:val="20"/>
          <w:szCs w:val="20"/>
          <w:color w:val="auto"/>
        </w:rPr>
      </w:pPr>
    </w:p>
    <w:p>
      <w:pPr>
        <w:ind w:left="520" w:hanging="515"/>
        <w:spacing w:after="0"/>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AMENDMENTS</w:t>
      </w:r>
    </w:p>
    <w:p>
      <w:pPr>
        <w:spacing w:after="0" w:line="186"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effect from the Effective Date, the Existing Facility Agreement shall be amended as set out in Schedule 3 (</w:t>
      </w:r>
      <w:r>
        <w:rPr>
          <w:rFonts w:ascii="Times New Roman" w:cs="Times New Roman" w:eastAsia="Times New Roman" w:hAnsi="Times New Roman"/>
          <w:sz w:val="17"/>
          <w:szCs w:val="17"/>
          <w:i w:val="1"/>
          <w:iCs w:val="1"/>
          <w:color w:val="auto"/>
        </w:rPr>
        <w:t>Amendments to Existing Facility Agreement</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CONTINUITY AND FURTHER ASSURANCE</w:t>
      </w:r>
    </w:p>
    <w:p>
      <w:pPr>
        <w:spacing w:after="0" w:line="17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6"/>
          <w:szCs w:val="16"/>
          <w:b w:val="1"/>
          <w:bCs w:val="1"/>
          <w:color w:val="auto"/>
        </w:rPr>
        <w:t>Consent of Obligors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On the Effective Date, each Obligor:</w:t>
      </w:r>
    </w:p>
    <w:p>
      <w:pPr>
        <w:spacing w:after="0" w:line="176" w:lineRule="exact"/>
        <w:rPr>
          <w:sz w:val="20"/>
          <w:szCs w:val="20"/>
          <w:color w:val="auto"/>
        </w:rPr>
      </w:pPr>
    </w:p>
    <w:p>
      <w:pPr>
        <w:ind w:left="1020" w:hanging="506"/>
        <w:spacing w:after="0"/>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confirms its acceptance of the Amended Facility Agreement; and</w:t>
      </w:r>
    </w:p>
    <w:p>
      <w:pPr>
        <w:spacing w:after="0" w:line="186" w:lineRule="exact"/>
        <w:rPr>
          <w:rFonts w:ascii="Times New Roman" w:cs="Times New Roman" w:eastAsia="Times New Roman" w:hAnsi="Times New Roman"/>
          <w:sz w:val="17"/>
          <w:szCs w:val="17"/>
          <w:color w:val="auto"/>
        </w:rPr>
      </w:pPr>
    </w:p>
    <w:p>
      <w:pPr>
        <w:ind w:right="4400" w:firstLine="514"/>
        <w:spacing w:after="0" w:line="455" w:lineRule="auto"/>
        <w:tabs>
          <w:tab w:leader="none" w:pos="10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agrees that it is bound as an Obligor by the terms of the Amended Facility Agreement. 4.2 </w:t>
      </w:r>
      <w:r>
        <w:rPr>
          <w:rFonts w:ascii="Times New Roman" w:cs="Times New Roman" w:eastAsia="Times New Roman" w:hAnsi="Times New Roman"/>
          <w:sz w:val="17"/>
          <w:szCs w:val="17"/>
          <w:b w:val="1"/>
          <w:bCs w:val="1"/>
          <w:color w:val="auto"/>
        </w:rPr>
        <w:t>Continuing obligations</w:t>
      </w:r>
    </w:p>
    <w:p>
      <w:pPr>
        <w:spacing w:after="0" w:line="1" w:lineRule="exact"/>
        <w:rPr>
          <w:sz w:val="20"/>
          <w:szCs w:val="20"/>
          <w:color w:val="auto"/>
        </w:rPr>
      </w:pPr>
    </w:p>
    <w:p>
      <w:pPr>
        <w:ind w:left="520"/>
        <w:spacing w:after="0" w:line="276" w:lineRule="auto"/>
        <w:rPr>
          <w:sz w:val="20"/>
          <w:szCs w:val="20"/>
          <w:color w:val="auto"/>
        </w:rPr>
      </w:pPr>
      <w:r>
        <w:rPr>
          <w:rFonts w:ascii="Times New Roman" w:cs="Times New Roman" w:eastAsia="Times New Roman" w:hAnsi="Times New Roman"/>
          <w:sz w:val="17"/>
          <w:szCs w:val="17"/>
          <w:color w:val="auto"/>
        </w:rPr>
        <w:t>The provisions of the Existing Facility Agreement and the other Finance Documents shall, save as amended by this Agreement, continue in full force and effect.</w:t>
      </w:r>
    </w:p>
    <w:p>
      <w:pPr>
        <w:spacing w:after="0" w:line="11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6"/>
          <w:szCs w:val="16"/>
          <w:b w:val="1"/>
          <w:bCs w:val="1"/>
          <w:color w:val="auto"/>
        </w:rPr>
        <w:t>Confirmation of guarantee obligations</w:t>
      </w:r>
    </w:p>
    <w:p>
      <w:pPr>
        <w:spacing w:after="0" w:line="190" w:lineRule="exact"/>
        <w:rPr>
          <w:sz w:val="20"/>
          <w:szCs w:val="20"/>
          <w:color w:val="auto"/>
        </w:rPr>
      </w:pPr>
    </w:p>
    <w:p>
      <w:pPr>
        <w:ind w:left="520"/>
        <w:spacing w:after="0" w:line="276" w:lineRule="auto"/>
        <w:rPr>
          <w:sz w:val="20"/>
          <w:szCs w:val="20"/>
          <w:color w:val="auto"/>
        </w:rPr>
      </w:pPr>
      <w:r>
        <w:rPr>
          <w:rFonts w:ascii="Times New Roman" w:cs="Times New Roman" w:eastAsia="Times New Roman" w:hAnsi="Times New Roman"/>
          <w:sz w:val="17"/>
          <w:szCs w:val="17"/>
          <w:color w:val="auto"/>
        </w:rPr>
        <w:t>The Company confirms for the benefit of the Finance Parties that all guarantee and indemnity obligations owed by it under the Amended Facility Agreement (including</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- 3 -</w:t>
      </w:r>
    </w:p>
    <w:p>
      <w:pPr>
        <w:sectPr>
          <w:pgSz w:w="11900" w:h="16838" w:orient="portrait"/>
          <w:cols w:equalWidth="0" w:num="1">
            <w:col w:w="11280"/>
          </w:cols>
          <w:pgMar w:left="300" w:top="1144" w:right="319" w:bottom="1440" w:gutter="0" w:footer="0" w:header="0"/>
        </w:sectPr>
      </w:pPr>
    </w:p>
    <w:bookmarkStart w:id="8" w:name="page9"/>
    <w:bookmarkEnd w:id="8"/>
    <w:p>
      <w:pPr>
        <w:jc w:val="both"/>
        <w:ind w:left="520"/>
        <w:spacing w:after="0" w:line="264" w:lineRule="auto"/>
        <w:rPr>
          <w:sz w:val="20"/>
          <w:szCs w:val="20"/>
          <w:color w:val="auto"/>
        </w:rPr>
      </w:pPr>
      <w:r>
        <w:rPr>
          <w:rFonts w:ascii="Times New Roman" w:cs="Times New Roman" w:eastAsia="Times New Roman" w:hAnsi="Times New Roman"/>
          <w:sz w:val="17"/>
          <w:szCs w:val="17"/>
          <w:color w:val="auto"/>
        </w:rPr>
        <w:t>under clause 17 (</w:t>
      </w:r>
      <w:r>
        <w:rPr>
          <w:rFonts w:ascii="Times New Roman" w:cs="Times New Roman" w:eastAsia="Times New Roman" w:hAnsi="Times New Roman"/>
          <w:sz w:val="17"/>
          <w:szCs w:val="17"/>
          <w:i w:val="1"/>
          <w:iCs w:val="1"/>
          <w:color w:val="auto"/>
        </w:rPr>
        <w:t>Guarantee and Indemnity</w:t>
      </w:r>
      <w:r>
        <w:rPr>
          <w:rFonts w:ascii="Times New Roman" w:cs="Times New Roman" w:eastAsia="Times New Roman" w:hAnsi="Times New Roman"/>
          <w:sz w:val="17"/>
          <w:szCs w:val="17"/>
          <w:color w:val="auto"/>
        </w:rPr>
        <w:t>) of the Amended Facility Agreement) shall (a) remain in full force and effect notwithstanding the amendments referred to in Clause 3 (</w:t>
      </w:r>
      <w:r>
        <w:rPr>
          <w:rFonts w:ascii="Times New Roman" w:cs="Times New Roman" w:eastAsia="Times New Roman" w:hAnsi="Times New Roman"/>
          <w:sz w:val="17"/>
          <w:szCs w:val="17"/>
          <w:i w:val="1"/>
          <w:iCs w:val="1"/>
          <w:color w:val="auto"/>
        </w:rPr>
        <w:t>Amendments</w:t>
      </w:r>
      <w:r>
        <w:rPr>
          <w:rFonts w:ascii="Times New Roman" w:cs="Times New Roman" w:eastAsia="Times New Roman" w:hAnsi="Times New Roman"/>
          <w:sz w:val="17"/>
          <w:szCs w:val="17"/>
          <w:color w:val="auto"/>
        </w:rPr>
        <w:t>) and (b) extend to any new obligations assumed by the Borrower under the Finance Documents as a result of this Agreement (including, but not limited to, under the Amended Facility Agreement).</w:t>
      </w:r>
    </w:p>
    <w:p>
      <w:pPr>
        <w:spacing w:after="0" w:line="14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6"/>
          <w:szCs w:val="16"/>
          <w:b w:val="1"/>
          <w:bCs w:val="1"/>
          <w:color w:val="auto"/>
        </w:rPr>
        <w:t>Confirmation of subordination obligations</w:t>
      </w:r>
    </w:p>
    <w:p>
      <w:pPr>
        <w:spacing w:after="0" w:line="180" w:lineRule="exact"/>
        <w:rPr>
          <w:sz w:val="20"/>
          <w:szCs w:val="20"/>
          <w:color w:val="auto"/>
        </w:rPr>
      </w:pPr>
    </w:p>
    <w:p>
      <w:pPr>
        <w:jc w:val="both"/>
        <w:ind w:left="520"/>
        <w:spacing w:after="0" w:line="257" w:lineRule="auto"/>
        <w:rPr>
          <w:sz w:val="20"/>
          <w:szCs w:val="20"/>
          <w:color w:val="auto"/>
        </w:rPr>
      </w:pPr>
      <w:r>
        <w:rPr>
          <w:rFonts w:ascii="Times New Roman" w:cs="Times New Roman" w:eastAsia="Times New Roman" w:hAnsi="Times New Roman"/>
          <w:sz w:val="17"/>
          <w:szCs w:val="17"/>
          <w:color w:val="auto"/>
        </w:rPr>
        <w:t>Each Subordinated Debtor and each Subordinated Creditor confirms for the benefit of the Finance Parties that, notwithstanding the amendments referred to in Clause 3 (</w:t>
      </w:r>
      <w:r>
        <w:rPr>
          <w:rFonts w:ascii="Times New Roman" w:cs="Times New Roman" w:eastAsia="Times New Roman" w:hAnsi="Times New Roman"/>
          <w:sz w:val="17"/>
          <w:szCs w:val="17"/>
          <w:i w:val="1"/>
          <w:iCs w:val="1"/>
          <w:color w:val="auto"/>
        </w:rPr>
        <w:t>Amendments</w:t>
      </w:r>
      <w:r>
        <w:rPr>
          <w:rFonts w:ascii="Times New Roman" w:cs="Times New Roman" w:eastAsia="Times New Roman" w:hAnsi="Times New Roman"/>
          <w:sz w:val="17"/>
          <w:szCs w:val="17"/>
          <w:color w:val="auto"/>
        </w:rPr>
        <w:t>), all of their respective obligations under the Subordination Agreement remain in full force and effect and continue to be legal, valid, binding and enforceable obligations in accordance with the terms of the Subordination Agreement and references in the Subordination Agreement to "Senior Liabilities" shall extend to liabilities under the Amended Facility Agreement.</w:t>
      </w:r>
    </w:p>
    <w:p>
      <w:pPr>
        <w:spacing w:after="0" w:line="14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4.3</w:t>
      </w:r>
      <w:r>
        <w:rPr>
          <w:sz w:val="20"/>
          <w:szCs w:val="20"/>
          <w:color w:val="auto"/>
        </w:rPr>
        <w:tab/>
      </w:r>
      <w:r>
        <w:rPr>
          <w:rFonts w:ascii="Times New Roman" w:cs="Times New Roman" w:eastAsia="Times New Roman" w:hAnsi="Times New Roman"/>
          <w:sz w:val="16"/>
          <w:szCs w:val="16"/>
          <w:b w:val="1"/>
          <w:bCs w:val="1"/>
          <w:color w:val="auto"/>
        </w:rPr>
        <w:t>Further assurance</w:t>
      </w:r>
    </w:p>
    <w:p>
      <w:pPr>
        <w:spacing w:after="0" w:line="180" w:lineRule="exact"/>
        <w:rPr>
          <w:sz w:val="20"/>
          <w:szCs w:val="20"/>
          <w:color w:val="auto"/>
        </w:rPr>
      </w:pPr>
    </w:p>
    <w:p>
      <w:pPr>
        <w:jc w:val="both"/>
        <w:ind w:left="520"/>
        <w:spacing w:after="0" w:line="276" w:lineRule="auto"/>
        <w:rPr>
          <w:sz w:val="20"/>
          <w:szCs w:val="20"/>
          <w:color w:val="auto"/>
        </w:rPr>
      </w:pPr>
      <w:r>
        <w:rPr>
          <w:rFonts w:ascii="Times New Roman" w:cs="Times New Roman" w:eastAsia="Times New Roman" w:hAnsi="Times New Roman"/>
          <w:sz w:val="17"/>
          <w:szCs w:val="17"/>
          <w:color w:val="auto"/>
        </w:rPr>
        <w:t>The Borrower, shall, at the request of the Agent and at the Borrower's own expense, do all such acts and things necessary or desirable to give effect to the amendments effected or to be effected pursuant to this Agreement.</w:t>
      </w:r>
    </w:p>
    <w:p>
      <w:pPr>
        <w:spacing w:after="0" w:line="119" w:lineRule="exact"/>
        <w:rPr>
          <w:sz w:val="20"/>
          <w:szCs w:val="20"/>
          <w:color w:val="auto"/>
        </w:rPr>
      </w:pPr>
    </w:p>
    <w:p>
      <w:pPr>
        <w:ind w:left="520" w:hanging="515"/>
        <w:spacing w:after="0"/>
        <w:tabs>
          <w:tab w:leader="none" w:pos="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EXTENSION FEE</w:t>
      </w:r>
    </w:p>
    <w:p>
      <w:pPr>
        <w:spacing w:after="0" w:line="179" w:lineRule="exact"/>
        <w:rPr>
          <w:rFonts w:ascii="Times New Roman" w:cs="Times New Roman" w:eastAsia="Times New Roman" w:hAnsi="Times New Roman"/>
          <w:sz w:val="17"/>
          <w:szCs w:val="17"/>
          <w:color w:val="auto"/>
        </w:rPr>
      </w:pPr>
    </w:p>
    <w:p>
      <w:pPr>
        <w:ind w:left="52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pay to the Agent (for the account of the Lenders as at the Effective Date, and to be distributed amongst the Lenders in the manner set out in the Extension Fee Letter) an extension fee in the amount and at the times agreed in the Extension Fee Letter.</w:t>
      </w:r>
    </w:p>
    <w:p>
      <w:pPr>
        <w:spacing w:after="0" w:line="129"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COSTS AND EXPENSES</w:t>
      </w:r>
    </w:p>
    <w:p>
      <w:pPr>
        <w:spacing w:after="0" w:line="179" w:lineRule="exact"/>
        <w:rPr>
          <w:rFonts w:ascii="Times New Roman" w:cs="Times New Roman" w:eastAsia="Times New Roman" w:hAnsi="Times New Roman"/>
          <w:sz w:val="17"/>
          <w:szCs w:val="17"/>
          <w:color w:val="auto"/>
        </w:rPr>
      </w:pPr>
    </w:p>
    <w:p>
      <w:pPr>
        <w:jc w:val="both"/>
        <w:ind w:left="5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within fifteen days of receipt of a written demand, pay the Agent the amount of all costs and expenses (including but not limited to legal fees subject to any agreed caps) reasonably incurred by it in connection with the negotiation, preparation, printing and execution of this Agreement and any other documents referred to in this Agreement.</w:t>
      </w:r>
    </w:p>
    <w:p>
      <w:pPr>
        <w:spacing w:after="0" w:line="130"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MISCELLANEOUS</w:t>
      </w:r>
    </w:p>
    <w:p>
      <w:pPr>
        <w:spacing w:after="0" w:line="18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7.1</w:t>
      </w:r>
      <w:r>
        <w:rPr>
          <w:sz w:val="20"/>
          <w:szCs w:val="20"/>
          <w:color w:val="auto"/>
        </w:rPr>
        <w:tab/>
      </w:r>
      <w:r>
        <w:rPr>
          <w:rFonts w:ascii="Times New Roman" w:cs="Times New Roman" w:eastAsia="Times New Roman" w:hAnsi="Times New Roman"/>
          <w:sz w:val="16"/>
          <w:szCs w:val="16"/>
          <w:b w:val="1"/>
          <w:bCs w:val="1"/>
          <w:color w:val="auto"/>
        </w:rPr>
        <w:t>Incorporation of terms</w:t>
      </w:r>
    </w:p>
    <w:p>
      <w:pPr>
        <w:spacing w:after="0" w:line="176" w:lineRule="exact"/>
        <w:rPr>
          <w:sz w:val="20"/>
          <w:szCs w:val="20"/>
          <w:color w:val="auto"/>
        </w:rPr>
      </w:pPr>
    </w:p>
    <w:p>
      <w:pPr>
        <w:jc w:val="both"/>
        <w:ind w:left="520"/>
        <w:spacing w:after="0" w:line="264" w:lineRule="auto"/>
        <w:rPr>
          <w:sz w:val="20"/>
          <w:szCs w:val="20"/>
          <w:color w:val="auto"/>
        </w:rPr>
      </w:pPr>
      <w:r>
        <w:rPr>
          <w:rFonts w:ascii="Times New Roman" w:cs="Times New Roman" w:eastAsia="Times New Roman" w:hAnsi="Times New Roman"/>
          <w:sz w:val="17"/>
          <w:szCs w:val="17"/>
          <w:color w:val="auto"/>
        </w:rPr>
        <w:t>The provisions of clause 1.2 (</w:t>
      </w:r>
      <w:r>
        <w:rPr>
          <w:rFonts w:ascii="Times New Roman" w:cs="Times New Roman" w:eastAsia="Times New Roman" w:hAnsi="Times New Roman"/>
          <w:sz w:val="17"/>
          <w:szCs w:val="17"/>
          <w:i w:val="1"/>
          <w:iCs w:val="1"/>
          <w:color w:val="auto"/>
        </w:rPr>
        <w:t>Construction</w:t>
      </w:r>
      <w:r>
        <w:rPr>
          <w:rFonts w:ascii="Times New Roman" w:cs="Times New Roman" w:eastAsia="Times New Roman" w:hAnsi="Times New Roman"/>
          <w:sz w:val="17"/>
          <w:szCs w:val="17"/>
          <w:color w:val="auto"/>
        </w:rPr>
        <w:t>), clause 30 (</w:t>
      </w:r>
      <w:r>
        <w:rPr>
          <w:rFonts w:ascii="Times New Roman" w:cs="Times New Roman" w:eastAsia="Times New Roman" w:hAnsi="Times New Roman"/>
          <w:sz w:val="17"/>
          <w:szCs w:val="17"/>
          <w:i w:val="1"/>
          <w:iCs w:val="1"/>
          <w:color w:val="auto"/>
        </w:rPr>
        <w:t>Notices</w:t>
      </w:r>
      <w:r>
        <w:rPr>
          <w:rFonts w:ascii="Times New Roman" w:cs="Times New Roman" w:eastAsia="Times New Roman" w:hAnsi="Times New Roman"/>
          <w:sz w:val="17"/>
          <w:szCs w:val="17"/>
          <w:color w:val="auto"/>
        </w:rPr>
        <w:t>), clause 32 (</w:t>
      </w:r>
      <w:r>
        <w:rPr>
          <w:rFonts w:ascii="Times New Roman" w:cs="Times New Roman" w:eastAsia="Times New Roman" w:hAnsi="Times New Roman"/>
          <w:sz w:val="17"/>
          <w:szCs w:val="17"/>
          <w:i w:val="1"/>
          <w:iCs w:val="1"/>
          <w:color w:val="auto"/>
        </w:rPr>
        <w:t>Partial Invalidity</w:t>
      </w:r>
      <w:r>
        <w:rPr>
          <w:rFonts w:ascii="Times New Roman" w:cs="Times New Roman" w:eastAsia="Times New Roman" w:hAnsi="Times New Roman"/>
          <w:sz w:val="17"/>
          <w:szCs w:val="17"/>
          <w:color w:val="auto"/>
        </w:rPr>
        <w:t>), clause 33 (</w:t>
      </w:r>
      <w:r>
        <w:rPr>
          <w:rFonts w:ascii="Times New Roman" w:cs="Times New Roman" w:eastAsia="Times New Roman" w:hAnsi="Times New Roman"/>
          <w:sz w:val="17"/>
          <w:szCs w:val="17"/>
          <w:i w:val="1"/>
          <w:iCs w:val="1"/>
          <w:color w:val="auto"/>
        </w:rPr>
        <w:t>Remedies and Waivers</w:t>
      </w:r>
      <w:r>
        <w:rPr>
          <w:rFonts w:ascii="Times New Roman" w:cs="Times New Roman" w:eastAsia="Times New Roman" w:hAnsi="Times New Roman"/>
          <w:sz w:val="17"/>
          <w:szCs w:val="17"/>
          <w:color w:val="auto"/>
        </w:rPr>
        <w:t>) and clause 44 (</w:t>
      </w:r>
      <w:r>
        <w:rPr>
          <w:rFonts w:ascii="Times New Roman" w:cs="Times New Roman" w:eastAsia="Times New Roman" w:hAnsi="Times New Roman"/>
          <w:sz w:val="17"/>
          <w:szCs w:val="17"/>
          <w:i w:val="1"/>
          <w:iCs w:val="1"/>
          <w:color w:val="auto"/>
        </w:rPr>
        <w:t>Enforcement</w:t>
      </w:r>
      <w:r>
        <w:rPr>
          <w:rFonts w:ascii="Times New Roman" w:cs="Times New Roman" w:eastAsia="Times New Roman" w:hAnsi="Times New Roman"/>
          <w:sz w:val="17"/>
          <w:szCs w:val="17"/>
          <w:color w:val="auto"/>
        </w:rPr>
        <w:t>) of the Existing Facility Agreement shall be incorporated into this Agreement as if set out in full in this Agreement and as if references in those clauses to "this Agreement" or "the Finance Documents" are references to this Agreement.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- 4 -</w:t>
      </w:r>
    </w:p>
    <w:p>
      <w:pPr>
        <w:sectPr>
          <w:pgSz w:w="11900" w:h="16838" w:orient="portrait"/>
          <w:cols w:equalWidth="0" w:num="1">
            <w:col w:w="11280"/>
          </w:cols>
          <w:pgMar w:left="300" w:top="1144" w:right="319" w:bottom="1440" w:gutter="0" w:footer="0" w:header="0"/>
        </w:sectPr>
      </w:pPr>
    </w:p>
    <w:bookmarkStart w:id="9" w:name="page10"/>
    <w:bookmarkEnd w:id="9"/>
    <w:p>
      <w:pPr>
        <w:spacing w:after="0"/>
        <w:tabs>
          <w:tab w:leader="none" w:pos="50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6"/>
          <w:szCs w:val="16"/>
          <w:b w:val="1"/>
          <w:bCs w:val="1"/>
          <w:color w:val="auto"/>
        </w:rPr>
        <w:t>Construction as one document</w:t>
      </w:r>
    </w:p>
    <w:p>
      <w:pPr>
        <w:spacing w:after="0" w:line="180" w:lineRule="exact"/>
        <w:rPr>
          <w:sz w:val="20"/>
          <w:szCs w:val="20"/>
          <w:color w:val="auto"/>
        </w:rPr>
      </w:pPr>
    </w:p>
    <w:p>
      <w:pPr>
        <w:ind w:left="520"/>
        <w:spacing w:after="0" w:line="276" w:lineRule="auto"/>
        <w:rPr>
          <w:sz w:val="20"/>
          <w:szCs w:val="20"/>
          <w:color w:val="auto"/>
        </w:rPr>
      </w:pPr>
      <w:r>
        <w:rPr>
          <w:rFonts w:ascii="Times New Roman" w:cs="Times New Roman" w:eastAsia="Times New Roman" w:hAnsi="Times New Roman"/>
          <w:sz w:val="17"/>
          <w:szCs w:val="17"/>
          <w:color w:val="auto"/>
        </w:rPr>
        <w:t>Subject to the terms of this Agreement, the Existing Facility Agreement will remain in full force and effect and, from the Effective Date, the Existing Facility Agreement and this Agreement will be read and construed as one document.</w:t>
      </w:r>
    </w:p>
    <w:p>
      <w:pPr>
        <w:spacing w:after="0" w:line="13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7.2</w:t>
      </w:r>
      <w:r>
        <w:rPr>
          <w:sz w:val="20"/>
          <w:szCs w:val="20"/>
          <w:color w:val="auto"/>
        </w:rPr>
        <w:tab/>
      </w:r>
      <w:r>
        <w:rPr>
          <w:rFonts w:ascii="Times New Roman" w:cs="Times New Roman" w:eastAsia="Times New Roman" w:hAnsi="Times New Roman"/>
          <w:sz w:val="16"/>
          <w:szCs w:val="16"/>
          <w:b w:val="1"/>
          <w:bCs w:val="1"/>
          <w:color w:val="auto"/>
        </w:rPr>
        <w:t>Counterparts</w:t>
      </w:r>
    </w:p>
    <w:p>
      <w:pPr>
        <w:spacing w:after="0" w:line="180" w:lineRule="exact"/>
        <w:rPr>
          <w:sz w:val="20"/>
          <w:szCs w:val="20"/>
          <w:color w:val="auto"/>
        </w:rPr>
      </w:pPr>
    </w:p>
    <w:p>
      <w:pPr>
        <w:ind w:left="520"/>
        <w:spacing w:after="0" w:line="276" w:lineRule="auto"/>
        <w:rPr>
          <w:sz w:val="20"/>
          <w:szCs w:val="20"/>
          <w:color w:val="auto"/>
        </w:rPr>
      </w:pPr>
      <w:r>
        <w:rPr>
          <w:rFonts w:ascii="Times New Roman" w:cs="Times New Roman" w:eastAsia="Times New Roman" w:hAnsi="Times New Roman"/>
          <w:sz w:val="17"/>
          <w:szCs w:val="17"/>
          <w:color w:val="auto"/>
        </w:rPr>
        <w:t>This Agreement may be executed in any number of counterparts, and this has the same effect as if the signatures on the counterparts were on a single copy of this Agreement.</w:t>
      </w:r>
    </w:p>
    <w:p>
      <w:pPr>
        <w:spacing w:after="0" w:line="119" w:lineRule="exact"/>
        <w:rPr>
          <w:sz w:val="20"/>
          <w:szCs w:val="20"/>
          <w:color w:val="auto"/>
        </w:rPr>
      </w:pPr>
    </w:p>
    <w:p>
      <w:pPr>
        <w:ind w:left="520" w:hanging="515"/>
        <w:spacing w:after="0"/>
        <w:tabs>
          <w:tab w:leader="none" w:pos="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GOVERNING LAW</w:t>
      </w:r>
    </w:p>
    <w:p>
      <w:pPr>
        <w:spacing w:after="0" w:line="179"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any non-contractual obligations arising out of or in connection with it are governed by English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- 5 -</w:t>
      </w:r>
    </w:p>
    <w:p>
      <w:pPr>
        <w:sectPr>
          <w:pgSz w:w="11900" w:h="16838" w:orient="portrait"/>
          <w:cols w:equalWidth="0" w:num="1">
            <w:col w:w="11280"/>
          </w:cols>
          <w:pgMar w:left="300" w:top="1144" w:right="319" w:bottom="1440" w:gutter="0" w:footer="0" w:header="0"/>
        </w:sectPr>
      </w:pPr>
    </w:p>
    <w:bookmarkStart w:id="10" w:name="page11"/>
    <w:bookmarkEnd w:id="10"/>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SCHEDULE 1</w:t>
      </w: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THE SUBORDINATED CREDITORS AND SUBORDINATED DEBTORS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60" w:type="dxa"/>
            <w:vAlign w:val="bottom"/>
          </w:tcPr>
          <w:p>
            <w:pPr>
              <w:spacing w:after="0"/>
              <w:rPr>
                <w:sz w:val="19"/>
                <w:szCs w:val="19"/>
                <w:color w:val="auto"/>
              </w:rPr>
            </w:pPr>
          </w:p>
        </w:tc>
        <w:tc>
          <w:tcPr>
            <w:tcW w:w="4740" w:type="dxa"/>
            <w:vAlign w:val="bottom"/>
          </w:tcPr>
          <w:p>
            <w:pPr>
              <w:ind w:left="1040"/>
              <w:spacing w:after="0"/>
              <w:rPr>
                <w:sz w:val="20"/>
                <w:szCs w:val="20"/>
                <w:color w:val="auto"/>
              </w:rPr>
            </w:pPr>
            <w:r>
              <w:rPr>
                <w:rFonts w:ascii="Times New Roman" w:cs="Times New Roman" w:eastAsia="Times New Roman" w:hAnsi="Times New Roman"/>
                <w:sz w:val="17"/>
                <w:szCs w:val="17"/>
                <w:b w:val="1"/>
                <w:bCs w:val="1"/>
                <w:color w:val="auto"/>
              </w:rPr>
              <w:t>PART A – THE SUBORDINATED CREDITORS</w:t>
            </w:r>
          </w:p>
        </w:tc>
        <w:tc>
          <w:tcPr>
            <w:tcW w:w="1220" w:type="dxa"/>
            <w:vAlign w:val="bottom"/>
          </w:tcPr>
          <w:p>
            <w:pPr>
              <w:spacing w:after="0"/>
              <w:rPr>
                <w:sz w:val="19"/>
                <w:szCs w:val="19"/>
                <w:color w:val="auto"/>
              </w:rPr>
            </w:pPr>
          </w:p>
        </w:tc>
      </w:tr>
      <w:tr>
        <w:trPr>
          <w:trHeight w:val="386"/>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Subordinated Creditors</w:t>
            </w:r>
          </w:p>
        </w:tc>
        <w:tc>
          <w:tcPr>
            <w:tcW w:w="4740" w:type="dxa"/>
            <w:vAlign w:val="bottom"/>
          </w:tcPr>
          <w:p>
            <w:pPr>
              <w:ind w:left="1880"/>
              <w:spacing w:after="0"/>
              <w:rPr>
                <w:sz w:val="20"/>
                <w:szCs w:val="20"/>
                <w:color w:val="auto"/>
              </w:rPr>
            </w:pPr>
            <w:r>
              <w:rPr>
                <w:rFonts w:ascii="Times New Roman" w:cs="Times New Roman" w:eastAsia="Times New Roman" w:hAnsi="Times New Roman"/>
                <w:sz w:val="17"/>
                <w:szCs w:val="17"/>
                <w:b w:val="1"/>
                <w:bCs w:val="1"/>
                <w:color w:val="auto"/>
              </w:rPr>
              <w:t>Registered no.</w:t>
            </w:r>
          </w:p>
        </w:tc>
        <w:tc>
          <w:tcPr>
            <w:tcW w:w="12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Jurisdiction</w:t>
            </w:r>
          </w:p>
        </w:tc>
      </w:tr>
      <w:tr>
        <w:trPr>
          <w:trHeight w:val="212"/>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Wynn Macau, Limited</w:t>
            </w:r>
          </w:p>
        </w:tc>
        <w:tc>
          <w:tcPr>
            <w:tcW w:w="474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230109</w:t>
            </w:r>
          </w:p>
        </w:tc>
        <w:tc>
          <w:tcPr>
            <w:tcW w:w="12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7"/>
              </w:rPr>
              <w:t>Cayman Islands</w:t>
            </w:r>
          </w:p>
        </w:tc>
      </w:tr>
      <w:tr>
        <w:trPr>
          <w:trHeight w:val="212"/>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WML Corp. Ltd.</w:t>
            </w:r>
          </w:p>
        </w:tc>
        <w:tc>
          <w:tcPr>
            <w:tcW w:w="474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299062</w:t>
            </w:r>
          </w:p>
        </w:tc>
        <w:tc>
          <w:tcPr>
            <w:tcW w:w="12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7"/>
              </w:rPr>
              <w:t>Cayman Islands</w:t>
            </w:r>
          </w:p>
        </w:tc>
      </w:tr>
      <w:tr>
        <w:trPr>
          <w:trHeight w:val="219"/>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WML Finance I Limited</w:t>
            </w:r>
          </w:p>
        </w:tc>
        <w:tc>
          <w:tcPr>
            <w:tcW w:w="474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292770</w:t>
            </w:r>
          </w:p>
        </w:tc>
        <w:tc>
          <w:tcPr>
            <w:tcW w:w="12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7"/>
              </w:rPr>
              <w:t>Cayman Islands</w:t>
            </w:r>
          </w:p>
        </w:tc>
      </w:tr>
    </w:tbl>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60" w:type="dxa"/>
            <w:vAlign w:val="bottom"/>
          </w:tcPr>
          <w:p>
            <w:pPr>
              <w:spacing w:after="0"/>
              <w:rPr>
                <w:sz w:val="19"/>
                <w:szCs w:val="19"/>
                <w:color w:val="auto"/>
              </w:rPr>
            </w:pPr>
          </w:p>
        </w:tc>
        <w:tc>
          <w:tcPr>
            <w:tcW w:w="4280" w:type="dxa"/>
            <w:vAlign w:val="bottom"/>
          </w:tcPr>
          <w:p>
            <w:pPr>
              <w:ind w:left="760"/>
              <w:spacing w:after="0"/>
              <w:rPr>
                <w:sz w:val="20"/>
                <w:szCs w:val="20"/>
                <w:color w:val="auto"/>
              </w:rPr>
            </w:pPr>
            <w:r>
              <w:rPr>
                <w:rFonts w:ascii="Times New Roman" w:cs="Times New Roman" w:eastAsia="Times New Roman" w:hAnsi="Times New Roman"/>
                <w:sz w:val="17"/>
                <w:szCs w:val="17"/>
                <w:b w:val="1"/>
                <w:bCs w:val="1"/>
                <w:color w:val="auto"/>
              </w:rPr>
              <w:t>PART B - THE SUBORDINATED DEBTORS</w:t>
            </w:r>
          </w:p>
        </w:tc>
        <w:tc>
          <w:tcPr>
            <w:tcW w:w="1280" w:type="dxa"/>
            <w:vAlign w:val="bottom"/>
          </w:tcPr>
          <w:p>
            <w:pPr>
              <w:spacing w:after="0"/>
              <w:rPr>
                <w:sz w:val="19"/>
                <w:szCs w:val="19"/>
                <w:color w:val="auto"/>
              </w:rPr>
            </w:pPr>
          </w:p>
        </w:tc>
      </w:tr>
      <w:tr>
        <w:trPr>
          <w:trHeight w:val="74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Subordinated Debtor</w:t>
            </w:r>
          </w:p>
        </w:tc>
        <w:tc>
          <w:tcPr>
            <w:tcW w:w="4280" w:type="dxa"/>
            <w:vAlign w:val="bottom"/>
          </w:tcPr>
          <w:p>
            <w:pPr>
              <w:ind w:left="1480"/>
              <w:spacing w:after="0"/>
              <w:rPr>
                <w:sz w:val="20"/>
                <w:szCs w:val="20"/>
                <w:color w:val="auto"/>
              </w:rPr>
            </w:pPr>
            <w:r>
              <w:rPr>
                <w:rFonts w:ascii="Times New Roman" w:cs="Times New Roman" w:eastAsia="Times New Roman" w:hAnsi="Times New Roman"/>
                <w:sz w:val="17"/>
                <w:szCs w:val="17"/>
                <w:b w:val="1"/>
                <w:bCs w:val="1"/>
                <w:color w:val="auto"/>
              </w:rPr>
              <w:t>Registered no.</w:t>
            </w:r>
          </w:p>
        </w:tc>
        <w:tc>
          <w:tcPr>
            <w:tcW w:w="12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Jurisdiction</w:t>
            </w:r>
          </w:p>
        </w:tc>
      </w:tr>
      <w:tr>
        <w:trPr>
          <w:trHeight w:val="212"/>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WM Cayman Holdings Limited II</w:t>
            </w:r>
          </w:p>
        </w:tc>
        <w:tc>
          <w:tcPr>
            <w:tcW w:w="42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230468</w:t>
            </w:r>
          </w:p>
        </w:tc>
        <w:tc>
          <w:tcPr>
            <w:tcW w:w="128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8"/>
              </w:rPr>
              <w:t>Cayman Islands</w:t>
            </w:r>
          </w:p>
        </w:tc>
      </w:tr>
      <w:tr>
        <w:trPr>
          <w:trHeight w:val="212"/>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Wynn Resorts (Macau) S.A.</w:t>
            </w:r>
          </w:p>
        </w:tc>
        <w:tc>
          <w:tcPr>
            <w:tcW w:w="42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14917 (SO)</w:t>
            </w:r>
          </w:p>
        </w:tc>
        <w:tc>
          <w:tcPr>
            <w:tcW w:w="1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Macau</w:t>
            </w:r>
          </w:p>
        </w:tc>
      </w:tr>
      <w:tr>
        <w:trPr>
          <w:trHeight w:val="219"/>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Palo Real Estate Company Limited</w:t>
            </w:r>
          </w:p>
        </w:tc>
        <w:tc>
          <w:tcPr>
            <w:tcW w:w="42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27319 (SO)</w:t>
            </w:r>
          </w:p>
        </w:tc>
        <w:tc>
          <w:tcPr>
            <w:tcW w:w="1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Macau</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- 6 -</w:t>
      </w:r>
    </w:p>
    <w:p>
      <w:pPr>
        <w:sectPr>
          <w:pgSz w:w="11900" w:h="16838" w:orient="portrait"/>
          <w:cols w:equalWidth="0" w:num="1">
            <w:col w:w="10099"/>
          </w:cols>
          <w:pgMar w:left="360" w:top="1161"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SCHEDULE 2</w:t>
      </w:r>
    </w:p>
    <w:p>
      <w:pPr>
        <w:jc w:val="center"/>
        <w:spacing w:after="0"/>
        <w:rPr>
          <w:sz w:val="20"/>
          <w:szCs w:val="20"/>
          <w:color w:val="auto"/>
        </w:rPr>
      </w:pPr>
      <w:r>
        <w:rPr>
          <w:rFonts w:ascii="Times New Roman" w:cs="Times New Roman" w:eastAsia="Times New Roman" w:hAnsi="Times New Roman"/>
          <w:sz w:val="17"/>
          <w:szCs w:val="17"/>
          <w:b w:val="1"/>
          <w:bCs w:val="1"/>
          <w:color w:val="auto"/>
        </w:rPr>
        <w:t>CONDITIONS AND PRECEDENT</w:t>
      </w:r>
    </w:p>
    <w:p>
      <w:pPr>
        <w:spacing w:after="0" w:line="200" w:lineRule="exact"/>
        <w:rPr>
          <w:sz w:val="20"/>
          <w:szCs w:val="20"/>
          <w:color w:val="auto"/>
        </w:rPr>
      </w:pPr>
    </w:p>
    <w:p>
      <w:pPr>
        <w:spacing w:after="0" w:line="37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color w:val="auto"/>
        </w:rPr>
        <w:t>Schedule 1</w:t>
      </w:r>
      <w:r>
        <w:rPr>
          <w:sz w:val="20"/>
          <w:szCs w:val="20"/>
          <w:color w:val="auto"/>
        </w:rPr>
        <w:tab/>
      </w:r>
      <w:r>
        <w:rPr>
          <w:rFonts w:ascii="Times New Roman" w:cs="Times New Roman" w:eastAsia="Times New Roman" w:hAnsi="Times New Roman"/>
          <w:sz w:val="16"/>
          <w:szCs w:val="16"/>
          <w:b w:val="1"/>
          <w:bCs w:val="1"/>
          <w:color w:val="auto"/>
        </w:rPr>
        <w:t>Obligors and other entities</w:t>
      </w:r>
    </w:p>
    <w:p>
      <w:pPr>
        <w:spacing w:after="0" w:line="180" w:lineRule="exact"/>
        <w:rPr>
          <w:sz w:val="20"/>
          <w:szCs w:val="20"/>
          <w:color w:val="auto"/>
        </w:rPr>
      </w:pPr>
    </w:p>
    <w:p>
      <w:pPr>
        <w:jc w:val="both"/>
        <w:ind w:left="1020" w:hanging="506"/>
        <w:spacing w:after="0" w:line="257" w:lineRule="auto"/>
        <w:tabs>
          <w:tab w:leader="none" w:pos="101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constitutional documents and statutory registers of each Obligor, WML Corp, WML Finance, Wynn Resorts Macau and Palo or, a certificate signed by the authorised signatory of each Obligor, WML Corp, WML Finance, Wynn Resorts Macau and Palo (as the case may be) confirming that (in each case, to the extent that such constitutional document or statutory register has not been delivered pursuant to this paragraph (a)):</w:t>
      </w:r>
    </w:p>
    <w:p>
      <w:pPr>
        <w:spacing w:after="0" w:line="149" w:lineRule="exact"/>
        <w:rPr>
          <w:rFonts w:ascii="Times New Roman" w:cs="Times New Roman" w:eastAsia="Times New Roman" w:hAnsi="Times New Roman"/>
          <w:sz w:val="17"/>
          <w:szCs w:val="17"/>
          <w:color w:val="auto"/>
        </w:rPr>
      </w:pPr>
    </w:p>
    <w:p>
      <w:pPr>
        <w:ind w:left="1540" w:hanging="517"/>
        <w:spacing w:after="0" w:line="276" w:lineRule="auto"/>
        <w:tabs>
          <w:tab w:leader="none" w:pos="153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the Company, the certificate of incorporation, special resolution adopting a new memorandum and articles of association, memorandum and articles of association, register of directors and officers and register of mortgages and charges;</w:t>
      </w:r>
    </w:p>
    <w:p>
      <w:pPr>
        <w:spacing w:after="0" w:line="123" w:lineRule="exact"/>
        <w:rPr>
          <w:rFonts w:ascii="Times New Roman" w:cs="Times New Roman" w:eastAsia="Times New Roman" w:hAnsi="Times New Roman"/>
          <w:sz w:val="17"/>
          <w:szCs w:val="17"/>
          <w:color w:val="auto"/>
        </w:rPr>
      </w:pPr>
    </w:p>
    <w:p>
      <w:pPr>
        <w:ind w:left="1540" w:hanging="517"/>
        <w:spacing w:after="0" w:line="276" w:lineRule="auto"/>
        <w:tabs>
          <w:tab w:leader="none" w:pos="1535"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the Borrower, the certificate of incorporation, memorandum and articles of association, register of members, register of directors and officers and register of mortgages and charges;</w:t>
      </w:r>
    </w:p>
    <w:p>
      <w:pPr>
        <w:spacing w:after="0" w:line="123" w:lineRule="exact"/>
        <w:rPr>
          <w:rFonts w:ascii="Times New Roman" w:cs="Times New Roman" w:eastAsia="Times New Roman" w:hAnsi="Times New Roman"/>
          <w:sz w:val="17"/>
          <w:szCs w:val="17"/>
          <w:color w:val="auto"/>
        </w:rPr>
      </w:pPr>
    </w:p>
    <w:p>
      <w:pPr>
        <w:ind w:left="1540" w:hanging="517"/>
        <w:spacing w:after="0" w:line="289" w:lineRule="auto"/>
        <w:tabs>
          <w:tab w:leader="none" w:pos="15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WML Corp, the certificate of incorporation, memorandum and articles of association, register of directors and officers, register of members and register of mortgages and charges;</w:t>
      </w:r>
    </w:p>
    <w:p>
      <w:pPr>
        <w:spacing w:after="0" w:line="112" w:lineRule="exact"/>
        <w:rPr>
          <w:rFonts w:ascii="Times New Roman" w:cs="Times New Roman" w:eastAsia="Times New Roman" w:hAnsi="Times New Roman"/>
          <w:sz w:val="17"/>
          <w:szCs w:val="17"/>
          <w:color w:val="auto"/>
        </w:rPr>
      </w:pPr>
    </w:p>
    <w:p>
      <w:pPr>
        <w:ind w:left="1540" w:hanging="517"/>
        <w:spacing w:after="0" w:line="276" w:lineRule="auto"/>
        <w:tabs>
          <w:tab w:leader="none" w:pos="153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WML Finance, the certificate of incorporation, memorandum and articles of association, register of directors and officers, register of members and register of mortgages and charges;</w:t>
      </w:r>
    </w:p>
    <w:p>
      <w:pPr>
        <w:spacing w:after="0" w:line="123" w:lineRule="exact"/>
        <w:rPr>
          <w:rFonts w:ascii="Times New Roman" w:cs="Times New Roman" w:eastAsia="Times New Roman" w:hAnsi="Times New Roman"/>
          <w:sz w:val="17"/>
          <w:szCs w:val="17"/>
          <w:color w:val="auto"/>
        </w:rPr>
      </w:pPr>
    </w:p>
    <w:p>
      <w:pPr>
        <w:ind w:left="1540" w:hanging="517"/>
        <w:spacing w:after="0" w:line="276" w:lineRule="auto"/>
        <w:tabs>
          <w:tab w:leader="none" w:pos="1536"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Wynn Resorts Macau, the certificate issued by the Macau Commercial and Moveable Properties Registry, which includes the incorporation act, the articles of association, register of directors and officers, as well as register of charges; and</w:t>
      </w:r>
    </w:p>
    <w:p>
      <w:pPr>
        <w:spacing w:after="0" w:line="123" w:lineRule="exact"/>
        <w:rPr>
          <w:rFonts w:ascii="Times New Roman" w:cs="Times New Roman" w:eastAsia="Times New Roman" w:hAnsi="Times New Roman"/>
          <w:sz w:val="17"/>
          <w:szCs w:val="17"/>
          <w:color w:val="auto"/>
        </w:rPr>
      </w:pPr>
    </w:p>
    <w:p>
      <w:pPr>
        <w:ind w:left="1540" w:hanging="517"/>
        <w:spacing w:after="0" w:line="289" w:lineRule="auto"/>
        <w:tabs>
          <w:tab w:leader="none" w:pos="153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Palo, the certificate issued by the Macau Commercial and Moveable Properties Registry, which includes the incorporation act, the articles of association, register of directors and officers, as well as register of charges ,</w:t>
      </w:r>
    </w:p>
    <w:p>
      <w:pPr>
        <w:spacing w:after="0" w:line="113" w:lineRule="exact"/>
        <w:rPr>
          <w:sz w:val="20"/>
          <w:szCs w:val="20"/>
          <w:color w:val="auto"/>
        </w:rPr>
      </w:pPr>
    </w:p>
    <w:p>
      <w:pPr>
        <w:jc w:val="both"/>
        <w:ind w:left="1020"/>
        <w:spacing w:after="0" w:line="257" w:lineRule="auto"/>
        <w:rPr>
          <w:sz w:val="20"/>
          <w:szCs w:val="20"/>
          <w:color w:val="auto"/>
        </w:rPr>
      </w:pPr>
      <w:r>
        <w:rPr>
          <w:rFonts w:ascii="Times New Roman" w:cs="Times New Roman" w:eastAsia="Times New Roman" w:hAnsi="Times New Roman"/>
          <w:sz w:val="17"/>
          <w:szCs w:val="17"/>
          <w:color w:val="auto"/>
        </w:rPr>
        <w:t>previously delivered to the Agent (in the case of paragraphs (i) to (v) above (inclusive)) in connection with the conditions precedent to the delivery of the first Utilisation Request under the Existing Facility Agreement and (in the case of paragraph (vi) above) in connection with the accession letter dated 22 September 2024 in respect of the Subordination Agreement is still correct, complete and in full force and effect as at a date no earlier than the date of this Agreement.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- 7 -</w:t>
      </w:r>
    </w:p>
    <w:p>
      <w:pPr>
        <w:sectPr>
          <w:pgSz w:w="11900" w:h="16838" w:orient="portrait"/>
          <w:cols w:equalWidth="0" w:num="1">
            <w:col w:w="11280"/>
          </w:cols>
          <w:pgMar w:left="300" w:top="1161" w:right="319" w:bottom="1440" w:gutter="0" w:footer="0" w:header="0"/>
        </w:sectPr>
      </w:pPr>
    </w:p>
    <w:bookmarkStart w:id="12" w:name="page13"/>
    <w:bookmarkEnd w:id="12"/>
    <w:p>
      <w:pPr>
        <w:ind w:left="1015" w:hanging="506"/>
        <w:spacing w:after="0" w:line="276" w:lineRule="auto"/>
        <w:tabs>
          <w:tab w:leader="none" w:pos="1012"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a resolution of the board of directors of each Obligor (or, in respect of the Company, an extract of its board resolutions), WML Corp, WML Finance, Wynn Resorts Macau and Palo:</w:t>
      </w:r>
    </w:p>
    <w:p>
      <w:pPr>
        <w:spacing w:after="0" w:line="123" w:lineRule="exact"/>
        <w:rPr>
          <w:rFonts w:ascii="Times New Roman" w:cs="Times New Roman" w:eastAsia="Times New Roman" w:hAnsi="Times New Roman"/>
          <w:sz w:val="17"/>
          <w:szCs w:val="17"/>
          <w:color w:val="auto"/>
        </w:rPr>
      </w:pPr>
    </w:p>
    <w:p>
      <w:pPr>
        <w:ind w:left="1535" w:hanging="517"/>
        <w:spacing w:after="0" w:line="289" w:lineRule="auto"/>
        <w:tabs>
          <w:tab w:leader="none" w:pos="1526" w:val="left"/>
        </w:tabs>
        <w:numPr>
          <w:ilvl w:val="2"/>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terms of, and the transactions contemplated by, this Agreement and the Amended Facility Agreement and resolving that it execute this Agreement;</w:t>
      </w:r>
    </w:p>
    <w:p>
      <w:pPr>
        <w:spacing w:after="0" w:line="112" w:lineRule="exact"/>
        <w:rPr>
          <w:rFonts w:ascii="Times New Roman" w:cs="Times New Roman" w:eastAsia="Times New Roman" w:hAnsi="Times New Roman"/>
          <w:sz w:val="17"/>
          <w:szCs w:val="17"/>
          <w:color w:val="auto"/>
        </w:rPr>
      </w:pPr>
    </w:p>
    <w:p>
      <w:pPr>
        <w:ind w:left="1515" w:hanging="497"/>
        <w:spacing w:after="0"/>
        <w:tabs>
          <w:tab w:leader="none" w:pos="1515" w:val="left"/>
        </w:tabs>
        <w:numPr>
          <w:ilvl w:val="2"/>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authorising a specified person or persons to execute this Agreement on its behalf; and</w:t>
      </w:r>
    </w:p>
    <w:p>
      <w:pPr>
        <w:spacing w:after="0" w:line="175" w:lineRule="exact"/>
        <w:rPr>
          <w:rFonts w:ascii="Times New Roman" w:cs="Times New Roman" w:eastAsia="Times New Roman" w:hAnsi="Times New Roman"/>
          <w:sz w:val="17"/>
          <w:szCs w:val="17"/>
          <w:color w:val="auto"/>
        </w:rPr>
      </w:pPr>
    </w:p>
    <w:p>
      <w:pPr>
        <w:ind w:left="1535" w:hanging="517"/>
        <w:spacing w:after="0" w:line="276" w:lineRule="auto"/>
        <w:tabs>
          <w:tab w:leader="none" w:pos="1535" w:val="left"/>
        </w:tabs>
        <w:numPr>
          <w:ilvl w:val="2"/>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authorising a specified person or persons, on its behalf, to sign and/or despatch all documents and notices to be signed and/or despatched by it under or in connection with this Agreement.</w:t>
      </w:r>
    </w:p>
    <w:p>
      <w:pPr>
        <w:spacing w:after="0" w:line="123" w:lineRule="exact"/>
        <w:rPr>
          <w:rFonts w:ascii="Times New Roman" w:cs="Times New Roman" w:eastAsia="Times New Roman" w:hAnsi="Times New Roman"/>
          <w:sz w:val="17"/>
          <w:szCs w:val="17"/>
          <w:color w:val="auto"/>
        </w:rPr>
      </w:pPr>
    </w:p>
    <w:p>
      <w:pPr>
        <w:ind w:left="1015" w:hanging="506"/>
        <w:spacing w:after="0"/>
        <w:tabs>
          <w:tab w:leader="none" w:pos="1015"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specimen of the signature of each person authorised by the resolution referred to in paragraph (b) above.</w:t>
      </w:r>
    </w:p>
    <w:p>
      <w:pPr>
        <w:spacing w:after="0" w:line="186" w:lineRule="exact"/>
        <w:rPr>
          <w:rFonts w:ascii="Times New Roman" w:cs="Times New Roman" w:eastAsia="Times New Roman" w:hAnsi="Times New Roman"/>
          <w:sz w:val="17"/>
          <w:szCs w:val="17"/>
          <w:color w:val="auto"/>
        </w:rPr>
      </w:pPr>
    </w:p>
    <w:p>
      <w:pPr>
        <w:ind w:left="1015" w:hanging="506"/>
        <w:spacing w:after="0" w:line="276" w:lineRule="auto"/>
        <w:tabs>
          <w:tab w:leader="none" w:pos="1012"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each Obligor (signed by a director) confirming that borrowing or guaranteeing, as appropriate, the Total Commitments would not cause any borrowing, guaranteeing or similar limit binding on any Obligor to be exceeded.</w:t>
      </w:r>
    </w:p>
    <w:p>
      <w:pPr>
        <w:spacing w:after="0" w:line="123" w:lineRule="exact"/>
        <w:rPr>
          <w:rFonts w:ascii="Times New Roman" w:cs="Times New Roman" w:eastAsia="Times New Roman" w:hAnsi="Times New Roman"/>
          <w:sz w:val="17"/>
          <w:szCs w:val="17"/>
          <w:color w:val="auto"/>
        </w:rPr>
      </w:pPr>
    </w:p>
    <w:p>
      <w:pPr>
        <w:jc w:val="both"/>
        <w:ind w:left="1015" w:hanging="506"/>
        <w:spacing w:after="0" w:line="262" w:lineRule="auto"/>
        <w:tabs>
          <w:tab w:leader="none" w:pos="1013"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an authorised signatory of the relevant Obligor, WML Corp, WML Finance, Wynn Resorts Macau and Palo certifying that each copy document relating to it specified in this Schedule 2 is correct, complete and in full force and effect as at a date no earlier than the date of this Agreement.</w:t>
      </w:r>
    </w:p>
    <w:p>
      <w:pPr>
        <w:spacing w:after="0" w:line="134" w:lineRule="exact"/>
        <w:rPr>
          <w:rFonts w:ascii="Times New Roman" w:cs="Times New Roman" w:eastAsia="Times New Roman" w:hAnsi="Times New Roman"/>
          <w:sz w:val="17"/>
          <w:szCs w:val="17"/>
          <w:color w:val="auto"/>
        </w:rPr>
      </w:pPr>
    </w:p>
    <w:p>
      <w:pPr>
        <w:ind w:left="1015" w:hanging="506"/>
        <w:spacing w:after="0" w:line="289" w:lineRule="auto"/>
        <w:tabs>
          <w:tab w:leader="none" w:pos="1015"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each Obligor, WML Corp and WML Finance, a copy of a certificate of good standing issued by the Registrar of Companies in the Cayman Islands dated no earlier than one month of the date of this Agreement or any later date approved by the Agent.</w:t>
      </w:r>
    </w:p>
    <w:p>
      <w:pPr>
        <w:spacing w:after="0" w:line="108" w:lineRule="exact"/>
        <w:rPr>
          <w:rFonts w:ascii="Times New Roman" w:cs="Times New Roman" w:eastAsia="Times New Roman" w:hAnsi="Times New Roman"/>
          <w:sz w:val="17"/>
          <w:szCs w:val="17"/>
          <w:color w:val="auto"/>
        </w:rPr>
      </w:pPr>
    </w:p>
    <w:p>
      <w:pPr>
        <w:ind w:left="515" w:hanging="515"/>
        <w:spacing w:after="0"/>
        <w:tabs>
          <w:tab w:leader="none" w:pos="5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Legal opinions</w:t>
      </w:r>
    </w:p>
    <w:p>
      <w:pPr>
        <w:spacing w:after="0" w:line="179" w:lineRule="exact"/>
        <w:rPr>
          <w:rFonts w:ascii="Times New Roman" w:cs="Times New Roman" w:eastAsia="Times New Roman" w:hAnsi="Times New Roman"/>
          <w:sz w:val="17"/>
          <w:szCs w:val="17"/>
          <w:color w:val="auto"/>
        </w:rPr>
      </w:pPr>
    </w:p>
    <w:p>
      <w:pPr>
        <w:ind w:left="1015" w:hanging="506"/>
        <w:spacing w:after="0" w:line="276" w:lineRule="auto"/>
        <w:tabs>
          <w:tab w:leader="none" w:pos="1013"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legal opinion of Clifford Chance, legal advisers to the Arranger and the Agent in England, substantially in the form distributed to the Agent prior to the date of this Agreement.</w:t>
      </w:r>
    </w:p>
    <w:p>
      <w:pPr>
        <w:spacing w:after="0" w:line="123" w:lineRule="exact"/>
        <w:rPr>
          <w:rFonts w:ascii="Times New Roman" w:cs="Times New Roman" w:eastAsia="Times New Roman" w:hAnsi="Times New Roman"/>
          <w:sz w:val="17"/>
          <w:szCs w:val="17"/>
          <w:color w:val="auto"/>
        </w:rPr>
      </w:pPr>
    </w:p>
    <w:p>
      <w:pPr>
        <w:ind w:left="1015" w:hanging="506"/>
        <w:spacing w:after="0" w:line="289" w:lineRule="auto"/>
        <w:tabs>
          <w:tab w:leader="none" w:pos="1012"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legal opinion of Walkers (Hong Kong), legal advisers to the Arranger and the Agent in the Cayman Islands, substantially in the form distributed to the Agent prior to the date of this Agreement.</w:t>
      </w:r>
    </w:p>
    <w:p>
      <w:pPr>
        <w:spacing w:after="0" w:line="112" w:lineRule="exact"/>
        <w:rPr>
          <w:rFonts w:ascii="Times New Roman" w:cs="Times New Roman" w:eastAsia="Times New Roman" w:hAnsi="Times New Roman"/>
          <w:sz w:val="17"/>
          <w:szCs w:val="17"/>
          <w:color w:val="auto"/>
        </w:rPr>
      </w:pPr>
    </w:p>
    <w:p>
      <w:pPr>
        <w:ind w:left="1015" w:hanging="506"/>
        <w:spacing w:after="0" w:line="276" w:lineRule="auto"/>
        <w:tabs>
          <w:tab w:leader="none" w:pos="1013"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legal opinion of Lektou Advogados e Notários, Macau legal adviser to the Arranger and the Agent in Macau, substantially in the form distributed to the Agent prior to the date of this Agreement.</w:t>
      </w:r>
    </w:p>
    <w:p>
      <w:pPr>
        <w:spacing w:after="0" w:line="200" w:lineRule="exact"/>
        <w:rPr>
          <w:rFonts w:ascii="Times New Roman" w:cs="Times New Roman" w:eastAsia="Times New Roman" w:hAnsi="Times New Roman"/>
          <w:sz w:val="17"/>
          <w:szCs w:val="17"/>
          <w:color w:val="auto"/>
        </w:rPr>
      </w:pPr>
    </w:p>
    <w:p>
      <w:pPr>
        <w:spacing w:after="0" w:line="284" w:lineRule="exact"/>
        <w:rPr>
          <w:rFonts w:ascii="Times New Roman" w:cs="Times New Roman" w:eastAsia="Times New Roman" w:hAnsi="Times New Roman"/>
          <w:sz w:val="17"/>
          <w:szCs w:val="17"/>
          <w:color w:val="auto"/>
        </w:rPr>
      </w:pPr>
    </w:p>
    <w:p>
      <w:pPr>
        <w:ind w:left="5595" w:hanging="92"/>
        <w:spacing w:after="0"/>
        <w:tabs>
          <w:tab w:leader="none" w:pos="5595" w:val="left"/>
        </w:tabs>
        <w:numPr>
          <w:ilvl w:val="3"/>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8 -</w:t>
      </w:r>
    </w:p>
    <w:p>
      <w:pPr>
        <w:sectPr>
          <w:pgSz w:w="11900" w:h="16838" w:orient="portrait"/>
          <w:cols w:equalWidth="0" w:num="1">
            <w:col w:w="11275"/>
          </w:cols>
          <w:pgMar w:left="305" w:top="1148" w:right="319" w:bottom="1440" w:gutter="0" w:footer="0" w:header="0"/>
        </w:sectPr>
      </w:pPr>
    </w:p>
    <w:bookmarkStart w:id="13" w:name="page14"/>
    <w:bookmarkEnd w:id="13"/>
    <w:p>
      <w:pPr>
        <w:ind w:left="515" w:hanging="515"/>
        <w:spacing w:after="0"/>
        <w:tabs>
          <w:tab w:leader="none" w:pos="5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Others</w:t>
      </w:r>
    </w:p>
    <w:p>
      <w:pPr>
        <w:spacing w:after="0" w:line="179" w:lineRule="exact"/>
        <w:rPr>
          <w:rFonts w:ascii="Times New Roman" w:cs="Times New Roman" w:eastAsia="Times New Roman" w:hAnsi="Times New Roman"/>
          <w:sz w:val="17"/>
          <w:szCs w:val="17"/>
          <w:color w:val="auto"/>
        </w:rPr>
      </w:pPr>
    </w:p>
    <w:p>
      <w:pPr>
        <w:ind w:left="1015" w:hanging="506"/>
        <w:spacing w:after="0"/>
        <w:tabs>
          <w:tab w:leader="none" w:pos="1015"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each of this Agreement and the Extension Fee Letter executed by the parties thereto.</w:t>
      </w:r>
    </w:p>
    <w:p>
      <w:pPr>
        <w:spacing w:after="0" w:line="171" w:lineRule="exact"/>
        <w:rPr>
          <w:rFonts w:ascii="Times New Roman" w:cs="Times New Roman" w:eastAsia="Times New Roman" w:hAnsi="Times New Roman"/>
          <w:sz w:val="17"/>
          <w:szCs w:val="17"/>
          <w:color w:val="auto"/>
        </w:rPr>
      </w:pPr>
    </w:p>
    <w:p>
      <w:pPr>
        <w:ind w:left="1015" w:hanging="506"/>
        <w:spacing w:after="0" w:line="294" w:lineRule="auto"/>
        <w:tabs>
          <w:tab w:leader="none" w:pos="101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that any process agent referred to in clause 44.2 (</w:t>
      </w:r>
      <w:r>
        <w:rPr>
          <w:rFonts w:ascii="Times New Roman" w:cs="Times New Roman" w:eastAsia="Times New Roman" w:hAnsi="Times New Roman"/>
          <w:sz w:val="17"/>
          <w:szCs w:val="17"/>
          <w:i w:val="1"/>
          <w:iCs w:val="1"/>
          <w:color w:val="auto"/>
        </w:rPr>
        <w:t>Service of process</w:t>
      </w:r>
      <w:r>
        <w:rPr>
          <w:rFonts w:ascii="Times New Roman" w:cs="Times New Roman" w:eastAsia="Times New Roman" w:hAnsi="Times New Roman"/>
          <w:sz w:val="17"/>
          <w:szCs w:val="17"/>
          <w:color w:val="auto"/>
        </w:rPr>
        <w:t>) of the Existing Facility Agreement has accepted its appointment in respect of this Agreement and the Amended Facilities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- 9 -</w:t>
      </w:r>
    </w:p>
    <w:p>
      <w:pPr>
        <w:sectPr>
          <w:pgSz w:w="11900" w:h="16838" w:orient="portrait"/>
          <w:cols w:equalWidth="0" w:num="1">
            <w:col w:w="11275"/>
          </w:cols>
          <w:pgMar w:left="305" w:top="1144" w:right="31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SCHEDULE 3</w:t>
      </w: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AMENDMENTS TO EXISTING FACILITY AGREEMENT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the occurrence of the Effective Date, the Existing Facility Agreement shall be amended as follows:</w:t>
      </w:r>
    </w:p>
    <w:p>
      <w:pPr>
        <w:spacing w:after="0" w:line="161" w:lineRule="exact"/>
        <w:rPr>
          <w:sz w:val="20"/>
          <w:szCs w:val="20"/>
          <w:color w:val="auto"/>
        </w:rPr>
      </w:pPr>
    </w:p>
    <w:p>
      <w:pPr>
        <w:ind w:left="520" w:hanging="515"/>
        <w:spacing w:after="0" w:line="281" w:lineRule="auto"/>
        <w:tabs>
          <w:tab w:leader="none" w:pos="5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definition of "Excluded Lender" in clause 1.1 (</w:t>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 of the Existing Facility Agreement shall be amended by adding the following words immediately after the words "or Non-Consenting Lender":</w:t>
      </w:r>
    </w:p>
    <w:p>
      <w:pPr>
        <w:spacing w:after="0" w:line="115" w:lineRule="exact"/>
        <w:rPr>
          <w:sz w:val="20"/>
          <w:szCs w:val="20"/>
          <w:color w:val="auto"/>
        </w:rPr>
      </w:pPr>
    </w:p>
    <w:p>
      <w:pPr>
        <w:jc w:val="both"/>
        <w:ind w:left="102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provided that</w:t>
      </w:r>
      <w:r>
        <w:rPr>
          <w:rFonts w:ascii="Times New Roman" w:cs="Times New Roman" w:eastAsia="Times New Roman" w:hAnsi="Times New Roman"/>
          <w:sz w:val="17"/>
          <w:szCs w:val="17"/>
          <w:color w:val="auto"/>
        </w:rPr>
        <w:t xml:space="preserve"> a Non-Consenting Lender shall not be an Excluded Lender in connection with, or in respect of, any consent, waiver or amendment if it has notified the Agent in writing of its refusal, denial or rejection of, or disagreement with or to, the relevant consent, waiver or amendment prior to the later of (i) the date that paragraph (d)(iii) of clause 34.6 (</w:t>
      </w:r>
      <w:r>
        <w:rPr>
          <w:rFonts w:ascii="Times New Roman" w:cs="Times New Roman" w:eastAsia="Times New Roman" w:hAnsi="Times New Roman"/>
          <w:sz w:val="17"/>
          <w:szCs w:val="17"/>
          <w:i w:val="1"/>
          <w:iCs w:val="1"/>
          <w:color w:val="auto"/>
        </w:rPr>
        <w:t>Replacement of Lenders</w:t>
      </w:r>
      <w:r>
        <w:rPr>
          <w:rFonts w:ascii="Times New Roman" w:cs="Times New Roman" w:eastAsia="Times New Roman" w:hAnsi="Times New Roman"/>
          <w:sz w:val="17"/>
          <w:szCs w:val="17"/>
          <w:color w:val="auto"/>
        </w:rPr>
        <w:t>) has been satisfied in respect of such consent, waiver or amendment and (ii) the response deadline specified by the Agent in respect of such consent, waiver or amendment".</w:t>
      </w:r>
    </w:p>
    <w:p>
      <w:pPr>
        <w:spacing w:after="0" w:line="130" w:lineRule="exact"/>
        <w:rPr>
          <w:sz w:val="20"/>
          <w:szCs w:val="20"/>
          <w:color w:val="auto"/>
        </w:rPr>
      </w:pPr>
    </w:p>
    <w:p>
      <w:pPr>
        <w:ind w:left="520" w:hanging="515"/>
        <w:spacing w:after="0" w:line="281" w:lineRule="auto"/>
        <w:tabs>
          <w:tab w:leader="none" w:pos="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Paragraph (d) of the definition of "Permitted Payment" in clause 1.1 (</w:t>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 of the Existing Facility Agreement shall be deleted in its entirety and replaced by the following new paragraph (d):</w:t>
      </w:r>
    </w:p>
    <w:p>
      <w:pPr>
        <w:spacing w:after="0" w:line="119" w:lineRule="exact"/>
        <w:rPr>
          <w:sz w:val="20"/>
          <w:szCs w:val="20"/>
          <w:color w:val="auto"/>
        </w:rPr>
      </w:pPr>
    </w:p>
    <w:p>
      <w:pPr>
        <w:jc w:val="both"/>
        <w:ind w:left="1020" w:hanging="499"/>
        <w:spacing w:after="0" w:line="254" w:lineRule="auto"/>
        <w:tabs>
          <w:tab w:leader="none" w:pos="1000" w:val="left"/>
        </w:tabs>
        <w:rPr>
          <w:sz w:val="20"/>
          <w:szCs w:val="20"/>
          <w:color w:val="auto"/>
        </w:rPr>
      </w:pPr>
      <w:r>
        <w:rPr>
          <w:rFonts w:ascii="Times New Roman" w:cs="Times New Roman" w:eastAsia="Times New Roman" w:hAnsi="Times New Roman"/>
          <w:sz w:val="17"/>
          <w:szCs w:val="17"/>
          <w:color w:val="auto"/>
        </w:rPr>
        <w:t>"(d)</w:t>
        <w:tab/>
        <w:t>any payment by any Borrower Group Member to the Company or any of its Subsidiaries (excluding the Borrower and any other Borrower Group Member) (each a "</w:t>
      </w:r>
      <w:r>
        <w:rPr>
          <w:rFonts w:ascii="Times New Roman" w:cs="Times New Roman" w:eastAsia="Times New Roman" w:hAnsi="Times New Roman"/>
          <w:sz w:val="17"/>
          <w:szCs w:val="17"/>
          <w:b w:val="1"/>
          <w:bCs w:val="1"/>
          <w:color w:val="auto"/>
        </w:rPr>
        <w:t>Company Group Member</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b w:val="1"/>
          <w:bCs w:val="1"/>
          <w:color w:val="auto"/>
        </w:rPr>
        <w:t>Company Group Members</w:t>
      </w:r>
      <w:r>
        <w:rPr>
          <w:rFonts w:ascii="Times New Roman" w:cs="Times New Roman" w:eastAsia="Times New Roman" w:hAnsi="Times New Roman"/>
          <w:sz w:val="17"/>
          <w:szCs w:val="17"/>
          <w:color w:val="auto"/>
        </w:rPr>
        <w:t>") made solely for the purpose of that Company Group Member paying any amount payable at any time by that Company Group Member provided that (i) such payment is permitted by applicable laws and regulations (including, without limitation, the Listing Rules) and any such payment made is only made in such amount as is expressly permitted by such applicable laws and regulations, (ii) such payments (when taken together) would not exceed (in aggregate) USD150,000,000 in any Fiscal Year,</w:t>
      </w:r>
    </w:p>
    <w:p>
      <w:pPr>
        <w:spacing w:after="0" w:line="2" w:lineRule="exact"/>
        <w:rPr>
          <w:sz w:val="20"/>
          <w:szCs w:val="20"/>
          <w:color w:val="auto"/>
        </w:rPr>
      </w:pPr>
    </w:p>
    <w:p>
      <w:pPr>
        <w:jc w:val="both"/>
        <w:ind w:left="1020" w:firstLine="3"/>
        <w:spacing w:after="0" w:line="254" w:lineRule="auto"/>
        <w:tabs>
          <w:tab w:leader="none" w:pos="1323"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is continuing or would result from such payment, (iv) such payment is made after the delivery of the Compliance Certificate in respect of the first Quarterly Date and (v) had the payment been made immediately prior to the most recent Quarterly Date, the Borrower would, as at that Quarterly Date, still have been in compliance with Clause 20.2 (</w:t>
      </w:r>
      <w:r>
        <w:rPr>
          <w:rFonts w:ascii="Times New Roman" w:cs="Times New Roman" w:eastAsia="Times New Roman" w:hAnsi="Times New Roman"/>
          <w:sz w:val="17"/>
          <w:szCs w:val="17"/>
          <w:i w:val="1"/>
          <w:iCs w:val="1"/>
          <w:color w:val="auto"/>
        </w:rPr>
        <w:t>Financial condition</w:t>
      </w:r>
      <w:r>
        <w:rPr>
          <w:rFonts w:ascii="Times New Roman" w:cs="Times New Roman" w:eastAsia="Times New Roman" w:hAnsi="Times New Roman"/>
          <w:sz w:val="17"/>
          <w:szCs w:val="17"/>
          <w:color w:val="auto"/>
        </w:rPr>
        <w:t>) (for the avoidance of doubt, subject to paragraph (g) of Clause 20.4 (</w:t>
      </w:r>
      <w:r>
        <w:rPr>
          <w:rFonts w:ascii="Times New Roman" w:cs="Times New Roman" w:eastAsia="Times New Roman" w:hAnsi="Times New Roman"/>
          <w:sz w:val="17"/>
          <w:szCs w:val="17"/>
          <w:i w:val="1"/>
          <w:iCs w:val="1"/>
          <w:color w:val="auto"/>
        </w:rPr>
        <w:t>Equity cure</w:t>
      </w:r>
      <w:r>
        <w:rPr>
          <w:rFonts w:ascii="Times New Roman" w:cs="Times New Roman" w:eastAsia="Times New Roman" w:hAnsi="Times New Roman"/>
          <w:sz w:val="17"/>
          <w:szCs w:val="17"/>
          <w:color w:val="auto"/>
        </w:rPr>
        <w:t>));".</w:t>
      </w:r>
    </w:p>
    <w:p>
      <w:pPr>
        <w:spacing w:after="0" w:line="137" w:lineRule="exact"/>
        <w:rPr>
          <w:rFonts w:ascii="Times New Roman" w:cs="Times New Roman" w:eastAsia="Times New Roman" w:hAnsi="Times New Roman"/>
          <w:sz w:val="17"/>
          <w:szCs w:val="17"/>
          <w:color w:val="auto"/>
        </w:rPr>
      </w:pPr>
    </w:p>
    <w:p>
      <w:pPr>
        <w:ind w:left="520" w:hanging="515"/>
        <w:spacing w:after="0" w:line="281" w:lineRule="auto"/>
        <w:tabs>
          <w:tab w:leader="none" w:pos="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new paragraph (e) shall be inserted immediately after new paragraph (d) of the definition of "Permitted Payment" in clause 1.1 (</w:t>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 of the Existing Facility Agreement (and existing paragraph (e) shall be re-numbered as paragraph (f)):</w:t>
      </w:r>
    </w:p>
    <w:p>
      <w:pPr>
        <w:spacing w:after="0" w:line="119" w:lineRule="exact"/>
        <w:rPr>
          <w:sz w:val="20"/>
          <w:szCs w:val="20"/>
          <w:color w:val="auto"/>
        </w:rPr>
      </w:pPr>
    </w:p>
    <w:p>
      <w:pPr>
        <w:jc w:val="both"/>
        <w:ind w:left="940" w:hanging="508"/>
        <w:spacing w:after="0" w:line="268" w:lineRule="auto"/>
        <w:tabs>
          <w:tab w:leader="none" w:pos="920" w:val="left"/>
        </w:tabs>
        <w:rPr>
          <w:sz w:val="20"/>
          <w:szCs w:val="20"/>
          <w:color w:val="auto"/>
        </w:rPr>
      </w:pPr>
      <w:r>
        <w:rPr>
          <w:rFonts w:ascii="Times New Roman" w:cs="Times New Roman" w:eastAsia="Times New Roman" w:hAnsi="Times New Roman"/>
          <w:sz w:val="17"/>
          <w:szCs w:val="17"/>
          <w:color w:val="auto"/>
        </w:rPr>
        <w:t>"(e)</w:t>
        <w:tab/>
        <w:t>any repayment by any Subordinated Debtor (as defined in the Subordination Agreement) under any Subordinated Loan made to it solely for the purpose of the Company paying any amount with respect to WML Debt and/or the Borrower paying any amount with respect to any Financial Indebtedness incurred under the Facilities provided that (i) no Event of Default is continuing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- 10 -</w:t>
      </w:r>
    </w:p>
    <w:p>
      <w:pPr>
        <w:sectPr>
          <w:pgSz w:w="11900" w:h="16838" w:orient="portrait"/>
          <w:cols w:equalWidth="0" w:num="1">
            <w:col w:w="11280"/>
          </w:cols>
          <w:pgMar w:left="300" w:top="1161" w:right="319" w:bottom="1440" w:gutter="0" w:footer="0" w:header="0"/>
        </w:sectPr>
      </w:pPr>
    </w:p>
    <w:bookmarkStart w:id="15" w:name="page16"/>
    <w:bookmarkEnd w:id="15"/>
    <w:p>
      <w:pPr>
        <w:jc w:val="both"/>
        <w:ind w:left="1015"/>
        <w:spacing w:after="0" w:line="258" w:lineRule="auto"/>
        <w:rPr>
          <w:sz w:val="20"/>
          <w:szCs w:val="20"/>
          <w:color w:val="auto"/>
        </w:rPr>
      </w:pPr>
      <w:r>
        <w:rPr>
          <w:rFonts w:ascii="Times New Roman" w:cs="Times New Roman" w:eastAsia="Times New Roman" w:hAnsi="Times New Roman"/>
          <w:sz w:val="17"/>
          <w:szCs w:val="17"/>
          <w:color w:val="auto"/>
        </w:rPr>
        <w:t>or would result from such payment, (ii) following such repayment, such repaid amount of such Subordinated Loan is not available for redrawing and the commitment of the relevant Junior Party in respect of such Subordinated Loan (equal to the amount so repaid) is cancelled on the date of such repayment and (iii) had the repayment been made immediately prior to the most recent Quarterly Date, the Borrower would, as at that Quarterly Date, still have been in compliance with Clause 20.2 (</w:t>
      </w:r>
      <w:r>
        <w:rPr>
          <w:rFonts w:ascii="Times New Roman" w:cs="Times New Roman" w:eastAsia="Times New Roman" w:hAnsi="Times New Roman"/>
          <w:sz w:val="17"/>
          <w:szCs w:val="17"/>
          <w:i w:val="1"/>
          <w:iCs w:val="1"/>
          <w:color w:val="auto"/>
        </w:rPr>
        <w:t>Financial condition</w:t>
      </w:r>
      <w:r>
        <w:rPr>
          <w:rFonts w:ascii="Times New Roman" w:cs="Times New Roman" w:eastAsia="Times New Roman" w:hAnsi="Times New Roman"/>
          <w:sz w:val="17"/>
          <w:szCs w:val="17"/>
          <w:color w:val="auto"/>
        </w:rPr>
        <w:t>) (for the avoidance of doubt, subject to paragraph (g) of Clause 20.4 (</w:t>
      </w:r>
      <w:r>
        <w:rPr>
          <w:rFonts w:ascii="Times New Roman" w:cs="Times New Roman" w:eastAsia="Times New Roman" w:hAnsi="Times New Roman"/>
          <w:sz w:val="17"/>
          <w:szCs w:val="17"/>
          <w:i w:val="1"/>
          <w:iCs w:val="1"/>
          <w:color w:val="auto"/>
        </w:rPr>
        <w:t>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cure</w:t>
      </w:r>
      <w:r>
        <w:rPr>
          <w:rFonts w:ascii="Times New Roman" w:cs="Times New Roman" w:eastAsia="Times New Roman" w:hAnsi="Times New Roman"/>
          <w:sz w:val="17"/>
          <w:szCs w:val="17"/>
          <w:color w:val="auto"/>
        </w:rPr>
        <w:t>)); and".</w:t>
      </w:r>
    </w:p>
    <w:p>
      <w:pPr>
        <w:spacing w:after="0" w:line="134" w:lineRule="exact"/>
        <w:rPr>
          <w:sz w:val="20"/>
          <w:szCs w:val="20"/>
          <w:color w:val="auto"/>
        </w:rPr>
      </w:pPr>
    </w:p>
    <w:p>
      <w:pPr>
        <w:ind w:left="515" w:hanging="515"/>
        <w:spacing w:after="0" w:line="281" w:lineRule="auto"/>
        <w:tabs>
          <w:tab w:leader="none" w:pos="5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definition of "Termination Date" in clause 1.1 (</w:t>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 of the Existing Facility Agreement shall be deleted and replaced by the following new definition:</w:t>
      </w:r>
    </w:p>
    <w:p>
      <w:pPr>
        <w:spacing w:after="0" w:line="115" w:lineRule="exact"/>
        <w:rPr>
          <w:sz w:val="20"/>
          <w:szCs w:val="20"/>
          <w:color w:val="auto"/>
        </w:rPr>
      </w:pPr>
    </w:p>
    <w:p>
      <w:pPr>
        <w:ind w:left="101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Termination Date</w:t>
      </w:r>
      <w:r>
        <w:rPr>
          <w:rFonts w:ascii="Times New Roman" w:cs="Times New Roman" w:eastAsia="Times New Roman" w:hAnsi="Times New Roman"/>
          <w:sz w:val="17"/>
          <w:szCs w:val="17"/>
          <w:color w:val="auto"/>
        </w:rPr>
        <w:t>" means 16 September 2028.".</w:t>
      </w:r>
    </w:p>
    <w:p>
      <w:pPr>
        <w:spacing w:after="0" w:line="186" w:lineRule="exact"/>
        <w:rPr>
          <w:sz w:val="20"/>
          <w:szCs w:val="20"/>
          <w:color w:val="auto"/>
        </w:rPr>
      </w:pPr>
    </w:p>
    <w:p>
      <w:pPr>
        <w:ind w:left="515" w:hanging="515"/>
        <w:spacing w:after="0" w:line="281" w:lineRule="auto"/>
        <w:tabs>
          <w:tab w:leader="none" w:pos="5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reference to "(d)" in paragraph (e) of the definition of "Financing Costs" in clause 20.1 (</w:t>
      </w:r>
      <w:r>
        <w:rPr>
          <w:rFonts w:ascii="Times New Roman" w:cs="Times New Roman" w:eastAsia="Times New Roman" w:hAnsi="Times New Roman"/>
          <w:sz w:val="17"/>
          <w:szCs w:val="17"/>
          <w:i w:val="1"/>
          <w:iCs w:val="1"/>
          <w:color w:val="auto"/>
        </w:rPr>
        <w:t>Financial definitions</w:t>
      </w:r>
      <w:r>
        <w:rPr>
          <w:rFonts w:ascii="Times New Roman" w:cs="Times New Roman" w:eastAsia="Times New Roman" w:hAnsi="Times New Roman"/>
          <w:sz w:val="17"/>
          <w:szCs w:val="17"/>
          <w:color w:val="auto"/>
        </w:rPr>
        <w:t>) of the Existing Facility Agreement shall be replaced by a reference to "(e)".</w:t>
      </w:r>
    </w:p>
    <w:p>
      <w:pPr>
        <w:spacing w:after="0" w:line="115" w:lineRule="exact"/>
        <w:rPr>
          <w:rFonts w:ascii="Times New Roman" w:cs="Times New Roman" w:eastAsia="Times New Roman" w:hAnsi="Times New Roman"/>
          <w:sz w:val="17"/>
          <w:szCs w:val="17"/>
          <w:color w:val="auto"/>
        </w:rPr>
      </w:pPr>
    </w:p>
    <w:p>
      <w:pPr>
        <w:ind w:left="515" w:hanging="515"/>
        <w:spacing w:after="0" w:line="281" w:lineRule="auto"/>
        <w:tabs>
          <w:tab w:leader="none" w:pos="5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Clause 34.2 (</w:t>
      </w:r>
      <w:r>
        <w:rPr>
          <w:rFonts w:ascii="Times New Roman" w:cs="Times New Roman" w:eastAsia="Times New Roman" w:hAnsi="Times New Roman"/>
          <w:sz w:val="17"/>
          <w:szCs w:val="17"/>
          <w:i w:val="1"/>
          <w:iCs w:val="1"/>
          <w:color w:val="auto"/>
        </w:rPr>
        <w:t>All Lender matters</w:t>
      </w:r>
      <w:r>
        <w:rPr>
          <w:rFonts w:ascii="Times New Roman" w:cs="Times New Roman" w:eastAsia="Times New Roman" w:hAnsi="Times New Roman"/>
          <w:sz w:val="17"/>
          <w:szCs w:val="17"/>
          <w:color w:val="auto"/>
        </w:rPr>
        <w:t>) shall be amended by replacing "." at the end of paragraph (j) with "," and inserting the words "shall not be made without the prior consent of all Lenders" as a new line after existing paragraph (j).</w:t>
      </w:r>
    </w:p>
    <w:p>
      <w:pPr>
        <w:spacing w:after="0" w:line="115" w:lineRule="exact"/>
        <w:rPr>
          <w:rFonts w:ascii="Times New Roman" w:cs="Times New Roman" w:eastAsia="Times New Roman" w:hAnsi="Times New Roman"/>
          <w:sz w:val="17"/>
          <w:szCs w:val="17"/>
          <w:color w:val="auto"/>
        </w:rPr>
      </w:pPr>
    </w:p>
    <w:p>
      <w:pPr>
        <w:ind w:left="515" w:hanging="515"/>
        <w:spacing w:after="0" w:line="281" w:lineRule="auto"/>
        <w:tabs>
          <w:tab w:leader="none" w:pos="5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Paragraph (b)(iii) of clause 34.6 (</w:t>
      </w:r>
      <w:r>
        <w:rPr>
          <w:rFonts w:ascii="Times New Roman" w:cs="Times New Roman" w:eastAsia="Times New Roman" w:hAnsi="Times New Roman"/>
          <w:sz w:val="17"/>
          <w:szCs w:val="17"/>
          <w:i w:val="1"/>
          <w:iCs w:val="1"/>
          <w:color w:val="auto"/>
        </w:rPr>
        <w:t>Replacement of Lenders</w:t>
      </w:r>
      <w:r>
        <w:rPr>
          <w:rFonts w:ascii="Times New Roman" w:cs="Times New Roman" w:eastAsia="Times New Roman" w:hAnsi="Times New Roman"/>
          <w:sz w:val="17"/>
          <w:szCs w:val="17"/>
          <w:color w:val="auto"/>
        </w:rPr>
        <w:t>) of the Existing Facility Agreement shall be amended by deleting the words "is deemed a Lender" and replacing them with the words "becomes a Lender that the Borrower is entitled to replace pursuant to paragraph (a) above".</w:t>
      </w:r>
    </w:p>
    <w:p>
      <w:pPr>
        <w:spacing w:after="0" w:line="200" w:lineRule="exact"/>
        <w:rPr>
          <w:rFonts w:ascii="Times New Roman" w:cs="Times New Roman" w:eastAsia="Times New Roman" w:hAnsi="Times New Roman"/>
          <w:sz w:val="17"/>
          <w:szCs w:val="17"/>
          <w:color w:val="auto"/>
        </w:rPr>
      </w:pPr>
    </w:p>
    <w:p>
      <w:pPr>
        <w:spacing w:after="0" w:line="290" w:lineRule="exact"/>
        <w:rPr>
          <w:rFonts w:ascii="Times New Roman" w:cs="Times New Roman" w:eastAsia="Times New Roman" w:hAnsi="Times New Roman"/>
          <w:sz w:val="17"/>
          <w:szCs w:val="17"/>
          <w:color w:val="auto"/>
        </w:rPr>
      </w:pPr>
    </w:p>
    <w:p>
      <w:pPr>
        <w:ind w:left="5555" w:hanging="91"/>
        <w:spacing w:after="0"/>
        <w:tabs>
          <w:tab w:leader="none" w:pos="5555"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11 -</w:t>
      </w:r>
    </w:p>
    <w:p>
      <w:pPr>
        <w:sectPr>
          <w:pgSz w:w="11900" w:h="16838" w:orient="portrait"/>
          <w:cols w:equalWidth="0" w:num="1">
            <w:col w:w="11275"/>
          </w:cols>
          <w:pgMar w:left="305" w:top="1148" w:right="319" w:bottom="1440" w:gutter="0" w:footer="0" w:header="0"/>
        </w:sectPr>
      </w:pPr>
    </w:p>
    <w:bookmarkStart w:id="16" w:name="page17"/>
    <w:bookmarkEnd w:id="16"/>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Craig Jeffrey Fullalove</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Name: Craig Jeffrey Fullalove</w:t>
      </w:r>
    </w:p>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WM CAYMAN HOLDINGS LIMITED II - REVOLVING LOAN FACILITIES</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SIGNATURE PAGES TO AMENDMENT AGREEMENT (2024)</w:t>
      </w:r>
    </w:p>
    <w:p>
      <w:pPr>
        <w:sectPr>
          <w:pgSz w:w="11900" w:h="16838" w:orient="portrait"/>
          <w:cols w:equalWidth="0" w:num="2">
            <w:col w:w="4380" w:space="720"/>
            <w:col w:w="6180"/>
          </w:cols>
          <w:pgMar w:left="300" w:top="1144"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The Borrower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WM CAYMAN HOLDINGS LIMITED II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Craig Jeffrey Fullalove</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Name: Craig Jeffrey Fullalove</w:t>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WM CAYMAN HOLDINGS LIMITED II - REVOLVING LOAN FACILITIES</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SIGNATURE PAGES TO AMENDMENT AGREEMENT (2024)</w:t>
      </w:r>
    </w:p>
    <w:p>
      <w:pPr>
        <w:sectPr>
          <w:pgSz w:w="11900" w:h="16838" w:orient="portrait"/>
          <w:cols w:equalWidth="0" w:num="1">
            <w:col w:w="11280"/>
          </w:cols>
          <w:pgMar w:left="300" w:top="1144"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The Subordinated Creditors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Craig Jeffrey Fullalove</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Name: Craig Jeffrey Fullalove</w:t>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WM CAYMAN HOLDINGS LIMITED II - REVOLVING LOAN FACILITIES</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SIGNATURE PAGES TO AMENDMENT AGREEMENT (2024)</w:t>
      </w:r>
    </w:p>
    <w:p>
      <w:pPr>
        <w:sectPr>
          <w:pgSz w:w="11900" w:h="16838" w:orient="portrait"/>
          <w:cols w:equalWidth="0" w:num="1">
            <w:col w:w="11280"/>
          </w:cols>
          <w:pgMar w:left="300" w:top="1144"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WML CORP. LTD.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Craig Jeffrey Fullalove</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Name: Craig Jeffrey Fullalove</w:t>
      </w:r>
    </w:p>
    <w:p>
      <w:pPr>
        <w:spacing w:after="0" w:line="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WM CAYMAN HOLDINGS LIMITED II - REVOLVING LOAN FACILITIES</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SIGNATURE PAGES TO AMENDMENT AGREEMENT (2024)</w:t>
      </w:r>
    </w:p>
    <w:p>
      <w:pPr>
        <w:sectPr>
          <w:pgSz w:w="11900" w:h="16838" w:orient="portrait"/>
          <w:cols w:equalWidth="0" w:num="1">
            <w:col w:w="11280"/>
          </w:cols>
          <w:pgMar w:left="300" w:top="1148"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WML FINANCE I LIMITED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Craig Jeffrey Fullalove</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Name: Craig Jeffrey Fullalove</w:t>
      </w:r>
    </w:p>
    <w:p>
      <w:pPr>
        <w:spacing w:after="0" w:line="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WM CAYMAN HOLDINGS LIMITED II - REVOLVING LOAN FACILITIES</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SIGNATURE PAGES TO AMENDMENT AGREEMENT (2024)</w:t>
      </w:r>
    </w:p>
    <w:p>
      <w:pPr>
        <w:sectPr>
          <w:pgSz w:w="11900" w:h="16838" w:orient="portrait"/>
          <w:cols w:equalWidth="0" w:num="1">
            <w:col w:w="11280"/>
          </w:cols>
          <w:pgMar w:left="300" w:top="1148"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The Subordinated Debtors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WM CAYMAN HOLDINGS LIMITED II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Craig Jeffrey Fullalove</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Name: Craig Jeffrey Fullalove</w:t>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WM CAYMAN HOLDINGS LIMITED II - REVOLVING LOAN FACILITIES</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SIGNATURE PAGES TO AMENDMENT AGREEMENT (2024)</w:t>
      </w:r>
    </w:p>
    <w:p>
      <w:pPr>
        <w:sectPr>
          <w:pgSz w:w="11900" w:h="16838" w:orient="portrait"/>
          <w:cols w:equalWidth="0" w:num="1">
            <w:col w:w="11280"/>
          </w:cols>
          <w:pgMar w:left="300" w:top="1144"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WYNN RESORTS (MACAU) S.A.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Craig Jeffrey Fullalove</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Name: Craig Jeffrey Fullalove</w:t>
      </w:r>
    </w:p>
    <w:p>
      <w:pPr>
        <w:spacing w:after="0" w:line="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WM CAYMAN HOLDINGS LIMITED II - REVOLVING LOAN FACILITIES</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SIGNATURE PAGES TO AMENDMENT AGREEMENT (2024)</w:t>
      </w:r>
    </w:p>
    <w:p>
      <w:pPr>
        <w:sectPr>
          <w:pgSz w:w="11900" w:h="16838" w:orient="portrait"/>
          <w:cols w:equalWidth="0" w:num="1">
            <w:col w:w="11280"/>
          </w:cols>
          <w:pgMar w:left="300" w:top="1148"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PALO REAL ESTATE COMPANY LIMITED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Craig Jeffrey Fullalove</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Name: Craig Jeffrey Fullalove</w:t>
      </w:r>
    </w:p>
    <w:p>
      <w:pPr>
        <w:spacing w:after="0" w:line="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WM CAYMAN HOLDINGS LIMITED II - REVOLVING LOAN FACILITIES</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SIGNATURE PAGES TO AMENDMENT AGREEMENT (2024)</w:t>
      </w:r>
    </w:p>
    <w:p>
      <w:pPr>
        <w:sectPr>
          <w:pgSz w:w="11900" w:h="16838" w:orient="portrait"/>
          <w:cols w:equalWidth="0" w:num="1">
            <w:col w:w="11280"/>
          </w:cols>
          <w:pgMar w:left="300" w:top="114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The Arranger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BANK OF CHINA LIMITED, MACAU BRANCH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Huang Jia Yu Venus</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Name: Huang Jia Yu Venus</w:t>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Title: Deputy Director, Integrated Resorts Business Division, Corporate Banking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WM CAYMAN HOLDINGS LIMITED II - REVOLVING LOAN FACILITIES</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SIGNATURE PAGES TO AMENDMENT AGREEMENT (2024)</w:t>
      </w:r>
    </w:p>
    <w:p>
      <w:pPr>
        <w:sectPr>
          <w:pgSz w:w="11900" w:h="16838" w:orient="portrait"/>
          <w:cols w:equalWidth="0" w:num="1">
            <w:col w:w="11280"/>
          </w:cols>
          <w:pgMar w:left="300" w:top="1144"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The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BANK OF CHINA LIMITED, MACAU BRANCH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Huang Jia Yu Venus</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Name: Huang Jia Yu Venus</w:t>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Title: Deputy Director, Integrated Resorts Business Division, Corporate Banking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WM CAYMAN HOLDINGS LIMITED II - REVOLVING LOAN FACILITIES</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SIGNATURE PAGES TO AMENDMENT AGREEMENT (2024)</w:t>
      </w:r>
    </w:p>
    <w:p>
      <w:pPr>
        <w:sectPr>
          <w:pgSz w:w="11900" w:h="16838" w:orient="portrait"/>
          <w:cols w:equalWidth="0" w:num="1">
            <w:col w:w="11280"/>
          </w:cols>
          <w:pgMar w:left="300" w:top="1144" w:right="319" w:bottom="1440"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upperLetter"/>
      <w:start w:val="1"/>
    </w:lvl>
    <w:lvl w:ilvl="1">
      <w:lvlJc w:val="left"/>
      <w:lvlText w:val="-"/>
      <w:numFmt w:val="bullet"/>
      <w:start w:val="1"/>
    </w:lvl>
  </w:abstractNum>
  <w:abstractNum w:abstractNumId="3">
    <w:nsid w:val="3352255A"/>
    <w:multiLevelType w:val="hybridMultilevel"/>
    <w:lvl w:ilvl="0">
      <w:lvlJc w:val="left"/>
      <w:lvlText w:val="(%1)"/>
      <w:numFmt w:val="upperLetter"/>
      <w:start w:val="6"/>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decimal"/>
      <w:start w:val="2"/>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decimal"/>
      <w:start w:val="3"/>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decimal"/>
      <w:start w:val="5"/>
    </w:lvl>
  </w:abstractNum>
  <w:abstractNum w:abstractNumId="11">
    <w:nsid w:val="25E45D32"/>
    <w:multiLevelType w:val="hybridMultilevel"/>
    <w:lvl w:ilvl="0">
      <w:lvlJc w:val="left"/>
      <w:lvlText w:val="%1."/>
      <w:numFmt w:val="decimal"/>
      <w:start w:val="8"/>
    </w:lvl>
  </w:abstractNum>
  <w:abstractNum w:abstractNumId="12">
    <w:nsid w:val="519B500D"/>
    <w:multiLevelType w:val="hybridMultilevel"/>
    <w:lvl w:ilvl="0">
      <w:lvlJc w:val="left"/>
      <w:lvlText w:val="(%1)"/>
      <w:numFmt w:val="lowerLetter"/>
      <w:start w:val="1"/>
    </w:lvl>
    <w:lvl w:ilvl="1">
      <w:lvlJc w:val="left"/>
      <w:lvlText w:val="(%2)"/>
      <w:numFmt w:val="lowerRoman"/>
      <w:start w:val="1"/>
    </w:lvl>
  </w:abstractNum>
  <w:abstractNum w:abstractNumId="13">
    <w:nsid w:val="431BD7B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4">
    <w:nsid w:val="3F2DBA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5">
    <w:nsid w:val="7C83E458"/>
    <w:multiLevelType w:val="hybridMultilevel"/>
    <w:lvl w:ilvl="0">
      <w:lvlJc w:val="left"/>
      <w:lvlText w:val="%1."/>
      <w:numFmt w:val="decimal"/>
      <w:start w:val="2"/>
    </w:lvl>
    <w:lvl w:ilvl="1">
      <w:lvlJc w:val="left"/>
      <w:lvlText w:val="(%2)"/>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2"/>
    </w:lvl>
  </w:abstractNum>
  <w:abstractNum w:abstractNumId="18">
    <w:nsid w:val="436C6125"/>
    <w:multiLevelType w:val="hybridMultilevel"/>
    <w:lvl w:ilvl="0">
      <w:lvlJc w:val="left"/>
      <w:lvlText w:val="%1"/>
      <w:numFmt w:val="decimal"/>
      <w:start w:val="1"/>
    </w:lvl>
    <w:lvl w:ilvl="1">
      <w:lvlJc w:val="left"/>
      <w:lvlText w:val="(%2)"/>
      <w:numFmt w:val="lowerRoman"/>
      <w:start w:val="3"/>
    </w:lvl>
  </w:abstractNum>
  <w:abstractNum w:abstractNumId="19">
    <w:nsid w:val="628C895D"/>
    <w:multiLevelType w:val="hybridMultilevel"/>
    <w:lvl w:ilvl="0">
      <w:lvlJc w:val="left"/>
      <w:lvlText w:val="%1."/>
      <w:numFmt w:val="decimal"/>
      <w:start w:val="3"/>
    </w:lvl>
    <w:lvl w:ilvl="1">
      <w:lvlJc w:val="left"/>
      <w:lvlText w:val="%2"/>
      <w:numFmt w:val="lowerRoman"/>
      <w:start w:val="1"/>
    </w:lvl>
  </w:abstractNum>
  <w:abstractNum w:abstractNumId="20">
    <w:nsid w:val="333AB105"/>
    <w:multiLevelType w:val="hybridMultilevel"/>
    <w:lvl w:ilvl="0">
      <w:lvlJc w:val="left"/>
      <w:lvlText w:val="%1."/>
      <w:numFmt w:val="decimal"/>
      <w:start w:val="4"/>
    </w:lvl>
  </w:abstractNum>
  <w:abstractNum w:abstractNumId="21">
    <w:nsid w:val="721DA317"/>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2024-09-23T15:14:39Z</dcterms:created>
  <dcterms:modified xsi:type="dcterms:W3CDTF">2024-09-23T15:14:39Z</dcterms:modified>
</cp:coreProperties>
</file>