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76"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Kim Sinatra</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Brett J. Rodda</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Executive Vice President and General Counsel</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Munger, Tolles &amp; Olson LLP</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Wynn Resorts, Limited</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0"/>
              </w:rPr>
              <w:t>355 South Grand Avenue</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8"/>
              </w:rPr>
              <w:t>3131 Las Vegas Boulevard South</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35</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8"/>
              </w:rPr>
              <w:t>Las Vegas, Nevada 89109</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0"/>
              </w:rPr>
              <w:t>Los Angeles, California 90071</w:t>
            </w:r>
          </w:p>
        </w:tc>
      </w:tr>
      <w:tr>
        <w:trPr>
          <w:trHeight w:val="234"/>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(702) 770-2112</w:t>
            </w:r>
          </w:p>
        </w:tc>
        <w:tc>
          <w:tcPr>
            <w:tcW w:w="372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(213) 683-9100</w:t>
            </w:r>
          </w:p>
        </w:tc>
      </w:tr>
    </w:tbl>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January 14, 2016</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Stephen A. Wynn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PF</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9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20,564,989*</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20,564,989*</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5"/>
              </w:rPr>
              <w:t>20,564,989</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20.25%*</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100" w:hanging="212"/>
        <w:spacing w:after="0" w:line="273"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11,168,627 shares indirectly held by Mr. Wynn through Wynn Family Limited Partnership (“WFLP”) (the “SAW Shares”) and 9,396,362 shares (the “EW Shares”) held by Elaine P. Wynn (“Ms. Wynn” and, together with Mr. Wynn and WFLP, the “Reporting Persons”) that may be deemed to be beneficially owned by Mr. Wynn under the amended and restated stockholders agreement, dated as of January 6, 2010, among Mr. Wynn, Ms. Wynn and Aruze USA, Inc. (the “Amended and Restated Stockholders Agreement”). Mr. Wynn disclaims beneficial ownership of the EW Shares. The EW Shares and 142,715 additional shares owned by Ms. Wynn were previously held as community property by Mr. Wynn and Ms. Wynn and they were transferred to Ms. Wynn pursuant to a divorce settlement on January 6, 2010.</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11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Elaine P. Wynn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9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142,715</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20,564,989*</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142,715</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20,564,989*</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9"/>
              </w:rPr>
              <w:t>20,707,704</w:t>
            </w:r>
            <w:r>
              <w:rPr>
                <w:rFonts w:ascii="Arial" w:cs="Arial" w:eastAsia="Arial" w:hAnsi="Arial"/>
                <w:sz w:val="14"/>
                <w:szCs w:val="14"/>
                <w:color w:val="auto"/>
                <w:w w:val="89"/>
              </w:rPr>
              <w:t>†</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20.39%</w:t>
            </w:r>
            <w:r>
              <w:rPr>
                <w:rFonts w:ascii="Arial" w:cs="Arial" w:eastAsia="Arial" w:hAnsi="Arial"/>
                <w:sz w:val="14"/>
                <w:szCs w:val="14"/>
                <w:color w:val="auto"/>
              </w:rPr>
              <w:t>†</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5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EW Shares and the SAW Shares held by Mr. Wynn that may be deemed to be beneficially owned by Ms. Wynn under the Amended and Restated Stockholders Agreement. Ms. Wynn disclaims beneficial ownership of the SAW Shares.</w:t>
      </w:r>
    </w:p>
    <w:p>
      <w:pPr>
        <w:spacing w:after="0" w:line="197" w:lineRule="exact"/>
        <w:rPr>
          <w:sz w:val="20"/>
          <w:szCs w:val="20"/>
          <w:color w:val="auto"/>
        </w:rPr>
      </w:pPr>
    </w:p>
    <w:p>
      <w:pPr>
        <w:ind w:left="220" w:right="100" w:hanging="212"/>
        <w:spacing w:after="0" w:line="342"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EW Shares, the SAW Shares held by Mr. Wynn that may be deemed to be beneficially owned by Ms. Wynn under the Amended and Restated Stockholders Agreement and 142,715 additional shares owned by Ms. Wynn. Ms. Wynn disclaims beneficial ownership of the SAW Shares.</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1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Wynn Family Limited Partnership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9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20,564,989*</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20,564,989*</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5"/>
              </w:rPr>
              <w:t>20,564,989</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20.25%*</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360" w:hanging="212"/>
        <w:spacing w:after="0" w:line="25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SAW Shares indirectly held by Mr. Wynn, in his capacity as trustee of the Stephen A. Wynn Revocable Trust U/D/T dated June 24, 2010 (“Revocable Trust”), through WFLP and the EW Shares. Mr. Wynn, in his capacity as trustee of the Revocable Trust, is the sole manager of Wynn GP, LLC, which is the general partner of WFLP. The EW Shares may be deemed to be beneficially owned by WFLP under the Amended and Restated Stockholders Agreement. WFLP disclaims beneficial ownership of the EW Shares.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274" w:right="219" w:bottom="1440" w:gutter="0" w:footer="0" w:header="0"/>
        </w:sectPr>
      </w:pPr>
    </w:p>
    <w:bookmarkStart w:id="4" w:name="page5"/>
    <w:bookmarkEnd w:id="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12 to Schedule 13D (this “Amendment No. 12”) amends and supplements the Schedule 13D originally filed with the Securities and Exchange Commission (the “Commission”) on November 13, 2002, as amended to date (“Schedule 13D”), relating to the common stock, par value $0.01 per share (the “Common Stock”), of Wynn Resorts, Limited, a Nevada corporation (the “Company”). Capitalized terms used herein without definition shall have the meaning set forth in the Schedule 13D.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3 of the Schedule 13D, as previously amended, is hereby supplemented with the following information:</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From December 4, 2015 through December 8, 2015, Mr. Wynn purchased an aggregate of 1,003,977 shares of Common Stock of the Company for an aggregate purchase price of $63,860,245 in a series of open market transactions. Mr. Wynn used personal funds for the payment of the aggregate purchase price. Mr. Wynn, through the Revocable Trust, contributed the 1,003,977 shares of Common Stock referenced above to WFLP for no consideration.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5 of the Schedule 13D, as previously amended, is hereby supplemented with the following information:</w:t>
      </w:r>
    </w:p>
    <w:p>
      <w:pPr>
        <w:spacing w:after="0" w:line="225" w:lineRule="exact"/>
        <w:rPr>
          <w:sz w:val="20"/>
          <w:szCs w:val="20"/>
          <w:color w:val="auto"/>
        </w:rPr>
      </w:pPr>
    </w:p>
    <w:p>
      <w:pPr>
        <w:ind w:right="20" w:firstLine="8"/>
        <w:spacing w:after="0" w:line="312"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items 11 and 13 on the cover pages to this Amendment No. 12 for the aggregate number of shares and the percentage of the Common Stock owned by the Reporting Persons. All percentages in this Amendment No. 12 assume there to be 101,568,512 shares of Common Stock outstanding, as reported in the Company’s quarterly report on Form 10-Q for the quarter ended September 30, 2015, filed with the Commission on November 6, 2015.</w:t>
      </w:r>
    </w:p>
    <w:p>
      <w:pPr>
        <w:spacing w:after="0" w:line="146"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items 7 through 10 on the cover pages to this Amendment No. 12.</w:t>
      </w:r>
    </w:p>
    <w:p>
      <w:pPr>
        <w:spacing w:after="0" w:line="225" w:lineRule="exact"/>
        <w:rPr>
          <w:rFonts w:ascii="Arial" w:cs="Arial" w:eastAsia="Arial" w:hAnsi="Arial"/>
          <w:sz w:val="18"/>
          <w:szCs w:val="18"/>
          <w:color w:val="auto"/>
        </w:rPr>
      </w:pPr>
    </w:p>
    <w:p>
      <w:pPr>
        <w:ind w:firstLine="8"/>
        <w:spacing w:after="0" w:line="257"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December 4, 2015 through December 8, 2015, Mr. Wynn purchased 1,003,977 shares of Common Stock on The NASDAQ Stock Market at prices ranging from $61.77 to $64.50 per share (the “December 2015 Purchases”). Details by date, listing the number of shares of Common Stock purchased and the weighted average price per share of Common Stock are provided below. Mr. Wynn undertakes to provide, upon request by the staff of the Commission, the Company, or a security holder of the Company, full information regarding the number of shares of Common Stock purchased at each separate price for the transactions.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440" w:type="dxa"/>
            <w:vAlign w:val="bottom"/>
          </w:tcPr>
          <w:p>
            <w:pPr>
              <w:spacing w:after="0"/>
              <w:rPr>
                <w:sz w:val="13"/>
                <w:szCs w:val="13"/>
                <w:color w:val="auto"/>
              </w:rPr>
            </w:pPr>
          </w:p>
        </w:tc>
        <w:tc>
          <w:tcPr>
            <w:tcW w:w="1560" w:type="dxa"/>
            <w:vAlign w:val="bottom"/>
          </w:tcPr>
          <w:p>
            <w:pPr>
              <w:jc w:val="right"/>
              <w:ind w:right="419"/>
              <w:spacing w:after="0"/>
              <w:rPr>
                <w:sz w:val="20"/>
                <w:szCs w:val="20"/>
                <w:color w:val="auto"/>
              </w:rPr>
            </w:pPr>
            <w:r>
              <w:rPr>
                <w:rFonts w:ascii="Arial" w:cs="Arial" w:eastAsia="Arial" w:hAnsi="Arial"/>
                <w:sz w:val="14"/>
                <w:szCs w:val="14"/>
                <w:b w:val="1"/>
                <w:bCs w:val="1"/>
                <w:color w:val="auto"/>
              </w:rPr>
              <w:t>Shares of</w:t>
            </w:r>
          </w:p>
        </w:tc>
        <w:tc>
          <w:tcPr>
            <w:tcW w:w="2920" w:type="dxa"/>
            <w:vAlign w:val="bottom"/>
            <w:gridSpan w:val="4"/>
          </w:tcPr>
          <w:p>
            <w:pPr>
              <w:ind w:left="1100"/>
              <w:spacing w:after="0"/>
              <w:rPr>
                <w:sz w:val="20"/>
                <w:szCs w:val="20"/>
                <w:color w:val="auto"/>
              </w:rPr>
            </w:pPr>
            <w:r>
              <w:rPr>
                <w:rFonts w:ascii="Arial" w:cs="Arial" w:eastAsia="Arial" w:hAnsi="Arial"/>
                <w:sz w:val="14"/>
                <w:szCs w:val="14"/>
                <w:b w:val="1"/>
                <w:bCs w:val="1"/>
                <w:color w:val="auto"/>
                <w:w w:val="96"/>
              </w:rPr>
              <w:t>Weighted Average Price per</w:t>
            </w:r>
          </w:p>
        </w:tc>
        <w:tc>
          <w:tcPr>
            <w:tcW w:w="0" w:type="dxa"/>
            <w:vAlign w:val="bottom"/>
          </w:tcPr>
          <w:p>
            <w:pPr>
              <w:spacing w:after="0"/>
              <w:rPr>
                <w:sz w:val="1"/>
                <w:szCs w:val="1"/>
                <w:color w:val="auto"/>
              </w:rPr>
            </w:pPr>
          </w:p>
        </w:tc>
      </w:tr>
      <w:tr>
        <w:trPr>
          <w:trHeight w:val="158"/>
        </w:trPr>
        <w:tc>
          <w:tcPr>
            <w:tcW w:w="2760" w:type="dxa"/>
            <w:vAlign w:val="bottom"/>
            <w:gridSpan w:val="2"/>
            <w:vMerge w:val="continue"/>
          </w:tcPr>
          <w:p>
            <w:pPr>
              <w:spacing w:after="0"/>
              <w:rPr>
                <w:sz w:val="13"/>
                <w:szCs w:val="13"/>
                <w:color w:val="auto"/>
              </w:rPr>
            </w:pPr>
          </w:p>
        </w:tc>
        <w:tc>
          <w:tcPr>
            <w:tcW w:w="30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Common Stock Acquired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Share of Common Stock</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4, 2015</w:t>
            </w:r>
          </w:p>
        </w:tc>
        <w:tc>
          <w:tcPr>
            <w:tcW w:w="14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163,174</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December 7, 2015</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85,054</w:t>
            </w:r>
          </w:p>
        </w:tc>
        <w:tc>
          <w:tcPr>
            <w:tcW w:w="1200" w:type="dxa"/>
            <w:vAlign w:val="bottom"/>
            <w:gridSpan w:val="2"/>
          </w:tcPr>
          <w:p>
            <w:pPr>
              <w:ind w:left="110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7, 2015</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320,960</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December 8, 2015</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266,614</w:t>
            </w:r>
          </w:p>
        </w:tc>
        <w:tc>
          <w:tcPr>
            <w:tcW w:w="1200" w:type="dxa"/>
            <w:vAlign w:val="bottom"/>
            <w:gridSpan w:val="2"/>
          </w:tcPr>
          <w:p>
            <w:pPr>
              <w:ind w:left="110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8, 2015</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168,175</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00" w:type="dxa"/>
            <w:vAlign w:val="bottom"/>
            <w:gridSpan w:val="2"/>
          </w:tcPr>
          <w:p>
            <w:pPr>
              <w:jc w:val="right"/>
              <w:ind w:right="1299"/>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5" w:name="page6"/>
    <w:bookmarkEnd w:id="5"/>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January 14, 2016, Mr. Wynn was granted an equity award (the “January 2016 Award”) of 98,627 shares of Common Stock under the Wynn Resorts, Limited 2014 Omnibus Incentive Plan, which shares of Common Stock vested immediately upon grant. No funds were expended by Mr. Wynn for this compensatory equity award. Mr. Wynn, through the Revocable Trust, contributed such shares to WFLP for no consideration.</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for the December 2015 Purchases and the January 2016 Award disclosed in this Item 5(c), none of the Reporting Persons or Related Persons has effected any transactions in the Common Stock of the Company during the past 60 days.</w:t>
      </w:r>
    </w:p>
    <w:p>
      <w:pPr>
        <w:spacing w:after="0" w:line="17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240" w:top="274" w:right="719" w:bottom="1440" w:gutter="0" w:footer="0" w:header="0"/>
        </w:sectPr>
      </w:pPr>
    </w:p>
    <w:bookmarkStart w:id="6" w:name="page7"/>
    <w:bookmarkEnd w:id="6"/>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15,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240" w:top="270" w:right="739" w:bottom="1440" w:gutter="0" w:footer="0" w:header="0"/>
        </w:sectPr>
      </w:pPr>
    </w:p>
    <w:bookmarkStart w:id="7" w:name="page8"/>
    <w:bookmarkEnd w:id="7"/>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15,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ELAINE P. WYNN</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Elaine P. Wynn</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240" w:top="270" w:right="739" w:bottom="1440" w:gutter="0" w:footer="0" w:header="0"/>
        </w:sectPr>
      </w:pPr>
    </w:p>
    <w:bookmarkStart w:id="8" w:name="page9"/>
    <w:bookmarkEnd w:id="8"/>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15,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FAMILY LIMITED PARTNERSHIP</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GP, LLC, its general partner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U/D/T/ Dated June 24, 2010, its manager</w:t>
      </w:r>
    </w:p>
    <w:p>
      <w:pPr>
        <w:spacing w:after="0" w:line="22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Trustee</w:t>
      </w:r>
    </w:p>
    <w:p>
      <w:pPr>
        <w:spacing w:after="0" w:line="1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240" w:top="270" w:right="739" w:bottom="1440" w:gutter="0" w:footer="0" w:header="0"/>
        </w:sectPr>
      </w:pPr>
    </w:p>
    <w:bookmarkStart w:id="9" w:name="page10"/>
    <w:bookmarkEnd w:id="9"/>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p>
      <w:pPr>
        <w:ind w:left="12"/>
        <w:spacing w:after="0"/>
        <w:tabs>
          <w:tab w:leader="none" w:pos="5952"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1212" w:hanging="1212"/>
        <w:spacing w:after="0" w:line="264" w:lineRule="auto"/>
        <w:tabs>
          <w:tab w:leader="none" w:pos="1212" w:val="left"/>
        </w:tabs>
        <w:numPr>
          <w:ilvl w:val="0"/>
          <w:numId w:val="8"/>
        </w:numPr>
        <w:rPr>
          <w:rFonts w:ascii="Arial" w:cs="Arial" w:eastAsia="Arial" w:hAnsi="Arial"/>
          <w:sz w:val="18"/>
          <w:szCs w:val="18"/>
          <w:color w:val="auto"/>
        </w:rPr>
      </w:pPr>
      <w:r>
        <w:rPr>
          <w:rFonts w:ascii="Arial" w:cs="Arial" w:eastAsia="Arial" w:hAnsi="Arial"/>
          <w:sz w:val="18"/>
          <w:szCs w:val="18"/>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9</w:t>
      </w:r>
    </w:p>
    <w:sectPr>
      <w:pgSz w:w="11900" w:h="16838" w:orient="portrait"/>
      <w:cols w:equalWidth="0" w:num="1">
        <w:col w:w="11332"/>
      </w:cols>
      <w:pgMar w:left="248"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2019-12-07T16:54:03Z</dcterms:created>
  <dcterms:modified xsi:type="dcterms:W3CDTF">2019-12-07T16:54:03Z</dcterms:modified>
</cp:coreProperties>
</file>