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220" w:type="dxa"/>
            <w:vAlign w:val="bottom"/>
          </w:tcPr>
          <w:p>
            <w:pPr>
              <w:jc w:val="center"/>
              <w:ind w:right="2319"/>
              <w:spacing w:after="0"/>
              <w:rPr>
                <w:sz w:val="20"/>
                <w:szCs w:val="20"/>
                <w:color w:val="auto"/>
              </w:rPr>
            </w:pPr>
            <w:r>
              <w:rPr>
                <w:rFonts w:ascii="Arial" w:cs="Arial" w:eastAsia="Arial" w:hAnsi="Arial"/>
                <w:sz w:val="18"/>
                <w:szCs w:val="18"/>
                <w:b w:val="1"/>
                <w:bCs w:val="1"/>
                <w:color w:val="auto"/>
                <w:w w:val="90"/>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2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3"/>
              </w:rPr>
              <w:t>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299"/>
              <w:spacing w:after="0"/>
              <w:rPr>
                <w:sz w:val="20"/>
                <w:szCs w:val="20"/>
                <w:color w:val="auto"/>
              </w:rPr>
            </w:pPr>
            <w:r>
              <w:rPr>
                <w:rFonts w:ascii="Arial" w:cs="Arial" w:eastAsia="Arial" w:hAnsi="Arial"/>
                <w:sz w:val="18"/>
                <w:szCs w:val="18"/>
                <w:b w:val="1"/>
                <w:bCs w:val="1"/>
                <w:color w:val="auto"/>
                <w:w w:val="88"/>
              </w:rPr>
              <w:t>3131 Las Vegas Boulevard South</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220" w:type="dxa"/>
            <w:vAlign w:val="bottom"/>
          </w:tcPr>
          <w:p>
            <w:pPr>
              <w:jc w:val="center"/>
              <w:ind w:left="1299"/>
              <w:spacing w:after="0"/>
              <w:rPr>
                <w:sz w:val="20"/>
                <w:szCs w:val="20"/>
                <w:color w:val="auto"/>
              </w:rPr>
            </w:pPr>
            <w:r>
              <w:rPr>
                <w:rFonts w:ascii="Arial" w:cs="Arial" w:eastAsia="Arial" w:hAnsi="Arial"/>
                <w:sz w:val="18"/>
                <w:szCs w:val="18"/>
                <w:b w:val="1"/>
                <w:bCs w:val="1"/>
                <w:color w:val="auto"/>
                <w:w w:val="88"/>
              </w:rPr>
              <w:t>Las Vegas, Nevada</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4220" w:type="dxa"/>
            <w:vAlign w:val="bottom"/>
          </w:tcPr>
          <w:p>
            <w:pPr>
              <w:jc w:val="center"/>
              <w:ind w:left="1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September 9, 2013, the Board of Directors (the “Board”) of Wynn Resorts, Limited (the “Company”) adopted the Sixth Amended and Restated Bylaws of the Company (the “Amended and Restated Bylaws”), to be effective immediately upon their adoption by the Board. Upon their effectiveness, the Amended and Restated Bylaws replace and supersede in their entirety the Fifth Amended and Restated Bylaws of the Company, effective as of November 2, 2012 (the “Prior Bylaws”).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changes to the Prior Bylaws, the Amended and Restated Bylaws:</w:t>
      </w:r>
    </w:p>
    <w:p>
      <w:pPr>
        <w:spacing w:after="0" w:line="131" w:lineRule="exact"/>
        <w:rPr>
          <w:sz w:val="20"/>
          <w:szCs w:val="20"/>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Sections 2.1 and 2.2(a) to confirm that the Board may postpone, reschedule or cancel any annual or special meeting of stockholders, except as otherwise restricted by the articles of incorporation of the Company, as amended from time to time (the “Articles of Incorporation”) or applicable law;</w:t>
      </w:r>
    </w:p>
    <w:p>
      <w:pPr>
        <w:spacing w:after="0" w:line="86"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 Section 2.3, add a new Section 2.14 and amend Section 3.15 to specify that the Board may determine that any meeting of stockholders will be held, and to hold meetings of the Board or any committee thereof, by means of electronic communications, videoconferencing, teleconferencing or other available technology permitted under the Nevada Revised Statutes (the “NRS”);</w:t>
      </w:r>
    </w:p>
    <w:p>
      <w:pPr>
        <w:spacing w:after="0" w:line="70" w:lineRule="exact"/>
        <w:rPr>
          <w:rFonts w:ascii="Arial" w:cs="Arial" w:eastAsia="Arial" w:hAnsi="Arial"/>
          <w:sz w:val="17"/>
          <w:szCs w:val="17"/>
          <w:color w:val="auto"/>
        </w:rPr>
      </w:pPr>
    </w:p>
    <w:p>
      <w:pPr>
        <w:ind w:left="900" w:right="5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Section 2.10(a) to confirm that the individual acting as chairman of a meeting of stockholders may delegate his or her authority and responsibilities as such to any director or officer of the Company present in person at the meeting;</w:t>
      </w:r>
    </w:p>
    <w:p>
      <w:pPr>
        <w:spacing w:after="0" w:line="75"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amend Section 2.13(a)(iv) and add a new Section 2.13(a)(v) to require that, for nominations or other business to be properly brought before a meeting of stockholders by a stockholder, such stockholder’s notice must set forth, in addition to the information required under the Prior Bylaws,</w:t>
      </w:r>
    </w:p>
    <w:p>
      <w:pPr>
        <w:ind w:left="900" w:right="120"/>
        <w:spacing w:after="0" w:line="253" w:lineRule="auto"/>
        <w:rPr>
          <w:rFonts w:ascii="Arial" w:cs="Arial" w:eastAsia="Arial" w:hAnsi="Arial"/>
          <w:sz w:val="16"/>
          <w:szCs w:val="16"/>
          <w:color w:val="auto"/>
        </w:rPr>
      </w:pPr>
      <w:r>
        <w:rPr>
          <w:rFonts w:ascii="Arial" w:cs="Arial" w:eastAsia="Arial" w:hAnsi="Arial"/>
          <w:sz w:val="18"/>
          <w:szCs w:val="18"/>
          <w:color w:val="auto"/>
        </w:rPr>
        <w:t>(a) a description of certain agreements, arrangements or understandings that have been entered into by any person acting in concert with such stockholder or the beneficial owner, if any, on whose behalf the nomination is made or the business is proposed and (b) a certification that such stockholder and such beneficial owner, if any, has or have complied with all applicable legal requirements in connection with the acquisition of shares of capital stock or other securities of the Company and/or such stockholder’s and/or beneficial owner’s acts or omissions as a stockholder of the Company;</w:t>
      </w:r>
    </w:p>
    <w:p>
      <w:pPr>
        <w:spacing w:after="0" w:line="96"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a new Section 3.2(b) to provide that no person may qualify for service as a director if he or she is party to any compensatory arrangement or understanding with any person or entity other than the Company, or has received any such compensation, in connection with candidacy or service as a director of the Company, subject to certain exceptions for indemnification and expense reimbursement arrangements and pre-existing employment agreements;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Sections 3.8 and 3.11 to update provisions relating to the timing of, and notice procedures for, meetings of the Board;</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Section 8.1(a)(i) to specify that the term “Indemnitee” (as defined therein) includes employees or agents of the Company, including individuals acting in the capacity of a trustee, fiduciary, administrator or manager, or serving in such capacity with respect to another entity at the request of the Company; and</w:t>
      </w:r>
    </w:p>
    <w:p>
      <w:pPr>
        <w:spacing w:after="0" w:line="86" w:lineRule="exact"/>
        <w:rPr>
          <w:rFonts w:ascii="Arial" w:cs="Arial" w:eastAsia="Arial" w:hAnsi="Arial"/>
          <w:sz w:val="18"/>
          <w:szCs w:val="18"/>
          <w:color w:val="auto"/>
        </w:rPr>
      </w:pPr>
    </w:p>
    <w:p>
      <w:pPr>
        <w:ind w:left="900" w:right="60" w:hanging="325"/>
        <w:spacing w:after="0" w:line="293"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 a new Article XI to require that, unless the Company consents in writing to the selection of an alternative forum, the Eighth Judicial District Court of Clark County, Nevada, will be the sole and exclusive forum for (a) any derivative action or proceeding brought in the name or right of the Company or on its behalf, (b) any action asserting a claim of breach of any fiduciary duty owed by any director, officer, employee or agent of the Company to the Company or the Company’s stockholders, (c) any action arising or asserting a claim arising pursuant to any provision of the NRS Chapters 78 or 92A or the Articles of Incorporation or Amended and Restated Bylaws, as amended from time to time or (d) any action asserting a claim governed by the internal affairs doctrine, including, without limitation, any action to interpret, apply,</w:t>
      </w:r>
    </w:p>
    <w:p>
      <w:pPr>
        <w:sectPr>
          <w:pgSz w:w="11900" w:h="16838" w:orient="portrait"/>
          <w:cols w:equalWidth="0" w:num="1">
            <w:col w:w="11420"/>
          </w:cols>
          <w:pgMar w:left="240" w:top="270" w:right="239" w:bottom="1440" w:gutter="0" w:footer="0" w:header="0"/>
        </w:sectPr>
      </w:pPr>
    </w:p>
    <w:bookmarkStart w:id="2" w:name="page3"/>
    <w:bookmarkEnd w:id="2"/>
    <w:p>
      <w:pPr>
        <w:ind w:left="920"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 or determine the validity of the Articles of Incorporation or Amended and Restated Bylaws; and to provide that any person or entity acquiring any interest in shares of capital stock of the Company is deemed to have notice of and consented to the foregoing provision.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Amended and Restated Bylaws also include a number of clerical, technical, conforming and clarifying changes.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Amended and Restated Bylaws, effective as of September 9, 2013, which is filed as Exhibit 3.1 to this report and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Sixth Amended and Restated Bylaws of Wynn Resorts, Limited, effective as of September 9, 2013.</w:t>
      </w:r>
    </w:p>
    <w:p>
      <w:pPr>
        <w:sectPr>
          <w:pgSz w:w="11900" w:h="16838" w:orient="portrait"/>
          <w:cols w:equalWidth="0" w:num="1">
            <w:col w:w="11060"/>
          </w:cols>
          <w:pgMar w:left="240" w:top="274"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September 12, 2013</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Kim Sinatra</w:t>
            </w:r>
          </w:p>
        </w:tc>
      </w:tr>
      <w:tr>
        <w:trPr>
          <w:trHeight w:val="209"/>
        </w:trPr>
        <w:tc>
          <w:tcPr>
            <w:tcW w:w="3860" w:type="dxa"/>
            <w:vAlign w:val="bottom"/>
          </w:tcPr>
          <w:p>
            <w:pPr>
              <w:spacing w:after="0"/>
              <w:rPr>
                <w:sz w:val="18"/>
                <w:szCs w:val="18"/>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Kim Sinatra</w:t>
            </w:r>
          </w:p>
        </w:tc>
      </w:tr>
      <w:tr>
        <w:trPr>
          <w:trHeight w:val="230"/>
        </w:trPr>
        <w:tc>
          <w:tcPr>
            <w:tcW w:w="3860" w:type="dxa"/>
            <w:vAlign w:val="bottom"/>
          </w:tcPr>
          <w:p>
            <w:pPr>
              <w:spacing w:after="0"/>
              <w:rPr>
                <w:sz w:val="20"/>
                <w:szCs w:val="20"/>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4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644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0"/>
              </w:rPr>
              <w:t>Sixth Amended and Restated Bylaws of Wynn Resorts, Limited, effective as of September 9, 2013.</w:t>
            </w: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 NEVADA CORPORATION</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SIXTH AMENDED AND RESTATED BYLAWS</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EFFECTIVE AS 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SEPTEMBER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10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377"/>
        </w:trPr>
        <w:tc>
          <w:tcPr>
            <w:tcW w:w="11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ARTICLE I</w:t>
            </w:r>
          </w:p>
        </w:tc>
        <w:tc>
          <w:tcPr>
            <w:tcW w:w="8100" w:type="dxa"/>
            <w:vAlign w:val="bottom"/>
          </w:tcPr>
          <w:p>
            <w:pPr>
              <w:ind w:left="180"/>
              <w:spacing w:after="0"/>
              <w:rPr>
                <w:sz w:val="20"/>
                <w:szCs w:val="20"/>
                <w:color w:val="auto"/>
              </w:rPr>
            </w:pPr>
            <w:r>
              <w:rPr>
                <w:rFonts w:ascii="Arial" w:cs="Arial" w:eastAsia="Arial" w:hAnsi="Arial"/>
                <w:sz w:val="18"/>
                <w:szCs w:val="18"/>
                <w:color w:val="auto"/>
              </w:rPr>
              <w:t>OFFICES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1.1</w:t>
            </w:r>
          </w:p>
        </w:tc>
        <w:tc>
          <w:tcPr>
            <w:tcW w:w="8100" w:type="dxa"/>
            <w:vAlign w:val="bottom"/>
          </w:tcPr>
          <w:p>
            <w:pPr>
              <w:ind w:left="180"/>
              <w:spacing w:after="0"/>
              <w:rPr>
                <w:sz w:val="20"/>
                <w:szCs w:val="20"/>
                <w:color w:val="auto"/>
              </w:rPr>
            </w:pPr>
            <w:r>
              <w:rPr>
                <w:rFonts w:ascii="Arial" w:cs="Arial" w:eastAsia="Arial" w:hAnsi="Arial"/>
                <w:sz w:val="18"/>
                <w:szCs w:val="18"/>
                <w:color w:val="auto"/>
              </w:rPr>
              <w:t>Principal Office</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1.2</w:t>
            </w:r>
          </w:p>
        </w:tc>
        <w:tc>
          <w:tcPr>
            <w:tcW w:w="8100" w:type="dxa"/>
            <w:vAlign w:val="bottom"/>
          </w:tcPr>
          <w:p>
            <w:pPr>
              <w:ind w:left="180"/>
              <w:spacing w:after="0"/>
              <w:rPr>
                <w:sz w:val="20"/>
                <w:szCs w:val="20"/>
                <w:color w:val="auto"/>
              </w:rPr>
            </w:pPr>
            <w:r>
              <w:rPr>
                <w:rFonts w:ascii="Arial" w:cs="Arial" w:eastAsia="Arial" w:hAnsi="Arial"/>
                <w:sz w:val="18"/>
                <w:szCs w:val="18"/>
                <w:color w:val="auto"/>
              </w:rPr>
              <w:t>Other Offices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w:t>
            </w:r>
          </w:p>
        </w:tc>
        <w:tc>
          <w:tcPr>
            <w:tcW w:w="810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2.1</w:t>
            </w:r>
          </w:p>
        </w:tc>
        <w:tc>
          <w:tcPr>
            <w:tcW w:w="8100" w:type="dxa"/>
            <w:vAlign w:val="bottom"/>
          </w:tcPr>
          <w:p>
            <w:pPr>
              <w:ind w:left="180"/>
              <w:spacing w:after="0"/>
              <w:rPr>
                <w:sz w:val="20"/>
                <w:szCs w:val="20"/>
                <w:color w:val="auto"/>
              </w:rPr>
            </w:pPr>
            <w:r>
              <w:rPr>
                <w:rFonts w:ascii="Arial" w:cs="Arial" w:eastAsia="Arial" w:hAnsi="Arial"/>
                <w:sz w:val="18"/>
                <w:szCs w:val="18"/>
                <w:color w:val="auto"/>
              </w:rPr>
              <w:t>Annual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2.2</w:t>
            </w:r>
          </w:p>
        </w:tc>
        <w:tc>
          <w:tcPr>
            <w:tcW w:w="810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2.3</w:t>
            </w:r>
          </w:p>
        </w:tc>
        <w:tc>
          <w:tcPr>
            <w:tcW w:w="810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2.4</w:t>
            </w:r>
          </w:p>
        </w:tc>
        <w:tc>
          <w:tcPr>
            <w:tcW w:w="8100" w:type="dxa"/>
            <w:vAlign w:val="bottom"/>
          </w:tcPr>
          <w:p>
            <w:pPr>
              <w:ind w:left="180"/>
              <w:spacing w:after="0"/>
              <w:rPr>
                <w:sz w:val="20"/>
                <w:szCs w:val="20"/>
                <w:color w:val="auto"/>
              </w:rPr>
            </w:pPr>
            <w:r>
              <w:rPr>
                <w:rFonts w:ascii="Arial" w:cs="Arial" w:eastAsia="Arial" w:hAnsi="Arial"/>
                <w:sz w:val="18"/>
                <w:szCs w:val="18"/>
                <w:color w:val="auto"/>
              </w:rPr>
              <w:t>Notice of Meetings; Waiver of Notice</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2.5</w:t>
            </w:r>
          </w:p>
        </w:tc>
        <w:tc>
          <w:tcPr>
            <w:tcW w:w="8100" w:type="dxa"/>
            <w:vAlign w:val="bottom"/>
          </w:tcPr>
          <w:p>
            <w:pPr>
              <w:ind w:left="180"/>
              <w:spacing w:after="0"/>
              <w:rPr>
                <w:sz w:val="20"/>
                <w:szCs w:val="20"/>
                <w:color w:val="auto"/>
              </w:rPr>
            </w:pPr>
            <w:r>
              <w:rPr>
                <w:rFonts w:ascii="Arial" w:cs="Arial" w:eastAsia="Arial" w:hAnsi="Arial"/>
                <w:sz w:val="18"/>
                <w:szCs w:val="18"/>
                <w:color w:val="auto"/>
              </w:rPr>
              <w:t>Determination of Stockholders of Record</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2.6</w:t>
            </w:r>
          </w:p>
        </w:tc>
        <w:tc>
          <w:tcPr>
            <w:tcW w:w="8100" w:type="dxa"/>
            <w:vAlign w:val="bottom"/>
          </w:tcPr>
          <w:p>
            <w:pPr>
              <w:ind w:left="180"/>
              <w:spacing w:after="0"/>
              <w:rPr>
                <w:sz w:val="20"/>
                <w:szCs w:val="20"/>
                <w:color w:val="auto"/>
              </w:rPr>
            </w:pPr>
            <w:r>
              <w:rPr>
                <w:rFonts w:ascii="Arial" w:cs="Arial" w:eastAsia="Arial" w:hAnsi="Arial"/>
                <w:sz w:val="18"/>
                <w:szCs w:val="18"/>
                <w:color w:val="auto"/>
              </w:rPr>
              <w:t>Quorum; Adjourned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2.7</w:t>
            </w:r>
          </w:p>
        </w:tc>
        <w:tc>
          <w:tcPr>
            <w:tcW w:w="8100" w:type="dxa"/>
            <w:vAlign w:val="bottom"/>
          </w:tcPr>
          <w:p>
            <w:pPr>
              <w:ind w:left="180"/>
              <w:spacing w:after="0"/>
              <w:rPr>
                <w:sz w:val="20"/>
                <w:szCs w:val="20"/>
                <w:color w:val="auto"/>
              </w:rPr>
            </w:pPr>
            <w:r>
              <w:rPr>
                <w:rFonts w:ascii="Arial" w:cs="Arial" w:eastAsia="Arial" w:hAnsi="Arial"/>
                <w:sz w:val="18"/>
                <w:szCs w:val="18"/>
                <w:color w:val="auto"/>
              </w:rPr>
              <w:t>Voting</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2.8</w:t>
            </w:r>
          </w:p>
        </w:tc>
        <w:tc>
          <w:tcPr>
            <w:tcW w:w="8100" w:type="dxa"/>
            <w:vAlign w:val="bottom"/>
          </w:tcPr>
          <w:p>
            <w:pPr>
              <w:ind w:left="180"/>
              <w:spacing w:after="0"/>
              <w:rPr>
                <w:sz w:val="20"/>
                <w:szCs w:val="20"/>
                <w:color w:val="auto"/>
              </w:rPr>
            </w:pPr>
            <w:r>
              <w:rPr>
                <w:rFonts w:ascii="Arial" w:cs="Arial" w:eastAsia="Arial" w:hAnsi="Arial"/>
                <w:sz w:val="18"/>
                <w:szCs w:val="18"/>
                <w:color w:val="auto"/>
              </w:rPr>
              <w:t>Proxies</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2.9</w:t>
            </w:r>
          </w:p>
        </w:tc>
        <w:tc>
          <w:tcPr>
            <w:tcW w:w="8100" w:type="dxa"/>
            <w:vAlign w:val="bottom"/>
          </w:tcPr>
          <w:p>
            <w:pPr>
              <w:ind w:left="180"/>
              <w:spacing w:after="0"/>
              <w:rPr>
                <w:sz w:val="20"/>
                <w:szCs w:val="20"/>
                <w:color w:val="auto"/>
              </w:rPr>
            </w:pPr>
            <w:r>
              <w:rPr>
                <w:rFonts w:ascii="Arial" w:cs="Arial" w:eastAsia="Arial" w:hAnsi="Arial"/>
                <w:sz w:val="18"/>
                <w:szCs w:val="18"/>
                <w:color w:val="auto"/>
              </w:rPr>
              <w:t>No Action Without A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2.10</w:t>
            </w:r>
          </w:p>
        </w:tc>
        <w:tc>
          <w:tcPr>
            <w:tcW w:w="810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2.11</w:t>
            </w:r>
          </w:p>
        </w:tc>
        <w:tc>
          <w:tcPr>
            <w:tcW w:w="8100" w:type="dxa"/>
            <w:vAlign w:val="bottom"/>
          </w:tcPr>
          <w:p>
            <w:pPr>
              <w:ind w:left="180"/>
              <w:spacing w:after="0"/>
              <w:rPr>
                <w:sz w:val="20"/>
                <w:szCs w:val="20"/>
                <w:color w:val="auto"/>
              </w:rPr>
            </w:pPr>
            <w:r>
              <w:rPr>
                <w:rFonts w:ascii="Arial" w:cs="Arial" w:eastAsia="Arial" w:hAnsi="Arial"/>
                <w:sz w:val="18"/>
                <w:szCs w:val="18"/>
                <w:color w:val="auto"/>
              </w:rPr>
              <w:t>Consent to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2.12</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 Nominations and Business Conducted at Meetings of Stockholders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2.13</w:t>
            </w:r>
          </w:p>
        </w:tc>
        <w:tc>
          <w:tcPr>
            <w:tcW w:w="8100" w:type="dxa"/>
            <w:vAlign w:val="bottom"/>
          </w:tcPr>
          <w:p>
            <w:pPr>
              <w:ind w:left="180"/>
              <w:spacing w:after="0"/>
              <w:rPr>
                <w:sz w:val="20"/>
                <w:szCs w:val="20"/>
                <w:color w:val="auto"/>
              </w:rPr>
            </w:pPr>
            <w:r>
              <w:rPr>
                <w:rFonts w:ascii="Arial" w:cs="Arial" w:eastAsia="Arial" w:hAnsi="Arial"/>
                <w:sz w:val="18"/>
                <w:szCs w:val="18"/>
                <w:color w:val="auto"/>
              </w:rPr>
              <w:t>Advance Notice of Director Nominations and Stockholder Proposals by Stockholders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2.14</w:t>
            </w:r>
          </w:p>
        </w:tc>
        <w:tc>
          <w:tcPr>
            <w:tcW w:w="8100" w:type="dxa"/>
            <w:vAlign w:val="bottom"/>
          </w:tcPr>
          <w:p>
            <w:pPr>
              <w:ind w:left="180"/>
              <w:spacing w:after="0"/>
              <w:rPr>
                <w:sz w:val="20"/>
                <w:szCs w:val="20"/>
                <w:color w:val="auto"/>
              </w:rPr>
            </w:pPr>
            <w:r>
              <w:rPr>
                <w:rFonts w:ascii="Arial" w:cs="Arial" w:eastAsia="Arial" w:hAnsi="Arial"/>
                <w:sz w:val="18"/>
                <w:szCs w:val="18"/>
                <w:color w:val="auto"/>
              </w:rPr>
              <w:t>Meetings Through Electronic Communications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III</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3.1</w:t>
            </w:r>
          </w:p>
        </w:tc>
        <w:tc>
          <w:tcPr>
            <w:tcW w:w="8100" w:type="dxa"/>
            <w:vAlign w:val="bottom"/>
          </w:tcPr>
          <w:p>
            <w:pPr>
              <w:ind w:left="180"/>
              <w:spacing w:after="0"/>
              <w:rPr>
                <w:sz w:val="20"/>
                <w:szCs w:val="20"/>
                <w:color w:val="auto"/>
              </w:rPr>
            </w:pPr>
            <w:r>
              <w:rPr>
                <w:rFonts w:ascii="Arial" w:cs="Arial" w:eastAsia="Arial" w:hAnsi="Arial"/>
                <w:sz w:val="18"/>
                <w:szCs w:val="18"/>
                <w:color w:val="auto"/>
              </w:rPr>
              <w:t>General Powers; Performance of Duties</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3.2</w:t>
            </w:r>
          </w:p>
        </w:tc>
        <w:tc>
          <w:tcPr>
            <w:tcW w:w="8100" w:type="dxa"/>
            <w:vAlign w:val="bottom"/>
          </w:tcPr>
          <w:p>
            <w:pPr>
              <w:ind w:left="180"/>
              <w:spacing w:after="0"/>
              <w:rPr>
                <w:sz w:val="20"/>
                <w:szCs w:val="20"/>
                <w:color w:val="auto"/>
              </w:rPr>
            </w:pPr>
            <w:r>
              <w:rPr>
                <w:rFonts w:ascii="Arial" w:cs="Arial" w:eastAsia="Arial" w:hAnsi="Arial"/>
                <w:sz w:val="18"/>
                <w:szCs w:val="18"/>
                <w:color w:val="auto"/>
              </w:rPr>
              <w:t>Number, Tenure, and Qualifications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3.3</w:t>
            </w:r>
          </w:p>
        </w:tc>
        <w:tc>
          <w:tcPr>
            <w:tcW w:w="8100" w:type="dxa"/>
            <w:vAlign w:val="bottom"/>
          </w:tcPr>
          <w:p>
            <w:pPr>
              <w:ind w:left="180"/>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3.4</w:t>
            </w:r>
          </w:p>
        </w:tc>
        <w:tc>
          <w:tcPr>
            <w:tcW w:w="8100" w:type="dxa"/>
            <w:vAlign w:val="bottom"/>
          </w:tcPr>
          <w:p>
            <w:pPr>
              <w:ind w:left="180"/>
              <w:spacing w:after="0"/>
              <w:rPr>
                <w:sz w:val="20"/>
                <w:szCs w:val="20"/>
                <w:color w:val="auto"/>
              </w:rPr>
            </w:pPr>
            <w:r>
              <w:rPr>
                <w:rFonts w:ascii="Arial" w:cs="Arial" w:eastAsia="Arial" w:hAnsi="Arial"/>
                <w:sz w:val="18"/>
                <w:szCs w:val="18"/>
                <w:color w:val="auto"/>
              </w:rPr>
              <w:t>Vice Chairman of the Board</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3.5</w:t>
            </w:r>
          </w:p>
        </w:tc>
        <w:tc>
          <w:tcPr>
            <w:tcW w:w="8100" w:type="dxa"/>
            <w:vAlign w:val="bottom"/>
          </w:tcPr>
          <w:p>
            <w:pPr>
              <w:ind w:left="180"/>
              <w:spacing w:after="0"/>
              <w:rPr>
                <w:sz w:val="20"/>
                <w:szCs w:val="20"/>
                <w:color w:val="auto"/>
              </w:rPr>
            </w:pPr>
            <w:r>
              <w:rPr>
                <w:rFonts w:ascii="Arial" w:cs="Arial" w:eastAsia="Arial" w:hAnsi="Arial"/>
                <w:sz w:val="18"/>
                <w:szCs w:val="18"/>
                <w:color w:val="auto"/>
              </w:rPr>
              <w:t>Classification and Elections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3.6</w:t>
            </w:r>
          </w:p>
        </w:tc>
        <w:tc>
          <w:tcPr>
            <w:tcW w:w="8100" w:type="dxa"/>
            <w:vAlign w:val="bottom"/>
          </w:tcPr>
          <w:p>
            <w:pPr>
              <w:ind w:left="180"/>
              <w:spacing w:after="0"/>
              <w:rPr>
                <w:sz w:val="20"/>
                <w:szCs w:val="20"/>
                <w:color w:val="auto"/>
              </w:rPr>
            </w:pPr>
            <w:r>
              <w:rPr>
                <w:rFonts w:ascii="Arial" w:cs="Arial" w:eastAsia="Arial" w:hAnsi="Arial"/>
                <w:sz w:val="18"/>
                <w:szCs w:val="18"/>
                <w:color w:val="auto"/>
              </w:rPr>
              <w:t>Removal and Resignation of Directors</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3.7</w:t>
            </w:r>
          </w:p>
        </w:tc>
        <w:tc>
          <w:tcPr>
            <w:tcW w:w="8100" w:type="dxa"/>
            <w:vAlign w:val="bottom"/>
          </w:tcPr>
          <w:p>
            <w:pPr>
              <w:ind w:left="180"/>
              <w:spacing w:after="0"/>
              <w:rPr>
                <w:sz w:val="20"/>
                <w:szCs w:val="20"/>
                <w:color w:val="auto"/>
              </w:rPr>
            </w:pPr>
            <w:r>
              <w:rPr>
                <w:rFonts w:ascii="Arial" w:cs="Arial" w:eastAsia="Arial" w:hAnsi="Arial"/>
                <w:sz w:val="18"/>
                <w:szCs w:val="18"/>
                <w:color w:val="auto"/>
              </w:rPr>
              <w:t>Vacancies; Newly Created Directorships</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3.8</w:t>
            </w:r>
          </w:p>
        </w:tc>
        <w:tc>
          <w:tcPr>
            <w:tcW w:w="8100" w:type="dxa"/>
            <w:vAlign w:val="bottom"/>
          </w:tcPr>
          <w:p>
            <w:pPr>
              <w:ind w:left="180"/>
              <w:spacing w:after="0"/>
              <w:rPr>
                <w:sz w:val="20"/>
                <w:szCs w:val="20"/>
                <w:color w:val="auto"/>
              </w:rPr>
            </w:pPr>
            <w:r>
              <w:rPr>
                <w:rFonts w:ascii="Arial" w:cs="Arial" w:eastAsia="Arial" w:hAnsi="Arial"/>
                <w:sz w:val="18"/>
                <w:szCs w:val="18"/>
                <w:color w:val="auto"/>
              </w:rPr>
              <w:t>Annual and Regular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3.9</w:t>
            </w:r>
          </w:p>
        </w:tc>
        <w:tc>
          <w:tcPr>
            <w:tcW w:w="810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3.10</w:t>
            </w:r>
          </w:p>
        </w:tc>
        <w:tc>
          <w:tcPr>
            <w:tcW w:w="810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3.11</w:t>
            </w:r>
          </w:p>
        </w:tc>
        <w:tc>
          <w:tcPr>
            <w:tcW w:w="8100" w:type="dxa"/>
            <w:vAlign w:val="bottom"/>
          </w:tcPr>
          <w:p>
            <w:pPr>
              <w:ind w:left="180"/>
              <w:spacing w:after="0"/>
              <w:rPr>
                <w:sz w:val="20"/>
                <w:szCs w:val="20"/>
                <w:color w:val="auto"/>
              </w:rPr>
            </w:pPr>
            <w:r>
              <w:rPr>
                <w:rFonts w:ascii="Arial" w:cs="Arial" w:eastAsia="Arial" w:hAnsi="Arial"/>
                <w:sz w:val="18"/>
                <w:szCs w:val="18"/>
                <w:color w:val="auto"/>
              </w:rPr>
              <w:t>Notice of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3.12</w:t>
            </w:r>
          </w:p>
        </w:tc>
        <w:tc>
          <w:tcPr>
            <w:tcW w:w="8100" w:type="dxa"/>
            <w:vAlign w:val="bottom"/>
          </w:tcPr>
          <w:p>
            <w:pPr>
              <w:ind w:left="180"/>
              <w:spacing w:after="0"/>
              <w:rPr>
                <w:sz w:val="20"/>
                <w:szCs w:val="20"/>
                <w:color w:val="auto"/>
              </w:rPr>
            </w:pPr>
            <w:r>
              <w:rPr>
                <w:rFonts w:ascii="Arial" w:cs="Arial" w:eastAsia="Arial" w:hAnsi="Arial"/>
                <w:sz w:val="18"/>
                <w:szCs w:val="18"/>
                <w:color w:val="auto"/>
              </w:rPr>
              <w:t>Quorum; Adjourned Meetings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3.13</w:t>
            </w:r>
          </w:p>
        </w:tc>
        <w:tc>
          <w:tcPr>
            <w:tcW w:w="8100" w:type="dxa"/>
            <w:vAlign w:val="bottom"/>
          </w:tcPr>
          <w:p>
            <w:pPr>
              <w:ind w:left="180"/>
              <w:spacing w:after="0"/>
              <w:rPr>
                <w:sz w:val="20"/>
                <w:szCs w:val="20"/>
                <w:color w:val="auto"/>
              </w:rPr>
            </w:pPr>
            <w:r>
              <w:rPr>
                <w:rFonts w:ascii="Arial" w:cs="Arial" w:eastAsia="Arial" w:hAnsi="Arial"/>
                <w:sz w:val="18"/>
                <w:szCs w:val="18"/>
                <w:color w:val="auto"/>
              </w:rPr>
              <w:t>Manner of Acting</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3.14</w:t>
            </w:r>
          </w:p>
        </w:tc>
        <w:tc>
          <w:tcPr>
            <w:tcW w:w="8100" w:type="dxa"/>
            <w:vAlign w:val="bottom"/>
          </w:tcPr>
          <w:p>
            <w:pPr>
              <w:ind w:left="180"/>
              <w:spacing w:after="0"/>
              <w:rPr>
                <w:sz w:val="20"/>
                <w:szCs w:val="20"/>
                <w:color w:val="auto"/>
              </w:rPr>
            </w:pPr>
            <w:r>
              <w:rPr>
                <w:rFonts w:ascii="Arial" w:cs="Arial" w:eastAsia="Arial" w:hAnsi="Arial"/>
                <w:sz w:val="18"/>
                <w:szCs w:val="18"/>
                <w:color w:val="auto"/>
              </w:rPr>
              <w:t>Super-majority Approval</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3.15</w:t>
            </w:r>
          </w:p>
        </w:tc>
        <w:tc>
          <w:tcPr>
            <w:tcW w:w="8100" w:type="dxa"/>
            <w:vAlign w:val="bottom"/>
          </w:tcPr>
          <w:p>
            <w:pPr>
              <w:ind w:left="180"/>
              <w:spacing w:after="0"/>
              <w:rPr>
                <w:sz w:val="20"/>
                <w:szCs w:val="20"/>
                <w:color w:val="auto"/>
              </w:rPr>
            </w:pPr>
            <w:r>
              <w:rPr>
                <w:rFonts w:ascii="Arial" w:cs="Arial" w:eastAsia="Arial" w:hAnsi="Arial"/>
                <w:sz w:val="18"/>
                <w:szCs w:val="18"/>
                <w:color w:val="auto"/>
              </w:rPr>
              <w:t>Meetings Through Electronic Communications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3.16</w:t>
            </w:r>
          </w:p>
        </w:tc>
        <w:tc>
          <w:tcPr>
            <w:tcW w:w="8100" w:type="dxa"/>
            <w:vAlign w:val="bottom"/>
          </w:tcPr>
          <w:p>
            <w:pPr>
              <w:ind w:left="180"/>
              <w:spacing w:after="0"/>
              <w:rPr>
                <w:sz w:val="20"/>
                <w:szCs w:val="20"/>
                <w:color w:val="auto"/>
              </w:rPr>
            </w:pPr>
            <w:r>
              <w:rPr>
                <w:rFonts w:ascii="Arial" w:cs="Arial" w:eastAsia="Arial" w:hAnsi="Arial"/>
                <w:sz w:val="18"/>
                <w:szCs w:val="18"/>
                <w:color w:val="auto"/>
              </w:rPr>
              <w:t>Action Without Meeting</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3.17</w:t>
            </w:r>
          </w:p>
        </w:tc>
        <w:tc>
          <w:tcPr>
            <w:tcW w:w="8100" w:type="dxa"/>
            <w:vAlign w:val="bottom"/>
          </w:tcPr>
          <w:p>
            <w:pPr>
              <w:ind w:left="180"/>
              <w:spacing w:after="0"/>
              <w:rPr>
                <w:sz w:val="20"/>
                <w:szCs w:val="20"/>
                <w:color w:val="auto"/>
              </w:rPr>
            </w:pPr>
            <w:r>
              <w:rPr>
                <w:rFonts w:ascii="Arial" w:cs="Arial" w:eastAsia="Arial" w:hAnsi="Arial"/>
                <w:sz w:val="18"/>
                <w:szCs w:val="18"/>
                <w:color w:val="auto"/>
              </w:rPr>
              <w:t>Powers and Duties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3.18</w:t>
            </w:r>
          </w:p>
        </w:tc>
        <w:tc>
          <w:tcPr>
            <w:tcW w:w="81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3.19</w:t>
            </w:r>
          </w:p>
        </w:tc>
        <w:tc>
          <w:tcPr>
            <w:tcW w:w="810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IV</w:t>
            </w:r>
          </w:p>
        </w:tc>
        <w:tc>
          <w:tcPr>
            <w:tcW w:w="8100" w:type="dxa"/>
            <w:vAlign w:val="bottom"/>
          </w:tcPr>
          <w:p>
            <w:pPr>
              <w:ind w:left="180"/>
              <w:spacing w:after="0"/>
              <w:rPr>
                <w:sz w:val="20"/>
                <w:szCs w:val="20"/>
                <w:color w:val="auto"/>
              </w:rPr>
            </w:pPr>
            <w:r>
              <w:rPr>
                <w:rFonts w:ascii="Arial" w:cs="Arial" w:eastAsia="Arial" w:hAnsi="Arial"/>
                <w:sz w:val="18"/>
                <w:szCs w:val="18"/>
                <w:color w:val="auto"/>
              </w:rPr>
              <w:t>OFFICERS</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160" w:type="dxa"/>
            <w:vAlign w:val="bottom"/>
          </w:tcPr>
          <w:p>
            <w:pPr>
              <w:ind w:left="660"/>
              <w:spacing w:after="0"/>
              <w:rPr>
                <w:sz w:val="20"/>
                <w:szCs w:val="20"/>
                <w:color w:val="auto"/>
              </w:rPr>
            </w:pPr>
            <w:r>
              <w:rPr>
                <w:rFonts w:ascii="Arial" w:cs="Arial" w:eastAsia="Arial" w:hAnsi="Arial"/>
                <w:sz w:val="18"/>
                <w:szCs w:val="18"/>
                <w:color w:val="auto"/>
              </w:rPr>
              <w:t>4.1</w:t>
            </w:r>
          </w:p>
        </w:tc>
        <w:tc>
          <w:tcPr>
            <w:tcW w:w="8100" w:type="dxa"/>
            <w:vAlign w:val="bottom"/>
          </w:tcPr>
          <w:p>
            <w:pPr>
              <w:ind w:left="180"/>
              <w:spacing w:after="0"/>
              <w:rPr>
                <w:sz w:val="20"/>
                <w:szCs w:val="20"/>
                <w:color w:val="auto"/>
              </w:rPr>
            </w:pPr>
            <w:r>
              <w:rPr>
                <w:rFonts w:ascii="Arial" w:cs="Arial" w:eastAsia="Arial" w:hAnsi="Arial"/>
                <w:sz w:val="18"/>
                <w:szCs w:val="18"/>
                <w:color w:val="auto"/>
              </w:rPr>
              <w:t>Election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4.2</w:t>
            </w:r>
          </w:p>
        </w:tc>
        <w:tc>
          <w:tcPr>
            <w:tcW w:w="8100" w:type="dxa"/>
            <w:vAlign w:val="bottom"/>
          </w:tcPr>
          <w:p>
            <w:pPr>
              <w:ind w:left="180"/>
              <w:spacing w:after="0"/>
              <w:rPr>
                <w:sz w:val="20"/>
                <w:szCs w:val="20"/>
                <w:color w:val="auto"/>
              </w:rPr>
            </w:pPr>
            <w:r>
              <w:rPr>
                <w:rFonts w:ascii="Arial" w:cs="Arial" w:eastAsia="Arial" w:hAnsi="Arial"/>
                <w:sz w:val="18"/>
                <w:szCs w:val="18"/>
                <w:color w:val="auto"/>
              </w:rPr>
              <w:t>Removal; Resignation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4.3</w:t>
            </w:r>
          </w:p>
        </w:tc>
        <w:tc>
          <w:tcPr>
            <w:tcW w:w="8100" w:type="dxa"/>
            <w:vAlign w:val="bottom"/>
          </w:tcPr>
          <w:p>
            <w:pPr>
              <w:ind w:left="180"/>
              <w:spacing w:after="0"/>
              <w:rPr>
                <w:sz w:val="20"/>
                <w:szCs w:val="20"/>
                <w:color w:val="auto"/>
              </w:rPr>
            </w:pPr>
            <w:r>
              <w:rPr>
                <w:rFonts w:ascii="Arial" w:cs="Arial" w:eastAsia="Arial" w:hAnsi="Arial"/>
                <w:sz w:val="18"/>
                <w:szCs w:val="18"/>
                <w:color w:val="auto"/>
              </w:rPr>
              <w:t>Vacancies</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4.4</w:t>
            </w:r>
          </w:p>
        </w:tc>
        <w:tc>
          <w:tcPr>
            <w:tcW w:w="810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19"/>
                <w:szCs w:val="19"/>
                <w:color w:val="auto"/>
              </w:rPr>
            </w:pPr>
          </w:p>
        </w:tc>
        <w:tc>
          <w:tcPr>
            <w:tcW w:w="7680" w:type="dxa"/>
            <w:vAlign w:val="bottom"/>
          </w:tcPr>
          <w:p>
            <w:pPr>
              <w:jc w:val="center"/>
              <w:ind w:left="123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7680" w:type="dxa"/>
            <w:vAlign w:val="bottom"/>
          </w:tcPr>
          <w:p>
            <w:pPr>
              <w:jc w:val="center"/>
              <w:ind w:left="1210"/>
              <w:spacing w:after="0"/>
              <w:rPr>
                <w:sz w:val="20"/>
                <w:szCs w:val="20"/>
                <w:color w:val="auto"/>
              </w:rPr>
            </w:pPr>
            <w:r>
              <w:rPr>
                <w:rFonts w:ascii="Arial" w:cs="Arial" w:eastAsia="Arial" w:hAnsi="Arial"/>
                <w:sz w:val="18"/>
                <w:szCs w:val="18"/>
                <w:color w:val="auto"/>
                <w:w w:val="91"/>
              </w:rPr>
              <w:t>(continued)</w:t>
            </w:r>
          </w:p>
        </w:tc>
        <w:tc>
          <w:tcPr>
            <w:tcW w:w="2420" w:type="dxa"/>
            <w:vAlign w:val="bottom"/>
          </w:tcPr>
          <w:p>
            <w:pPr>
              <w:spacing w:after="0"/>
              <w:rPr>
                <w:sz w:val="20"/>
                <w:szCs w:val="20"/>
                <w:color w:val="auto"/>
              </w:rPr>
            </w:pPr>
          </w:p>
        </w:tc>
      </w:tr>
      <w:tr>
        <w:trPr>
          <w:trHeight w:val="283"/>
        </w:trPr>
        <w:tc>
          <w:tcPr>
            <w:tcW w:w="12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4.5</w:t>
            </w:r>
          </w:p>
        </w:tc>
        <w:tc>
          <w:tcPr>
            <w:tcW w:w="768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4.6</w:t>
            </w:r>
          </w:p>
        </w:tc>
        <w:tc>
          <w:tcPr>
            <w:tcW w:w="7680" w:type="dxa"/>
            <w:vAlign w:val="bottom"/>
          </w:tcPr>
          <w:p>
            <w:pPr>
              <w:ind w:left="120"/>
              <w:spacing w:after="0"/>
              <w:rPr>
                <w:sz w:val="20"/>
                <w:szCs w:val="20"/>
                <w:color w:val="auto"/>
              </w:rPr>
            </w:pPr>
            <w:r>
              <w:rPr>
                <w:rFonts w:ascii="Arial" w:cs="Arial" w:eastAsia="Arial" w:hAnsi="Arial"/>
                <w:sz w:val="18"/>
                <w:szCs w:val="18"/>
                <w:color w:val="auto"/>
              </w:rPr>
              <w:t>Vice Presidents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4.7</w:t>
            </w:r>
          </w:p>
        </w:tc>
        <w:tc>
          <w:tcPr>
            <w:tcW w:w="768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4.8</w:t>
            </w:r>
          </w:p>
        </w:tc>
        <w:tc>
          <w:tcPr>
            <w:tcW w:w="7680" w:type="dxa"/>
            <w:vAlign w:val="bottom"/>
          </w:tcPr>
          <w:p>
            <w:pPr>
              <w:ind w:left="120"/>
              <w:spacing w:after="0"/>
              <w:rPr>
                <w:sz w:val="20"/>
                <w:szCs w:val="20"/>
                <w:color w:val="auto"/>
              </w:rPr>
            </w:pPr>
            <w:r>
              <w:rPr>
                <w:rFonts w:ascii="Arial" w:cs="Arial" w:eastAsia="Arial" w:hAnsi="Arial"/>
                <w:sz w:val="18"/>
                <w:szCs w:val="18"/>
                <w:color w:val="auto"/>
              </w:rPr>
              <w:t>Assistant Secretaries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4.9</w:t>
            </w:r>
          </w:p>
        </w:tc>
        <w:tc>
          <w:tcPr>
            <w:tcW w:w="7680" w:type="dxa"/>
            <w:vAlign w:val="bottom"/>
          </w:tcPr>
          <w:p>
            <w:pPr>
              <w:ind w:left="120"/>
              <w:spacing w:after="0"/>
              <w:rPr>
                <w:sz w:val="20"/>
                <w:szCs w:val="20"/>
                <w:color w:val="auto"/>
              </w:rPr>
            </w:pPr>
            <w:r>
              <w:rPr>
                <w:rFonts w:ascii="Arial" w:cs="Arial" w:eastAsia="Arial" w:hAnsi="Arial"/>
                <w:sz w:val="18"/>
                <w:szCs w:val="18"/>
                <w:color w:val="auto"/>
              </w:rPr>
              <w:t>Treasurer</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4.10</w:t>
            </w:r>
          </w:p>
        </w:tc>
        <w:tc>
          <w:tcPr>
            <w:tcW w:w="7680" w:type="dxa"/>
            <w:vAlign w:val="bottom"/>
          </w:tcPr>
          <w:p>
            <w:pPr>
              <w:ind w:left="120"/>
              <w:spacing w:after="0"/>
              <w:rPr>
                <w:sz w:val="20"/>
                <w:szCs w:val="20"/>
                <w:color w:val="auto"/>
              </w:rPr>
            </w:pPr>
            <w:r>
              <w:rPr>
                <w:rFonts w:ascii="Arial" w:cs="Arial" w:eastAsia="Arial" w:hAnsi="Arial"/>
                <w:sz w:val="18"/>
                <w:szCs w:val="18"/>
                <w:color w:val="auto"/>
              </w:rPr>
              <w:t>Assistant Treasurers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4.11</w:t>
            </w:r>
          </w:p>
        </w:tc>
        <w:tc>
          <w:tcPr>
            <w:tcW w:w="7680" w:type="dxa"/>
            <w:vAlign w:val="bottom"/>
          </w:tcPr>
          <w:p>
            <w:pPr>
              <w:ind w:left="120"/>
              <w:spacing w:after="0"/>
              <w:rPr>
                <w:sz w:val="20"/>
                <w:szCs w:val="20"/>
                <w:color w:val="auto"/>
              </w:rPr>
            </w:pPr>
            <w:r>
              <w:rPr>
                <w:rFonts w:ascii="Arial" w:cs="Arial" w:eastAsia="Arial" w:hAnsi="Arial"/>
                <w:sz w:val="18"/>
                <w:szCs w:val="18"/>
                <w:color w:val="auto"/>
              </w:rPr>
              <w:t>Execution of Negotiable Instruments, Deeds and Contracts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7680" w:type="dxa"/>
            <w:vAlign w:val="bottom"/>
          </w:tcPr>
          <w:p>
            <w:pPr>
              <w:ind w:left="120"/>
              <w:spacing w:after="0"/>
              <w:rPr>
                <w:sz w:val="20"/>
                <w:szCs w:val="20"/>
                <w:color w:val="auto"/>
              </w:rPr>
            </w:pPr>
            <w:r>
              <w:rPr>
                <w:rFonts w:ascii="Arial" w:cs="Arial" w:eastAsia="Arial" w:hAnsi="Arial"/>
                <w:sz w:val="18"/>
                <w:szCs w:val="18"/>
                <w:color w:val="auto"/>
              </w:rPr>
              <w:t>CAPITAL STOCK</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220" w:type="dxa"/>
            <w:vAlign w:val="bottom"/>
          </w:tcPr>
          <w:p>
            <w:pPr>
              <w:ind w:left="660"/>
              <w:spacing w:after="0"/>
              <w:rPr>
                <w:sz w:val="20"/>
                <w:szCs w:val="20"/>
                <w:color w:val="auto"/>
              </w:rPr>
            </w:pPr>
            <w:r>
              <w:rPr>
                <w:rFonts w:ascii="Arial" w:cs="Arial" w:eastAsia="Arial" w:hAnsi="Arial"/>
                <w:sz w:val="18"/>
                <w:szCs w:val="18"/>
                <w:color w:val="auto"/>
              </w:rPr>
              <w:t>5.1</w:t>
            </w:r>
          </w:p>
        </w:tc>
        <w:tc>
          <w:tcPr>
            <w:tcW w:w="7680" w:type="dxa"/>
            <w:vAlign w:val="bottom"/>
          </w:tcPr>
          <w:p>
            <w:pPr>
              <w:ind w:left="120"/>
              <w:spacing w:after="0"/>
              <w:rPr>
                <w:sz w:val="20"/>
                <w:szCs w:val="20"/>
                <w:color w:val="auto"/>
              </w:rPr>
            </w:pPr>
            <w:r>
              <w:rPr>
                <w:rFonts w:ascii="Arial" w:cs="Arial" w:eastAsia="Arial" w:hAnsi="Arial"/>
                <w:sz w:val="18"/>
                <w:szCs w:val="18"/>
                <w:color w:val="auto"/>
              </w:rPr>
              <w:t>Issuance</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w:t>
            </w:r>
          </w:p>
        </w:tc>
        <w:tc>
          <w:tcPr>
            <w:tcW w:w="7680" w:type="dxa"/>
            <w:vAlign w:val="bottom"/>
          </w:tcPr>
          <w:p>
            <w:pPr>
              <w:ind w:left="120"/>
              <w:spacing w:after="0"/>
              <w:rPr>
                <w:sz w:val="20"/>
                <w:szCs w:val="20"/>
                <w:color w:val="auto"/>
              </w:rPr>
            </w:pPr>
            <w:r>
              <w:rPr>
                <w:rFonts w:ascii="Arial" w:cs="Arial" w:eastAsia="Arial" w:hAnsi="Arial"/>
                <w:sz w:val="18"/>
                <w:szCs w:val="18"/>
                <w:color w:val="auto"/>
              </w:rPr>
              <w:t>Stock Certificates and Uncertificated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5.3</w:t>
            </w:r>
          </w:p>
        </w:tc>
        <w:tc>
          <w:tcPr>
            <w:tcW w:w="7680" w:type="dxa"/>
            <w:vAlign w:val="bottom"/>
          </w:tcPr>
          <w:p>
            <w:pPr>
              <w:ind w:left="120"/>
              <w:spacing w:after="0"/>
              <w:rPr>
                <w:sz w:val="20"/>
                <w:szCs w:val="20"/>
                <w:color w:val="auto"/>
              </w:rPr>
            </w:pPr>
            <w:r>
              <w:rPr>
                <w:rFonts w:ascii="Arial" w:cs="Arial" w:eastAsia="Arial" w:hAnsi="Arial"/>
                <w:sz w:val="18"/>
                <w:szCs w:val="18"/>
                <w:color w:val="auto"/>
              </w:rPr>
              <w:t>Surrendered; Lost or Destroyed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5.4</w:t>
            </w:r>
          </w:p>
        </w:tc>
        <w:tc>
          <w:tcPr>
            <w:tcW w:w="7680" w:type="dxa"/>
            <w:vAlign w:val="bottom"/>
          </w:tcPr>
          <w:p>
            <w:pPr>
              <w:ind w:left="120"/>
              <w:spacing w:after="0"/>
              <w:rPr>
                <w:sz w:val="20"/>
                <w:szCs w:val="20"/>
                <w:color w:val="auto"/>
              </w:rPr>
            </w:pPr>
            <w:r>
              <w:rPr>
                <w:rFonts w:ascii="Arial" w:cs="Arial" w:eastAsia="Arial" w:hAnsi="Arial"/>
                <w:sz w:val="18"/>
                <w:szCs w:val="18"/>
                <w:color w:val="auto"/>
              </w:rPr>
              <w:t>Replacement Certificate</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5.5</w:t>
            </w:r>
          </w:p>
        </w:tc>
        <w:tc>
          <w:tcPr>
            <w:tcW w:w="7680" w:type="dxa"/>
            <w:vAlign w:val="bottom"/>
          </w:tcPr>
          <w:p>
            <w:pPr>
              <w:ind w:left="120"/>
              <w:spacing w:after="0"/>
              <w:rPr>
                <w:sz w:val="20"/>
                <w:szCs w:val="20"/>
                <w:color w:val="auto"/>
              </w:rPr>
            </w:pPr>
            <w:r>
              <w:rPr>
                <w:rFonts w:ascii="Arial" w:cs="Arial" w:eastAsia="Arial" w:hAnsi="Arial"/>
                <w:sz w:val="18"/>
                <w:szCs w:val="18"/>
                <w:color w:val="auto"/>
              </w:rPr>
              <w:t>Transfer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5.6</w:t>
            </w:r>
          </w:p>
        </w:tc>
        <w:tc>
          <w:tcPr>
            <w:tcW w:w="7680" w:type="dxa"/>
            <w:vAlign w:val="bottom"/>
          </w:tcPr>
          <w:p>
            <w:pPr>
              <w:ind w:left="120"/>
              <w:spacing w:after="0"/>
              <w:rPr>
                <w:sz w:val="20"/>
                <w:szCs w:val="20"/>
                <w:color w:val="auto"/>
              </w:rPr>
            </w:pPr>
            <w:r>
              <w:rPr>
                <w:rFonts w:ascii="Arial" w:cs="Arial" w:eastAsia="Arial" w:hAnsi="Arial"/>
                <w:sz w:val="18"/>
                <w:szCs w:val="18"/>
                <w:color w:val="auto"/>
              </w:rPr>
              <w:t>Transfer Agent; Registrars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5.7</w:t>
            </w:r>
          </w:p>
        </w:tc>
        <w:tc>
          <w:tcPr>
            <w:tcW w:w="76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5.8</w:t>
            </w:r>
          </w:p>
        </w:tc>
        <w:tc>
          <w:tcPr>
            <w:tcW w:w="7680" w:type="dxa"/>
            <w:vAlign w:val="bottom"/>
          </w:tcPr>
          <w:p>
            <w:pPr>
              <w:ind w:left="120"/>
              <w:spacing w:after="0"/>
              <w:rPr>
                <w:sz w:val="20"/>
                <w:szCs w:val="20"/>
                <w:color w:val="auto"/>
              </w:rPr>
            </w:pPr>
            <w:r>
              <w:rPr>
                <w:rFonts w:ascii="Arial" w:cs="Arial" w:eastAsia="Arial" w:hAnsi="Arial"/>
                <w:sz w:val="18"/>
                <w:szCs w:val="18"/>
                <w:color w:val="auto"/>
              </w:rPr>
              <w:t>Inapplicability of Controlling Interest Statutes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w:t>
            </w:r>
          </w:p>
        </w:tc>
        <w:tc>
          <w:tcPr>
            <w:tcW w:w="768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VII</w:t>
            </w:r>
          </w:p>
        </w:tc>
        <w:tc>
          <w:tcPr>
            <w:tcW w:w="7680" w:type="dxa"/>
            <w:vAlign w:val="bottom"/>
          </w:tcPr>
          <w:p>
            <w:pPr>
              <w:ind w:left="120"/>
              <w:spacing w:after="0"/>
              <w:rPr>
                <w:sz w:val="20"/>
                <w:szCs w:val="20"/>
                <w:color w:val="auto"/>
              </w:rPr>
            </w:pPr>
            <w:r>
              <w:rPr>
                <w:rFonts w:ascii="Arial" w:cs="Arial" w:eastAsia="Arial" w:hAnsi="Arial"/>
                <w:sz w:val="18"/>
                <w:szCs w:val="18"/>
                <w:color w:val="auto"/>
              </w:rPr>
              <w:t>RECORDS AND REPORTS; CORPORATE SEAL; AND FISCAL YEAR</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220" w:type="dxa"/>
            <w:vAlign w:val="bottom"/>
          </w:tcPr>
          <w:p>
            <w:pPr>
              <w:ind w:left="660"/>
              <w:spacing w:after="0"/>
              <w:rPr>
                <w:sz w:val="20"/>
                <w:szCs w:val="20"/>
                <w:color w:val="auto"/>
              </w:rPr>
            </w:pPr>
            <w:r>
              <w:rPr>
                <w:rFonts w:ascii="Arial" w:cs="Arial" w:eastAsia="Arial" w:hAnsi="Arial"/>
                <w:sz w:val="18"/>
                <w:szCs w:val="18"/>
                <w:color w:val="auto"/>
              </w:rPr>
              <w:t>7.1</w:t>
            </w:r>
          </w:p>
        </w:tc>
        <w:tc>
          <w:tcPr>
            <w:tcW w:w="7680" w:type="dxa"/>
            <w:vAlign w:val="bottom"/>
          </w:tcPr>
          <w:p>
            <w:pPr>
              <w:ind w:left="120"/>
              <w:spacing w:after="0"/>
              <w:rPr>
                <w:sz w:val="20"/>
                <w:szCs w:val="20"/>
                <w:color w:val="auto"/>
              </w:rPr>
            </w:pPr>
            <w:r>
              <w:rPr>
                <w:rFonts w:ascii="Arial" w:cs="Arial" w:eastAsia="Arial" w:hAnsi="Arial"/>
                <w:sz w:val="18"/>
                <w:szCs w:val="18"/>
                <w:color w:val="auto"/>
              </w:rPr>
              <w:t>Records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7.2</w:t>
            </w:r>
          </w:p>
        </w:tc>
        <w:tc>
          <w:tcPr>
            <w:tcW w:w="7680" w:type="dxa"/>
            <w:vAlign w:val="bottom"/>
          </w:tcPr>
          <w:p>
            <w:pPr>
              <w:ind w:left="120"/>
              <w:spacing w:after="0"/>
              <w:rPr>
                <w:sz w:val="20"/>
                <w:szCs w:val="20"/>
                <w:color w:val="auto"/>
              </w:rPr>
            </w:pPr>
            <w:r>
              <w:rPr>
                <w:rFonts w:ascii="Arial" w:cs="Arial" w:eastAsia="Arial" w:hAnsi="Arial"/>
                <w:sz w:val="18"/>
                <w:szCs w:val="18"/>
                <w:color w:val="auto"/>
              </w:rPr>
              <w:t>Corporate Seal</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7.3</w:t>
            </w:r>
          </w:p>
        </w:tc>
        <w:tc>
          <w:tcPr>
            <w:tcW w:w="7680" w:type="dxa"/>
            <w:vAlign w:val="bottom"/>
          </w:tcPr>
          <w:p>
            <w:pPr>
              <w:ind w:left="120"/>
              <w:spacing w:after="0"/>
              <w:rPr>
                <w:sz w:val="20"/>
                <w:szCs w:val="20"/>
                <w:color w:val="auto"/>
              </w:rPr>
            </w:pPr>
            <w:r>
              <w:rPr>
                <w:rFonts w:ascii="Arial" w:cs="Arial" w:eastAsia="Arial" w:hAnsi="Arial"/>
                <w:sz w:val="18"/>
                <w:szCs w:val="18"/>
                <w:color w:val="auto"/>
              </w:rPr>
              <w:t>Fiscal Year-End</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VIII</w:t>
            </w:r>
          </w:p>
        </w:tc>
        <w:tc>
          <w:tcPr>
            <w:tcW w:w="76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220" w:type="dxa"/>
            <w:vAlign w:val="bottom"/>
          </w:tcPr>
          <w:p>
            <w:pPr>
              <w:ind w:left="660"/>
              <w:spacing w:after="0"/>
              <w:rPr>
                <w:sz w:val="20"/>
                <w:szCs w:val="20"/>
                <w:color w:val="auto"/>
              </w:rPr>
            </w:pPr>
            <w:r>
              <w:rPr>
                <w:rFonts w:ascii="Arial" w:cs="Arial" w:eastAsia="Arial" w:hAnsi="Arial"/>
                <w:sz w:val="18"/>
                <w:szCs w:val="18"/>
                <w:color w:val="auto"/>
              </w:rPr>
              <w:t>8.1</w:t>
            </w:r>
          </w:p>
        </w:tc>
        <w:tc>
          <w:tcPr>
            <w:tcW w:w="768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8.2</w:t>
            </w:r>
          </w:p>
        </w:tc>
        <w:tc>
          <w:tcPr>
            <w:tcW w:w="76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IX</w:t>
            </w:r>
          </w:p>
        </w:tc>
        <w:tc>
          <w:tcPr>
            <w:tcW w:w="7680" w:type="dxa"/>
            <w:vAlign w:val="bottom"/>
          </w:tcPr>
          <w:p>
            <w:pPr>
              <w:ind w:left="120"/>
              <w:spacing w:after="0"/>
              <w:rPr>
                <w:sz w:val="20"/>
                <w:szCs w:val="20"/>
                <w:color w:val="auto"/>
              </w:rPr>
            </w:pPr>
            <w:r>
              <w:rPr>
                <w:rFonts w:ascii="Arial" w:cs="Arial" w:eastAsia="Arial" w:hAnsi="Arial"/>
                <w:sz w:val="18"/>
                <w:szCs w:val="18"/>
                <w:color w:val="auto"/>
              </w:rPr>
              <w:t>CHANGES IN NEVADA LAW</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X</w:t>
            </w:r>
          </w:p>
        </w:tc>
        <w:tc>
          <w:tcPr>
            <w:tcW w:w="7680" w:type="dxa"/>
            <w:vAlign w:val="bottom"/>
          </w:tcPr>
          <w:p>
            <w:pPr>
              <w:ind w:left="120"/>
              <w:spacing w:after="0"/>
              <w:rPr>
                <w:sz w:val="20"/>
                <w:szCs w:val="20"/>
                <w:color w:val="auto"/>
              </w:rPr>
            </w:pPr>
            <w:r>
              <w:rPr>
                <w:rFonts w:ascii="Arial" w:cs="Arial" w:eastAsia="Arial" w:hAnsi="Arial"/>
                <w:sz w:val="18"/>
                <w:szCs w:val="18"/>
                <w:color w:val="auto"/>
              </w:rPr>
              <w:t>AMENDMENT OR REPEAL</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660"/>
              <w:spacing w:after="0"/>
              <w:rPr>
                <w:sz w:val="20"/>
                <w:szCs w:val="20"/>
                <w:color w:val="auto"/>
              </w:rPr>
            </w:pPr>
            <w:r>
              <w:rPr>
                <w:rFonts w:ascii="Arial" w:cs="Arial" w:eastAsia="Arial" w:hAnsi="Arial"/>
                <w:sz w:val="18"/>
                <w:szCs w:val="18"/>
                <w:color w:val="auto"/>
              </w:rPr>
              <w:t>10.1</w:t>
            </w:r>
          </w:p>
        </w:tc>
        <w:tc>
          <w:tcPr>
            <w:tcW w:w="7680" w:type="dxa"/>
            <w:vAlign w:val="bottom"/>
          </w:tcPr>
          <w:p>
            <w:pPr>
              <w:ind w:left="120"/>
              <w:spacing w:after="0"/>
              <w:rPr>
                <w:sz w:val="20"/>
                <w:szCs w:val="20"/>
                <w:color w:val="auto"/>
              </w:rPr>
            </w:pPr>
            <w:r>
              <w:rPr>
                <w:rFonts w:ascii="Arial" w:cs="Arial" w:eastAsia="Arial" w:hAnsi="Arial"/>
                <w:sz w:val="18"/>
                <w:szCs w:val="18"/>
                <w:color w:val="auto"/>
              </w:rPr>
              <w:t>Amendment of Bylaws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XI</w:t>
            </w:r>
          </w:p>
        </w:tc>
        <w:tc>
          <w:tcPr>
            <w:tcW w:w="7680" w:type="dxa"/>
            <w:vAlign w:val="bottom"/>
          </w:tcPr>
          <w:p>
            <w:pPr>
              <w:ind w:left="120"/>
              <w:spacing w:after="0"/>
              <w:rPr>
                <w:sz w:val="20"/>
                <w:szCs w:val="20"/>
                <w:color w:val="auto"/>
              </w:rPr>
            </w:pPr>
            <w:r>
              <w:rPr>
                <w:rFonts w:ascii="Arial" w:cs="Arial" w:eastAsia="Arial" w:hAnsi="Arial"/>
                <w:sz w:val="18"/>
                <w:szCs w:val="18"/>
                <w:color w:val="auto"/>
              </w:rPr>
              <w:t>FORUM FOR ADJUDICATION OF DISPUTES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5"/>
        </w:trPr>
        <w:tc>
          <w:tcPr>
            <w:tcW w:w="1220" w:type="dxa"/>
            <w:vAlign w:val="bottom"/>
          </w:tcPr>
          <w:p>
            <w:pPr>
              <w:spacing w:after="0"/>
              <w:rPr>
                <w:sz w:val="24"/>
                <w:szCs w:val="24"/>
                <w:color w:val="auto"/>
              </w:rPr>
            </w:pPr>
          </w:p>
        </w:tc>
        <w:tc>
          <w:tcPr>
            <w:tcW w:w="7680" w:type="dxa"/>
            <w:vAlign w:val="bottom"/>
          </w:tcPr>
          <w:p>
            <w:pPr>
              <w:jc w:val="center"/>
              <w:ind w:left="1210"/>
              <w:spacing w:after="0"/>
              <w:rPr>
                <w:sz w:val="20"/>
                <w:szCs w:val="20"/>
                <w:color w:val="auto"/>
              </w:rPr>
            </w:pPr>
            <w:r>
              <w:rPr>
                <w:rFonts w:ascii="Arial" w:cs="Arial" w:eastAsia="Arial" w:hAnsi="Arial"/>
                <w:sz w:val="18"/>
                <w:szCs w:val="18"/>
                <w:color w:val="auto"/>
              </w:rPr>
              <w:t>-ii-</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SIXTH AMENDED AND RESTATED BYLAWS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OFFICES</w:t>
      </w:r>
    </w:p>
    <w:p>
      <w:pPr>
        <w:spacing w:after="0" w:line="207"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3131 Las Vegas Boulevard South, Las Vegas, Nevada 89109 or at such other location as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18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 pursuant to these Sixth Amended and Restated Bylaws (as amended from time to time, these “</w:t>
      </w:r>
      <w:r>
        <w:rPr>
          <w:rFonts w:ascii="Arial" w:cs="Arial" w:eastAsia="Arial" w:hAnsi="Arial"/>
          <w:sz w:val="18"/>
          <w:szCs w:val="18"/>
          <w:b w:val="1"/>
          <w:bCs w:val="1"/>
          <w:color w:val="auto"/>
        </w:rPr>
        <w:t>Bylaws</w:t>
      </w:r>
      <w:r>
        <w:rPr>
          <w:rFonts w:ascii="Arial" w:cs="Arial" w:eastAsia="Arial" w:hAnsi="Arial"/>
          <w:sz w:val="18"/>
          <w:szCs w:val="18"/>
          <w:color w:val="auto"/>
        </w:rPr>
        <w:t>”). Except as otherwise restricted by the articles of incorporation of the Corporation (as amended from time to time,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or applicable law, the Board of Directors may postpone, reschedule or cancel any annual meeting of stockholders.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76" w:lineRule="auto"/>
        <w:tabs>
          <w:tab w:leader="none" w:pos="1158"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Subject to any rights of stockholders set forth in the Articles of Incorporation, special meetings of the stockholders may be called only by the chairman of the board or the chief executive officer or, if there be no chairman of the board and no chief executive officer, by the president, and shall be called by the secretary upon the written request of at least a majority of the Board of Directors. Such request shall state the purpose or purposes of the meeting. Stockholders shall have no right to request or call a special meeting. Except as otherwise restricted by the Articles of Incorporation or applicable law, the Board of Directors may postpone, reschedule or cancel any special meeting of stockholders.</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meeting of the stockholders of the Corporation may be held at the Corporation’s registered office in the State of Nevada or at such other place in or out of the State of Nevada and the United States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electronic communications or other available technology in accordance with Section 2.14.</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9" w:name="page10"/>
    <w:bookmarkEnd w:id="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225" w:lineRule="exact"/>
        <w:rPr>
          <w:sz w:val="20"/>
          <w:szCs w:val="20"/>
          <w:color w:val="auto"/>
        </w:rPr>
      </w:pPr>
    </w:p>
    <w:p>
      <w:pPr>
        <w:ind w:left="-8" w:firstLine="921"/>
        <w:spacing w:after="0" w:line="291" w:lineRule="auto"/>
        <w:tabs>
          <w:tab w:leader="none" w:pos="115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chief executive officer, if any, the president, any vice president, the secretary, an assistant secretary or any other individual designated by the Board of Directors shall sign and deliver or cause to be delivered to the stockholders written notice of any stockholders’ meeting not less than ten</w:t>
      </w:r>
    </w:p>
    <w:p>
      <w:pPr>
        <w:ind w:left="-8" w:right="160" w:firstLine="8"/>
        <w:spacing w:after="0" w:line="253" w:lineRule="auto"/>
        <w:tabs>
          <w:tab w:leader="none" w:pos="3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days, but not more than sixty (60) days, before the date of such meeting. The notice shall state the place, date and time of the meeting, the means of electronic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Nevada Revised Statutes (as amended from time to time, the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91" w:lineRule="exact"/>
        <w:rPr>
          <w:rFonts w:ascii="Arial" w:cs="Arial" w:eastAsia="Arial" w:hAnsi="Arial"/>
          <w:sz w:val="18"/>
          <w:szCs w:val="18"/>
          <w:color w:val="auto"/>
        </w:rPr>
      </w:pPr>
    </w:p>
    <w:p>
      <w:pPr>
        <w:ind w:left="-8" w:right="120" w:firstLine="921"/>
        <w:spacing w:after="0" w:line="276" w:lineRule="auto"/>
        <w:tabs>
          <w:tab w:leader="none" w:pos="116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the case of an annual meeting, subject to Section 2.13,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72" w:lineRule="exact"/>
        <w:rPr>
          <w:rFonts w:ascii="Arial" w:cs="Arial" w:eastAsia="Arial" w:hAnsi="Arial"/>
          <w:sz w:val="17"/>
          <w:szCs w:val="17"/>
          <w:color w:val="auto"/>
        </w:rPr>
      </w:pPr>
    </w:p>
    <w:p>
      <w:pPr>
        <w:ind w:left="-8" w:firstLine="921"/>
        <w:spacing w:after="0" w:line="286" w:lineRule="auto"/>
        <w:tabs>
          <w:tab w:leader="none" w:pos="115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copy of the notice shall be personally delivered or mailed postage prepaid to each stockholder of record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 (ii) by e-mail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174" w:lineRule="exact"/>
        <w:rPr>
          <w:rFonts w:ascii="Arial" w:cs="Arial" w:eastAsia="Arial" w:hAnsi="Arial"/>
          <w:sz w:val="16"/>
          <w:szCs w:val="16"/>
          <w:color w:val="auto"/>
        </w:rPr>
      </w:pPr>
    </w:p>
    <w:p>
      <w:pPr>
        <w:ind w:left="-8" w:firstLine="921"/>
        <w:spacing w:after="0" w:line="279" w:lineRule="auto"/>
        <w:tabs>
          <w:tab w:leader="none" w:pos="116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10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74" w:right="319" w:bottom="1440" w:gutter="0" w:footer="0" w:header="0"/>
        </w:sectPr>
      </w:pPr>
    </w:p>
    <w:bookmarkStart w:id="10" w:name="page11"/>
    <w:bookmarkEnd w:id="10"/>
    <w:p>
      <w:pPr>
        <w:ind w:left="-20" w:right="300" w:firstLine="921"/>
        <w:spacing w:after="0" w:line="277" w:lineRule="auto"/>
        <w:tabs>
          <w:tab w:leader="none" w:pos="1138"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stockholder may waive notice of any meeting by a signed writing or by transmission of an electronic record, either before or after the meeting. Such waiver of notice shall be deemed the equivalent of the giving of such notice.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225" w:lineRule="exact"/>
        <w:rPr>
          <w:sz w:val="20"/>
          <w:szCs w:val="20"/>
          <w:color w:val="auto"/>
        </w:rPr>
      </w:pPr>
    </w:p>
    <w:p>
      <w:pPr>
        <w:ind w:left="-20" w:right="120" w:firstLine="921"/>
        <w:spacing w:after="0" w:line="259" w:lineRule="auto"/>
        <w:tabs>
          <w:tab w:leader="none" w:pos="1138"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86" w:lineRule="exact"/>
        <w:rPr>
          <w:rFonts w:ascii="Arial" w:cs="Arial" w:eastAsia="Arial" w:hAnsi="Arial"/>
          <w:sz w:val="18"/>
          <w:szCs w:val="18"/>
          <w:color w:val="auto"/>
        </w:rPr>
      </w:pPr>
    </w:p>
    <w:p>
      <w:pPr>
        <w:ind w:left="-20" w:right="60" w:firstLine="921"/>
        <w:spacing w:after="0" w:line="255" w:lineRule="auto"/>
        <w:tabs>
          <w:tab w:leader="none" w:pos="11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60 days later than the date set for the original meeting.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25" w:lineRule="exact"/>
        <w:rPr>
          <w:sz w:val="20"/>
          <w:szCs w:val="20"/>
          <w:color w:val="auto"/>
        </w:rPr>
      </w:pPr>
    </w:p>
    <w:p>
      <w:pPr>
        <w:ind w:left="-20" w:right="140" w:firstLine="921"/>
        <w:spacing w:after="0" w:line="297" w:lineRule="auto"/>
        <w:tabs>
          <w:tab w:leader="none" w:pos="1138"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58" w:lineRule="exact"/>
        <w:rPr>
          <w:rFonts w:ascii="Arial" w:cs="Arial" w:eastAsia="Arial" w:hAnsi="Arial"/>
          <w:sz w:val="16"/>
          <w:szCs w:val="16"/>
          <w:color w:val="auto"/>
        </w:rPr>
      </w:pPr>
    </w:p>
    <w:p>
      <w:pPr>
        <w:ind w:left="-20" w:firstLine="921"/>
        <w:spacing w:after="0" w:line="272" w:lineRule="auto"/>
        <w:tabs>
          <w:tab w:leader="none" w:pos="1148"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20" w:right="180" w:firstLine="921"/>
        <w:spacing w:after="0" w:line="277" w:lineRule="auto"/>
        <w:tabs>
          <w:tab w:leader="none" w:pos="11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provided in the NRS, the Articles of Incorporation, or any resolution providing for the issuance of preferred stock adopted by the Board of Directors pursuant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1" w:name="page12"/>
    <w:bookmarkEnd w:id="11"/>
    <w:p>
      <w:pPr>
        <w:ind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24" w:lineRule="exact"/>
        <w:rPr>
          <w:sz w:val="20"/>
          <w:szCs w:val="20"/>
          <w:color w:val="auto"/>
        </w:rPr>
      </w:pPr>
    </w:p>
    <w:p>
      <w:pPr>
        <w:ind w:firstLine="921"/>
        <w:spacing w:after="0" w:line="291" w:lineRule="auto"/>
        <w:tabs>
          <w:tab w:leader="none" w:pos="11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provided in these Bylaws, all votes with respect to shares (including pledged shares) standing in the name of an individual at the close of business on the record date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67" w:lineRule="exact"/>
        <w:rPr>
          <w:rFonts w:ascii="Arial" w:cs="Arial" w:eastAsia="Arial" w:hAnsi="Arial"/>
          <w:sz w:val="16"/>
          <w:szCs w:val="16"/>
          <w:color w:val="auto"/>
        </w:rPr>
      </w:pPr>
    </w:p>
    <w:p>
      <w:pPr>
        <w:ind w:right="20" w:firstLine="921"/>
        <w:spacing w:after="0" w:line="273" w:lineRule="auto"/>
        <w:tabs>
          <w:tab w:leader="none" w:pos="11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the chief executive officer, if any,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78" w:lineRule="exact"/>
        <w:rPr>
          <w:rFonts w:ascii="Arial" w:cs="Arial" w:eastAsia="Arial" w:hAnsi="Arial"/>
          <w:sz w:val="17"/>
          <w:szCs w:val="17"/>
          <w:color w:val="auto"/>
        </w:rPr>
      </w:pPr>
    </w:p>
    <w:p>
      <w:pPr>
        <w:ind w:right="360" w:firstLine="921"/>
        <w:spacing w:after="0" w:line="264"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81" w:lineRule="exact"/>
        <w:rPr>
          <w:rFonts w:ascii="Arial" w:cs="Arial" w:eastAsia="Arial" w:hAnsi="Arial"/>
          <w:sz w:val="18"/>
          <w:szCs w:val="18"/>
          <w:color w:val="auto"/>
        </w:rPr>
      </w:pPr>
    </w:p>
    <w:p>
      <w:pPr>
        <w:jc w:val="both"/>
        <w:ind w:right="160" w:firstLine="921"/>
        <w:spacing w:after="0" w:line="259" w:lineRule="auto"/>
        <w:tabs>
          <w:tab w:leader="none" w:pos="1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86" w:lineRule="exact"/>
        <w:rPr>
          <w:rFonts w:ascii="Arial" w:cs="Arial" w:eastAsia="Arial" w:hAnsi="Arial"/>
          <w:sz w:val="18"/>
          <w:szCs w:val="18"/>
          <w:color w:val="auto"/>
        </w:rPr>
      </w:pPr>
    </w:p>
    <w:p>
      <w:pPr>
        <w:ind w:right="240" w:firstLine="921"/>
        <w:spacing w:after="0" w:line="286" w:lineRule="auto"/>
        <w:tabs>
          <w:tab w:leader="none" w:pos="11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65" w:lineRule="exact"/>
        <w:rPr>
          <w:rFonts w:ascii="Arial" w:cs="Arial" w:eastAsia="Arial" w:hAnsi="Arial"/>
          <w:sz w:val="17"/>
          <w:szCs w:val="17"/>
          <w:color w:val="auto"/>
        </w:rPr>
      </w:pPr>
    </w:p>
    <w:p>
      <w:pPr>
        <w:ind w:left="1700" w:hanging="208"/>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 cast proportionately,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split.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 w:name="page13"/>
    <w:bookmarkEnd w:id="12"/>
    <w:p>
      <w:pPr>
        <w:ind w:firstLine="921"/>
        <w:spacing w:after="0" w:line="255"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quorum is present, directors shall be elected by a plurality of the votes cast.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Proxies</w:t>
      </w:r>
      <w:r>
        <w:rPr>
          <w:rFonts w:ascii="Arial" w:cs="Arial" w:eastAsia="Arial" w:hAnsi="Arial"/>
          <w:sz w:val="17"/>
          <w:szCs w:val="17"/>
          <w:color w:val="auto"/>
        </w:rPr>
        <w:t>. At any meeting of stockholders, any holder of shares entitled to vote may designate, in a manner permitted by the laws of the State of Nevada, another person or persons to act as a proxy or proxies. If a stockholder designates two or more persons to act as proxies, then a majority of those persons present at a meeting has and may exercise all of the powers conferred by the stockholder or, if only one is present, then that one has and may exercise all of the powers conferred by the stockholder, unless the stockholder’s designation of proxy provides otherwise. Every proxy shall continue in full force and effect until its expiration or revocation in a manner permitted by the laws of the State of Nevada.</w:t>
      </w:r>
    </w:p>
    <w:p>
      <w:pPr>
        <w:spacing w:after="0" w:line="17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No Action Without A Meeting</w:t>
      </w:r>
      <w:r>
        <w:rPr>
          <w:rFonts w:ascii="Arial" w:cs="Arial" w:eastAsia="Arial" w:hAnsi="Arial"/>
          <w:sz w:val="17"/>
          <w:szCs w:val="17"/>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68" w:lineRule="auto"/>
        <w:tabs>
          <w:tab w:leader="none" w:pos="11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or, in the absence of the chairman, by the vice chairman of the board, if any, or if there be no vice chairman or in the absence of the vice chairman, by the chief executive officer, if any, or if there be no chief executive officer or in the absence of the chief executive officer, by the president, or, in the absence of the president, or, in the absence of any of the foregoing persons, by a chairman designated by the Board of Directors, or by a chairman chosen at the meeting by the stockholders entitled to cast a majority of the votes which all stockholders present in person or by proxy are entitled to cast. The individual acting as chairman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chairman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 The Board of Directors, in its discretion, or the chairman of the meeting, in his or her discretion, may require that any votes cast at such meeting shall be cast by written ballot.</w:t>
      </w:r>
    </w:p>
    <w:p>
      <w:pPr>
        <w:spacing w:after="0" w:line="183" w:lineRule="exact"/>
        <w:rPr>
          <w:rFonts w:ascii="Arial" w:cs="Arial" w:eastAsia="Arial" w:hAnsi="Arial"/>
          <w:sz w:val="17"/>
          <w:szCs w:val="17"/>
          <w:color w:val="auto"/>
        </w:rPr>
      </w:pPr>
    </w:p>
    <w:p>
      <w:pPr>
        <w:ind w:right="280" w:firstLine="921"/>
        <w:spacing w:after="0" w:line="277"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 w:name="page14"/>
    <w:bookmarkEnd w:id="13"/>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81" w:lineRule="exact"/>
        <w:rPr>
          <w:sz w:val="20"/>
          <w:szCs w:val="20"/>
          <w:color w:val="auto"/>
        </w:rPr>
      </w:pPr>
    </w:p>
    <w:p>
      <w:pPr>
        <w:ind w:right="60" w:firstLine="921"/>
        <w:spacing w:after="0" w:line="286" w:lineRule="auto"/>
        <w:tabs>
          <w:tab w:leader="none" w:pos="11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Section 2.12 shall be eligible to be elected at any meeting of stockholders of the Corporation to serve as directors and only such business shall be conducted at a meeting of stockholders as shall have been brought before the meeting in accordance with the procedures set forth in Section 2.12. If any proposed nomination or business was not made or proposed in compliance with Section 2.12 (including proper notice under Section 2.13 and including whether the stockholder or beneficial owner, if any, on whose behalf the nomination or proposal is made solicited (or is part of a group which solicited) or did not so solicit, as the case may be, proxies in compliance with such stockholder’s representation pursuant to clause (a)(iv)(D) of Section 2.13), then the chairman of the meeting shall have the power to declare that such nomination shall be disregarded or that such proposed business shall not be transacted.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7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Consent to Meetings</w:t>
      </w:r>
      <w:r>
        <w:rPr>
          <w:rFonts w:ascii="Arial" w:cs="Arial" w:eastAsia="Arial" w:hAnsi="Arial"/>
          <w:sz w:val="16"/>
          <w:szCs w:val="16"/>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Director Nominations and Business Conducted at Meetings of Stockholders</w:t>
      </w:r>
      <w:r>
        <w:rPr>
          <w:rFonts w:ascii="Arial" w:cs="Arial" w:eastAsia="Arial" w:hAnsi="Arial"/>
          <w:sz w:val="16"/>
          <w:szCs w:val="16"/>
          <w:color w:val="auto"/>
        </w:rPr>
        <w:t>. Nominations of persons for election to the Board of Directors of the Corporation and the proposal of business to be considered by the stockholders may be made at an annual meeting of stockholders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 Nominations of persons for election to the Board of Directors may be made at a special meeting of stockholders at which directors are to be elected pursuant to the Corporation’s notice of meeting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 w:name="page15"/>
    <w:bookmarkEnd w:id="1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2.13 </w:t>
      </w:r>
      <w:r>
        <w:rPr>
          <w:rFonts w:ascii="Arial" w:cs="Arial" w:eastAsia="Arial" w:hAnsi="Arial"/>
          <w:sz w:val="18"/>
          <w:szCs w:val="18"/>
          <w:u w:val="single" w:color="auto"/>
          <w:color w:val="auto"/>
        </w:rPr>
        <w:t>Advance Notice of Director Nominations and Stockholder Proposals by Stockholders</w:t>
      </w:r>
      <w:r>
        <w:rPr>
          <w:rFonts w:ascii="Arial" w:cs="Arial" w:eastAsia="Arial" w:hAnsi="Arial"/>
          <w:sz w:val="18"/>
          <w:szCs w:val="18"/>
          <w:color w:val="auto"/>
        </w:rPr>
        <w:t>.</w:t>
      </w:r>
    </w:p>
    <w:p>
      <w:pPr>
        <w:spacing w:after="0" w:line="225" w:lineRule="exact"/>
        <w:rPr>
          <w:sz w:val="20"/>
          <w:szCs w:val="20"/>
          <w:color w:val="auto"/>
        </w:rPr>
      </w:pPr>
    </w:p>
    <w:p>
      <w:pPr>
        <w:ind w:left="-8" w:right="20" w:firstLine="921"/>
        <w:spacing w:after="0" w:line="269" w:lineRule="auto"/>
        <w:tabs>
          <w:tab w:leader="none" w:pos="115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and for nominations to be properly brought before a special meeting by a stockholder in each case pursuant to Section 2.12, the stockholder of record must have given timely notice thereof in writing to the secretary of the Corporation, and, in the case of business other than nominations, such other business must be a proper matter for stockholder action. To be timely, a stockholder’s notice shall be delivered to the secretary at the principal executive offices of the Corporation not later than the close of business on the 90</w:t>
      </w:r>
      <w:r>
        <w:rPr>
          <w:rFonts w:ascii="Arial" w:cs="Arial" w:eastAsia="Arial" w:hAnsi="Arial"/>
          <w:sz w:val="14"/>
          <w:szCs w:val="14"/>
          <w:color w:val="auto"/>
        </w:rPr>
        <w:t>th</w:t>
      </w:r>
      <w:r>
        <w:rPr>
          <w:rFonts w:ascii="Arial" w:cs="Arial" w:eastAsia="Arial" w:hAnsi="Arial"/>
          <w:sz w:val="17"/>
          <w:szCs w:val="17"/>
          <w:color w:val="auto"/>
        </w:rPr>
        <w:t xml:space="preserve"> day nor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preceding year’s annual meeting; provided that in the event that the date of the annual meeting is more than 30 days before or more than 70 days after such anniversary date, notice by the stockholder to be timely must be so delivered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10th day following the day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The notice must be provided by a stockholder of record and must set forth:</w:t>
      </w:r>
    </w:p>
    <w:p>
      <w:pPr>
        <w:spacing w:after="0" w:line="182" w:lineRule="exact"/>
        <w:rPr>
          <w:rFonts w:ascii="Arial" w:cs="Arial" w:eastAsia="Arial" w:hAnsi="Arial"/>
          <w:sz w:val="17"/>
          <w:szCs w:val="17"/>
          <w:color w:val="auto"/>
        </w:rPr>
      </w:pPr>
    </w:p>
    <w:p>
      <w:pPr>
        <w:ind w:left="-8" w:firstLine="1492"/>
        <w:spacing w:after="0" w:line="259" w:lineRule="auto"/>
        <w:tabs>
          <w:tab w:leader="none" w:pos="169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186" w:lineRule="exact"/>
        <w:rPr>
          <w:rFonts w:ascii="Arial" w:cs="Arial" w:eastAsia="Arial" w:hAnsi="Arial"/>
          <w:sz w:val="18"/>
          <w:szCs w:val="18"/>
          <w:color w:val="auto"/>
        </w:rPr>
      </w:pPr>
    </w:p>
    <w:p>
      <w:pPr>
        <w:ind w:left="-8" w:right="260" w:firstLine="1492"/>
        <w:spacing w:after="0" w:line="257" w:lineRule="auto"/>
        <w:tabs>
          <w:tab w:leader="none" w:pos="17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if any, on whose behalf the proposal is made;</w:t>
      </w:r>
    </w:p>
    <w:p>
      <w:pPr>
        <w:spacing w:after="0" w:line="188" w:lineRule="exact"/>
        <w:rPr>
          <w:rFonts w:ascii="Arial" w:cs="Arial" w:eastAsia="Arial" w:hAnsi="Arial"/>
          <w:sz w:val="18"/>
          <w:szCs w:val="18"/>
          <w:color w:val="auto"/>
        </w:rPr>
      </w:pPr>
    </w:p>
    <w:p>
      <w:pPr>
        <w:ind w:left="-8" w:right="240" w:firstLine="1492"/>
        <w:spacing w:after="0" w:line="291" w:lineRule="auto"/>
        <w:tabs>
          <w:tab w:leader="none" w:pos="1790" w:val="left"/>
        </w:tabs>
        <w:numPr>
          <w:ilvl w:val="2"/>
          <w:numId w:val="15"/>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is made or the business is proposed: (A) the name and address of such stockholder, as they appear on the Corporation’s books, and the name and address of such beneficial owner,</w:t>
      </w:r>
    </w:p>
    <w:p>
      <w:pPr>
        <w:ind w:left="-8" w:right="40" w:firstLine="8"/>
        <w:spacing w:after="0" w:line="295" w:lineRule="auto"/>
        <w:tabs>
          <w:tab w:leader="none" w:pos="2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class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stock of the Corporation owned of record by the stockholder and such beneficial owner as of the record date for the meeting, and (C) a representation that the stockholder intends to appear in person or by proxy at the meeting to propose such nomination or business;</w:t>
      </w:r>
    </w:p>
    <w:p>
      <w:pPr>
        <w:spacing w:after="0" w:line="161" w:lineRule="exact"/>
        <w:rPr>
          <w:rFonts w:ascii="Arial" w:cs="Arial" w:eastAsia="Arial" w:hAnsi="Arial"/>
          <w:sz w:val="16"/>
          <w:szCs w:val="16"/>
          <w:color w:val="auto"/>
        </w:rPr>
      </w:pPr>
    </w:p>
    <w:p>
      <w:pPr>
        <w:ind w:left="-8" w:right="280" w:firstLine="1492"/>
        <w:spacing w:after="0" w:line="259" w:lineRule="auto"/>
        <w:tabs>
          <w:tab w:leader="none" w:pos="17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director, executive, managing member or control person of such entity (any such person, a “control person”): (A) the class and number of shares of stock of the Corporation which are beneficially owned (as defined below) by</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15" w:name="page16"/>
    <w:bookmarkEnd w:id="1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stockholder or beneficial owner and by any control person as of the date of the notice, and a representation that the stockholder will notify the Corporation in writing within five business days after the record date for such meeting of the class and number of shares of stock of the Corporation beneficially owned by such stockholder or beneficial owner and by any control person as of the record date for the meeting, (B) a description of any agreement, arrangement or understanding with respect to the nomination or other business between or among such stockholder or beneficial owner or control person and any other person, including without limitation any agreements that would be required to be disclosed pursuant to Item 5 or Item 6 of Exchange Act Schedule 13D (regardless of whether the requirement to file a Schedule 13D is applicable to the stockholder, beneficial owner or control person) and a representation that the stockholder will notify the Corporation in writing within five business days after the record date for such meeting of any such agreement, arrangement or understanding in effect as of the record date for the meeting, (C)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(D) a representation whether the stockholder or the beneficial owner, if any, and any control person will engage in a solicitation with respect to the nomination or business and, if so, the name of each participant (as defined in Item 4 of Schedule 14A under the Exchange Act)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w:t>
      </w:r>
    </w:p>
    <w:p>
      <w:pPr>
        <w:spacing w:after="0" w:line="191" w:lineRule="exact"/>
        <w:rPr>
          <w:sz w:val="20"/>
          <w:szCs w:val="20"/>
          <w:color w:val="auto"/>
        </w:rPr>
      </w:pPr>
    </w:p>
    <w:p>
      <w:pPr>
        <w:ind w:right="60" w:firstLine="1492"/>
        <w:spacing w:after="0" w:line="302" w:lineRule="auto"/>
        <w:tabs>
          <w:tab w:leader="none" w:pos="1738"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certification that the stockholder giving the notice and the beneficial owner(s), if any, on whose behalf the nomination is made or the business is proposed, has or have complied with all applicable federal, state and other legal requirements in connection with such stockholder’s and/or each such beneficial owner’s acquisition of shares of capital stock or other securities of the Corporation and/or such stockholder’s and/or each such beneficial owner’s acts or omissions as a stockholder of the Corporation, including, without limitation, in connection with such nomination or proposal.</w:t>
      </w:r>
    </w:p>
    <w:p>
      <w:pPr>
        <w:spacing w:after="0" w:line="154" w:lineRule="exact"/>
        <w:rPr>
          <w:rFonts w:ascii="Arial" w:cs="Arial" w:eastAsia="Arial" w:hAnsi="Arial"/>
          <w:sz w:val="16"/>
          <w:szCs w:val="16"/>
          <w:color w:val="auto"/>
        </w:rPr>
      </w:pPr>
    </w:p>
    <w:p>
      <w:pPr>
        <w:jc w:val="both"/>
        <w:ind w:right="200" w:firstLine="921"/>
        <w:spacing w:after="0" w:line="264"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w:t>
      </w:r>
    </w:p>
    <w:p>
      <w:pPr>
        <w:spacing w:after="0" w:line="181" w:lineRule="exact"/>
        <w:rPr>
          <w:rFonts w:ascii="Arial" w:cs="Arial" w:eastAsia="Arial" w:hAnsi="Arial"/>
          <w:sz w:val="18"/>
          <w:szCs w:val="18"/>
          <w:color w:val="auto"/>
        </w:rPr>
      </w:pPr>
    </w:p>
    <w:p>
      <w:pPr>
        <w:ind w:firstLine="921"/>
        <w:spacing w:after="0" w:line="254" w:lineRule="auto"/>
        <w:tabs>
          <w:tab w:leader="none" w:pos="1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Section 2.13(a), a “public announcement”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(a)(iv)(A) of this Section 2.13,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 w:name="page17"/>
    <w:bookmarkEnd w:id="16"/>
    <w:p>
      <w:pPr>
        <w:ind w:right="140" w:firstLine="921"/>
        <w:spacing w:after="0" w:line="286"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2.13 shall not apply to notice of a proposal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65" w:lineRule="exact"/>
        <w:rPr>
          <w:rFonts w:ascii="Arial" w:cs="Arial" w:eastAsia="Arial" w:hAnsi="Arial"/>
          <w:sz w:val="17"/>
          <w:szCs w:val="17"/>
          <w:color w:val="auto"/>
        </w:rPr>
      </w:pPr>
    </w:p>
    <w:p>
      <w:pPr>
        <w:ind w:firstLine="921"/>
        <w:spacing w:after="0" w:line="291"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stockholder does not provide the information required under clause (a)(iii)(B) and clauses (a)(iv)(A)-(C) of this Section 2.13 to the Corporation within the time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The chairman of the meeting shall have the power to determine whether notice of a nomination or of any business proposed to be brought before the meeting was properly made in accordance with the procedures set forth in this Section 2.13. Notwithstanding the foregoing provisions hereof, a stockholder shall also comply with all applicable requirements of the Act, and the rules and regulations thereunder with respect to the matters set forth herein.</w:t>
      </w:r>
    </w:p>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Meetings Through Electronic Communications</w:t>
      </w:r>
      <w:r>
        <w:rPr>
          <w:rFonts w:ascii="Arial" w:cs="Arial" w:eastAsia="Arial" w:hAnsi="Arial"/>
          <w:sz w:val="16"/>
          <w:szCs w:val="16"/>
          <w:color w:val="auto"/>
        </w:rPr>
        <w:t>. Stockholders may participate in a meeting of the stockholders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Section 2.14 constitutes presence in person at the meeting.</w:t>
      </w: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 Performance of Duties</w:t>
      </w:r>
      <w:r>
        <w:rPr>
          <w:rFonts w:ascii="Arial" w:cs="Arial" w:eastAsia="Arial" w:hAnsi="Arial"/>
          <w:sz w:val="18"/>
          <w:szCs w:val="18"/>
          <w:color w:val="auto"/>
        </w:rPr>
        <w:t>. The business and affairs of the Corporation shall be managed by or under the direction of the Board of Directors, except as otherwise provided in Chapter 78 of the NRS or the Articles of Incorporation.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3" w:lineRule="auto"/>
        <w:tabs>
          <w:tab w:leader="none" w:pos="11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Board of Directors shall consist of at least one (1) individual and not more than thirteen (13) individuals, with the number of directors within the foregoing fixed minimum and maximum established and changed from time to time solely by resolution adopted by the Board of Directors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3.2 shall restrict the right of the Board of Directors to fill vacancies or the right of the stockholders to remove directors, each as provided in these Bylaws.</w:t>
      </w:r>
    </w:p>
    <w:p>
      <w:pPr>
        <w:spacing w:after="0" w:line="178" w:lineRule="exact"/>
        <w:rPr>
          <w:rFonts w:ascii="Arial" w:cs="Arial" w:eastAsia="Arial" w:hAnsi="Arial"/>
          <w:sz w:val="17"/>
          <w:szCs w:val="17"/>
          <w:color w:val="auto"/>
        </w:rPr>
      </w:pPr>
    </w:p>
    <w:p>
      <w:pPr>
        <w:ind w:right="360" w:firstLine="921"/>
        <w:spacing w:after="0" w:line="277" w:lineRule="auto"/>
        <w:tabs>
          <w:tab w:leader="none" w:pos="11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person shall qualify for service as a director of the Corporation if he or she is a party to any compensatory, payment or other financial agreement, arrangement or understanding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entity other than the Corporation, or has received any such compensation or other payment from any person or entity other than the Corporation, in each case in connection with candidacy or service as a director of the Corporation; provided that agreements providing only for indemnification and/or reimbursement of out-of-pocket expenses in connection with candidacy as a director (but not, for the avoidance of doubt, in connection with service as a director) and any pre-existing employment agreement a candidate has with his or her employer (not entered into in contemplation of the employer’s investment in the Corporation or such employee’s candidacy as a director), shall not be disqualifying under this provision.</w:t>
      </w:r>
    </w:p>
    <w:p>
      <w:pPr>
        <w:spacing w:after="0" w:line="15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The Board of Directors may elect a vice 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provided by law.</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Classification and Elections</w:t>
      </w:r>
      <w:r>
        <w:rPr>
          <w:rFonts w:ascii="Arial" w:cs="Arial" w:eastAsia="Arial" w:hAnsi="Arial"/>
          <w:sz w:val="17"/>
          <w:szCs w:val="17"/>
          <w:color w:val="auto"/>
        </w:rPr>
        <w:t>. The directors shall be classified, with respect to the time for which they shall hold their respective offices, by dividing them into three classes, to be known as “Class I,” “Class II” and “Class III.” Each director shall hold office for a three-year term or until the next annual meeting of stockholders at which his or her successor is elected and qualified. At each annual meeting of stockholders,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7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Removal and Resignation of Directors</w:t>
      </w:r>
      <w:r>
        <w:rPr>
          <w:rFonts w:ascii="Arial" w:cs="Arial" w:eastAsia="Arial" w:hAnsi="Arial"/>
          <w:sz w:val="18"/>
          <w:szCs w:val="18"/>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or (c)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 of the Corporation.</w:t>
      </w:r>
    </w:p>
    <w:p>
      <w:pPr>
        <w:spacing w:after="0" w:line="197"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Vacancies; Newly Created Directorships</w:t>
      </w:r>
      <w:r>
        <w:rPr>
          <w:rFonts w:ascii="Arial" w:cs="Arial" w:eastAsia="Arial" w:hAnsi="Arial"/>
          <w:sz w:val="16"/>
          <w:szCs w:val="16"/>
          <w:color w:val="auto"/>
        </w:rPr>
        <w:t>. Subject to any rights of the holders of preferred stock, if any, any vacancies on the Board of Directors resulting from death, resignation, retirement, disqualification, removal from office, or other cause, and newly created directorships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8" w:name="page19"/>
    <w:bookmarkEnd w:id="18"/>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and when their successors are elected or appointed,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Within two (2) business days before or after the annual meeting of the stockholders or any special meeting of the stockholders at which directors are elected (and within two (2) business days after such meeting if any individual first becomes a director by way of such election), the Board of Directors, including directors newly elected, if any, shall hold its annual meeting without call or notice other than this Section 3.8, to transact such business as the Board of Directors deems necessary or appropriate. The Board of Directors may provide by resolution the place, date, and hour for holding regular meetings between annual meetings, and if the Board of Directors so provides with respect to a regular meeting, notice of such regular meeting shall not be required.</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any rights of the holders of preferred stock, if any, and except as otherwise required by law, special meetings of the Board of Directors may be called only by the chairman of the board, if any, or if there be no chairman of the board, by the chief executive officer, if any, or by the president or the secretary, and shall be called by the chairman of the board, if any, the chief executive officer, if any, the president, or the secretary upon the request of at least a majority of the Board of Directors. If the chairman of the board, or if there be no chairman of the board, each of the chief executive officer, the president, and the secretary, fails for any reason to call such special meeting, a special meeting may be called by a notice signed by at least a majority of the Board of Directors.</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Notice of Meetings</w:t>
      </w:r>
      <w:r>
        <w:rPr>
          <w:rFonts w:ascii="Arial" w:cs="Arial" w:eastAsia="Arial" w:hAnsi="Arial"/>
          <w:sz w:val="17"/>
          <w:szCs w:val="17"/>
          <w:color w:val="auto"/>
        </w:rPr>
        <w:t>. Except as otherwise provided in Section 3.8, there shall be delivered to each director at the address appearing for him or her on the records of the Corporation, at least twenty-four (24) hours before the time of such meeting, a copy of a written notice of any meeting (i) by delivery of such notice personally, (ii) by mailing such notice postage prepaid, (iii) by facsimile, (iv) by overnight courier, or (v) by electronic transmission or electronic writing, including, without limitation, e-mail.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majority of the directors in office, at a meeting duly assembled, is necessary to constitute a quorum for the transaction of business.</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Manner of Acting</w:t>
      </w:r>
      <w:r>
        <w:rPr>
          <w:rFonts w:ascii="Arial" w:cs="Arial" w:eastAsia="Arial" w:hAnsi="Arial"/>
          <w:sz w:val="18"/>
          <w:szCs w:val="18"/>
          <w:color w:val="auto"/>
        </w:rPr>
        <w:t>. Except as provided in Section 3.14, the affirmative vote of a majority of the directors present at a meeting at which a quorum is present is the act of the Board of Directors.</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Super-majority Approval</w:t>
      </w:r>
      <w:r>
        <w:rPr>
          <w:rFonts w:ascii="Arial" w:cs="Arial" w:eastAsia="Arial" w:hAnsi="Arial"/>
          <w:sz w:val="16"/>
          <w:szCs w:val="16"/>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w:t>
      </w:r>
    </w:p>
    <w:p>
      <w:pPr>
        <w:spacing w:after="0" w:line="124" w:lineRule="exact"/>
        <w:rPr>
          <w:sz w:val="20"/>
          <w:szCs w:val="20"/>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Meetings Through Electronic Communications</w:t>
      </w:r>
      <w:r>
        <w:rPr>
          <w:rFonts w:ascii="Arial" w:cs="Arial" w:eastAsia="Arial" w:hAnsi="Arial"/>
          <w:sz w:val="17"/>
          <w:szCs w:val="17"/>
          <w:color w:val="auto"/>
        </w:rPr>
        <w:t>. Members of the Board of Directors or of any committee designated by the Board of Directors may participate in a meeting of the Board of Directors or such committee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Section 3.15 constitutes presence in person at the meeting.</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3.17 </w:t>
      </w:r>
      <w:r>
        <w:rPr>
          <w:rFonts w:ascii="Arial" w:cs="Arial" w:eastAsia="Arial" w:hAnsi="Arial"/>
          <w:sz w:val="18"/>
          <w:szCs w:val="18"/>
          <w:u w:val="single" w:color="auto"/>
          <w:color w:val="auto"/>
        </w:rPr>
        <w:t>Powers and Duties</w:t>
      </w:r>
      <w:r>
        <w:rPr>
          <w:rFonts w:ascii="Arial" w:cs="Arial" w:eastAsia="Arial" w:hAnsi="Arial"/>
          <w:sz w:val="18"/>
          <w:szCs w:val="18"/>
          <w:color w:val="auto"/>
        </w:rPr>
        <w:t>.</w:t>
      </w:r>
    </w:p>
    <w:p>
      <w:pPr>
        <w:spacing w:after="0" w:line="225" w:lineRule="exact"/>
        <w:rPr>
          <w:sz w:val="20"/>
          <w:szCs w:val="20"/>
          <w:color w:val="auto"/>
        </w:rPr>
      </w:pPr>
    </w:p>
    <w:p>
      <w:pPr>
        <w:ind w:right="300" w:firstLine="921"/>
        <w:spacing w:after="0" w:line="259" w:lineRule="auto"/>
        <w:tabs>
          <w:tab w:leader="none" w:pos="11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restricted by Chapter 78 of the NRS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spacing w:after="0" w:line="186" w:lineRule="exact"/>
        <w:rPr>
          <w:rFonts w:ascii="Arial" w:cs="Arial" w:eastAsia="Arial" w:hAnsi="Arial"/>
          <w:sz w:val="18"/>
          <w:szCs w:val="18"/>
          <w:color w:val="auto"/>
        </w:rPr>
      </w:pPr>
    </w:p>
    <w:p>
      <w:pPr>
        <w:jc w:val="both"/>
        <w:ind w:right="360" w:firstLine="921"/>
        <w:spacing w:after="0" w:line="264" w:lineRule="auto"/>
        <w:tabs>
          <w:tab w:leader="none" w:pos="11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in its discretion, or the chairman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81" w:lineRule="exact"/>
        <w:rPr>
          <w:rFonts w:ascii="Arial" w:cs="Arial" w:eastAsia="Arial" w:hAnsi="Arial"/>
          <w:sz w:val="18"/>
          <w:szCs w:val="18"/>
          <w:color w:val="auto"/>
        </w:rPr>
      </w:pPr>
    </w:p>
    <w:p>
      <w:pPr>
        <w:ind w:right="20" w:firstLine="921"/>
        <w:spacing w:after="0" w:line="270" w:lineRule="auto"/>
        <w:tabs>
          <w:tab w:leader="none" w:pos="11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without regard to personal interest, may establish the compensation of directors for services in any capacity. If the Board of Directors establishes the compensation of directors pursuant to this Section 3.18, such compensation is presumed to be fair to the Corporation unless proven unfair by a preponderance of the evidence.</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of Directors shall be presided over by the chairman of the board, or in the absence of the chairman of the board by the vice chairman, if any,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shall elect or appoint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of Directors, and shall have such powers and duties and be paid such compensation as may be directed by the Board of Directors. Any individual may hold two or more offices.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1" w:name="page22"/>
    <w:bookmarkEnd w:id="21"/>
    <w:p>
      <w:pPr>
        <w:jc w:val="both"/>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because of death, resignation, removal or otherwise may be filled by the Board of Directors for the unexpired portion of the term of such office.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Board of Directors may elect a chief executive officer who, subject to the supervision and control of the Board of Directors, shall have the ultimate responsibility for the management and control of the business and affairs of the Corporation, and perform such other duties and have such other powers which are delegated to him or her by the Board of Directors, these Bylaws or as provided by law.</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the chief executive officer, if any, these Bylaws or as provided by law. The president shall be the chief executive officer of the Corporation unless the Board of Directors shall elect or appoint different individuals to hold such positions.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provided by law.</w:t>
      </w:r>
    </w:p>
    <w:p>
      <w:pPr>
        <w:spacing w:after="0" w:line="19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provided by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 w:name="page23"/>
    <w:bookmarkEnd w:id="22"/>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4.9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if any,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8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Execution of Negotiable Instruments, Deeds and Contracts</w:t>
      </w:r>
      <w:r>
        <w:rPr>
          <w:rFonts w:ascii="Arial" w:cs="Arial" w:eastAsia="Arial" w:hAnsi="Arial"/>
          <w:sz w:val="16"/>
          <w:szCs w:val="16"/>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Stock Certificates and Uncertificated Shares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87" w:lineRule="auto"/>
        <w:tabs>
          <w:tab w:leader="none" w:pos="11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Every holder of stock in the Corporation shall be entitled to have a certificate signed by or in the name of the Corporation by (i) the chief executive officer, if any, the president, or a vice president, and (ii) the secretary, an assistant secretary, the treasurer or the chief financial officer, if any, of the Corporation (or any other two officers or agents so authorized by the Board of Directors), certifying the number of shares 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68" w:lineRule="exact"/>
        <w:rPr>
          <w:rFonts w:ascii="Arial" w:cs="Arial" w:eastAsia="Arial" w:hAnsi="Arial"/>
          <w:sz w:val="16"/>
          <w:szCs w:val="16"/>
          <w:color w:val="auto"/>
        </w:rPr>
      </w:pPr>
    </w:p>
    <w:p>
      <w:pPr>
        <w:ind w:right="220" w:firstLine="921"/>
        <w:spacing w:after="0" w:line="255"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89" w:lineRule="exact"/>
        <w:rPr>
          <w:rFonts w:ascii="Arial" w:cs="Arial" w:eastAsia="Arial" w:hAnsi="Arial"/>
          <w:sz w:val="18"/>
          <w:szCs w:val="18"/>
          <w:color w:val="auto"/>
        </w:rPr>
      </w:pPr>
    </w:p>
    <w:p>
      <w:pPr>
        <w:ind w:firstLine="921"/>
        <w:spacing w:after="0" w:line="255"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18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Surrendered; Lost or Destroyed Certificates</w:t>
      </w:r>
      <w:r>
        <w:rPr>
          <w:rFonts w:ascii="Arial" w:cs="Arial" w:eastAsia="Arial" w:hAnsi="Arial"/>
          <w:sz w:val="17"/>
          <w:szCs w:val="17"/>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4" w:name="page25"/>
    <w:bookmarkEnd w:id="2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Transfer of Shares</w:t>
      </w:r>
      <w:r>
        <w:rPr>
          <w:rFonts w:ascii="Arial" w:cs="Arial" w:eastAsia="Arial" w:hAnsi="Arial"/>
          <w:sz w:val="18"/>
          <w:szCs w:val="18"/>
          <w:color w:val="auto"/>
        </w:rPr>
        <w:t>. No transfer of stock shall be valid as against the Corporation except on surrender and cancellation of any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8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Transfer Agent; Registrars</w:t>
      </w:r>
      <w:r>
        <w:rPr>
          <w:rFonts w:ascii="Arial" w:cs="Arial" w:eastAsia="Arial" w:hAnsi="Arial"/>
          <w:sz w:val="17"/>
          <w:szCs w:val="17"/>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Miscellaneous</w:t>
      </w:r>
      <w:r>
        <w:rPr>
          <w:rFonts w:ascii="Arial" w:cs="Arial" w:eastAsia="Arial" w:hAnsi="Arial"/>
          <w:sz w:val="17"/>
          <w:szCs w:val="17"/>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Inapplicability of Controlling Interest Statutes</w:t>
      </w:r>
      <w:r>
        <w:rPr>
          <w:rFonts w:ascii="Arial" w:cs="Arial" w:eastAsia="Arial" w:hAnsi="Arial"/>
          <w:sz w:val="18"/>
          <w:szCs w:val="18"/>
          <w:color w:val="auto"/>
        </w:rPr>
        <w:t>. 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any and all acquisitions of shares of the Corporation’s common stock, par value $.01 per share, effected by Stephen A. Wynn or any of his affiliates.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DISTRIBUTIONS</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Distributions may be declared, subject to the provisions of the laws of the State of Nevada and the Articles of Incorporation, by the Board of Directors and may be paid in money, shares of corporate stock, property or any other medium not prohibited under applicable law. The Board of Directors may fix in advance a record date, in accordance with and as provided in Section 2.5, prior to the distribution for the purpose of determining stockholders entitled to receive any distribution.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RECORDS AND REPORTS; CORPORATE SEAL; FISCAL YEAR</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Records</w:t>
      </w:r>
      <w:r>
        <w:rPr>
          <w:rFonts w:ascii="Arial" w:cs="Arial" w:eastAsia="Arial" w:hAnsi="Arial"/>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Fiscal Year-End</w:t>
      </w:r>
      <w:r>
        <w:rPr>
          <w:rFonts w:ascii="Arial" w:cs="Arial" w:eastAsia="Arial" w:hAnsi="Arial"/>
          <w:sz w:val="18"/>
          <w:szCs w:val="18"/>
          <w:color w:val="auto"/>
        </w:rPr>
        <w:t>. The fiscal year-end of the Corporation shall be such date as may be fixed from time to time by resolution of the Board of Directors.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1492"/>
        <w:spacing w:after="0" w:line="272" w:lineRule="auto"/>
        <w:tabs>
          <w:tab w:leader="none" w:pos="1698"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purposes of this Article, (A) “</w:t>
      </w:r>
      <w:r>
        <w:rPr>
          <w:rFonts w:ascii="Arial" w:cs="Arial" w:eastAsia="Arial" w:hAnsi="Arial"/>
          <w:sz w:val="17"/>
          <w:szCs w:val="17"/>
          <w:b w:val="1"/>
          <w:bCs w:val="1"/>
          <w:color w:val="auto"/>
        </w:rPr>
        <w:t>Indemnitee</w:t>
      </w:r>
      <w:r>
        <w:rPr>
          <w:rFonts w:ascii="Arial" w:cs="Arial" w:eastAsia="Arial" w:hAnsi="Arial"/>
          <w:sz w:val="17"/>
          <w:szCs w:val="17"/>
          <w:color w:val="auto"/>
        </w:rPr>
        <w:t>” shall mean each director or officer who was or is a party to, or is threatened to be made a party to, or is otherwise involved in, any Proceeding (as hereinafter defined), by reason of the fact that he or she is or was a director, officer, employee or agent (including, without limitation, as a trustee, fiduciary, administrator or manager) of the Corporation or member, manager or managing member of a predecessor limited liability company or affiliate of such limited liability company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Arial" w:cs="Arial" w:eastAsia="Arial" w:hAnsi="Arial"/>
          <w:sz w:val="17"/>
          <w:szCs w:val="17"/>
          <w:b w:val="1"/>
          <w:bCs w:val="1"/>
          <w:color w:val="auto"/>
        </w:rPr>
        <w:t>Proceeding</w:t>
      </w:r>
      <w:r>
        <w:rPr>
          <w:rFonts w:ascii="Arial" w:cs="Arial" w:eastAsia="Arial" w:hAnsi="Arial"/>
          <w:sz w:val="17"/>
          <w:szCs w:val="17"/>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76" w:lineRule="exact"/>
        <w:rPr>
          <w:rFonts w:ascii="Arial" w:cs="Arial" w:eastAsia="Arial" w:hAnsi="Arial"/>
          <w:sz w:val="17"/>
          <w:szCs w:val="17"/>
          <w:color w:val="auto"/>
        </w:rPr>
      </w:pPr>
    </w:p>
    <w:p>
      <w:pPr>
        <w:ind w:right="20" w:firstLine="1492"/>
        <w:spacing w:after="0" w:line="287" w:lineRule="auto"/>
        <w:tabs>
          <w:tab w:leader="none" w:pos="17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6" w:name="page27"/>
    <w:bookmarkEnd w:id="26"/>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179" w:lineRule="exact"/>
        <w:rPr>
          <w:sz w:val="20"/>
          <w:szCs w:val="20"/>
          <w:color w:val="auto"/>
        </w:rPr>
      </w:pPr>
    </w:p>
    <w:p>
      <w:pPr>
        <w:ind w:right="40" w:firstLine="1492"/>
        <w:spacing w:after="0" w:line="302" w:lineRule="auto"/>
        <w:tabs>
          <w:tab w:leader="none" w:pos="1798"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54" w:lineRule="exact"/>
        <w:rPr>
          <w:rFonts w:ascii="Arial" w:cs="Arial" w:eastAsia="Arial" w:hAnsi="Arial"/>
          <w:sz w:val="16"/>
          <w:szCs w:val="16"/>
          <w:color w:val="auto"/>
        </w:rPr>
      </w:pPr>
    </w:p>
    <w:p>
      <w:pPr>
        <w:ind w:right="80" w:firstLine="1492"/>
        <w:spacing w:after="0" w:line="273" w:lineRule="auto"/>
        <w:tabs>
          <w:tab w:leader="none" w:pos="1788"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78" w:lineRule="exact"/>
        <w:rPr>
          <w:rFonts w:ascii="Arial" w:cs="Arial" w:eastAsia="Arial" w:hAnsi="Arial"/>
          <w:sz w:val="17"/>
          <w:szCs w:val="17"/>
          <w:color w:val="auto"/>
        </w:rPr>
      </w:pPr>
    </w:p>
    <w:p>
      <w:pPr>
        <w:ind w:firstLine="921"/>
        <w:spacing w:after="0" w:line="277"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Other Persons</w:t>
      </w:r>
      <w:r>
        <w:rPr>
          <w:rFonts w:ascii="Arial" w:cs="Arial" w:eastAsia="Arial" w:hAnsi="Arial"/>
          <w:sz w:val="18"/>
          <w:szCs w:val="18"/>
          <w:color w:val="auto"/>
        </w:rPr>
        <w:t>. The Corporation may, by action of its Board of Directors and to the extent provided in such action, indemnify employees and other persons as though they were Indemnitees.</w:t>
      </w:r>
    </w:p>
    <w:p>
      <w:pPr>
        <w:spacing w:after="0" w:line="170" w:lineRule="exact"/>
        <w:rPr>
          <w:rFonts w:ascii="Arial" w:cs="Arial" w:eastAsia="Arial" w:hAnsi="Arial"/>
          <w:sz w:val="18"/>
          <w:szCs w:val="18"/>
          <w:color w:val="auto"/>
        </w:rPr>
      </w:pPr>
    </w:p>
    <w:p>
      <w:pPr>
        <w:ind w:right="220" w:firstLine="921"/>
        <w:spacing w:after="0" w:line="264"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86" w:lineRule="exact"/>
        <w:rPr>
          <w:rFonts w:ascii="Arial" w:cs="Arial" w:eastAsia="Arial" w:hAnsi="Arial"/>
          <w:sz w:val="18"/>
          <w:szCs w:val="18"/>
          <w:color w:val="auto"/>
        </w:rPr>
      </w:pPr>
    </w:p>
    <w:p>
      <w:pPr>
        <w:ind w:right="80" w:firstLine="921"/>
        <w:spacing w:after="0" w:line="302" w:lineRule="auto"/>
        <w:tabs>
          <w:tab w:leader="none" w:pos="115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Other Financial Arrangements</w:t>
      </w:r>
      <w:r>
        <w:rPr>
          <w:rFonts w:ascii="Arial" w:cs="Arial" w:eastAsia="Arial" w:hAnsi="Arial"/>
          <w:sz w:val="16"/>
          <w:szCs w:val="16"/>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liable for intentional misconduct, fraud, or a knowing violation of law, except with respect to advancement of expenses or indemnification ordered by a court.</w:t>
      </w:r>
    </w:p>
    <w:p>
      <w:pPr>
        <w:spacing w:after="0" w:line="248" w:lineRule="exact"/>
        <w:rPr>
          <w:sz w:val="20"/>
          <w:szCs w:val="20"/>
          <w:color w:val="auto"/>
        </w:rPr>
      </w:pPr>
    </w:p>
    <w:p>
      <w:pPr>
        <w:ind w:right="140" w:firstLine="921"/>
        <w:spacing w:after="0" w:line="255" w:lineRule="auto"/>
        <w:tabs>
          <w:tab w:leader="none" w:pos="113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Other Matters Relating to Insurance or Financial Arrangements</w:t>
      </w:r>
      <w:r>
        <w:rPr>
          <w:rFonts w:ascii="Arial" w:cs="Arial" w:eastAsia="Arial" w:hAnsi="Arial"/>
          <w:sz w:val="18"/>
          <w:szCs w:val="18"/>
          <w:color w:val="auto"/>
        </w:rPr>
        <w:t>.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Amendment</w:t>
      </w:r>
      <w:r>
        <w:rPr>
          <w:rFonts w:ascii="Arial" w:cs="Arial" w:eastAsia="Arial" w:hAnsi="Arial"/>
          <w:sz w:val="17"/>
          <w:szCs w:val="17"/>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8.2. Notwithstanding any other provision of these Bylaws relating to their amendment generally, any repeal or amendment of this Article VIII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no repeal or amendment of these Bylaws shall affect any or all of this Article VIII so as to limit or reduce the indemnification in any manner unless adopted by (i) the unanimous vote of the directors of the Corporation then serving, or (ii) by the stockholders as set forth in Article X; provided that no such amendment shall have a retroactive effect inconsistent with the preceding sentence.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CHANGES IN NEVADA LAW</w:t>
      </w:r>
    </w:p>
    <w:p>
      <w:pPr>
        <w:spacing w:after="0" w:line="21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VIII,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OR REPEAL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277" w:lineRule="auto"/>
        <w:tabs>
          <w:tab w:leader="none" w:pos="115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In furtherance and not in limitation of the powers conferred by statute, the Board of Directors is expressly authorized to amend or repeal these Bylaws or to adopt new bylaws.</w:t>
      </w:r>
    </w:p>
    <w:p>
      <w:pPr>
        <w:spacing w:after="0" w:line="170" w:lineRule="exact"/>
        <w:rPr>
          <w:rFonts w:ascii="Arial" w:cs="Arial" w:eastAsia="Arial" w:hAnsi="Arial"/>
          <w:sz w:val="18"/>
          <w:szCs w:val="18"/>
          <w:color w:val="auto"/>
        </w:rPr>
      </w:pPr>
    </w:p>
    <w:p>
      <w:pPr>
        <w:ind w:firstLine="921"/>
        <w:spacing w:after="0" w:line="264" w:lineRule="auto"/>
        <w:tabs>
          <w:tab w:leader="none" w:pos="11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Stockholders</w:t>
      </w:r>
      <w:r>
        <w:rPr>
          <w:rFonts w:ascii="Arial" w:cs="Arial" w:eastAsia="Arial" w:hAnsi="Arial"/>
          <w:sz w:val="18"/>
          <w:szCs w:val="18"/>
          <w:color w:val="auto"/>
        </w:rPr>
        <w:t>. Notwithstanding Section 10.1(a), these Bylaws may be amended or repealed in any respect, and new bylaws may be adopted, in each case by the affirmative vote of the holders of at least sixty-six and two-thirds percent (66-2/3%) of the outstanding voting power of the Corporation, voting together as a single class.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FORUM FOR ADJUDICATION OF DISPUTES</w:t>
      </w:r>
    </w:p>
    <w:p>
      <w:pPr>
        <w:spacing w:after="0" w:line="2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To the fullest extent permitted by law, and unless the Corporation consents in writing to the selection of an alternative forum, the Eighth Judicial District Court of Clark County, Nevada, shall be the sole and 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NRS Chapters 78 or 92A or any provision of the Articles of Incorporation or these Bylaws or (d) any action asserting a claim governed by the internal affairs doctrine, including, without limitation, any action to interpret, apply, enforce or determine the validity of the Articles of Incorporation or these Bylaws. Any person or entity purchasing or otherwise acquiring any interest in shares of capital stock of the corporation shall be deemed to have notice of and consented to the provisions of this Article XI.</w:t>
      </w:r>
    </w:p>
    <w:p>
      <w:pPr>
        <w:spacing w:after="0" w:line="192" w:lineRule="exact"/>
        <w:rPr>
          <w:sz w:val="20"/>
          <w:szCs w:val="20"/>
          <w:color w:val="auto"/>
        </w:rPr>
      </w:pPr>
    </w:p>
    <w:p>
      <w:pPr>
        <w:ind w:left="4980"/>
        <w:spacing w:after="0"/>
        <w:tabs>
          <w:tab w:leader="none" w:pos="5400" w:val="left"/>
          <w:tab w:leader="none" w:pos="5860" w:val="left"/>
          <w:tab w:leader="none" w:pos="6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w:t>
      </w:r>
    </w:p>
    <w:p>
      <w:pPr>
        <w:spacing w:after="0" w:line="221"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The undersigned, as the duly elected Secretary of Wynn Resorts, Limited, a Nevada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 does hereby certify that the Board of Directors of the Corporation adopted the foregoing Sixth Amended and Restated Bylaws as of September 9, 2013.</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 Secretary</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4"/>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decimal"/>
      <w:start w:val="1"/>
    </w:lvl>
    <w:lvl w:ilvl="1">
      <w:lvlJc w:val="left"/>
      <w:lvlText w:val="(%2)"/>
      <w:numFmt w:val="lowerLetter"/>
      <w:start w:val="1"/>
    </w:lvl>
  </w:abstractNum>
  <w:abstractNum w:abstractNumId="5">
    <w:nsid w:val="519B500D"/>
    <w:multiLevelType w:val="hybridMultilevel"/>
    <w:lvl w:ilvl="0">
      <w:lvlJc w:val="left"/>
      <w:lvlText w:val="(%1)"/>
      <w:numFmt w:val="decimal"/>
      <w:start w:val="10"/>
    </w:lvl>
    <w:lvl w:ilvl="1">
      <w:lvlJc w:val="left"/>
      <w:lvlText w:val="(%2)"/>
      <w:numFmt w:val="lowerLetter"/>
      <w:start w:val="2"/>
    </w:lvl>
  </w:abstractNum>
  <w:abstractNum w:abstractNumId="6">
    <w:nsid w:val="431BD7B7"/>
    <w:multiLevelType w:val="hybridMultilevel"/>
    <w:lvl w:ilvl="0">
      <w:lvlJc w:val="left"/>
      <w:lvlText w:val="(%1)"/>
      <w:numFmt w:val="lowerLetter"/>
      <w:start w:val="5"/>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2"/>
    </w:lvl>
    <w:lvl w:ilvl="1">
      <w:lvlJc w:val="left"/>
      <w:lvlText w:val="(%2)"/>
      <w:numFmt w:val="lowerRoman"/>
      <w:start w:val="1"/>
    </w:lvl>
  </w:abstractNum>
  <w:abstractNum w:abstractNumId="11">
    <w:nsid w:val="436C6125"/>
    <w:multiLevelType w:val="hybridMultilevel"/>
    <w:lvl w:ilvl="0">
      <w:lvlJc w:val="left"/>
      <w:lvlText w:val="(%1)"/>
      <w:numFmt w:val="lowerLetter"/>
      <w:start w:val="7"/>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3"/>
    </w:lvl>
  </w:abstractNum>
  <w:abstractNum w:abstractNumId="14">
    <w:nsid w:val="721DA31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
    <w:nsid w:val="2443A85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6">
    <w:nsid w:val="2D1D5AE9"/>
    <w:multiLevelType w:val="hybridMultilevel"/>
    <w:lvl w:ilvl="0">
      <w:lvlJc w:val="left"/>
      <w:lvlText w:val="%1"/>
      <w:numFmt w:val="lowerLetter"/>
      <w:start w:val="1"/>
    </w:lvl>
    <w:lvl w:ilvl="1">
      <w:lvlJc w:val="left"/>
      <w:lvlText w:val="(%2)"/>
      <w:numFmt w:val="lowerLetter"/>
      <w:start w:val="22"/>
    </w:lvl>
  </w:abstractNum>
  <w:abstractNum w:abstractNumId="17">
    <w:nsid w:val="6763845E"/>
    <w:multiLevelType w:val="hybridMultilevel"/>
    <w:lvl w:ilvl="0">
      <w:lvlJc w:val="left"/>
      <w:lvlText w:val="(%1)"/>
      <w:numFmt w:val="lowerLetter"/>
      <w:start w:val="2"/>
    </w:lvl>
    <w:lvl w:ilvl="1">
      <w:lvlJc w:val="left"/>
      <w:lvlText w:val="%2"/>
      <w:numFmt w:val="lowerLetter"/>
      <w:start w:val="1"/>
    </w:lvl>
  </w:abstractNum>
  <w:abstractNum w:abstractNumId="18">
    <w:nsid w:val="75A2A8D4"/>
    <w:multiLevelType w:val="hybridMultilevel"/>
    <w:lvl w:ilvl="0">
      <w:lvlJc w:val="left"/>
      <w:lvlText w:val="(%1)"/>
      <w:numFmt w:val="lowerLetter"/>
      <w:start w:val="4"/>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lvl w:ilvl="1">
      <w:lvlJc w:val="left"/>
      <w:lvlText w:val="(%2)"/>
      <w:numFmt w:val="lowerRoman"/>
      <w:start w:val="1"/>
    </w:lvl>
  </w:abstractNum>
  <w:abstractNum w:abstractNumId="25">
    <w:nsid w:val="71F32454"/>
    <w:multiLevelType w:val="hybridMultilevel"/>
    <w:lvl w:ilvl="0">
      <w:lvlJc w:val="left"/>
      <w:lvlText w:val="%1"/>
      <w:numFmt w:val="lowerLetter"/>
      <w:start w:val="1"/>
    </w:lvl>
    <w:lvl w:ilvl="1">
      <w:lvlJc w:val="left"/>
      <w:lvlText w:val="(%2)"/>
      <w:numFmt w:val="lowerRoman"/>
      <w:start w:val="3"/>
    </w:lvl>
  </w:abstractNum>
  <w:abstractNum w:abstractNumId="26">
    <w:nsid w:val="2CA88611"/>
    <w:multiLevelType w:val="hybridMultilevel"/>
    <w:lvl w:ilvl="0">
      <w:lvlJc w:val="left"/>
      <w:lvlText w:val="(%1)"/>
      <w:numFmt w:val="lowerLetter"/>
      <w:start w:val="2"/>
    </w:lvl>
    <w:lvl w:ilvl="1">
      <w:lvlJc w:val="left"/>
      <w:lvlText w:val="%2"/>
      <w:numFmt w:val="lowerRoman"/>
      <w:start w:val="1"/>
    </w:lvl>
  </w:abstractNum>
  <w:abstractNum w:abstractNumId="27">
    <w:nsid w:val="836C40E"/>
    <w:multiLevelType w:val="hybridMultilevel"/>
    <w:lvl w:ilvl="0">
      <w:lvlJc w:val="left"/>
      <w:lvlText w:val="(%1)"/>
      <w:numFmt w:val="lowerLetter"/>
      <w:start w:val="6"/>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2019-12-07T03:55:06Z</dcterms:created>
  <dcterms:modified xsi:type="dcterms:W3CDTF">2019-12-07T03:55:06Z</dcterms:modified>
</cp:coreProperties>
</file>