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339090</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384175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66"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Pursuant to Section 13 or 15(d)</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 as Amended</w:t>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May 5,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474345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2800" w:type="dxa"/>
            <w:vAlign w:val="bottom"/>
          </w:tcPr>
          <w:p>
            <w:pPr>
              <w:jc w:val="center"/>
              <w:ind w:right="219"/>
              <w:spacing w:after="0"/>
              <w:rPr>
                <w:sz w:val="20"/>
                <w:szCs w:val="20"/>
                <w:color w:val="auto"/>
              </w:rPr>
            </w:pPr>
            <w:r>
              <w:rPr>
                <w:rFonts w:ascii="Arial" w:cs="Arial" w:eastAsia="Arial" w:hAnsi="Arial"/>
                <w:sz w:val="18"/>
                <w:szCs w:val="18"/>
                <w:b w:val="1"/>
                <w:bCs w:val="1"/>
                <w:color w:val="auto"/>
                <w:w w:val="90"/>
              </w:rPr>
              <w:t>Nevada</w:t>
            </w:r>
          </w:p>
        </w:tc>
        <w:tc>
          <w:tcPr>
            <w:tcW w:w="4800" w:type="dxa"/>
            <w:vAlign w:val="bottom"/>
          </w:tcPr>
          <w:p>
            <w:pPr>
              <w:ind w:left="1900"/>
              <w:spacing w:after="0"/>
              <w:rPr>
                <w:sz w:val="20"/>
                <w:szCs w:val="20"/>
                <w:color w:val="auto"/>
              </w:rPr>
            </w:pPr>
            <w:r>
              <w:rPr>
                <w:rFonts w:ascii="Arial" w:cs="Arial" w:eastAsia="Arial" w:hAnsi="Arial"/>
                <w:sz w:val="18"/>
                <w:szCs w:val="18"/>
                <w:b w:val="1"/>
                <w:bCs w:val="1"/>
                <w:color w:val="auto"/>
              </w:rPr>
              <w:t>000-50028</w:t>
            </w:r>
          </w:p>
        </w:tc>
        <w:tc>
          <w:tcPr>
            <w:tcW w:w="1800" w:type="dxa"/>
            <w:vAlign w:val="bottom"/>
          </w:tcPr>
          <w:p>
            <w:pPr>
              <w:jc w:val="right"/>
              <w:ind w:right="41"/>
              <w:spacing w:after="0"/>
              <w:rPr>
                <w:sz w:val="20"/>
                <w:szCs w:val="20"/>
                <w:color w:val="auto"/>
              </w:rPr>
            </w:pPr>
            <w:r>
              <w:rPr>
                <w:rFonts w:ascii="Arial" w:cs="Arial" w:eastAsia="Arial" w:hAnsi="Arial"/>
                <w:sz w:val="18"/>
                <w:szCs w:val="18"/>
                <w:b w:val="1"/>
                <w:bCs w:val="1"/>
                <w:color w:val="auto"/>
              </w:rPr>
              <w:t>46-0484987</w:t>
            </w:r>
          </w:p>
        </w:tc>
        <w:tc>
          <w:tcPr>
            <w:tcW w:w="0" w:type="dxa"/>
            <w:vAlign w:val="bottom"/>
          </w:tcPr>
          <w:p>
            <w:pPr>
              <w:spacing w:after="0"/>
              <w:rPr>
                <w:sz w:val="1"/>
                <w:szCs w:val="1"/>
                <w:color w:val="auto"/>
              </w:rPr>
            </w:pPr>
          </w:p>
        </w:tc>
      </w:tr>
      <w:tr>
        <w:trPr>
          <w:trHeight w:val="180"/>
        </w:trPr>
        <w:tc>
          <w:tcPr>
            <w:tcW w:w="2800" w:type="dxa"/>
            <w:vAlign w:val="bottom"/>
          </w:tcPr>
          <w:p>
            <w:pPr>
              <w:jc w:val="center"/>
              <w:ind w:right="199"/>
              <w:spacing w:after="0"/>
              <w:rPr>
                <w:sz w:val="20"/>
                <w:szCs w:val="20"/>
                <w:color w:val="auto"/>
              </w:rPr>
            </w:pPr>
            <w:r>
              <w:rPr>
                <w:rFonts w:ascii="Arial" w:cs="Arial" w:eastAsia="Arial" w:hAnsi="Arial"/>
                <w:sz w:val="14"/>
                <w:szCs w:val="14"/>
                <w:b w:val="1"/>
                <w:bCs w:val="1"/>
                <w:color w:val="auto"/>
                <w:w w:val="93"/>
              </w:rPr>
              <w:t>(State or other jurisdiction</w:t>
            </w:r>
          </w:p>
        </w:tc>
        <w:tc>
          <w:tcPr>
            <w:tcW w:w="4800" w:type="dxa"/>
            <w:vAlign w:val="bottom"/>
          </w:tcPr>
          <w:p>
            <w:pPr>
              <w:ind w:left="1880"/>
              <w:spacing w:after="0"/>
              <w:rPr>
                <w:sz w:val="20"/>
                <w:szCs w:val="20"/>
                <w:color w:val="auto"/>
              </w:rPr>
            </w:pPr>
            <w:r>
              <w:rPr>
                <w:rFonts w:ascii="Arial" w:cs="Arial" w:eastAsia="Arial" w:hAnsi="Arial"/>
                <w:sz w:val="14"/>
                <w:szCs w:val="14"/>
                <w:b w:val="1"/>
                <w:bCs w:val="1"/>
                <w:color w:val="auto"/>
              </w:rPr>
              <w:t>(Commission</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2800" w:type="dxa"/>
            <w:vAlign w:val="bottom"/>
          </w:tcPr>
          <w:p>
            <w:pPr>
              <w:jc w:val="center"/>
              <w:ind w:right="219"/>
              <w:spacing w:after="0"/>
              <w:rPr>
                <w:sz w:val="20"/>
                <w:szCs w:val="20"/>
                <w:color w:val="auto"/>
              </w:rPr>
            </w:pPr>
            <w:r>
              <w:rPr>
                <w:rFonts w:ascii="Arial" w:cs="Arial" w:eastAsia="Arial" w:hAnsi="Arial"/>
                <w:sz w:val="14"/>
                <w:szCs w:val="14"/>
                <w:b w:val="1"/>
                <w:bCs w:val="1"/>
                <w:color w:val="auto"/>
                <w:w w:val="94"/>
              </w:rPr>
              <w:t>of incorporation)</w:t>
            </w:r>
          </w:p>
        </w:tc>
        <w:tc>
          <w:tcPr>
            <w:tcW w:w="4800" w:type="dxa"/>
            <w:vAlign w:val="bottom"/>
          </w:tcPr>
          <w:p>
            <w:pPr>
              <w:ind w:left="1860"/>
              <w:spacing w:after="0"/>
              <w:rPr>
                <w:sz w:val="20"/>
                <w:szCs w:val="20"/>
                <w:color w:val="auto"/>
              </w:rPr>
            </w:pPr>
            <w:r>
              <w:rPr>
                <w:rFonts w:ascii="Arial" w:cs="Arial" w:eastAsia="Arial" w:hAnsi="Arial"/>
                <w:sz w:val="14"/>
                <w:szCs w:val="14"/>
                <w:b w:val="1"/>
                <w:bCs w:val="1"/>
                <w:color w:val="auto"/>
              </w:rPr>
              <w:t>File Number)</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561"/>
        </w:trPr>
        <w:tc>
          <w:tcPr>
            <w:tcW w:w="2800" w:type="dxa"/>
            <w:vAlign w:val="bottom"/>
          </w:tcPr>
          <w:p>
            <w:pPr>
              <w:jc w:val="center"/>
              <w:ind w:right="219"/>
              <w:spacing w:after="0"/>
              <w:rPr>
                <w:sz w:val="20"/>
                <w:szCs w:val="20"/>
                <w:color w:val="auto"/>
              </w:rPr>
            </w:pPr>
            <w:r>
              <w:rPr>
                <w:rFonts w:ascii="Arial" w:cs="Arial" w:eastAsia="Arial" w:hAnsi="Arial"/>
                <w:sz w:val="18"/>
                <w:szCs w:val="18"/>
                <w:b w:val="1"/>
                <w:bCs w:val="1"/>
                <w:color w:val="auto"/>
                <w:w w:val="88"/>
              </w:rPr>
              <w:t>3131 Las Vegas Boulevard South</w:t>
            </w:r>
          </w:p>
        </w:tc>
        <w:tc>
          <w:tcPr>
            <w:tcW w:w="48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0" w:type="dxa"/>
            <w:vAlign w:val="bottom"/>
          </w:tcPr>
          <w:p>
            <w:pPr>
              <w:jc w:val="center"/>
              <w:ind w:right="199"/>
              <w:spacing w:after="0"/>
              <w:rPr>
                <w:sz w:val="20"/>
                <w:szCs w:val="20"/>
                <w:color w:val="auto"/>
              </w:rPr>
            </w:pPr>
            <w:r>
              <w:rPr>
                <w:rFonts w:ascii="Arial" w:cs="Arial" w:eastAsia="Arial" w:hAnsi="Arial"/>
                <w:sz w:val="18"/>
                <w:szCs w:val="18"/>
                <w:b w:val="1"/>
                <w:bCs w:val="1"/>
                <w:color w:val="auto"/>
                <w:w w:val="88"/>
              </w:rPr>
              <w:t>Las Vegas, Nevada</w:t>
            </w:r>
          </w:p>
        </w:tc>
        <w:tc>
          <w:tcPr>
            <w:tcW w:w="4800" w:type="dxa"/>
            <w:vAlign w:val="bottom"/>
          </w:tcPr>
          <w:p>
            <w:pPr>
              <w:spacing w:after="0"/>
              <w:rPr>
                <w:sz w:val="20"/>
                <w:szCs w:val="20"/>
                <w:color w:val="auto"/>
              </w:rPr>
            </w:pPr>
          </w:p>
        </w:tc>
        <w:tc>
          <w:tcPr>
            <w:tcW w:w="18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c>
          <w:tcPr>
            <w:tcW w:w="0" w:type="dxa"/>
            <w:vAlign w:val="bottom"/>
          </w:tcPr>
          <w:p>
            <w:pPr>
              <w:spacing w:after="0"/>
              <w:rPr>
                <w:sz w:val="1"/>
                <w:szCs w:val="1"/>
                <w:color w:val="auto"/>
              </w:rPr>
            </w:pPr>
          </w:p>
        </w:tc>
      </w:tr>
      <w:tr>
        <w:trPr>
          <w:trHeight w:val="218"/>
        </w:trPr>
        <w:tc>
          <w:tcPr>
            <w:tcW w:w="2800" w:type="dxa"/>
            <w:vAlign w:val="bottom"/>
          </w:tcPr>
          <w:p>
            <w:pPr>
              <w:jc w:val="center"/>
              <w:ind w:right="2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800" w:type="dxa"/>
            <w:vAlign w:val="bottom"/>
          </w:tcPr>
          <w:p>
            <w:pPr>
              <w:spacing w:after="0"/>
              <w:rPr>
                <w:sz w:val="18"/>
                <w:szCs w:val="18"/>
                <w:color w:val="auto"/>
              </w:rPr>
            </w:pPr>
          </w:p>
        </w:tc>
        <w:tc>
          <w:tcPr>
            <w:tcW w:w="1800" w:type="dxa"/>
            <w:vAlign w:val="bottom"/>
            <w:vMerge w:val="restart"/>
          </w:tcPr>
          <w:p>
            <w:pPr>
              <w:jc w:val="center"/>
              <w:ind w:left="601"/>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68"/>
        </w:trPr>
        <w:tc>
          <w:tcPr>
            <w:tcW w:w="2800" w:type="dxa"/>
            <w:vAlign w:val="bottom"/>
          </w:tcPr>
          <w:p>
            <w:pPr>
              <w:spacing w:after="0"/>
              <w:rPr>
                <w:sz w:val="5"/>
                <w:szCs w:val="5"/>
                <w:color w:val="auto"/>
              </w:rPr>
            </w:pPr>
          </w:p>
        </w:tc>
        <w:tc>
          <w:tcPr>
            <w:tcW w:w="4800" w:type="dxa"/>
            <w:vAlign w:val="bottom"/>
          </w:tcPr>
          <w:p>
            <w:pPr>
              <w:spacing w:after="0"/>
              <w:rPr>
                <w:sz w:val="5"/>
                <w:szCs w:val="5"/>
                <w:color w:val="auto"/>
              </w:rPr>
            </w:pP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67"/>
        </w:trPr>
        <w:tc>
          <w:tcPr>
            <w:tcW w:w="2800" w:type="dxa"/>
            <w:vAlign w:val="bottom"/>
          </w:tcPr>
          <w:p>
            <w:pPr>
              <w:spacing w:after="0"/>
              <w:rPr>
                <w:sz w:val="24"/>
                <w:szCs w:val="24"/>
                <w:color w:val="auto"/>
              </w:rPr>
            </w:pPr>
          </w:p>
        </w:tc>
        <w:tc>
          <w:tcPr>
            <w:tcW w:w="4800" w:type="dxa"/>
            <w:vAlign w:val="bottom"/>
          </w:tcPr>
          <w:p>
            <w:pPr>
              <w:jc w:val="center"/>
              <w:ind w:right="280"/>
              <w:spacing w:after="0"/>
              <w:rPr>
                <w:sz w:val="20"/>
                <w:szCs w:val="20"/>
                <w:color w:val="auto"/>
              </w:rPr>
            </w:pPr>
            <w:r>
              <w:rPr>
                <w:rFonts w:ascii="Arial" w:cs="Arial" w:eastAsia="Arial" w:hAnsi="Arial"/>
                <w:sz w:val="18"/>
                <w:szCs w:val="18"/>
                <w:b w:val="1"/>
                <w:bCs w:val="1"/>
                <w:color w:val="auto"/>
                <w:w w:val="90"/>
              </w:rPr>
              <w:t>(702) 770-7555</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800" w:type="dxa"/>
            <w:vAlign w:val="bottom"/>
          </w:tcPr>
          <w:p>
            <w:pPr>
              <w:spacing w:after="0"/>
              <w:rPr>
                <w:sz w:val="16"/>
                <w:szCs w:val="16"/>
                <w:color w:val="auto"/>
              </w:rPr>
            </w:pPr>
          </w:p>
        </w:tc>
        <w:tc>
          <w:tcPr>
            <w:tcW w:w="4800" w:type="dxa"/>
            <w:vAlign w:val="bottom"/>
          </w:tcPr>
          <w:p>
            <w:pPr>
              <w:jc w:val="center"/>
              <w:ind w:right="3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4"/>
        </w:trPr>
        <w:tc>
          <w:tcPr>
            <w:tcW w:w="2800" w:type="dxa"/>
            <w:vAlign w:val="bottom"/>
          </w:tcPr>
          <w:p>
            <w:pPr>
              <w:spacing w:after="0"/>
              <w:rPr>
                <w:sz w:val="24"/>
                <w:szCs w:val="24"/>
                <w:color w:val="auto"/>
              </w:rPr>
            </w:pPr>
          </w:p>
        </w:tc>
        <w:tc>
          <w:tcPr>
            <w:tcW w:w="4800" w:type="dxa"/>
            <w:vAlign w:val="bottom"/>
          </w:tcPr>
          <w:p>
            <w:pPr>
              <w:jc w:val="center"/>
              <w:ind w:right="280"/>
              <w:spacing w:after="0"/>
              <w:rPr>
                <w:sz w:val="20"/>
                <w:szCs w:val="20"/>
                <w:color w:val="auto"/>
              </w:rPr>
            </w:pPr>
            <w:r>
              <w:rPr>
                <w:rFonts w:ascii="Arial" w:cs="Arial" w:eastAsia="Arial" w:hAnsi="Arial"/>
                <w:sz w:val="18"/>
                <w:szCs w:val="18"/>
                <w:b w:val="1"/>
                <w:bCs w:val="1"/>
                <w:color w:val="auto"/>
                <w:w w:val="92"/>
              </w:rPr>
              <w:t>Not Applicable</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800" w:type="dxa"/>
            <w:vAlign w:val="bottom"/>
          </w:tcPr>
          <w:p>
            <w:pPr>
              <w:spacing w:after="0"/>
              <w:rPr>
                <w:sz w:val="16"/>
                <w:szCs w:val="16"/>
                <w:color w:val="auto"/>
              </w:rPr>
            </w:pPr>
          </w:p>
        </w:tc>
        <w:tc>
          <w:tcPr>
            <w:tcW w:w="4800" w:type="dxa"/>
            <w:vAlign w:val="bottom"/>
          </w:tcPr>
          <w:p>
            <w:pPr>
              <w:jc w:val="center"/>
              <w:ind w:right="28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222250</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300"/>
          </w:cols>
          <w:pgMar w:left="240" w:top="679" w:right="359" w:bottom="1440" w:gutter="0" w:footer="0" w:header="0"/>
        </w:sectPr>
      </w:pPr>
    </w:p>
    <w:bookmarkStart w:id="1" w:name="page2"/>
    <w:bookmarkEnd w:id="1"/>
    <w:p>
      <w:pPr>
        <w:ind w:left="1300" w:right="160" w:hanging="125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right="180" w:firstLine="432"/>
        <w:spacing w:after="0" w:line="286" w:lineRule="auto"/>
        <w:rPr>
          <w:sz w:val="20"/>
          <w:szCs w:val="20"/>
          <w:color w:val="auto"/>
        </w:rPr>
      </w:pPr>
      <w:r>
        <w:rPr>
          <w:rFonts w:ascii="Arial" w:cs="Arial" w:eastAsia="Arial" w:hAnsi="Arial"/>
          <w:sz w:val="17"/>
          <w:szCs w:val="17"/>
          <w:color w:val="auto"/>
        </w:rPr>
        <w:t>On May 5, 2014, Wynn Resorts, Limited (the “Company”), entered into a third amendment (the “Amendment”) to the Employment Agreement, dated as of April 24, 2007, as amended, by and between the Company and Kim Sinatra, Executive Vice President and General Counsel (the “Agreement”). The Amendment is effective as of February 27, 2014 and provides that the Agreement shall terminate on February 17, 2017.</w:t>
      </w:r>
    </w:p>
    <w:p>
      <w:pPr>
        <w:spacing w:after="0" w:line="3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Amendment, among other things, provides that Ms. Sinatra’s title, which was previously Senior Vice President and General Counsel, is now Executive Vice President and General Counsel, and modifies the list of Ms. Sinatra’s duties. The Amendment also provides for an increase in base salary from $800,000 per year to $850,000 per year. Pursuant to the Amendment, Ms. Sinatra was granted 7,500 shares of the Company's common stock on May 5, 2014, which shares were fully vested when granted. The net number of shares issued under this award, after withholding for taxes, must be held by the grantee for three years from the date of grant, and are subject to recall and cancellation by the Company if Ms. Sinatra's employment is terminated for cause during the holding period.</w:t>
      </w:r>
    </w:p>
    <w:p>
      <w:pPr>
        <w:sectPr>
          <w:pgSz w:w="11900" w:h="16838" w:orient="portrait"/>
          <w:cols w:equalWidth="0" w:num="1">
            <w:col w:w="11420"/>
          </w:cols>
          <w:pgMar w:left="240" w:top="95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7560" w:type="dxa"/>
            <w:vAlign w:val="bottom"/>
            <w:gridSpan w:val="2"/>
          </w:tcPr>
          <w:p>
            <w:pPr>
              <w:ind w:left="2480"/>
              <w:spacing w:after="0"/>
              <w:rPr>
                <w:sz w:val="20"/>
                <w:szCs w:val="20"/>
                <w:color w:val="auto"/>
              </w:rPr>
            </w:pPr>
            <w:r>
              <w:rPr>
                <w:rFonts w:ascii="Arial" w:cs="Arial" w:eastAsia="Arial" w:hAnsi="Arial"/>
                <w:sz w:val="18"/>
                <w:szCs w:val="18"/>
                <w:b w:val="1"/>
                <w:bCs w:val="1"/>
                <w:color w:val="auto"/>
              </w:rPr>
              <w:t>WYNN RESORTS, LIMITED</w:t>
            </w:r>
          </w:p>
        </w:tc>
      </w:tr>
      <w:tr>
        <w:trPr>
          <w:trHeight w:val="594"/>
        </w:trPr>
        <w:tc>
          <w:tcPr>
            <w:tcW w:w="3820" w:type="dxa"/>
            <w:vAlign w:val="bottom"/>
          </w:tcPr>
          <w:p>
            <w:pPr>
              <w:spacing w:after="0"/>
              <w:rPr>
                <w:sz w:val="20"/>
                <w:szCs w:val="20"/>
                <w:color w:val="auto"/>
              </w:rPr>
            </w:pPr>
            <w:r>
              <w:rPr>
                <w:rFonts w:ascii="Arial" w:cs="Arial" w:eastAsia="Arial" w:hAnsi="Arial"/>
                <w:sz w:val="18"/>
                <w:szCs w:val="18"/>
                <w:color w:val="auto"/>
              </w:rPr>
              <w:t>Date: May 6, 2014</w:t>
            </w:r>
          </w:p>
        </w:tc>
        <w:tc>
          <w:tcPr>
            <w:tcW w:w="3580" w:type="dxa"/>
            <w:vAlign w:val="bottom"/>
          </w:tcPr>
          <w:p>
            <w:pPr>
              <w:ind w:left="2480"/>
              <w:spacing w:after="0"/>
              <w:rPr>
                <w:sz w:val="20"/>
                <w:szCs w:val="20"/>
                <w:color w:val="auto"/>
              </w:rPr>
            </w:pPr>
            <w:r>
              <w:rPr>
                <w:rFonts w:ascii="Arial" w:cs="Arial" w:eastAsia="Arial" w:hAnsi="Arial"/>
                <w:sz w:val="18"/>
                <w:szCs w:val="18"/>
                <w:color w:val="auto"/>
              </w:rPr>
              <w:t>By:</w:t>
            </w:r>
          </w:p>
        </w:tc>
        <w:tc>
          <w:tcPr>
            <w:tcW w:w="3980" w:type="dxa"/>
            <w:vAlign w:val="bottom"/>
          </w:tcPr>
          <w:p>
            <w:pPr>
              <w:ind w:left="20"/>
              <w:spacing w:after="0"/>
              <w:rPr>
                <w:sz w:val="20"/>
                <w:szCs w:val="20"/>
                <w:color w:val="auto"/>
              </w:rPr>
            </w:pPr>
            <w:r>
              <w:rPr>
                <w:rFonts w:ascii="Arial" w:cs="Arial" w:eastAsia="Arial" w:hAnsi="Arial"/>
                <w:sz w:val="18"/>
                <w:szCs w:val="18"/>
                <w:color w:val="auto"/>
              </w:rPr>
              <w:t>/s/ Matt Maddox</w:t>
            </w:r>
          </w:p>
        </w:tc>
      </w:tr>
      <w:tr>
        <w:trPr>
          <w:trHeight w:val="27"/>
        </w:trPr>
        <w:tc>
          <w:tcPr>
            <w:tcW w:w="38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r>
      <w:tr>
        <w:trPr>
          <w:trHeight w:val="237"/>
        </w:trPr>
        <w:tc>
          <w:tcPr>
            <w:tcW w:w="3820" w:type="dxa"/>
            <w:vAlign w:val="bottom"/>
          </w:tcPr>
          <w:p>
            <w:pPr>
              <w:spacing w:after="0"/>
              <w:rPr>
                <w:sz w:val="20"/>
                <w:szCs w:val="20"/>
                <w:color w:val="auto"/>
              </w:rPr>
            </w:pPr>
          </w:p>
        </w:tc>
        <w:tc>
          <w:tcPr>
            <w:tcW w:w="3580" w:type="dxa"/>
            <w:vAlign w:val="bottom"/>
          </w:tcPr>
          <w:p>
            <w:pPr>
              <w:ind w:left="2480"/>
              <w:spacing w:after="0"/>
              <w:rPr>
                <w:sz w:val="20"/>
                <w:szCs w:val="20"/>
                <w:color w:val="auto"/>
              </w:rPr>
            </w:pPr>
            <w:r>
              <w:rPr>
                <w:rFonts w:ascii="Arial" w:cs="Arial" w:eastAsia="Arial" w:hAnsi="Arial"/>
                <w:sz w:val="18"/>
                <w:szCs w:val="18"/>
                <w:color w:val="auto"/>
              </w:rPr>
              <w:t>Name:</w:t>
            </w:r>
          </w:p>
        </w:tc>
        <w:tc>
          <w:tcPr>
            <w:tcW w:w="3980" w:type="dxa"/>
            <w:vAlign w:val="bottom"/>
          </w:tcPr>
          <w:p>
            <w:pPr>
              <w:ind w:left="20"/>
              <w:spacing w:after="0"/>
              <w:rPr>
                <w:sz w:val="20"/>
                <w:szCs w:val="20"/>
                <w:color w:val="auto"/>
              </w:rPr>
            </w:pPr>
            <w:r>
              <w:rPr>
                <w:rFonts w:ascii="Arial" w:cs="Arial" w:eastAsia="Arial" w:hAnsi="Arial"/>
                <w:sz w:val="18"/>
                <w:szCs w:val="18"/>
                <w:color w:val="auto"/>
              </w:rPr>
              <w:t>Matt Maddox</w:t>
            </w:r>
          </w:p>
        </w:tc>
      </w:tr>
      <w:tr>
        <w:trPr>
          <w:trHeight w:val="270"/>
        </w:trPr>
        <w:tc>
          <w:tcPr>
            <w:tcW w:w="3820" w:type="dxa"/>
            <w:vAlign w:val="bottom"/>
          </w:tcPr>
          <w:p>
            <w:pPr>
              <w:spacing w:after="0"/>
              <w:rPr>
                <w:sz w:val="23"/>
                <w:szCs w:val="23"/>
                <w:color w:val="auto"/>
              </w:rPr>
            </w:pPr>
          </w:p>
        </w:tc>
        <w:tc>
          <w:tcPr>
            <w:tcW w:w="3580" w:type="dxa"/>
            <w:vAlign w:val="bottom"/>
          </w:tcPr>
          <w:p>
            <w:pPr>
              <w:ind w:left="2480"/>
              <w:spacing w:after="0"/>
              <w:rPr>
                <w:sz w:val="20"/>
                <w:szCs w:val="20"/>
                <w:color w:val="auto"/>
              </w:rPr>
            </w:pPr>
            <w:r>
              <w:rPr>
                <w:rFonts w:ascii="Arial" w:cs="Arial" w:eastAsia="Arial" w:hAnsi="Arial"/>
                <w:sz w:val="18"/>
                <w:szCs w:val="18"/>
                <w:color w:val="auto"/>
              </w:rPr>
              <w:t>Title:</w:t>
            </w:r>
          </w:p>
        </w:tc>
        <w:tc>
          <w:tcPr>
            <w:tcW w:w="3980" w:type="dxa"/>
            <w:vAlign w:val="bottom"/>
          </w:tcPr>
          <w:p>
            <w:pPr>
              <w:ind w:left="20"/>
              <w:spacing w:after="0"/>
              <w:rPr>
                <w:sz w:val="20"/>
                <w:szCs w:val="20"/>
                <w:color w:val="auto"/>
              </w:rPr>
            </w:pPr>
            <w:r>
              <w:rPr>
                <w:rFonts w:ascii="Arial" w:cs="Arial" w:eastAsia="Arial" w:hAnsi="Arial"/>
                <w:sz w:val="18"/>
                <w:szCs w:val="18"/>
                <w:color w:val="auto"/>
              </w:rPr>
              <w:t>President and Chief Financial Officer</w:t>
            </w:r>
          </w:p>
        </w:tc>
      </w:tr>
    </w:tbl>
    <w:p>
      <w:pPr>
        <w:spacing w:after="0" w:line="1" w:lineRule="exact"/>
        <w:rPr>
          <w:sz w:val="20"/>
          <w:szCs w:val="20"/>
          <w:color w:val="auto"/>
        </w:rPr>
      </w:pP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2019-12-07T03:14:19Z</dcterms:created>
  <dcterms:modified xsi:type="dcterms:W3CDTF">2019-12-07T03:14:19Z</dcterms:modified>
</cp:coreProperties>
</file>