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64" w:lineRule="exact"/>
        <w:rPr>
          <w:sz w:val="24"/>
          <w:szCs w:val="24"/>
          <w:color w:val="auto"/>
        </w:rPr>
      </w:pPr>
    </w:p>
    <w:p>
      <w:pPr>
        <w:ind w:right="40"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-419735</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right="260" w:firstLine="432"/>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60" w:firstLine="432"/>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340"/>
              <w:spacing w:after="0"/>
              <w:rPr>
                <w:sz w:val="20"/>
                <w:szCs w:val="20"/>
                <w:color w:val="auto"/>
              </w:rPr>
            </w:pPr>
            <w:r>
              <w:rPr>
                <w:rFonts w:ascii="Arial" w:cs="Arial" w:eastAsia="Arial" w:hAnsi="Arial"/>
                <w:sz w:val="18"/>
                <w:szCs w:val="18"/>
                <w:color w:val="auto"/>
              </w:rPr>
              <w:t>x</w:t>
            </w:r>
          </w:p>
        </w:tc>
        <w:tc>
          <w:tcPr>
            <w:tcW w:w="35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54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60"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75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July 31, 2018</w:t>
            </w:r>
          </w:p>
        </w:tc>
        <w:tc>
          <w:tcPr>
            <w:tcW w:w="420" w:type="dxa"/>
            <w:vAlign w:val="bottom"/>
          </w:tcPr>
          <w:p>
            <w:pPr>
              <w:spacing w:after="0"/>
              <w:rPr>
                <w:sz w:val="14"/>
                <w:szCs w:val="14"/>
                <w:color w:val="auto"/>
              </w:rPr>
            </w:pPr>
          </w:p>
        </w:tc>
      </w:tr>
      <w:tr>
        <w:trPr>
          <w:trHeight w:val="264"/>
        </w:trPr>
        <w:tc>
          <w:tcPr>
            <w:tcW w:w="9220" w:type="dxa"/>
            <w:vAlign w:val="bottom"/>
            <w:gridSpan w:val="3"/>
          </w:tcPr>
          <w:p>
            <w:pPr>
              <w:jc w:val="center"/>
              <w:ind w:right="6240"/>
              <w:spacing w:after="0"/>
              <w:rPr>
                <w:sz w:val="20"/>
                <w:szCs w:val="20"/>
                <w:color w:val="auto"/>
              </w:rPr>
            </w:pPr>
            <w:r>
              <w:rPr>
                <w:rFonts w:ascii="Arial" w:cs="Arial" w:eastAsia="Arial" w:hAnsi="Arial"/>
                <w:sz w:val="18"/>
                <w:szCs w:val="18"/>
                <w:color w:val="auto"/>
                <w:w w:val="90"/>
              </w:rPr>
              <w:t>Common stock, $0.01 par value</w:t>
            </w:r>
          </w:p>
        </w:tc>
        <w:tc>
          <w:tcPr>
            <w:tcW w:w="1780" w:type="dxa"/>
            <w:vAlign w:val="bottom"/>
          </w:tcPr>
          <w:p>
            <w:pPr>
              <w:jc w:val="right"/>
              <w:ind w:right="359"/>
              <w:spacing w:after="0"/>
              <w:rPr>
                <w:sz w:val="20"/>
                <w:szCs w:val="20"/>
                <w:color w:val="auto"/>
              </w:rPr>
            </w:pPr>
            <w:r>
              <w:rPr>
                <w:rFonts w:ascii="Arial" w:cs="Arial" w:eastAsia="Arial" w:hAnsi="Arial"/>
                <w:sz w:val="18"/>
                <w:szCs w:val="18"/>
                <w:color w:val="auto"/>
              </w:rPr>
              <w:t>108,643,901</w:t>
            </w:r>
          </w:p>
        </w:tc>
        <w:tc>
          <w:tcPr>
            <w:tcW w:w="4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2018 (unaudited) and December 31, 2017</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 Three and Six Months Ended June 30, 2018 and 2017</w:t>
              </w:r>
            </w:hyperlink>
          </w:p>
        </w:tc>
        <w:tc>
          <w:tcPr>
            <w:tcW w:w="5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(unaudited) – Three and Six Months Ended June</w:t>
              </w:r>
            </w:hyperlink>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2018 and 2017</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(unaudited) – Six Months Ended June 30, 2018</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Condensed Consolidated Statements of Cash Flows (unaudited) – Six Months Ended June 30, 2018 and 2017</w:t>
              </w:r>
            </w:hyperlink>
          </w:p>
        </w:tc>
        <w:tc>
          <w:tcPr>
            <w:tcW w:w="12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8"/>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946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80"/>
        </w:trPr>
        <w:tc>
          <w:tcPr>
            <w:tcW w:w="8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1,445,163</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2,804,474</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166,773</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230,114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224,128</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66,765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71,636</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86,746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156,773</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1,888,458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3,423,784</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9,053,922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8,498,756</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2,160</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72,083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160,682</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224,008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123,705</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357,566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240,533</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216,709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232,119</w:t>
            </w: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11,816,556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12,681,739</w:t>
            </w:r>
          </w:p>
        </w:tc>
      </w:tr>
      <w:tr>
        <w:trPr>
          <w:trHeight w:val="62"/>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63"/>
        </w:trPr>
        <w:tc>
          <w:tcPr>
            <w:tcW w:w="834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Accounts and construction payables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Accrued compensation and benefits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Commitments and contingencies (Note 13)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820" w:val="left"/>
          <w:tab w:leader="none" w:pos="16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247,390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285,437</w:t>
      </w:r>
    </w:p>
    <w:p>
      <w:pPr>
        <w:spacing w:after="0" w:line="86" w:lineRule="exact"/>
        <w:rPr>
          <w:sz w:val="20"/>
          <w:szCs w:val="20"/>
          <w:color w:val="auto"/>
        </w:rPr>
      </w:pPr>
    </w:p>
    <w:p>
      <w:pPr>
        <w:ind w:left="840"/>
        <w:spacing w:after="0"/>
        <w:tabs>
          <w:tab w:leader="none" w:pos="2300" w:val="left"/>
        </w:tabs>
        <w:rPr>
          <w:sz w:val="20"/>
          <w:szCs w:val="20"/>
          <w:color w:val="auto"/>
        </w:rPr>
      </w:pPr>
      <w:r>
        <w:rPr>
          <w:rFonts w:ascii="Arial" w:cs="Arial" w:eastAsia="Arial" w:hAnsi="Arial"/>
          <w:sz w:val="13"/>
          <w:szCs w:val="13"/>
          <w:color w:val="auto"/>
        </w:rPr>
        <w:t>839,721</w:t>
      </w:r>
      <w:r>
        <w:rPr>
          <w:sz w:val="20"/>
          <w:szCs w:val="20"/>
          <w:color w:val="auto"/>
        </w:rPr>
        <w:tab/>
      </w:r>
      <w:r>
        <w:rPr>
          <w:rFonts w:ascii="Arial" w:cs="Arial" w:eastAsia="Arial" w:hAnsi="Arial"/>
          <w:sz w:val="13"/>
          <w:szCs w:val="13"/>
          <w:color w:val="auto"/>
        </w:rPr>
        <w:t>1,049,629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jc w:val="both"/>
        <w:ind w:left="840"/>
        <w:spacing w:after="0"/>
        <w:tabs>
          <w:tab w:leader="none" w:pos="2420" w:val="left"/>
        </w:tabs>
        <w:rPr>
          <w:sz w:val="20"/>
          <w:szCs w:val="20"/>
          <w:color w:val="auto"/>
        </w:rPr>
      </w:pPr>
      <w:r>
        <w:rPr>
          <w:rFonts w:ascii="Arial" w:cs="Arial" w:eastAsia="Arial" w:hAnsi="Arial"/>
          <w:sz w:val="16"/>
          <w:szCs w:val="16"/>
          <w:color w:val="auto"/>
        </w:rPr>
        <w:t>196,405</w:t>
      </w:r>
      <w:r>
        <w:rPr>
          <w:sz w:val="20"/>
          <w:szCs w:val="20"/>
          <w:color w:val="auto"/>
        </w:rPr>
        <w:tab/>
      </w:r>
      <w:r>
        <w:rPr>
          <w:rFonts w:ascii="Arial" w:cs="Arial" w:eastAsia="Arial" w:hAnsi="Arial"/>
          <w:sz w:val="16"/>
          <w:szCs w:val="16"/>
          <w:color w:val="auto"/>
        </w:rPr>
        <w:t>211,600</w:t>
      </w:r>
    </w:p>
    <w:p>
      <w:pPr>
        <w:spacing w:after="0" w:line="86"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137,183</w:t>
      </w:r>
      <w:r>
        <w:rPr>
          <w:sz w:val="20"/>
          <w:szCs w:val="20"/>
          <w:color w:val="auto"/>
        </w:rPr>
        <w:tab/>
      </w:r>
      <w:r>
        <w:rPr>
          <w:rFonts w:ascii="Arial" w:cs="Arial" w:eastAsia="Arial" w:hAnsi="Arial"/>
          <w:sz w:val="13"/>
          <w:szCs w:val="13"/>
          <w:color w:val="auto"/>
        </w:rPr>
        <w:t>140,450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58,860</w:t>
      </w:r>
      <w:r>
        <w:rPr>
          <w:sz w:val="20"/>
          <w:szCs w:val="20"/>
          <w:color w:val="auto"/>
        </w:rPr>
        <w:tab/>
      </w:r>
      <w:r>
        <w:rPr>
          <w:rFonts w:ascii="Arial" w:cs="Arial" w:eastAsia="Arial" w:hAnsi="Arial"/>
          <w:sz w:val="13"/>
          <w:szCs w:val="13"/>
          <w:color w:val="auto"/>
        </w:rPr>
        <w:t>94,695</w:t>
      </w:r>
    </w:p>
    <w:p>
      <w:pPr>
        <w:spacing w:after="0" w:line="121" w:lineRule="exact"/>
        <w:rPr>
          <w:sz w:val="20"/>
          <w:szCs w:val="20"/>
          <w:color w:val="auto"/>
        </w:rPr>
      </w:pPr>
    </w:p>
    <w:p>
      <w:pPr>
        <w:ind w:left="840"/>
        <w:spacing w:after="0"/>
        <w:tabs>
          <w:tab w:leader="none" w:pos="2500" w:val="left"/>
        </w:tabs>
        <w:rPr>
          <w:sz w:val="20"/>
          <w:szCs w:val="20"/>
          <w:color w:val="auto"/>
        </w:rPr>
      </w:pPr>
      <w:r>
        <w:rPr>
          <w:rFonts w:ascii="Arial" w:cs="Arial" w:eastAsia="Arial" w:hAnsi="Arial"/>
          <w:sz w:val="13"/>
          <w:szCs w:val="13"/>
          <w:color w:val="auto"/>
        </w:rPr>
        <w:t>179,075</w:t>
      </w:r>
      <w:r>
        <w:rPr>
          <w:sz w:val="20"/>
          <w:szCs w:val="20"/>
          <w:color w:val="auto"/>
        </w:rPr>
        <w:tab/>
      </w:r>
      <w:r>
        <w:rPr>
          <w:rFonts w:ascii="Arial" w:cs="Arial" w:eastAsia="Arial" w:hAnsi="Arial"/>
          <w:sz w:val="13"/>
          <w:szCs w:val="13"/>
          <w:color w:val="auto"/>
        </w:rPr>
        <w:t>62,690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88,185</w:t>
      </w:r>
      <w:r>
        <w:rPr>
          <w:sz w:val="20"/>
          <w:szCs w:val="20"/>
          <w:color w:val="auto"/>
        </w:rPr>
        <w:tab/>
      </w:r>
      <w:r>
        <w:rPr>
          <w:rFonts w:ascii="Arial" w:cs="Arial" w:eastAsia="Arial" w:hAnsi="Arial"/>
          <w:sz w:val="13"/>
          <w:szCs w:val="13"/>
          <w:color w:val="auto"/>
        </w:rPr>
        <w:t>85,789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45720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7"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b w:val="1"/>
          <w:bCs w:val="1"/>
          <w:color w:val="auto"/>
        </w:rPr>
        <w:t>1,746,819</w:t>
      </w:r>
      <w:r>
        <w:rPr>
          <w:sz w:val="20"/>
          <w:szCs w:val="20"/>
          <w:color w:val="auto"/>
        </w:rPr>
        <w:tab/>
      </w:r>
      <w:r>
        <w:rPr>
          <w:rFonts w:ascii="Arial" w:cs="Arial" w:eastAsia="Arial" w:hAnsi="Arial"/>
          <w:sz w:val="13"/>
          <w:szCs w:val="13"/>
          <w:b w:val="1"/>
          <w:bCs w:val="1"/>
          <w:color w:val="auto"/>
        </w:rPr>
        <w:t>1,930,290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48260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8,133,602</w:t>
      </w:r>
      <w:r>
        <w:rPr>
          <w:sz w:val="20"/>
          <w:szCs w:val="20"/>
          <w:color w:val="auto"/>
        </w:rPr>
        <w:tab/>
      </w:r>
      <w:r>
        <w:rPr>
          <w:rFonts w:ascii="Arial" w:cs="Arial" w:eastAsia="Arial" w:hAnsi="Arial"/>
          <w:sz w:val="13"/>
          <w:szCs w:val="13"/>
          <w:color w:val="auto"/>
        </w:rPr>
        <w:t>9,565,936</w:t>
      </w:r>
    </w:p>
    <w:p>
      <w:pPr>
        <w:spacing w:after="0" w:line="121"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3"/>
          <w:szCs w:val="13"/>
          <w:color w:val="auto"/>
        </w:rPr>
        <w:t>116,540</w:t>
      </w:r>
      <w:r>
        <w:rPr>
          <w:sz w:val="20"/>
          <w:szCs w:val="20"/>
          <w:color w:val="auto"/>
        </w:rPr>
        <w:tab/>
      </w:r>
      <w:r>
        <w:rPr>
          <w:rFonts w:ascii="Arial" w:cs="Arial" w:eastAsia="Arial" w:hAnsi="Arial"/>
          <w:sz w:val="13"/>
          <w:szCs w:val="13"/>
          <w:color w:val="auto"/>
        </w:rPr>
        <w:t>107,163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jc w:val="both"/>
        <w:ind w:left="720"/>
        <w:spacing w:after="0"/>
        <w:tabs>
          <w:tab w:leader="none" w:pos="2240" w:val="left"/>
        </w:tabs>
        <w:rPr>
          <w:sz w:val="20"/>
          <w:szCs w:val="20"/>
          <w:color w:val="auto"/>
        </w:rPr>
      </w:pPr>
      <w:r>
        <w:rPr>
          <w:rFonts w:ascii="Arial" w:cs="Arial" w:eastAsia="Arial" w:hAnsi="Arial"/>
          <w:sz w:val="16"/>
          <w:szCs w:val="16"/>
          <w:b w:val="1"/>
          <w:bCs w:val="1"/>
          <w:color w:val="auto"/>
        </w:rPr>
        <w:t>9,996,961</w:t>
      </w:r>
      <w:r>
        <w:rPr>
          <w:sz w:val="20"/>
          <w:szCs w:val="20"/>
          <w:color w:val="auto"/>
        </w:rPr>
        <w:tab/>
      </w:r>
      <w:r>
        <w:rPr>
          <w:rFonts w:ascii="Arial" w:cs="Arial" w:eastAsia="Arial" w:hAnsi="Arial"/>
          <w:sz w:val="16"/>
          <w:szCs w:val="16"/>
          <w:b w:val="1"/>
          <w:bCs w:val="1"/>
          <w:color w:val="auto"/>
        </w:rPr>
        <w:t>11,603,389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198120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26670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4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8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122,031,288 and 116,391,753 shares issued; 108,642,371</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103,005,866 shares outstanding, respectively</w:t>
            </w:r>
          </w:p>
        </w:tc>
        <w:tc>
          <w:tcPr>
            <w:tcW w:w="4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1,164</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13,388,917 and 13,385,887 shares, respectively</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(1,184,967)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(1,184,468)</w:t>
            </w:r>
          </w:p>
        </w:tc>
      </w:tr>
      <w:tr>
        <w:trPr>
          <w:trHeight w:val="22"/>
        </w:trPr>
        <w:tc>
          <w:tcPr>
            <w:tcW w:w="8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2,435,720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1,497,928</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(1,845)</w:t>
            </w:r>
          </w:p>
        </w:tc>
      </w:tr>
      <w:tr>
        <w:trPr>
          <w:trHeight w:val="22"/>
        </w:trPr>
        <w:tc>
          <w:tcPr>
            <w:tcW w:w="8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462,950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635,067</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4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1,712,985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947,846</w:t>
            </w:r>
          </w:p>
        </w:tc>
      </w:tr>
      <w:tr>
        <w:trPr>
          <w:trHeight w:val="22"/>
        </w:trPr>
        <w:tc>
          <w:tcPr>
            <w:tcW w:w="8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106,610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130,504</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4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1,819,595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1,078,350</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11,816,556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12,681,739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adjusted)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4"/>
              </w:rPr>
              <w:t>(as adjusted)</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1,991,568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164,940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376,361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333,764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368,827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202,490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1,605,424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1,472,892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3,321,002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2,896,649</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1,278,412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62,021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122,788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286,512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93,992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324,131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1,325,852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1,226,003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3,122,724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2,399,830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279,572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246,889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198,278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496,819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(251,223)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(252,002)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244,817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205,280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239,320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155,756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74,916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175,731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net income (loss)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101,851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105,195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102,274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10160" w:type="dxa"/>
            <w:vAlign w:val="bottom"/>
            <w:gridSpan w:val="10"/>
          </w:tcPr>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239,320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4"/>
              </w:rPr>
              <w:t>Change in net unrealized loss on investment securities, before and after tax</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205,184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104,300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76,378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235,724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Wynn Resorts, Limited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155,692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73,139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173,179</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880" w:type="dxa"/>
            <w:vAlign w:val="bottom"/>
            <w:gridSpan w:val="5"/>
          </w:tcPr>
          <w:p>
            <w:pPr>
              <w:ind w:left="5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8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84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1"/>
                <w:szCs w:val="11"/>
                <w:color w:val="auto"/>
              </w:rPr>
            </w:pPr>
          </w:p>
        </w:tc>
        <w:tc>
          <w:tcPr>
            <w:tcW w:w="6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84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2018</w:t>
            </w: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103,005,866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(1,184,468)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1,497,928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635,067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947,846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130,504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1,078,350</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w w:val="92"/>
              </w:rPr>
              <w:t>Cumulative credit risk adjustment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(48,551)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116,353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67,802</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w w:val="96"/>
              </w:rPr>
              <w:t>Currency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(1,946)</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Change in net unrealized loss on</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securities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w:t>
            </w:r>
          </w:p>
        </w:tc>
      </w:tr>
      <w:tr>
        <w:trPr>
          <w:trHeight w:val="264"/>
        </w:trPr>
        <w:tc>
          <w:tcPr>
            <w:tcW w:w="1840" w:type="dxa"/>
            <w:vAlign w:val="bottom"/>
          </w:tcPr>
          <w:p>
            <w:pPr>
              <w:ind w:left="40"/>
              <w:spacing w:after="0"/>
              <w:rPr>
                <w:sz w:val="20"/>
                <w:szCs w:val="20"/>
                <w:color w:val="auto"/>
              </w:rPr>
            </w:pPr>
            <w:r>
              <w:rPr>
                <w:rFonts w:ascii="Arial" w:cs="Arial" w:eastAsia="Arial" w:hAnsi="Arial"/>
                <w:sz w:val="13"/>
                <w:szCs w:val="13"/>
                <w:color w:val="auto"/>
              </w:rPr>
              <w:t>Redemption Note settlement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5,300,000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915,160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915,213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915,213</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242,139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1,297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1,800</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(15,194)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112,590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10,065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10,066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10,572</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repurchased by the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Company and held as treasury</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(132,777)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(138,325)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(271,102)</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noncontrolling</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(3,852)</w:t>
            </w:r>
          </w:p>
        </w:tc>
      </w:tr>
      <w:tr>
        <w:trPr>
          <w:trHeight w:val="264"/>
        </w:trPr>
        <w:tc>
          <w:tcPr>
            <w:tcW w:w="18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11,270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11,270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12,735</w:t>
            </w:r>
          </w:p>
        </w:tc>
      </w:tr>
      <w:tr>
        <w:trPr>
          <w:trHeight w:val="242"/>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June 30, 2018</w:t>
            </w:r>
          </w:p>
        </w:tc>
        <w:tc>
          <w:tcPr>
            <w:tcW w:w="9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108,642,371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(1,184,967)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2,435,720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462,950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1,712,985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106,610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1,819,595</w:t>
            </w:r>
          </w:p>
        </w:tc>
      </w:tr>
      <w:tr>
        <w:trPr>
          <w:trHeight w:val="20"/>
        </w:trPr>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right"/>
        <w:ind w:right="6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Benefit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interest rate swap fair value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Redemption Note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charges and 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cash from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Receivables,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and 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expenditures, net of construction payables and retention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or maturity of investment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intangible assets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assets</w:t>
      </w:r>
    </w:p>
    <w:p>
      <w:pPr>
        <w:spacing w:after="0" w:line="8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8"/>
        </w:trPr>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60"/>
              <w:spacing w:after="0"/>
              <w:rPr>
                <w:sz w:val="20"/>
                <w:szCs w:val="20"/>
                <w:color w:val="auto"/>
              </w:rPr>
            </w:pPr>
            <w:r>
              <w:rPr>
                <w:rFonts w:ascii="Arial" w:cs="Arial" w:eastAsia="Arial" w:hAnsi="Arial"/>
                <w:sz w:val="14"/>
                <w:szCs w:val="14"/>
                <w:b w:val="1"/>
                <w:bCs w:val="1"/>
                <w:color w:val="auto"/>
              </w:rPr>
              <w:t>(as adjusted)</w:t>
            </w:r>
          </w:p>
        </w:tc>
      </w:tr>
      <w:tr>
        <w:trPr>
          <w:trHeight w:val="519"/>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67,802</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239,320</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274,227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277,506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(119,768)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4,580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16,930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18,787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17,609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12,345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22,287</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(6,249)</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1,054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69,331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28,264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25,569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25,409</w:t>
            </w:r>
          </w:p>
        </w:tc>
      </w:tr>
      <w:tr>
        <w:trPr>
          <w:trHeight w:val="540"/>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(5,640)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28,669</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(206,729)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181,112</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(85,160)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(28,618)</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53,302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803,552</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(841,924)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(392,575)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(133,461)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227,668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121,697</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(101,477)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(13,161)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20,214</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(748,418)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(397,286)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1,673,605</w:t>
            </w:r>
          </w:p>
        </w:tc>
        <w:tc>
          <w:tcPr>
            <w:tcW w:w="1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1,030,056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long-term debt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(3,028,786)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(1,359,961)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Distribution to noncontrolling interests</w:t>
            </w:r>
          </w:p>
        </w:tc>
        <w:tc>
          <w:tcPr>
            <w:tcW w:w="1500" w:type="dxa"/>
            <w:vAlign w:val="bottom"/>
          </w:tcPr>
          <w:p>
            <w:pPr>
              <w:jc w:val="right"/>
              <w:spacing w:after="0"/>
              <w:rPr>
                <w:sz w:val="20"/>
                <w:szCs w:val="20"/>
                <w:color w:val="auto"/>
              </w:rPr>
            </w:pPr>
            <w:r>
              <w:rPr>
                <w:rFonts w:ascii="Arial" w:cs="Arial" w:eastAsia="Arial" w:hAnsi="Arial"/>
                <w:sz w:val="16"/>
                <w:szCs w:val="16"/>
                <w:color w:val="auto"/>
              </w:rPr>
              <w:t>(3,852)</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 receivable from sale of ownership interest in subsidiary</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Income taxes paid from sale of ownership interest of subsidiary</w:t>
            </w: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(25,176)</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915,213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(8,489)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1500" w:type="dxa"/>
            <w:vAlign w:val="bottom"/>
          </w:tcPr>
          <w:p>
            <w:pPr>
              <w:jc w:val="right"/>
              <w:spacing w:after="0"/>
              <w:rPr>
                <w:sz w:val="20"/>
                <w:szCs w:val="20"/>
                <w:color w:val="auto"/>
              </w:rPr>
            </w:pPr>
            <w:r>
              <w:rPr>
                <w:rFonts w:ascii="Arial" w:cs="Arial" w:eastAsia="Arial" w:hAnsi="Arial"/>
                <w:sz w:val="16"/>
                <w:szCs w:val="16"/>
                <w:color w:val="auto"/>
              </w:rPr>
              <w:t>(270,021)</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(179,568)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(29,480)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(40,308)</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b w:val="1"/>
                <w:bCs w:val="1"/>
                <w:color w:val="auto"/>
              </w:rPr>
              <w:t>Net cash used in financing activities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(658,248)</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(559,433)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(4,297)</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(3,943)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Decrease in cash, cash equivalents and restricted 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both"/>
        <w:ind w:left="660"/>
        <w:spacing w:after="0"/>
        <w:tabs>
          <w:tab w:leader="none" w:pos="2360" w:val="left"/>
        </w:tabs>
        <w:rPr>
          <w:sz w:val="20"/>
          <w:szCs w:val="20"/>
          <w:color w:val="auto"/>
        </w:rPr>
      </w:pPr>
      <w:r>
        <w:rPr>
          <w:rFonts w:ascii="Arial" w:cs="Arial" w:eastAsia="Arial" w:hAnsi="Arial"/>
          <w:sz w:val="16"/>
          <w:szCs w:val="16"/>
          <w:b w:val="1"/>
          <w:bCs w:val="1"/>
          <w:color w:val="auto"/>
        </w:rPr>
        <w:t>(1,357,661)</w:t>
      </w:r>
      <w:r>
        <w:rPr>
          <w:sz w:val="20"/>
          <w:szCs w:val="20"/>
          <w:color w:val="auto"/>
        </w:rPr>
        <w:tab/>
      </w:r>
      <w:r>
        <w:rPr>
          <w:rFonts w:ascii="Arial" w:cs="Arial" w:eastAsia="Arial" w:hAnsi="Arial"/>
          <w:sz w:val="16"/>
          <w:szCs w:val="16"/>
          <w:b w:val="1"/>
          <w:bCs w:val="1"/>
          <w:color w:val="auto"/>
        </w:rPr>
        <w:t>(157,110)</w:t>
      </w:r>
    </w:p>
    <w:p>
      <w:pPr>
        <w:spacing w:after="0" w:line="86" w:lineRule="exact"/>
        <w:rPr>
          <w:sz w:val="20"/>
          <w:szCs w:val="20"/>
          <w:color w:val="auto"/>
        </w:rPr>
      </w:pPr>
    </w:p>
    <w:p>
      <w:pPr>
        <w:ind w:left="720"/>
        <w:spacing w:after="0"/>
        <w:tabs>
          <w:tab w:leader="none" w:pos="2280" w:val="left"/>
        </w:tabs>
        <w:rPr>
          <w:sz w:val="20"/>
          <w:szCs w:val="20"/>
          <w:color w:val="auto"/>
        </w:rPr>
      </w:pPr>
      <w:r>
        <w:rPr>
          <w:rFonts w:ascii="Arial" w:cs="Arial" w:eastAsia="Arial" w:hAnsi="Arial"/>
          <w:sz w:val="15"/>
          <w:szCs w:val="15"/>
          <w:b w:val="1"/>
          <w:bCs w:val="1"/>
          <w:color w:val="auto"/>
        </w:rPr>
        <w:t>2,806,634</w:t>
      </w:r>
      <w:r>
        <w:rPr>
          <w:sz w:val="20"/>
          <w:szCs w:val="20"/>
          <w:color w:val="auto"/>
        </w:rPr>
        <w:tab/>
      </w:r>
      <w:r>
        <w:rPr>
          <w:rFonts w:ascii="Arial" w:cs="Arial" w:eastAsia="Arial" w:hAnsi="Arial"/>
          <w:sz w:val="15"/>
          <w:szCs w:val="15"/>
          <w:b w:val="1"/>
          <w:bCs w:val="1"/>
          <w:color w:val="auto"/>
        </w:rPr>
        <w:t>2,645,945</w:t>
      </w:r>
    </w:p>
    <w:p>
      <w:pPr>
        <w:spacing w:after="0" w:line="98" w:lineRule="exact"/>
        <w:rPr>
          <w:sz w:val="20"/>
          <w:szCs w:val="20"/>
          <w:color w:val="auto"/>
        </w:rPr>
      </w:pPr>
    </w:p>
    <w:p>
      <w:pPr>
        <w:spacing w:after="0"/>
        <w:tabs>
          <w:tab w:leader="none" w:pos="700" w:val="left"/>
          <w:tab w:leader="none" w:pos="1600" w:val="left"/>
          <w:tab w:leader="none" w:pos="2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1,448,973</w:t>
        <w:tab/>
        <w:t>$</w:t>
      </w:r>
      <w:r>
        <w:rPr>
          <w:sz w:val="20"/>
          <w:szCs w:val="20"/>
          <w:color w:val="auto"/>
        </w:rPr>
        <w:tab/>
      </w:r>
      <w:r>
        <w:rPr>
          <w:rFonts w:ascii="Arial" w:cs="Arial" w:eastAsia="Arial" w:hAnsi="Arial"/>
          <w:sz w:val="14"/>
          <w:szCs w:val="14"/>
          <w:b w:val="1"/>
          <w:bCs w:val="1"/>
          <w:color w:val="auto"/>
        </w:rPr>
        <w:t>2,488,835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121" w:right="239" w:bottom="0"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cash flow disclosures: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0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206,351</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211,350</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1,800</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19,225</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accounts and construction payables related to property and equipment</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2,080</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4,974</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1,081</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bookmarkStart w:id="7" w:name="page8"/>
    <w:bookmarkEnd w:id="7"/>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530"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Macau and Wynn Palace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273,000 square feet of casino space, eight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Palace features a luxury hotel tower with 1,706 guest rooms, suites and villas, approximately 424,000 square feet of casino space, 11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192,000 square feet of casino space, 33 food and beverage outlets, approximately 290,000 square feet of meeting and convention space, approximately 106,000 square feet of retail space (the majority of which is owned and operated under a joint venture of which the Company owns 50.1%), as well as two theaters, three nightclubs and a beach club, and recreation and leisure facilities.</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December 2016, the Company entered into a joint venture arrangement (the "Retail Joint Venture") with Crown Acquisitions Inc. ("Crown") to own and operate approximately 88,000 square feet of existing retail space. In November 2017, the Company contributed approximately 74,000 square feet of additional retail space to the Retail Joint Venture, the majority of which is currently under construction at Wynn Las Vegas. The Company expects to open the additional retail space in the fourth quarter of 2018. For more information on the Retail Joint Venture, see Note 12, "Retail Joint Venture."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Encore Boston Harbor in mid-2019.</w:t>
      </w:r>
    </w:p>
    <w:p>
      <w:pPr>
        <w:spacing w:after="0" w:line="18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Company has begun construction activities for the re-development of the Wynn Las Vegas golf course, which the Company closed in the fourth quarter of 2017. Phase 1 of the project is expected to include a lagoon and additional meeting and convention space. The Company expects to open the additional meeting and convention space in the first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except as otherwise described in Note 2 below, include only normal recurring adjustments) necessary for a fair presentation of the results for the interim periods have been made. The results for the three and six months ended June 30, 2018 are not necessarily indicative of results to be expected for the full fiscal year. These condensed consolidated financial statements should</w:t>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be read in conjunction with the consolidated financial statements and notes thereto in the Company's Annual Report on Form 10-K for the year ended December 31, 2017.</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a variable interest entity ("VIE") for which the Company is determined to be the primary beneficiary. For information on the Company's VIEs, see Note 12, "Retail Joint Venture." All intercompany accounts and transactions have been eliminated. Certain prior period amounts have been reclassified to be consistent with current year presentation. Such reclassifications relate to the adoption of new accounting guidance as further described below in "Recently Adopted Accounting Standards" and had no effect on the previously reported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25" w:lineRule="exact"/>
        <w:rPr>
          <w:sz w:val="20"/>
          <w:szCs w:val="20"/>
          <w:color w:val="auto"/>
        </w:rPr>
      </w:pPr>
    </w:p>
    <w:p>
      <w:pPr>
        <w:ind w:right="860" w:firstLine="432"/>
        <w:spacing w:after="0" w:line="308" w:lineRule="auto"/>
        <w:rPr>
          <w:sz w:val="20"/>
          <w:szCs w:val="20"/>
          <w:color w:val="auto"/>
        </w:rPr>
      </w:pPr>
      <w:r>
        <w:rPr>
          <w:rFonts w:ascii="Arial" w:cs="Arial" w:eastAsia="Arial" w:hAnsi="Arial"/>
          <w:sz w:val="17"/>
          <w:szCs w:val="17"/>
          <w:color w:val="auto"/>
        </w:rPr>
        <w:t>Cash and cash equivalents consist of highly liquid investments with original maturities of three months or less and include both U.S. dollar-denominated and foreign-currency denominated securities. Cash equivalents are carried at cost, which approximates fair value.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671,310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2,354,244</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773,853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450,230</w:t>
            </w:r>
          </w:p>
        </w:tc>
      </w:tr>
      <w:tr>
        <w:trPr>
          <w:trHeight w:val="237"/>
        </w:trPr>
        <w:tc>
          <w:tcPr>
            <w:tcW w:w="7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1,445,163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2,804,474</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2,160</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1,448,973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2,806,634</w:t>
            </w:r>
          </w:p>
        </w:tc>
      </w:tr>
      <w:tr>
        <w:trPr>
          <w:trHeight w:val="27"/>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an obligation and cash held in a trust in accordance with WML's share award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Investment securities consist of domestic and foreign short-term and long-term investments in corporate bonds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2018 and December 31, 2017, approximately 82.2% and 81.7%,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w:t>
      </w: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business conditions. Accounts are written off when management deems them to be uncollectible. Recoveries of accounts previously written off are recorded when received.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22,487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58,577</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258,665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254,728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230,114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224,128</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Derivative financial instruments are used to manage interest rate and foreign currency exposures. These derivative financial instruments include interest rate swaps and foreign currency forward contracts. The fair value of derivative financial instruments is recognized as an asset or liability at each balance sheet date, with changes in fair value affecting net income as the Company's derivative financial instruments do not qualify for hedge accounting.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Note</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As of December 31, 2017, the fair value of the Redemption Note was $1.88 billion.</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litigation with Aruze, Universal Entertainment Corporation and Mr. Kazuo Okada (collectively, the "Okada Parties") (see Note 13,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revenue contracts with customers consist of casino wagers and sales of rooms, food and beverage, entertainment, retail and other goods and services.</w:t>
      </w:r>
    </w:p>
    <w:p>
      <w:pPr>
        <w:spacing w:after="0" w:line="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w:t>
      </w: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10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8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 offers loyalty programs at both its Macau Operations and its Las Vegas Operations. Under the program at its Macau Operations, customers earn points based on their level of table games and slots play, which can be redeemed for free play, gifts and complimentary goods or services provided by the Company. Under the program at its Las Vegas Operations, customers earn points based on their level of slots play, which can be redeemed for free play. For casino transactions that include points earned under the Company’s loyalty programs, the Company defers a portion of the revenue by recording the estimated standalone selling price of the earned points that are expected to be redeemed as a liability. 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8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8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Entertainment, retail and other revenue also includes lease revenue, which is recognized on a time proportion basis over the lease term. Contingent lease revenue is recognized when the right to receive such revenue is established according to the lease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which taxes are recorded as casino expenses in the accompanying Condensed Consolidated Statements of Operations. These taxes totaled $561.8 million and $516.1 million for the three months ended June 30, 2018 and 2017, respectively, and $1.17 billion and $1.01 billion for the six months ended June 30,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Loss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Comprehensive income (loss) includes net income and all other non-stockholder changes in equity, or other comprehensive income (loss). Components of the Company's comprehensive income (loss) are reported in the accompanying Condensed Consolidated Statements of Stockholders' Equity and Condensed Consolidated Statements of Comprehensive Income (Loss).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9,118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right="60" w:hanging="252"/>
        <w:spacing w:after="0" w:line="269" w:lineRule="auto"/>
        <w:tabs>
          <w:tab w:leader="none" w:pos="22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On January 1, 2018, the Company adopted Accounting Standards Update ("ASU") No. 2016-01,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 adjustment to the beginning balance represents the cumulative effect of the change in instrument-specific credit risk on the Redemption Note. See "Recently Adopted Accounting Standards—Financial Instruments" below for additional information.</w:t>
      </w:r>
    </w:p>
    <w:p>
      <w:pPr>
        <w:spacing w:after="0" w:line="1" w:lineRule="exact"/>
        <w:rPr>
          <w:rFonts w:ascii="Arial" w:cs="Arial" w:eastAsia="Arial" w:hAnsi="Arial"/>
          <w:sz w:val="13"/>
          <w:szCs w:val="13"/>
          <w:color w:val="auto"/>
        </w:rPr>
      </w:pPr>
    </w:p>
    <w:p>
      <w:pPr>
        <w:ind w:left="260" w:right="380" w:hanging="252"/>
        <w:spacing w:after="0" w:line="255" w:lineRule="auto"/>
        <w:tabs>
          <w:tab w:leader="none" w:pos="22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18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773,853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773,809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131,753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3,810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450,230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2"/>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439,030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1,879,058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1,879,058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Standard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606)</w:t>
      </w:r>
      <w:r>
        <w:rPr>
          <w:rFonts w:ascii="Arial" w:cs="Arial" w:eastAsia="Arial" w:hAnsi="Arial"/>
          <w:sz w:val="18"/>
          <w:szCs w:val="18"/>
          <w:color w:val="auto"/>
        </w:rPr>
        <w:t>, which amends the existing revenue recognition guidance and creates a new topic for Revenue from Contracts with Customers. The guidance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an entity should recognize revenue to depict the transfer of promised goods or services to customers in an amount that reflects the consideration to which the entity expects to be entitled in exchange for those goods and services. This guidance also substantially revises required interim and annual disclosures. The Company adopted the guidance on January 1, 2018, which resulted in the following significant impacts on its Condensed Consolidated Financial Statements:</w:t>
      </w:r>
    </w:p>
    <w:p>
      <w:pPr>
        <w:spacing w:after="0" w:line="110" w:lineRule="exact"/>
        <w:rPr>
          <w:sz w:val="20"/>
          <w:szCs w:val="20"/>
          <w:color w:val="auto"/>
        </w:rPr>
      </w:pPr>
    </w:p>
    <w:p>
      <w:pPr>
        <w:ind w:left="680" w:right="160" w:hanging="321"/>
        <w:spacing w:after="0" w:line="258"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promotional allowances line item was eliminated from the Condensed Consolidated Statements of Operations with the majority of the amount being netted against casino revenues.</w:t>
      </w:r>
    </w:p>
    <w:p>
      <w:pPr>
        <w:spacing w:after="0" w:line="1" w:lineRule="exact"/>
        <w:rPr>
          <w:rFonts w:ascii="Arial" w:cs="Arial" w:eastAsia="Arial" w:hAnsi="Arial"/>
          <w:sz w:val="18"/>
          <w:szCs w:val="18"/>
          <w:color w:val="auto"/>
        </w:rPr>
      </w:pPr>
    </w:p>
    <w:p>
      <w:pPr>
        <w:ind w:left="680" w:right="120" w:hanging="321"/>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cost of providing complimentary goods or services will no longer be allocated primarily to casino expenses from other operating departments as the new guidance requires revenues and expenses associated with providing complimentary goods or services to be classified based on the goods or services provided.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junket commissions previously recorded as a casino expense is now recorded as a reduction of casino revenue.</w:t>
      </w:r>
    </w:p>
    <w:p>
      <w:pPr>
        <w:spacing w:after="0" w:line="9" w:lineRule="exact"/>
        <w:rPr>
          <w:rFonts w:ascii="Arial" w:cs="Arial" w:eastAsia="Arial" w:hAnsi="Arial"/>
          <w:sz w:val="18"/>
          <w:szCs w:val="18"/>
          <w:color w:val="auto"/>
        </w:rPr>
      </w:pPr>
    </w:p>
    <w:p>
      <w:pPr>
        <w:ind w:left="680" w:right="220" w:hanging="321"/>
        <w:spacing w:after="0" w:line="295" w:lineRule="auto"/>
        <w:tabs>
          <w:tab w:leader="none" w:pos="680" w:val="left"/>
        </w:tabs>
        <w:numPr>
          <w:ilvl w:val="0"/>
          <w:numId w:val="6"/>
        </w:numPr>
        <w:rPr>
          <w:rFonts w:ascii="Arial" w:cs="Arial" w:eastAsia="Arial" w:hAnsi="Arial"/>
          <w:sz w:val="19"/>
          <w:szCs w:val="19"/>
          <w:color w:val="auto"/>
        </w:rPr>
      </w:pPr>
      <w:r>
        <w:rPr>
          <w:rFonts w:ascii="Arial" w:cs="Arial" w:eastAsia="Arial" w:hAnsi="Arial"/>
          <w:sz w:val="17"/>
          <w:szCs w:val="17"/>
          <w:color w:val="auto"/>
        </w:rPr>
        <w:t>Mandatory service charges on food and beverage are now recorded on a gross basis with the amount received from the customer recorded as food and beverage revenue and the corresponding amount paid to employees recorded as food and beverage expense.</w:t>
      </w:r>
    </w:p>
    <w:p>
      <w:pPr>
        <w:spacing w:after="0" w:line="15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Certain prior period amounts have been adjusted to reflect the full retrospective adoption of the guidance. There was no impact on the Company’s financial condition, operating income or net income.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table below provides a reconciliation of amounts previously reported and the resulting impacts from the adoption of the new revenue recognition guidance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Three Months Ended June 30, 2017</w:t>
            </w: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As Previously Reported</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Adoption of ASC 606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1,638,760</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1,472,892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(109,499)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109,499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1,529,261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1,472,892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1,282,372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(56,369)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1,226,003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246,889</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246,889</w:t>
            </w:r>
          </w:p>
        </w:tc>
        <w:tc>
          <w:tcPr>
            <w:tcW w:w="20" w:type="dxa"/>
            <w:vAlign w:val="bottom"/>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 2017</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3"/>
              </w:rPr>
              <w:t>As Previously Reported</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Adoption of ASC 606</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3,225,996</w:t>
            </w:r>
          </w:p>
        </w:tc>
        <w:tc>
          <w:tcPr>
            <w:tcW w:w="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2,896,649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(221,055)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221,055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3,004,941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2,896,649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2,508,122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(108,292)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2,399,830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496,819</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496,819</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824-10):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requires equity investments to be measured at fair value with changes in fair value recognized through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Company adopted this guidance on January 1, 2018, which resulted in a $9.2 million cumulative unrealized loss, net of tax, being recorded to accumulated other comprehensive loss with a corresponding increase to retained earnings. The adjustment represents the portion of the cumulative change in the Redemption Note fair value resulting from the change in the instrument-specific credit risk previously included in other income (expense) on the Condensed Consolidated Statements of Operations.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 Restricted Cash (Topic 230)</w:t>
      </w:r>
      <w:r>
        <w:rPr>
          <w:rFonts w:ascii="Arial" w:cs="Arial" w:eastAsia="Arial" w:hAnsi="Arial"/>
          <w:sz w:val="16"/>
          <w:szCs w:val="16"/>
          <w:color w:val="auto"/>
        </w:rPr>
        <w:t>, which amends the existing guidance relating to the disclosure of restricted cash and restricted cash equivalents on the statement of cash flows. The ASU requires that amounts generally described as restricted cash or restricted cash equivalents should be included with cash and cash equivalents when reconciling the beginning-of-period and end-of-period total amounts shown on the statement of cash flows. The Company adopted this guidance on January 1, 2018 on a retrospective basis and the updated disclosures are reflected for the periods presented in the Condensed Consolidated Statements of Cash Flows. For the six months ended June 30, 2017, the change in restricted cash of $190.4 million was previously reported within net cash used in financing activities.</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amends the existing guidance relating to the definition of a lease, recognition of lease assets and lease liabilities on the balance sheet, and the disclosure of key information about leasing activities. Under the new guidance, lessees will be required to recognize a right-of-use asset and lease liability on the balance sheet, measured on a discounted basis. Operating leases are currently not recognized on the balance sheet. Lessor accounting will remain largely unchanged, other than certain targeted improvements intended to align lessor accounting with the lessee accounting model and with the updated revenue recognition guidance. The ASU will be effective for the Company on January 1, 2019, with early adoption permitted. The Company is currently assessing the impact the guidance will have on its Consolidated Financial Statements and related disclosures, and expects this guidance to increase lease assets and lease liabilities on the balance sheet.</w:t>
      </w:r>
    </w:p>
    <w:p>
      <w:pPr>
        <w:spacing w:after="0" w:line="1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Limited by the weighted average number of common shares outstanding during the period. Diluted EPS is computed by dividing net income (loss)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5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9"/>
              </w:rPr>
              <w:t>Three Months Ended June 30,</w:t>
            </w: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155,756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74,916</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(48,551)</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175,731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101,944</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105,195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101,851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3"/>
              </w:rPr>
              <w:t>Weighted average common and common equivalent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108,405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102,494</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105,195</w:t>
            </w: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102,274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Net income (loss) attributable to Wynn Resorts, Limited per common share,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0.73</w:t>
            </w:r>
          </w:p>
        </w:tc>
        <w:tc>
          <w:tcPr>
            <w:tcW w:w="4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(0.46)</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80"/>
              <w:spacing w:after="0"/>
              <w:rPr>
                <w:sz w:val="20"/>
                <w:szCs w:val="20"/>
                <w:color w:val="auto"/>
              </w:rPr>
            </w:pPr>
            <w:r>
              <w:rPr>
                <w:rFonts w:ascii="Arial" w:cs="Arial" w:eastAsia="Arial" w:hAnsi="Arial"/>
                <w:sz w:val="18"/>
                <w:szCs w:val="18"/>
                <w:color w:val="auto"/>
                <w:w w:val="95"/>
              </w:rPr>
              <w:t>Net income (loss) attributable to Wynn Resorts, Limited per common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60" w:type="dxa"/>
            <w:vAlign w:val="bottom"/>
            <w:vMerge w:val="continue"/>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0.73</w:t>
            </w: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4"/>
              <w:spacing w:after="0"/>
              <w:rPr>
                <w:sz w:val="20"/>
                <w:szCs w:val="20"/>
                <w:color w:val="auto"/>
              </w:rPr>
            </w:pPr>
            <w:r>
              <w:rPr>
                <w:rFonts w:ascii="Arial" w:cs="Arial" w:eastAsia="Arial" w:hAnsi="Arial"/>
                <w:sz w:val="18"/>
                <w:szCs w:val="18"/>
                <w:color w:val="auto"/>
              </w:rPr>
              <w:t>(0.46)</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5"/>
              </w:rPr>
              <w:t>Anti-dilutive stock options and restricted stock excluded from the calculation</w:t>
            </w:r>
          </w:p>
        </w:tc>
        <w:tc>
          <w:tcPr>
            <w:tcW w:w="260" w:type="dxa"/>
            <w:vAlign w:val="bottom"/>
          </w:tcPr>
          <w:p>
            <w:pPr>
              <w:spacing w:after="0"/>
              <w:rPr>
                <w:sz w:val="19"/>
                <w:szCs w:val="19"/>
                <w:color w:val="auto"/>
              </w:rPr>
            </w:pPr>
          </w:p>
        </w:tc>
        <w:tc>
          <w:tcPr>
            <w:tcW w:w="1000" w:type="dxa"/>
            <w:vAlign w:val="bottom"/>
            <w:vMerge w:val="restart"/>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9"/>
                <w:szCs w:val="19"/>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8"/>
                <w:szCs w:val="18"/>
                <w:color w:val="auto"/>
              </w:rPr>
              <w:t>1,160</w:t>
            </w:r>
          </w:p>
        </w:tc>
        <w:tc>
          <w:tcPr>
            <w:tcW w:w="36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of diluted net income per share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570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8"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300" w:type="dxa"/>
            <w:vAlign w:val="bottom"/>
          </w:tcPr>
          <w:p>
            <w:pPr>
              <w:jc w:val="center"/>
              <w:ind w:right="22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As of June 30, 2018</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300" w:type="dxa"/>
            <w:vAlign w:val="bottom"/>
          </w:tcPr>
          <w:p>
            <w:pPr>
              <w:spacing w:after="0"/>
              <w:rPr>
                <w:sz w:val="12"/>
                <w:szCs w:val="12"/>
                <w:color w:val="auto"/>
              </w:rPr>
            </w:pPr>
          </w:p>
        </w:tc>
        <w:tc>
          <w:tcPr>
            <w:tcW w:w="13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131,734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131,753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328,747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327,455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assesses for indicators of other-than-temporary impairment on a quarterly basis. The Company determines whether (i) it does not have the intent to sell any of these investments, and (ii) it will not likely be required to sell these investments prior to the recovery of the amortized cost. During the three and six months ended June 30, 2018, the Company determined it had an other-than-temporary impairment and recorded a loss of $0.1 million and $1.8 million, respectively.</w:t>
      </w:r>
    </w:p>
    <w:p>
      <w:pPr>
        <w:spacing w:after="0" w:line="18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these investment securities as of June 30, 2018,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59,670</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60,332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Due after two years through three years</w:t>
            </w:r>
          </w:p>
        </w:tc>
        <w:tc>
          <w:tcPr>
            <w:tcW w:w="4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11,751</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131,753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7,589,918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7,582,611</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1,125,484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853,738</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2,211,974</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312,861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314,068</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158,840</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1,497,081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1,016,207</w:t>
            </w:r>
          </w:p>
        </w:tc>
      </w:tr>
      <w:tr>
        <w:trPr>
          <w:trHeight w:val="27"/>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12,931,647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12,137,438</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(3,877,725)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(3,638,682)</w:t>
            </w:r>
          </w:p>
        </w:tc>
      </w:tr>
      <w:tr>
        <w:trPr>
          <w:trHeight w:val="27"/>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9,053,922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8,498,756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June 30, 2018 and December 31, 2017, construction in progress consisted primarily of costs capitalized, including interest, for the construction of Encore Boston Harbor.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Acquisition</w:t>
      </w:r>
    </w:p>
    <w:p>
      <w:pPr>
        <w:spacing w:after="0" w:line="225"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During the first quarter of 2018, the Company acquired approximately 38 acres of land on the Las Vegas Strip directly across from Wynn Las Vegas for $336.2 million, approximately 16 acres of which are subject to a ground lease that expires in 2097. The ground lease has annual payments of $3.8 million until 2023 and total payments of $370.7 million thereafter. The Company expects to use this land for future development.</w:t>
      </w:r>
    </w:p>
    <w:p>
      <w:pPr>
        <w:spacing w:after="0" w:line="16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accordance with asset acquisition accounting standards, the Company allocated the purchase price to the identifiable assets acquired based on the relative fair value of each component. As a result, the Company recorded $89.1 million of the purchase price as a definite-lived intangible asset, which represents the favorable terms of the assumed ground lease relative to the market. The Company will amortize this amount to rent expense on a straight-line basis over the remaining term of the ground lease.</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ectPr>
          <w:pgSz w:w="11900" w:h="16847" w:orient="portrait"/>
          <w:cols w:equalWidth="0" w:num="1">
            <w:col w:w="11420"/>
          </w:cols>
          <w:pgMar w:left="240" w:top="122" w:right="239" w:bottom="0" w:gutter="0" w:footer="0" w:header="0"/>
        </w:sectPr>
      </w:pPr>
    </w:p>
    <w:p>
      <w:pPr>
        <w:spacing w:after="0" w:line="163" w:lineRule="exact"/>
        <w:rPr>
          <w:sz w:val="20"/>
          <w:szCs w:val="20"/>
          <w:color w:val="auto"/>
        </w:rPr>
      </w:pPr>
    </w:p>
    <w:p>
      <w:pPr>
        <w:ind w:left="8820"/>
        <w:spacing w:after="0"/>
        <w:tabs>
          <w:tab w:leader="none" w:pos="102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ectPr>
          <w:pgSz w:w="11900" w:h="16847" w:orient="portrait"/>
          <w:cols w:equalWidth="0" w:num="1">
            <w:col w:w="11420"/>
          </w:cols>
          <w:pgMar w:left="240" w:top="122"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8340" w:type="dxa"/>
            <w:vAlign w:val="bottom"/>
            <w:tcBorders>
              <w:bottom w:val="single" w:sz="8" w:color="CCEEFF"/>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Term Loan Facility, due 2021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2,298,798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 due 2020</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623,345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 Senior Notes, due 2024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2027</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America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Term Loan Facility, due 2021</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998,260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2025</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Redemption Price Promissory Note, due 2022</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8,426,469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9,785,241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(99,231)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Redemption Note fair value adjustment</w:t>
            </w:r>
          </w:p>
        </w:tc>
        <w:tc>
          <w:tcPr>
            <w:tcW w:w="360" w:type="dxa"/>
            <w:vAlign w:val="bottom"/>
            <w:shd w:val="clear" w:color="auto" w:fill="CCEEFF"/>
          </w:tcPr>
          <w:p>
            <w:pPr>
              <w:spacing w:after="0"/>
              <w:rPr>
                <w:sz w:val="21"/>
                <w:szCs w:val="21"/>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(57,384)</w:t>
            </w:r>
          </w:p>
        </w:tc>
        <w:tc>
          <w:tcPr>
            <w:tcW w:w="0" w:type="dxa"/>
            <w:vAlign w:val="bottom"/>
          </w:tcPr>
          <w:p>
            <w:pPr>
              <w:spacing w:after="0"/>
              <w:rPr>
                <w:sz w:val="1"/>
                <w:szCs w:val="1"/>
                <w:color w:val="auto"/>
              </w:rPr>
            </w:pPr>
          </w:p>
        </w:tc>
      </w:tr>
      <w:tr>
        <w:trPr>
          <w:trHeight w:val="243"/>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vMerge w:val="continue"/>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8,312,677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9,628,626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(62,690)</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8,133,602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9,565,936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Related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collectively, the "Wynn Macau Credit Facilities"). The borrower is Wynn Resorts (Macau) S.A. ("Wynn Macau SA"), an indirect wholly owned subsidiary of WML. As of June 30, 2018 and December 31, 2017, the weighted average interest rate was 3.81% and 3.16%, respectively. As of June 30, 2018, the Company had $123.7 million of available borrowing capacity under the Wynn Macau Senior Revolving Credit Facility.</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Company's credit facilities include a HK$3.87 billion (approximately $493.2 million) cash-collateralized revolving credit facility ("WML Finance Credit Facility") under which WML Finance I, Limited, an indirect wholly owned subsidiary of WML, is the borrower. The WML Finance Credit Facility bears interest initially at 1.50% per annum, such rate calculated as the interest rate paid by the lender as the deposit bank for the cash collateral deposited and pledged with the lender plus a margin of 0.40%. As of June 30, 2018, the Company had no borrowings under the WML Finance Credit Facility. On July 18, 2018, the WML Finance Credit Facility matured with no outstanding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Corporate Related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Facility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March 28, 2018, the Company entered into a credit agreement to provide for an $800 million 364-day term loan (the "Bridge Facility"). The Company subsequently repaid all amounts borrowed under the Bridge Facility using net proceeds from the issuance of its common stock. See Note 7, "Stockholders' Equity" for additional information on the Company's issuance of common stock. The Bridge Facility bore interest at either LIBOR plus 2.75% per annum or base rate plus 1.75% per annum.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March 30, 2018, the Company used the net proceeds from the Bridge Facility, along with cash on hand and borrowings under its WA Senior Revolving Credit Facility (defined below) to repay the Redemption Note principal amount of $1.94 billion pursuant to the Settlement Agreement and Mutual Release ("Settlement Agreement"). See Note 13, "Commitments and Contingencies—Litigation—Redemption Action and Counterclaim" for additional information on the Settlement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The borrower is Wynn America, LLC, an indirect wholly owned subsidiary of the Company. In the second quarter of 2018, quarterly repayments of $1.7 million commenced under the WA Senior Term Loan Facility I. As of June 30, 2018 and December 31, 2017, the interest rate was 3.85% and 3.32%, respectively. As of June 30, 2018, the Company had available borrowing capacity of $357.3 million, net of $17.7 million in outstanding letters of credit, under the WA Senior Revolving Credit Facility.</w:t>
      </w:r>
    </w:p>
    <w:p>
      <w:pPr>
        <w:spacing w:after="0" w:line="17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the second quarter of 2017, the Company amended the Wynn America Credit Facilities to, among other things, extend the maturity of portions of the credit facilities. In connection with the amendment, the Company recorded a loss on extinguishment of debt of $1.5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Senior Notes</w:t>
      </w:r>
    </w:p>
    <w:p>
      <w:pPr>
        <w:spacing w:after="0" w:line="225"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During the six months ended June 30, 2018, Wynn Resorts purchased $20 million principal amount of the 5 1/2% Senior Notes due 2025 (the "2025 Notes") and $20 million principal amount of the 5 1/4% Senior Notes due 2027 (the "2027 Notes") through open market purchases. As of June 30, 2018, Wynn Resorts holds this debt and has not contributed it to its wholly owned subsidiary, Wynn Las Vegas, LLC.</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March 20, 2018, Wynn Las Vegas, LLC and Wynn Las Vegas Capital Corp. (the "Issuers"), wholly owned subsidiaries of the Company, executed a second supplemental indenture (the "Supplemental Indenture") to the Indenture dated May 22, 2013, as supplemented by that certain Supplemental Indenture dated as of February 18, 2015 (the "Indenture"), relating to the Issuers’ 4 1/4% Senior Notes due 2023 (the "2023 Notes"). The Supplemental Indenture amended the Indenture by conforming the definition of "Change of Control" relating to ownership of equity interests in the Company in the Indenture to the terms of the indentures governing the Issuers’ other outstanding notes. As part of executing the Supplemental Indenture, the Issuers paid $25 million to consenting holders of the 2023 Notes. The Company accounted for this transaction as a modification and recorded the $25 million as debt issuance costs on the Condensed Consolidated Balance Sheet.</w:t>
      </w: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 the second quarter of 2017, the Issuers issued the 2027 Notes and executed a cash tender offer and subsequent redemption for the 5 3/8% First Mortgage Notes due 2022 (the "2022 Notes"). In connection with these transactions, the Company recorded a loss on extinguishment of debt of $20.8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Term Loan</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July 25, 2018, Wynn/CA Plaza Property Owner, LLC and Wynn/CA Property Owner, LLC (collectively, the "Borrowers"), subsidiaries of the Retail Joint Venture, entered into a term loan agreement (the "Retail Term Loan Agreement") with United Overseas Bank Limited, New York Agency, as administrative agent and lead arranger, Fifth Third Bank, as joint lead arranger, Sumitomo Mitsui Banking Corporation, as joint lead arranger, Credit Agricole Corporate and Investment Bank, as managing agent, and the lenders party thereto.</w:t>
      </w:r>
    </w:p>
    <w:p>
      <w:pPr>
        <w:spacing w:after="0" w:line="18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Retail Term Loan Agreement provides a term loan facility to the Borrowers in an aggregate principal amount of $615 million (the "Retail Term Loan"). The Retail Term Loan matures on July 24, 2025 and bears interest at a rate of LIBOR plus 1.70% per annum. To mitigate interest rate risk, in connection with the Retail Term Loan, the Borrowers entered into an interest rate collar agreement with a LIBOR floor of 1.00% and a ceiling of 3.75%. The Borrowers distributed approximately $589 million of the net proceeds of the Retail Term Loan to their members. The Company intends to use its portion of the net proceeds for the construction of Encore Boston Harbor and for other general corporate purposes.</w:t>
      </w:r>
    </w:p>
    <w:p>
      <w:pPr>
        <w:spacing w:after="0" w:line="173" w:lineRule="exact"/>
        <w:rPr>
          <w:sz w:val="20"/>
          <w:szCs w:val="20"/>
          <w:color w:val="auto"/>
        </w:rPr>
      </w:pPr>
    </w:p>
    <w:p>
      <w:pPr>
        <w:ind w:right="580" w:firstLine="405"/>
        <w:spacing w:after="0" w:line="286" w:lineRule="auto"/>
        <w:rPr>
          <w:sz w:val="20"/>
          <w:szCs w:val="20"/>
          <w:color w:val="auto"/>
        </w:rPr>
      </w:pPr>
      <w:r>
        <w:rPr>
          <w:rFonts w:ascii="Arial" w:cs="Arial" w:eastAsia="Arial" w:hAnsi="Arial"/>
          <w:sz w:val="17"/>
          <w:szCs w:val="17"/>
          <w:color w:val="auto"/>
        </w:rPr>
        <w:t>The Retail Term Loan Agreement contains customary representation and warranties, cash sweeps, events of default and affirmative and negative covenants for debt facilities of this type, including, among other things, limitations on leasing matters, incurrence of indebtedness, distributions and transactions with affiliates. The Retail Term Loan is secured by substantially all of the assets of the Borrowers.</w:t>
      </w:r>
    </w:p>
    <w:p>
      <w:pPr>
        <w:spacing w:after="0" w:line="16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Pursuant to the Retail Term Loan Agreement, the Company is required to maintain a consolidated net worth (excluding its interest in the Borrowers) of not less than $100 million during the term of the Retail Term Loan. In addition, pursuant to the Retail Term Loan Agreement,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believes that as of June 30, 2018,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estimated fair value of the Company's long-term debt as of June 30, 2018 and December 31, 2017 was $8.24 billion and $7.95 billion, respectively, compared to its carrying value of $8.43 billion and $7.85 billion. The estimated fair value as of December 31, 2017 excludes the Redemption Note. See Note 2, "Summary of Significant Accounting Policies" for discussion of the estimated fair value of the Redemption Note. The estimated fair value of the Company's long-term debt is based on recent trades, if available, and indicative pricing from market information (Level 2 inputs).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On April 3, 2018, the Company completed a registered public offering (the "Equity Offering") of 5,300,000 newly issued shares of its common stock, par value $0.01 per share, at a price of $175 per share for proceeds of $915.2 million, net of $11.7 million in underwriting discounts and $0.6 million in offering expenses. The Company used the net proceeds from the Equity Offering to repay all amounts borrowed under the Bridge Facility, together with all interest accrued thereon, and used the remaining net proceeds to repay certain other indebtedness of the Company in April 2018.</w:t>
      </w: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February 27, 2018, the Company paid a cash dividend of $0.50 per share and recorded $51.4 million as a reduction of retained earnings.</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29, 2018, the Company paid a cash dividend of $0.75 per share and recorded $81.3 million as a reduction of retained earnings.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August 1, 2018, the Company announced a cash dividend of $0.75 per share, payable on August 28, 2018, to stockholders of record as of August 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On April 25, 2018, WML paid a cash dividend of HK$0.75 per share for a total of $497.1 million. The Company's share of this dividend was $358.8 million with a reduction of $138.3 million to noncontrolling interest in the accompanying Condensed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Company operates integrated resorts in Macau and Las Vegas and generates revenues at its properties by providing the following types of services and products: gaming, rooms, food and beverage and entertainment, retail and other. Revenues disaggregated by type of revenue and geographic location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Macau Operations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Las Vegas Operations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998,293</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101,734</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1,100,027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67,796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118,255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186,051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50,713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104,479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1,163,870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441,554</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1,605,424</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62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901,324</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100,504</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1,001,828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51,199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113,741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164,940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204,294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56,789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101,830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1,034,883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438,009</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1,472,892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5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2,105,789</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236,377</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2,342,166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136,649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239,712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376,361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296,689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387,089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115,119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100,267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215,386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2,447,957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873,045</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3,321,002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5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1,766,398</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225,170</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1,991,568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104,394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229,370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333,764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292,517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368,827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92,803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109,687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202,490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2,039,905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856,744</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2,896,649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(1) Includes lease revenue accounted for under lease accounting guidance. See Note 2, "Summary of Significant Accounting Policies—Revenue Recognition" for lease revenue accounting policy.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Contract Liabilities</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Increase/</w:t>
            </w:r>
          </w:p>
        </w:tc>
      </w:tr>
      <w:tr>
        <w:trPr>
          <w:trHeight w:val="192"/>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(decrease)</w:t>
            </w:r>
          </w:p>
        </w:tc>
        <w:tc>
          <w:tcPr>
            <w:tcW w:w="22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 xml:space="preserve">Casino outstanding chips and front money deposits </w:t>
            </w:r>
            <w:r>
              <w:rPr>
                <w:rFonts w:ascii="Arial" w:cs="Arial" w:eastAsia="Arial" w:hAnsi="Arial"/>
                <w:sz w:val="14"/>
                <w:szCs w:val="14"/>
                <w:color w:val="auto"/>
                <w:w w:val="91"/>
              </w:rPr>
              <w:t>(1)</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794,232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991,957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726,573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546,487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180,086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42,067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52,253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44,872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45,696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2,362</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864,511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1,075,396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790,917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612,158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178,759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100" w:hanging="252"/>
        <w:spacing w:after="0" w:line="358"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Casino outstanding chips represent amounts owed to junkets and customers for chips in their possession, and casino front money deposits represent funds deposited by customers before gaming play occurs. These amounts are included in customer deposits on the Condensed Consolidated Balance Sheets and may be recognized as revenue or will be redeemed for cash in the future.</w:t>
      </w:r>
    </w:p>
    <w:p>
      <w:pPr>
        <w:spacing w:after="0" w:line="74" w:lineRule="exact"/>
        <w:rPr>
          <w:rFonts w:ascii="Arial" w:cs="Arial" w:eastAsia="Arial" w:hAnsi="Arial"/>
          <w:sz w:val="12"/>
          <w:szCs w:val="12"/>
          <w:color w:val="auto"/>
        </w:rPr>
      </w:pPr>
    </w:p>
    <w:p>
      <w:pPr>
        <w:ind w:left="260" w:right="80" w:hanging="252"/>
        <w:spacing w:after="0" w:line="286"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13" w:lineRule="exact"/>
        <w:rPr>
          <w:rFonts w:ascii="Arial" w:cs="Arial" w:eastAsia="Arial" w:hAnsi="Arial"/>
          <w:sz w:val="13"/>
          <w:szCs w:val="13"/>
          <w:color w:val="auto"/>
        </w:rPr>
      </w:pPr>
    </w:p>
    <w:p>
      <w:pPr>
        <w:ind w:left="260" w:right="26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spacing w:after="0" w:line="119" w:lineRule="exact"/>
        <w:rPr>
          <w:rFonts w:ascii="Arial" w:cs="Arial" w:eastAsia="Arial" w:hAnsi="Arial"/>
          <w:sz w:val="14"/>
          <w:szCs w:val="14"/>
          <w:color w:val="auto"/>
        </w:rPr>
      </w:pPr>
    </w:p>
    <w:p>
      <w:pPr>
        <w:ind w:left="260" w:right="18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7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327</w:t>
            </w: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14,414</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16,930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18,787</w:t>
            </w: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5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10,611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16,939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18,819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$2.4 million and $4.9 million, for the three months ended June 30, 2018 and 2017, respectively, and $4.2 million and $9.9 million for the six months ended June 30, 2018 and 2017, respectively. The Company settled the obligation for the 2017 annual incentive bonus by issuing vested shares in December 2017 and January 2018.</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For the three months ended June 30, 2018 and 2017, the Company recorded an income tax benefit of $9.7 million and an income tax expense of $2.6 million, respectively. For the six months ended June 30, 2018 and 2017, the Company recorded an income tax benefit of $120.7 million and an income tax expense of $5.5 million, respectively. The 2018 income tax benefit primarily related to the settlement of the Redemption Note. The 2017 income tax expense primarily related to an increase in the domestic valuation allowance for U.S. foreign tax credits ("FTCs").</w:t>
      </w:r>
    </w:p>
    <w:p>
      <w:pPr>
        <w:spacing w:after="0" w:line="171"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The Company recorded valuation allowances on certain of its U.S. and foreign deferred tax assets. In assessing the need for a valuation allowance, the Company considered whether it is more likely than not that the deferred tax assets will be realized. The ultimate realization of deferred tax assets is dependent upon the generation of future taxable income. In the assessment of the valuation allowance, appropriate consideration was given to all positive and negative evidence including recent operating profitability, forecast of future earnings and the duration of statutory carryforward periods.</w:t>
      </w:r>
    </w:p>
    <w:p>
      <w:pPr>
        <w:spacing w:after="0" w:line="15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Wynn Macau SA has received a five-year exemption from complementary tax on profits generated by gaming operations through December 31, 2020. For the three months ended June 30, 2018 and 2017, the Company was exempt from the payment of such taxes totaling $20.0 million and $13.9 million, respectively. For the six months ended June 30, 2018 and 2017, the Company was exempt from the payment of such taxes totaling $46.9 million and $26.6 million, respectively.</w:t>
      </w:r>
    </w:p>
    <w:p>
      <w:pPr>
        <w:spacing w:after="0" w:line="187"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12.8 million Macau patacas (approximately $1.6 million) as complementary tax otherwise due by stockholders of Wynn Macau SA on dividend distributions through 2020.</w:t>
      </w:r>
    </w:p>
    <w:p>
      <w:pPr>
        <w:spacing w:after="0" w:line="12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December 2017, the U.S. Tax Cuts and Jobs Act ("U.S. tax reform") was enacted. Also in December 2017, the SEC staff issued Staff Accounting Bulletin No. 118, Income Tax Accounting Implications of the Tax Cuts and Jobs Act, which allowed the Company to record provisional amounts during a measurement period not to extend beyond one year from the enactment date. For the year ended December 31, 2017, the Company recorded a provisional net tax benefit of $339.9 million. This provisional net tax benefit was based on the Company's initial analysis of the U.S. tax reform. The Company continues to collect additional information and evaluate any regulatory guidance as it is issued and may adjust the provisional net tax benefit over the next six months. Any subsequent adjustment to this amount will be recorded to the current income tax expense in the period in which the amount is determined.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On February 6, 2018, Stephen A. Wynn, former Chairman of the Board of Directors and Chief Executive Officer ("Mr. Wynn"), resigned as Chairman of the Board of Directors and Chief Executive Officer of Wynn Resorts and on February 15, 2018, Mr. Wynn entered into a separation agreement with the Company specifying the terms of his termination of service with the Company (the "Separation Agreement"). The Separation Agreement terminated Mr. Wynn’s employment agreement with the Company and confirmed that Mr. Wynn is not entitled to any severance payment or other compensation from the Company under his employment agreement.</w:t>
      </w:r>
    </w:p>
    <w:p>
      <w:pPr>
        <w:spacing w:after="0" w:line="188"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Under the Separation Agreement, Mr. Wynn agreed not to compete against the Company for a period of two years and to provide reasonable cooperation and assistance to the Company in connection with any private litigation or arbitration and to the Board of Directors of the Company or any committee of the Board of Directors in connection with any investigation by the Company related to his service with the Company. The Separation Agreement provided that (i) Mr. Wynn’s lease of his personal residence at Wynn Las Vegas would terminate not later than June 1, 2018 and until such date Mr. Wynn would continue to pay rent at its fair market value, unless Mr. Wynn elected to terminate the lease before such date, (ii) Mr. Wynn’s current healthcare coverage will terminate on December 31, 2018, and (iii) administrative support for Mr. Wynn would terminate on May 31, 2018. Additionally, in order to conduct sales of Company shares in an orderly fashion, the Company agreed to enter into a registration rights agreement with Mr. Wynn, with Mr. Wynn to reimburse the Company for its reasonable expenses.</w:t>
      </w:r>
    </w:p>
    <w:p>
      <w:pPr>
        <w:spacing w:after="0" w:line="1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March 20, 2018, the Company entered into a registration rights agreement with Mr. Wynn, the Wynn Family Limited Partnership, a Delaware limited partnership (together with Mr. Wynn, the "Selling Stockholder") and each holder from time to time a party thereto (the "Registration Rights Agreement"), pursuant to the Separation Agreement. The Selling Stockholder subsequently sold all of its holdings of the Company's common stock through open market transactions pursuant to Rule 144</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under the Securities Act of 1933, as amended, and certain privately negotiated transactions. Pursuant to the Registration Rights Agreement, without the Company's prior written consent, the Selling Stockholder was not permitted to sell more than an aggregate of 4,043,903 shares of Common Stock in any quarter. The Company provided written consent permitting the Selling Stockholder to undertake the registered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day after the conclusion of the 2020 annual meeting of the Company’s stockholders, unless earlier terminated pursuant to the circumstances described in the Cooperation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periodically provides services to certain executive officers and directors of the Company, including the personal use of employees, construction work and other personal services, for which the officers and directors reimburse the Company. Certain officers and directors have deposits with the Company to prepay any such items, which are replenished on an ongoing basis as needed. As of June 30, 2018, these net deposit balances with the Company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Retail Joint Venture</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December 2016, the Company sold Crown a 49.9% ownership interest in the Retail Joint Venture for $217.0 million in cash and a $75.0 million interest-free note, which was paid in full on January 3, 2018. As of December 31, 2017, the note was recorded at its present value of $75.0 million in prepaid expenses and other on the Condensed Consolidated Balance Sheet.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As of June 30, 2018 and December 31, 2017, the Retail Joint Venture had total assets of $69.0 million and $59.7 million, respectively, and total liabilities of $2.1 million and $0.9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 Development</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April 28, 2017, Wynn MA, LLC ("Wynn MA"), an indirect wholly owned subsidiary of the Company, and Suffolk Construction Company, Inc. (the "Construction Manager"), entered into an agreement concerning the construction of Encore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jc w:val="both"/>
        <w:ind w:right="200" w:firstLine="392"/>
        <w:spacing w:after="0" w:line="259"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w:t>
      </w:r>
    </w:p>
    <w:p>
      <w:pPr>
        <w:spacing w:after="0" w:line="18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were "unsuitable persons" under Article VII of the Company's articles of incorporation. On that same day, Wynn Resorts redeemed and canceled Aruze's 24,549,222 shares of Wynn Resorts' common stock, and, pursuant to its articles of incorporation, Wynn Resorts issued the Redemption Note to Aruze in redemption of the shares.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sought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On March 12, 2012, the Okada Parties filed an answer denying the claims and a counterclaim (as amended, the "Counterclaim") purporting to assert claims against the Company, certain individuals who are or were members of the Company's Board of Directors (other than Mr. Okada) and Wynn Resorts' former General Counsel, Kimmarie Sinatra. The Counterclaim alleged,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sought a declaration that the redemption of Aruze's shares was void, an injunction restoring Aruze's share ownership, damages in an unspecified amount and rescission of the Amended and Restated Stockholders Agreement, dated as of January 6, 2010, by and among Aruze, Mr. Wynn, and Elaine P. Wynn (the "Stockholders Agreement").</w:t>
      </w:r>
    </w:p>
    <w:p>
      <w:pPr>
        <w:spacing w:after="0" w:line="9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On March 8, 2018, the Company entered into the Settlement Agreement by and between the Company, Mr. Wynn, Linda Chen, Russell Goldsmith, Ray R. Irani, Robert J. Miller, John A. Moran, Marc D. Schorr, Alvin V. Shoemaker, D. Boone Wayson, Allan Zeman, and Kimmarie Sinatra (collectively, the "Wynn Parties"), and Universal Entertainment Corp. and Aruze (collectively with Universal Entertainment Corp., the "Universal Parties"). The Settlement Agreement resolved legal proceedings pending in the Redemption Action as well as other claims. Pursuant to the Settlement Agreement, the Company paid the principal amount of the $1.94 billion Redemption Note on March 30, 2018. On March 30, 2018, the Company also paid an additional $463.6 million with respect to the Universal Parties’ claims related to the allegedly below-market interest rate of the Redemption Note and stipulated to the release to Aruze of $232.4 million in accrued interest held in escrow. The Company recorded the $463.6 million as a litigation settlement expense on the Condensed Consolidated Statements of Operations. Under the Settlement Agreement, the Wynn Parties and the Universal Parties mutually agreed to unconditionally release all claims against each other relating to or arising out of the Redemption Action, as well as any claims which relate to or arise out of any other litigation or claims in any other jurisdiction. As a result, the Universal Parties will not claim that Aruze remains a party to the Stockholders Agreement. The Universal Parties further released any claims against the Wynn Parties and their affiliates in any other jurisdiction, including but not limited to the proceeding pending in Macau against Wynn Resorts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(Macau) S.A. and certain related individuals ("Macau Litigation"). As a result of the Settlement Agreement, the parties to the agreement dismissed all litigation between the Universal Parties and the Company and its then-directors and executives with respect to the redemption, including the Redemption Action and the Macau Litigation, but the Settlement Agreement did not release claims against any parties to such litigation who are not parties to the Settlement Agreement, including but not limited to Kazuo Okada and Elaine P. Wynn.</w:t>
      </w:r>
    </w:p>
    <w:p>
      <w:pPr>
        <w:spacing w:after="0" w:line="187" w:lineRule="exact"/>
        <w:rPr>
          <w:sz w:val="20"/>
          <w:szCs w:val="20"/>
          <w:color w:val="auto"/>
        </w:rPr>
      </w:pPr>
    </w:p>
    <w:p>
      <w:pPr>
        <w:ind w:right="600" w:firstLine="392"/>
        <w:spacing w:after="0" w:line="277" w:lineRule="auto"/>
        <w:rPr>
          <w:sz w:val="20"/>
          <w:szCs w:val="20"/>
          <w:color w:val="auto"/>
        </w:rPr>
      </w:pPr>
      <w:r>
        <w:rPr>
          <w:rFonts w:ascii="Arial" w:cs="Arial" w:eastAsia="Arial" w:hAnsi="Arial"/>
          <w:sz w:val="18"/>
          <w:szCs w:val="18"/>
          <w:color w:val="auto"/>
        </w:rPr>
        <w:t>On March 12, 2018, the Company voluntarily dismissed its claim for breach of fiduciary duty against Kazuo Okada, which was the last and only remaining claim between Wynn Resorts, Kazuo Okada, and the Universal Parties in the Redemption Action.</w:t>
      </w:r>
    </w:p>
    <w:p>
      <w:pPr>
        <w:spacing w:after="0" w:line="170" w:lineRule="exact"/>
        <w:rPr>
          <w:sz w:val="20"/>
          <w:szCs w:val="20"/>
          <w:color w:val="auto"/>
        </w:rPr>
      </w:pPr>
    </w:p>
    <w:p>
      <w:pPr>
        <w:ind w:right="140" w:firstLine="432"/>
        <w:spacing w:after="0" w:line="268" w:lineRule="auto"/>
        <w:rPr>
          <w:sz w:val="20"/>
          <w:szCs w:val="20"/>
          <w:color w:val="auto"/>
        </w:rPr>
      </w:pPr>
      <w:r>
        <w:rPr>
          <w:rFonts w:ascii="Arial" w:cs="Arial" w:eastAsia="Arial" w:hAnsi="Arial"/>
          <w:sz w:val="17"/>
          <w:szCs w:val="17"/>
          <w:color w:val="auto"/>
        </w:rPr>
        <w:t>On June 19, 2012, Elaine P. Wynn asserted a cross claim against Mr. Wynn and Aruze seeking a declaration that (1) any and all of Elaine P. Wynn's duties under the Stockholders Agreement should be discharged; (2) the Stockholders Agreement was subject to rescission and is rescinded; (3) the Stockholders Agreement was an unreasonable restraint on alienation in violation of public policy; and/or (4) the restrictions on sale of shares should be construed as inapplicable to Elaine P. Wynn. On March 28, 2016, Elaine P Wynn filed an amended cross claim against Mr. Wynn, as well as Wynn Resorts and Wynn Resorts' former General Counsel (together with Mr. Wynn, the "Wynn Cross Defendants") as cross defendants. The amended cross claim substantially repeated its earlier allegations and further alleged that Mr. Wynn engaged in acts of misconduct that, with the Wynn Cross Defendants, resulted in Mr. Wynn allegedly breaching the Stockholders Agreement and violating alleged duties under the Stockholders Agreement by preventing Elaine P. Wynn from being nominated and elected to serve as one of Wynn Resorts' directors. In addition to continuing to seek the declarations asserted under the original cross claim, the amended cross claim sought an order compelling Mr. Wynn to comply with the Stockholders Agreement by assuring the nomination and election of Elaine P. Wynn to the Board of Directors and sought unspecified monetary damages from Mr. Wynn and the Wynn Cross Defendants. Elaine P. Wynn’s amended cross claim was later dismissed as to Wynn Resorts and Wynn Resorts' former General Counsel. On May 17, 2017, Elaine P. Wynn filed another amended cross claim against the Wynn Cross Defendants, which substantially repeated its earlier allegations and again named Wynn Resorts and Wynn Resorts' former General Counsel as cross defendants.</w:t>
      </w:r>
    </w:p>
    <w:p>
      <w:pPr>
        <w:spacing w:after="0" w:line="188" w:lineRule="exact"/>
        <w:rPr>
          <w:sz w:val="20"/>
          <w:szCs w:val="20"/>
          <w:color w:val="auto"/>
        </w:rPr>
      </w:pPr>
    </w:p>
    <w:p>
      <w:pPr>
        <w:ind w:right="180" w:firstLine="392"/>
        <w:spacing w:after="0" w:line="257" w:lineRule="auto"/>
        <w:rPr>
          <w:sz w:val="20"/>
          <w:szCs w:val="20"/>
          <w:color w:val="auto"/>
        </w:rPr>
      </w:pPr>
      <w:r>
        <w:rPr>
          <w:rFonts w:ascii="Arial" w:cs="Arial" w:eastAsia="Arial" w:hAnsi="Arial"/>
          <w:sz w:val="18"/>
          <w:szCs w:val="18"/>
          <w:color w:val="auto"/>
        </w:rPr>
        <w:t>On March 14, 2018, Mr. Wynn and Elaine P. Wynn entered into a stipulation declaring the Stockholders Agreement invalid and unenforceable, and on April 16, 2018, the Company entered into a Settlement Agreement and Mutual Release by and between the Company, Mr. Wynn, Elaine P. Wynn, and the Company’s former General Counsel, which, among other things, resolved and unconditionally released the parties from all claims and cross claims asserted among the parties in a legal proceeding involving the Stockholders Agreement. Neither the Company nor the Company’s former General Counsel made any payment under the terms of such settlement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February 4, 2014, the court entered an order on the parties' stipulation that: (1) dismissed all claims Mr. Okada asserted against the Company; (2) reserved Mr. Okada's right to assert, in the future, any claims for indemnity following the resolution of the Redemption Action; and (3) stayed the claims asserted by the Company against Mr. Okada pending the resolution of the Redemption Action. On April 6, 2018, the court entered an order closing this action.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Litigation:</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University of Macau Development Foundation was unlawful. The plaintiffs seek dissolution of Wynn Macau SA and compensatory damages. On July 11, 2017, the Macau Court dismissed all claims by the Okada Parties as unfounded, fined the Okada Parties, and ordered the Okada Parties to pay for court costs and the Wynn Macau Parties' attorney's fees. On or about October 16, 2017, the Okada Parties filed formal appeal papers in Macau, which Wynn Macau SA received on November 21, 2017. Wynn Macau SA filed its response on December 21, 2017. In March 2018, pursuant to the Settlement Agreement, the Universal Parties voluntarily withdrew from the Macau Litigation, leaving Mr. Okada as the sole claimant.</w:t>
      </w:r>
    </w:p>
    <w:p>
      <w:pPr>
        <w:spacing w:after="0" w:line="173"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The Company believes this action is without merit and will vigorously defend itself against the claims pleaded against it by Mr. Okada.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Litigation Related to Redemption Action</w:t>
      </w:r>
    </w:p>
    <w:p>
      <w:pPr>
        <w:spacing w:after="0" w:line="225"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"Derivative Plaintiffs"). The Derivative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Derivative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Derivative Plaintiffs seek unspecified monetary damages (compensatory and punitive), disgorgement, reformation of corporate governance procedures, an order directing the Company to internally investigate the donation, as well as attorney's fees and costs. On June 18, 2014, the court entered a stipulation between the parties that provides for a stay of the action and directs the parties, within 45 days of the conclusion of the Redemption Action, to discuss how the derivative action should proceed and to file a joint report with the court. In May 2018, the parties (except Elaine P. Wynn) filed a joint report given the conclusion of the Redemption Action. On May 14, 2018, the court stayed the case due to plaintiff Danny Hinson’s claim that he intended to send a demand letter to the Company. On May 30, 2018, plaintiff Danny Hinson sent a demand letter to the Company requesting the Board to investigate the University of Macau Development Foundation donation, the removal of Mr. Okada from the Board and the terms of the Redemption Note. The Company is reviewing the letter.</w:t>
      </w:r>
    </w:p>
    <w:p>
      <w:pPr>
        <w:spacing w:after="0" w:line="18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these actions or the range of reasonably possible loss, if any.</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Massachusetts Gaming License Related Action</w:t>
      </w:r>
    </w:p>
    <w:p>
      <w:pPr>
        <w:spacing w:after="0" w:line="225"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197" w:lineRule="exact"/>
        <w:rPr>
          <w:sz w:val="20"/>
          <w:szCs w:val="20"/>
          <w:color w:val="auto"/>
        </w:rPr>
      </w:pPr>
    </w:p>
    <w:p>
      <w:pPr>
        <w:ind w:right="100" w:firstLine="378"/>
        <w:spacing w:after="0" w:line="297" w:lineRule="auto"/>
        <w:rPr>
          <w:sz w:val="20"/>
          <w:szCs w:val="20"/>
          <w:color w:val="auto"/>
        </w:rPr>
      </w:pPr>
      <w:r>
        <w:rPr>
          <w:rFonts w:ascii="Arial" w:cs="Arial" w:eastAsia="Arial" w:hAnsi="Arial"/>
          <w:sz w:val="16"/>
          <w:szCs w:val="16"/>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The parties then appealed to the Massachusetts Supreme Judicial Court ("SJC"). On</w:t>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and oral argument is being re-scheduled from its originally scheduled date of April 5, 2018.</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phase.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above complaint. The MGC retained private legal representation at its own nontaxpayer-funded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Related to Mr. Wynn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Investigations: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January 26, 2018, the Company's Board of Directors formed a Special Committee comprised solely of independent directors to investigate allegations of inappropriate personal conduct by Mr. Wynn in the workplace. On February 12, 2018, the Special Committee amended and restated its charter to provide for a review of various governance issues regarding knowledge of the allegations and a comprehensive review of the Company's internal policies and procedures with the goal of employing best practices to maintain a safe and respectful workplace for all employees. On August 3, 2018, the Board received the final presentation from the Special Committee. The Special Committee will provide the presentation to the Company's gaming regulators in Massachusetts and Nevada, which are reviewing these matters, including suitability with respect to the Company and its related licensees, and the Company is cooperating with these regulatory reviews. The gaming regulator in Macau is monitoring and reviewing the situation, and the Company is cooperating. In deference to the ongoing regulatory investigations, the Board and the Company intends to not make any further public statement on the results of the Special Committee presentation until the regulatory investigations are completed.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Stockholder Actions:</w:t>
      </w:r>
    </w:p>
    <w:p>
      <w:pPr>
        <w:spacing w:after="0" w:line="333" w:lineRule="exact"/>
        <w:rPr>
          <w:sz w:val="20"/>
          <w:szCs w:val="20"/>
          <w:color w:val="auto"/>
        </w:rPr>
      </w:pPr>
    </w:p>
    <w:p>
      <w:pPr>
        <w:ind w:right="60" w:firstLine="392"/>
        <w:spacing w:after="0" w:line="283" w:lineRule="auto"/>
        <w:rPr>
          <w:sz w:val="20"/>
          <w:szCs w:val="20"/>
          <w:color w:val="auto"/>
        </w:rPr>
      </w:pPr>
      <w:r>
        <w:rPr>
          <w:rFonts w:ascii="Arial" w:cs="Arial" w:eastAsia="Arial" w:hAnsi="Arial"/>
          <w:sz w:val="16"/>
          <w:szCs w:val="16"/>
          <w:color w:val="auto"/>
        </w:rPr>
        <w:t>A number of stockholder derivative actions have been filed purportedly on behalf of the Company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Mr. Wynn in the workplace. Specifically, (i) on February 6, 2018, Norfolk County Retirement System filed a stockholder derivative action against certain current and former members of the Company’s Board of Directors and the Company’s former General Counsel, which was voluntarily dismissed on February 21, 2018; (ii) on February 15, 2018, Operating Engineers Construction Industry and Miscellaneous Pension Fund filed a stockholder derivative action against certain current and former members of the Company’s Board of Directors; (iii) on February 15, 2018, Boynton Beach Municipal Firefighters’ Pension Trust Fund and the Firemen’s Retirement System of St. Louis filed a stockholder derivative action against certain current and former members of the Company’s Board of Directors and the Company’s former General Counsel; (iv) on February 22, 2018, Thomas P. DiNapoli, Comptroller of the State of New York, as Administrative Head of the New York State and Local Retirement System and trustee of the New York State Common Retirement Fund, filed a stockholder derivative action against certain current and former members of the Company’s Board of Directors and the Company’s former General Counsel;</w:t>
      </w:r>
    </w:p>
    <w:p>
      <w:pPr>
        <w:spacing w:after="0" w:line="5" w:lineRule="exact"/>
        <w:rPr>
          <w:sz w:val="20"/>
          <w:szCs w:val="20"/>
          <w:color w:val="auto"/>
        </w:rPr>
      </w:pPr>
    </w:p>
    <w:p>
      <w:pPr>
        <w:ind w:right="20" w:firstLine="8"/>
        <w:spacing w:after="0" w:line="286"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on February 22, 2018, Erste-Sparinvest Kapitalanlagegesellschaft M.B.H. filed a stockholder derivative action against certain current and former members of the Company’s Board of Directors and the Company’s former General Counsel; (vi) on March 6, 2018, the State of Oregon filed a stockholder derivative action against certain current and former members of the Company’s Board of Directors and the Company’s former General Counsel; (vii) on March 15, 2018, Insulators and Asbestos Workers Local No. 14 Pension and Health and Welfare Funds filed a stockholder derivative action against certain current and former members of the Company’s Board of Directors and the Company’s Chief Executive Officer and former General Counsel; and (viii) on April 18, 2018, C. Jeffrey Rogers filed a stockholder derivative action against certain current and former members of the Company’s Board of Directors and the Company’s Chief Executive Officer and former General Counsel. The actions filed in Clark County, Nevada have been consolidated as </w:t>
      </w:r>
      <w:r>
        <w:rPr>
          <w:rFonts w:ascii="Arial" w:cs="Arial" w:eastAsia="Arial" w:hAnsi="Arial"/>
          <w:sz w:val="16"/>
          <w:szCs w:val="16"/>
          <w:i w:val="1"/>
          <w:iCs w:val="1"/>
          <w:color w:val="auto"/>
        </w:rPr>
        <w:t>In re Wynn Resorts, Ltd.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Litigation</w:t>
      </w:r>
      <w:r>
        <w:rPr>
          <w:rFonts w:ascii="Arial" w:cs="Arial" w:eastAsia="Arial" w:hAnsi="Arial"/>
          <w:sz w:val="16"/>
          <w:szCs w:val="16"/>
          <w:color w:val="auto"/>
        </w:rPr>
        <w:t>. The actions filed in the United States District Court, District of Nevada have been consolidated as</w:t>
      </w:r>
      <w:r>
        <w:rPr>
          <w:rFonts w:ascii="Arial" w:cs="Arial" w:eastAsia="Arial" w:hAnsi="Arial"/>
          <w:sz w:val="16"/>
          <w:szCs w:val="16"/>
          <w:i w:val="1"/>
          <w:iCs w:val="1"/>
          <w:color w:val="auto"/>
        </w:rPr>
        <w:t xml:space="preserve"> In re Wynn Resorts, Ltd. Derivative Litigation</w:t>
      </w:r>
      <w:r>
        <w:rPr>
          <w:rFonts w:ascii="Arial" w:cs="Arial" w:eastAsia="Arial" w:hAnsi="Arial"/>
          <w:sz w:val="16"/>
          <w:szCs w:val="16"/>
          <w:color w:val="auto"/>
        </w:rPr>
        <w:t>, which also claim corporate waste and violation of Section 14(a) of the Exchange Act. Each of the actions seeks to recover for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unspecified damages, including restitution and disgorgement of profits, and also seeks to recover attorneys’ fees, costs and related expenses for the</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plaintiff. Additional demands have been made to the Company that it commence similar actions and additional lawsuits may be filed in the future.</w:t>
      </w:r>
    </w:p>
    <w:p>
      <w:pPr>
        <w:spacing w:after="0" w:line="237"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On February 20, 2018, a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w:t>
      </w:r>
    </w:p>
    <w:p>
      <w:pPr>
        <w:spacing w:after="0" w:line="18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its Encore Boston Harbor development project. Other Macau primarily represents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(as adjusted)</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9"/>
              </w:rPr>
              <w:t>(as adjusted)</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543,284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638,476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1,161,525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1,191,192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620,586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396,407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1,286,432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848,713</w:t>
            </w:r>
          </w:p>
        </w:tc>
      </w:tr>
      <w:tr>
        <w:trPr>
          <w:trHeight w:val="237"/>
        </w:trPr>
        <w:tc>
          <w:tcPr>
            <w:tcW w:w="562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1,163,870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1,034,883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2,447,957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2,039,905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873,045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856,744</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1,605,424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1,472,892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3,321,002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2,896,649</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(1)</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391,504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179,265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87,403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391,176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199,259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352,193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297,801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773,926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590,763</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132,210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266,753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266,787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476,350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430,011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1,040,679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857,550</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12,537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10,201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18,787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196,778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183,122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842,401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360,731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279,572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246,889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198,278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496,819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14,081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(22,287)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(251,223)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(252,002)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244,817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120,747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205,280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239,320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(63,589)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155,756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74,916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175,731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340" w:hanging="332"/>
        <w:spacing w:after="0" w:line="268"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(loss) on extinguishment of debt, change in interest rate swap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w:t>
      </w:r>
    </w:p>
    <w:p>
      <w:pPr>
        <w:sectPr>
          <w:pgSz w:w="11900" w:h="16838" w:orient="portrait"/>
          <w:cols w:equalWidth="0" w:num="1">
            <w:col w:w="11420"/>
          </w:cols>
          <w:pgMar w:left="240" w:top="121" w:right="239" w:bottom="1440" w:gutter="0" w:footer="0" w:header="0"/>
        </w:sect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49" w:lineRule="exact"/>
        <w:rPr>
          <w:sz w:val="20"/>
          <w:szCs w:val="20"/>
          <w:color w:val="auto"/>
        </w:rPr>
      </w:pPr>
    </w:p>
    <w:p>
      <w:pPr>
        <w:jc w:val="both"/>
        <w:ind w:left="340"/>
        <w:spacing w:after="0" w:line="387" w:lineRule="auto"/>
        <w:rPr>
          <w:sz w:val="20"/>
          <w:szCs w:val="20"/>
          <w:color w:val="auto"/>
        </w:rPr>
      </w:pPr>
      <w:r>
        <w:rPr>
          <w:rFonts w:ascii="Arial" w:cs="Arial" w:eastAsia="Arial" w:hAnsi="Arial"/>
          <w:sz w:val="14"/>
          <w:szCs w:val="14"/>
          <w:color w:val="auto"/>
        </w:rPr>
        <w:t>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4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1,628,289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1,271,544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3,881,393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4,017,494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4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174,769</w:t>
            </w:r>
          </w:p>
        </w:tc>
        <w:tc>
          <w:tcPr>
            <w:tcW w:w="0" w:type="dxa"/>
            <w:vAlign w:val="bottom"/>
          </w:tcPr>
          <w:p>
            <w:pPr>
              <w:spacing w:after="0"/>
              <w:rPr>
                <w:sz w:val="1"/>
                <w:szCs w:val="1"/>
                <w:color w:val="auto"/>
              </w:rPr>
            </w:pPr>
          </w:p>
        </w:tc>
      </w:tr>
      <w:tr>
        <w:trPr>
          <w:trHeight w:val="237"/>
        </w:trPr>
        <w:tc>
          <w:tcPr>
            <w:tcW w:w="412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4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5,699,262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5,463,807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2,920,942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3,266,390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1,527,283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1,060,530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1,669,069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2,891,012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4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11,816,556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12,681,739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vMerge w:val="restart"/>
          </w:tcPr>
          <w:p>
            <w:pPr>
              <w:jc w:val="right"/>
              <w:ind w:right="237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2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2017.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("Macau"), we own approximately 72% of Wynn Macau, Limited ("WML"), which includes the operations of the Wynn Macau and Wynn Palace resorts, which we refer to as our Macau Operations. In Las Vegas, Nevada, we operate and, with the exception of certain retail space, own 100% of Wynn Las Vegas, which we also refer to as our Las Vegas Operations. We are currently constructing Encore Boston Harbor, an integrated casino resort in Everett, Massachusetts.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July 15, 2018:</w:t>
      </w:r>
    </w:p>
    <w:p>
      <w:pPr>
        <w:spacing w:after="0" w:line="279" w:lineRule="exact"/>
        <w:rPr>
          <w:sz w:val="20"/>
          <w:szCs w:val="20"/>
          <w:color w:val="auto"/>
        </w:rPr>
      </w:pPr>
    </w:p>
    <w:p>
      <w:pPr>
        <w:ind w:left="1300" w:right="1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273,000 square feet of casino space, offering 24-hour gaming and a full range of games with 306 table games and 879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Eight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rotunda show featuring a Chinese zodiac-inspired ceiling along with gold "prosperity tree" and "dragon of fortune" attractions.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July 15, 2018:</w:t>
      </w:r>
    </w:p>
    <w:p>
      <w:pPr>
        <w:spacing w:after="0" w:line="279" w:lineRule="exact"/>
        <w:rPr>
          <w:sz w:val="20"/>
          <w:szCs w:val="20"/>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321 table games and 1,042 slot machines, private gaming salons and sky casinos;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 In addition, we own approximately 18 acres across Sands Avenue, a portion of which is improved with an employee parking garage, and approximately five acres adjacent to the golf course land upon which an office building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July 15, 2018:</w:t>
      </w:r>
    </w:p>
    <w:p>
      <w:pPr>
        <w:spacing w:after="0" w:line="387" w:lineRule="exact"/>
        <w:rPr>
          <w:sz w:val="20"/>
          <w:szCs w:val="20"/>
          <w:color w:val="auto"/>
        </w:rPr>
      </w:pPr>
    </w:p>
    <w:p>
      <w:pPr>
        <w:ind w:left="1300" w:right="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192,000 square feet of casino space, offering 24-hour gaming and a full range of games with 233 table games and 1,802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 (the majority of which is owned and operated under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December 2016, we entered into a joint venture arrangement (the "Retail Joint Venture") with Crown Acquisitions Inc. ("Crown") to own and operate approximately 88,000 square feet of existing retail space. In November 2017, we contributed approximately 74,000 square feet of additional retail space to the Retail Joint Venture, the majority of which is currently under construction at Wynn Las Vegas. We expect to open the additional retail space in the fourth quarter of 2018.</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We are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$2.5 billion. As of June 30, 2018, we have incurred approximately $1.64 billion in total project costs. We expect to open Encore Boston Harbor in mid-2019.</w:t>
      </w:r>
    </w:p>
    <w:p>
      <w:pPr>
        <w:spacing w:after="0" w:line="186" w:lineRule="exact"/>
        <w:rPr>
          <w:sz w:val="20"/>
          <w:szCs w:val="20"/>
          <w:color w:val="auto"/>
        </w:rPr>
      </w:pPr>
    </w:p>
    <w:p>
      <w:pPr>
        <w:ind w:right="60" w:firstLine="405"/>
        <w:spacing w:after="0" w:line="276" w:lineRule="auto"/>
        <w:rPr>
          <w:sz w:val="20"/>
          <w:szCs w:val="20"/>
          <w:color w:val="auto"/>
        </w:rPr>
      </w:pPr>
      <w:r>
        <w:rPr>
          <w:rFonts w:ascii="Arial" w:cs="Arial" w:eastAsia="Arial" w:hAnsi="Arial"/>
          <w:sz w:val="18"/>
          <w:szCs w:val="18"/>
          <w:color w:val="auto"/>
        </w:rPr>
        <w:t xml:space="preserve">We have begun construction activities for the re-development </w:t>
      </w:r>
      <w:r>
        <w:rPr>
          <w:rFonts w:ascii="Arial" w:cs="Arial" w:eastAsia="Arial" w:hAnsi="Arial"/>
          <w:sz w:val="19"/>
          <w:szCs w:val="19"/>
          <w:color w:val="auto"/>
        </w:rPr>
        <w:t>of</w:t>
      </w:r>
      <w:r>
        <w:rPr>
          <w:rFonts w:ascii="Arial" w:cs="Arial" w:eastAsia="Arial" w:hAnsi="Arial"/>
          <w:sz w:val="18"/>
          <w:szCs w:val="18"/>
          <w:color w:val="auto"/>
        </w:rPr>
        <w:t xml:space="preserve"> a portion of the land previously occupied by the Wynn Las Vegas golf course, which we closed in the fourth quarter of 2017. Phase 1 of the project is expected to include a lagoon and additional meeting and convention space. Based on current designs, we estimate the total project budget for Phase 1 to be approximately $500 million. We expect to open the additional meeting and convention space in the first quarter of 2020.</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Certain key operating measures specific to the gaming industry are included in our discussion of our operational performance for the periods for which a Condensed Consolidated Statement of Operations is presented. Below are definitions of these key operating measures discussed:</w:t>
      </w:r>
    </w:p>
    <w:p>
      <w:pPr>
        <w:spacing w:after="0" w:line="147" w:lineRule="exact"/>
        <w:rPr>
          <w:sz w:val="20"/>
          <w:szCs w:val="20"/>
          <w:color w:val="auto"/>
        </w:rPr>
      </w:pPr>
    </w:p>
    <w:p>
      <w:pPr>
        <w:ind w:left="1300" w:right="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46" w:lineRule="exact"/>
        <w:rPr>
          <w:rFonts w:ascii="Arial" w:cs="Arial" w:eastAsia="Arial" w:hAnsi="Arial"/>
          <w:sz w:val="16"/>
          <w:szCs w:val="16"/>
          <w:color w:val="auto"/>
        </w:rPr>
      </w:pPr>
    </w:p>
    <w:p>
      <w:pPr>
        <w:ind w:left="1300" w:right="2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right="44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ind w:left="1300" w:right="80" w:hanging="644"/>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right="8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6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22% to 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of second quarter 2018 results</w:t>
      </w:r>
    </w:p>
    <w:p>
      <w:pPr>
        <w:spacing w:after="0" w:line="225" w:lineRule="exact"/>
        <w:rPr>
          <w:sz w:val="20"/>
          <w:szCs w:val="20"/>
          <w:color w:val="auto"/>
        </w:rPr>
      </w:pPr>
    </w:p>
    <w:p>
      <w:pPr>
        <w:ind w:right="120" w:firstLine="243"/>
        <w:spacing w:after="0" w:line="264" w:lineRule="auto"/>
        <w:rPr>
          <w:sz w:val="20"/>
          <w:szCs w:val="20"/>
          <w:color w:val="auto"/>
        </w:rPr>
      </w:pPr>
      <w:r>
        <w:rPr>
          <w:rFonts w:ascii="Arial" w:cs="Arial" w:eastAsia="Arial" w:hAnsi="Arial"/>
          <w:sz w:val="18"/>
          <w:szCs w:val="18"/>
          <w:color w:val="auto"/>
        </w:rPr>
        <w:t>The results reflect the Company's adoption of the new accounting guidance for revenue recognition ("ASC 606"), effective January 1, 2018. Certain prior period amounts have been adjusted to reflect the full retrospective adoption of ASC 606, with no impact on operating income, net income or Adjusted Property EBITDA.</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consolidated financial results for the periods presented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920" w:type="dxa"/>
            <w:vAlign w:val="bottom"/>
          </w:tcPr>
          <w:p>
            <w:pPr>
              <w:jc w:val="right"/>
              <w:ind w:right="136"/>
              <w:spacing w:after="0" w:line="139" w:lineRule="exact"/>
              <w:rPr>
                <w:sz w:val="20"/>
                <w:szCs w:val="20"/>
                <w:color w:val="auto"/>
              </w:rPr>
            </w:pPr>
            <w:r>
              <w:rPr>
                <w:rFonts w:ascii="Arial" w:cs="Arial" w:eastAsia="Arial" w:hAnsi="Arial"/>
                <w:sz w:val="14"/>
                <w:szCs w:val="14"/>
                <w:b w:val="1"/>
                <w:bCs w:val="1"/>
                <w:color w:val="auto"/>
              </w:rPr>
              <w:t>Percent</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80" w:type="dxa"/>
            <w:vAlign w:val="bottom"/>
          </w:tcPr>
          <w:p>
            <w:pPr>
              <w:jc w:val="right"/>
              <w:ind w:right="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1,605,424</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1,472,892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7"/>
              </w:rPr>
              <w:t>3,321,002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2,896,649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155,756</w:t>
            </w: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175,731</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476,350</w:t>
            </w: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430,011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w w:val="97"/>
              </w:rPr>
              <w:t>1,040,679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857,550</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32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Net income attributable to Wynn Resorts, Limited for the three months ended June 30, 2018, was $155.8 million, or $1.44 per diluted share, compared to $74.9 million, or $0.73 per diluted share, for the same period of 2017. The increase was primarily due to an increase in operating income from Wynn Palace.</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Adjusted Property EBITDA was $476.4 million for the three months ended June 30, 2018, an increase of 10.8%, or $46.3 million, from $430.0 million for the same period of 2017. This was driven by an increase of $91.9 million from Wynn Palace, partially offset by decreases of $37.5 million and $8.1 million from Wynn Macau and our Las Vegas Operations, respectively.</w:t>
      </w:r>
    </w:p>
    <w:p>
      <w:pPr>
        <w:spacing w:after="0" w:line="181"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Net loss attributable to Wynn Resorts, Limited for the six months ended June 30, 2018, was $48.6 million, or $0.46 per diluted share, compared to net income attributable to Wynn Resorts, Limited of $175.7 million, or $1.72 per diluted share, for the same period of 2017. The decrease was primarily due to $463.6 million in litigation settlement expense and $41.1 million increase in the change in Redemption Note fair value during the six months ended June 30, 2018. These were partially offset by increases in our benefit for income taxes and operating income from Wynn Palace.</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Adjusted Property EBITDA was $1.04 billion for the six months ended June 30, 2018, an increase of 21.4%, or $183.1 million, from $857.6 million for the same period of 2017. This was primarily driven by an increase of $191.9 million from Wynn Palace, partially offset by a decrease of $8.8 million from Wynn Macau. Las Vegas Operations were flat for the comparable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2018 compared to the three months ended June 30,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543,284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638,476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620,586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396,407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1,163,870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1,034,883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441,554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438,009</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1,605,424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1,472,892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Operating revenues increased 9.0%, or $132.5 million, to $1.61 billion for the three months ended June 30, 2018, from $1.47 billion for the same period of 2017. The increase was the result of increases of $224.2 million and $3.5 million from Wynn Palace and our Las Vegas Operations, respectively. These increases were partially offset by a decrease of $95.2 million from Wynn Macau.</w:t>
      </w:r>
    </w:p>
    <w:p>
      <w:pPr>
        <w:spacing w:after="0" w:line="181"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The following table presents operating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1,100,027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1,001,828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505,397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471,064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1,605,424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1,472,892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Casino revenues were 68.5% of total operating revenues for the three months ended June 30, 2018, compared to 68.0% for the same period of 2017, while non-casino revenues were 31.5% of total operating revenues, compared to 32.0% for the same period of 2017.</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Casino revenues increased 9.8%, or $98.2 million, to $1.10 billion for the three months ended June 30, 2018, from $1.00 billion for the same period of 2017. This was primarily due to an increase of $201.8 million from Wynn Palace, partially offset by a decrease of $104.8 million from Wynn Macau. The increase in casino revenues from Wynn Palace was driven by increases of 67.2% and 20.9% in table drop and VIP turnover, respectively. The VIP operations at Wynn Palace also benefited from an increase in VIP win as a percentage of turnover from 2.18% to 3.00%. The decrease in casino revenues from Wynn Macau was primarily attributable to a decrease in VIP turnover of 13.1% and a decrease in VIP win as a percentage of turnover from 3.53% to 2.56%.</w:t>
      </w:r>
    </w:p>
    <w:p>
      <w:pPr>
        <w:spacing w:after="0" w:line="15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share table games between Wynn Macau and Wynn Palace, subject to the aggregate cap, to optimize our casino operations. As of July 15, 2018, we had a total of 306 table games at Wynn Macau and 321 at Wynn Palace.</w:t>
      </w: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578,061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13,928,463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16,023,080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(2,094,617)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357,166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566,091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1,293,154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1,067,718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225,436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963,635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867,889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40,426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39,531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525,026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323,263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201,763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14,029,065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11,604,672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2,424,393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420,181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252,641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167,540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40,036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1,218,863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729,006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489,857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280,568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168,746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111,822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940,972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657,850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283,122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81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36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101,734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100,504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403,730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419,338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100,987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778,447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764,786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49,418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53,017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Non-casino revenues increased 7.3%, or $34.3 million, to $505.4 million for the three months ended June 30, 2018, from $471.1 million for the same period of 2017. This is primarily due to increases of $22.4 million and $9.6 million from Wynn Palace and Wynn Macau, respectively.</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Room revenues increased 12.8%, or $21.1 million, to $186.1 million for the three months ended June 30, 2018, from $164.9 million for the same period of 2017. This is primarily due to increases of $12.9 million, $4.5 million and $3.7 million, from Wynn Palace, our Las Vegas Operations and Wynn Macau, respectively. These increases were primarily driven by higher ADR.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180" w:type="dxa"/>
            <w:vAlign w:val="bottom"/>
          </w:tcPr>
          <w:p>
            <w:pPr>
              <w:jc w:val="right"/>
              <w:ind w:right="13"/>
              <w:spacing w:after="0" w:line="139" w:lineRule="exact"/>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23,338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40,724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27,861</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118,255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113,741</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(1) Except occupancy, which is presented as a percentage point change.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Food and beverage revenues increased 5.2%, or $10.6 million, to $214.9 million for the three months ended June 30, 2018, from $204.3 million for the same period of 2017, primarily due to increases of $4.4 million and $3.9 million from Wynn Palace and our Las Vegas Operations, respectively, as a result of increased covers at our restaurants.</w:t>
      </w:r>
    </w:p>
    <w:p>
      <w:pPr>
        <w:spacing w:after="0" w:line="181"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Entertainment, retail and other revenues increased 2.6%, or $2.6 million, to $104.5 million for the three months ended June 30, 2018, from $101.8 million for the same period of 2017. The increase was primarily due to higher sales at retail outlets at Wynn Palace and Wynn Macau.</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Operating expenses increased 8.1%, or $99.8 million, to $1.33 billion for the three months ended June 30, 2018, from $1.23 billion for the same period of 2017, primarily due to increases in casino expenses, general and administrative expenses and food and beverage expenses of $58.6 million, $19.5 million and $13.6 million, respectively.</w:t>
      </w:r>
    </w:p>
    <w:p>
      <w:pPr>
        <w:spacing w:after="0" w:line="18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Casino expenses increased 9.0%, or $58.6 million, to $707.2 million for the three months ended June 30, 2018, from $648.6 million for the same period of 2017. This is primarily due to an increase of $121.3 million from Wynn Palace, partially offset by a decrease of $62.9 million from Wynn Macau. These changes were primarily driven by gaming taxes and were commensurate with the changes in casino revenues for the respective property.</w:t>
      </w:r>
    </w:p>
    <w:p>
      <w:pPr>
        <w:spacing w:after="0" w:line="14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Room expenses increased 2.7%, or $1.7 million, to $63.7 million for the three months ended June 30, 2018, from $62.0 million for the same period of 2017, primarily due to our Las Vegas Operations and commensurate with an increase in room revenues.</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Food and beverage expenses increased 8.8%, or $13.6 million, to $168.3 million for the three months ended June 30, 2018, from $154.7 million for the same period of 2017, primarily due to increases of $8.4 million and $4.0 million from our Las Vegas Operations and Wynn Palace, respectively. The increase from our Las Vegas Operations was primarily driven by a recent change in federal law that impacted wages beginning in the current period and higher costs in the current period for entertainment at Wynn Las Vegas nightclubs. The increase at Wynn Palace was primarily due to increased sales at our restaurants.</w:t>
      </w:r>
    </w:p>
    <w:p>
      <w:pPr>
        <w:spacing w:after="0" w:line="154"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General and administrative expenses increased 11.9%, or $19.5 million, to $183.6 million for the three months ended June 30, 2018, from $164.2 million for the same period of 2017, primarily due to an increase of $8.6 million in corporate-related expenses and an increase of $6.6 million at Wynn Palace. The increase in corporate-related expenses was primarily related to legal expenses.</w:t>
      </w:r>
    </w:p>
    <w:p>
      <w:pPr>
        <w:spacing w:after="0" w:line="18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Pre-opening expenses were $11.2 million for the three months ended June 30, 2018, compared to $6.8 million for the same period of 2017. During the three months ended June 30, 2018, we incurred pre-opening expenses of $11.1 million related to Encore Boston Harbor and $0.1 million related to the redevelopment of a portion of the land previously occupied by the Wynn Las Vegas golf course. During the three months ended June 30, 2017, we incurred pre-opening expenses of $6.5 million related to Encore Boston Harbor and $0.3 million at our Las Vegas Operations.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was relatively flat at $137.9 million for the three months ended June 30, 2018 compared to the same period of 2017.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6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80"/>
              <w:spacing w:after="0"/>
              <w:rPr>
                <w:sz w:val="20"/>
                <w:szCs w:val="20"/>
                <w:color w:val="auto"/>
              </w:rPr>
            </w:pPr>
            <w:r>
              <w:rPr>
                <w:rFonts w:ascii="Arial" w:cs="Arial" w:eastAsia="Arial" w:hAnsi="Arial"/>
                <w:sz w:val="18"/>
                <w:szCs w:val="18"/>
                <w:color w:val="auto"/>
                <w:w w:val="96"/>
              </w:rPr>
              <w:t>Interest expense, including amortization of debt issuance costs and original issue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102,545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101,388</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(12,647)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(3,649)</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89,898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97,739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8,530,027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10,002,047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Interest expense increased $1.2 million for the three months ended June 30, 2018, compared to the same period of 2017, primarily due to an increase in our weighted average interest rate, partially offset by a decrease in our weighted average total debt balance. Capitalized interest increased $9.0 million for the three months ended June 30, 2018, compared to the same period of 2017, primarily due to Encore Boston Harbor construction activities.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first quarter of 2018, we repaid the $1.94 billion principal amount of the Redemption Note, and therefore did not record a change in the fair value of the Redemption Note for the three months ended June 30, 2018. For the three months ended June 30, 2017, we recorded a loss of $12.4 million from the change in the fair value of the Redemption Note. The change in fair value was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48"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Interest income was $6.9 million for the three months ended June 30, 2018, compared to $7.1 million for the three months ended June 30, 2017. During 2018 and 2017, our short-term investment strategy has been to preserve capital while retaining sufficient liquidity. The majority of our short-term investment amounts were in time deposits, fixed deposits and money market accounts with a maturity of three months or less.</w:t>
      </w:r>
    </w:p>
    <w:p>
      <w:pPr>
        <w:spacing w:after="0" w:line="166"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We incurred a loss of $1.0 million and $11.8 million for the three months ended June 30, 2018 and 2017, respectively, from foreign currency remeasurements. The losses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recorded an income tax benefit of $9.7 million for the three months ended June 30, 2018, compared to an income tax expense of $2.6 million for the same period of 2017. The 2018 income tax benefit primarily related to an increase in deferred tax assets. The 2017 income tax expense primarily related to an increase in the domestic valuation allowance for U.S. foreign tax credits.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income attributable to noncontrolling interests was $49.5 million for the three months ended June 30, 2018, compared to $31.9 million for the same period of 2017. These amounts were primarily related to the noncontrolling interests' share of net income from WML.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2018 compared to the six months ended June 30,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1,161,525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1,191,192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1,286,432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848,713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51.6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2,447,957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2,039,905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873,045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856,744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3,321,002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2,896,649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Operating revenues increased 14.6%, or $424.4 million, to $3.32 billion for the six months ended June 30, 2018, from $2.90 billion for the same period of 2017. The increase was primarily due to increases of $437.7 million and $16.3 million from Wynn Palace and our Las Vegas Operations, respectively. These increases were partially offset by a decrease of $29.7 million from Wynn Macau.</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operating revenues from our casino and non-casino revenues (dollars in thousands):</w:t>
      </w:r>
    </w:p>
    <w:p>
      <w:pPr>
        <w:spacing w:after="0" w:line="200" w:lineRule="exact"/>
        <w:rPr>
          <w:sz w:val="20"/>
          <w:szCs w:val="20"/>
          <w:color w:val="auto"/>
        </w:rPr>
      </w:pPr>
    </w:p>
    <w:p>
      <w:pPr>
        <w:spacing w:after="0" w:line="24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2,342,166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1,991,568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978,836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905,081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3,321,002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2,896,649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Casino revenues were 70.5% of total operating revenues for the six months ended June 30, 2018, compared to 68.8% for the same period of 2017, while non-casino revenues were 29.5% of total operating revenues, compared to 31.2% for the same period of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increased 17.6%, or $350.6 million, to $2.34 billion for the six months ended June 30, 2018, from $1.99 billion for the same period of</w:t>
      </w:r>
    </w:p>
    <w:p>
      <w:pPr>
        <w:spacing w:after="0" w:line="46"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2017. This was primarily due to an increase of $393.1 million from Wynn Palace driven by increases of 62.5% and 29.9% in table drop and VIP turnover, respectively. The VIP operations at Wynn Palace also benefited from VIP win as a percentage of turnover increase from 2.59% to 2.79%.</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1,066,035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31,015,918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29,307,843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1,708,075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802,355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1,005,002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2,615,969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2,204,614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411,355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508,519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434,471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1,966,454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1,724,572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241,882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82,191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78,085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1,093,487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700,363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393,124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29,414,898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22,646,354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6,768,544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820,072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587,383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232,689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39,289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33,141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2,436,064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1,499,024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937,040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590,728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336,373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254,355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6,463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1,999,068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1,315,430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683,638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236,377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225,170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940,311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877,935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62,376</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255,420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232,147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1,522,580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1,530,700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98,681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102,735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Non-casino revenues increased 8.1%, or $73.8 million, to $978.8 million for the six months ended June 30, 2018, from $905.1 million for the same period of 2017, due to increases of $44.6 million, $24.1 million and $5.1 million from Wynn Palace, Wynn Macau, and our Las Vegas Operations, respectively.</w:t>
      </w:r>
    </w:p>
    <w:p>
      <w:pPr>
        <w:spacing w:after="0" w:line="1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Room revenues increased 12.8%, or $42.6 million, to $376.4 million for the six months ended June 30, 2018, from $333.8 million for the same period of 2017, primarily due to higher ADR at Wynn Macau, Wynn Palace, and our Las Vegas Operations.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(1)</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55,484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47,205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Wynn Palace: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81,165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57,189</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r>
      <w:tr>
        <w:trPr>
          <w:trHeight w:val="324"/>
        </w:trPr>
        <w:tc>
          <w:tcPr>
            <w:tcW w:w="6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239,712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229,370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0"/>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Except occupancy, which is presented as a percentage point change.</w:t>
      </w:r>
    </w:p>
    <w:p>
      <w:pPr>
        <w:spacing w:after="0" w:line="168"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Food and beverage revenues increased 5.0%, or $18.3 million, to $387.1 million for the six months ended June 30, 2018, from $368.8 million for the same period of 2017, due to increases of $8.8 million, $5.3 million and $4.2 million at Wynn Palace, Wynn Macau and our Las Vegas Operations, respectively, primarily as a result of increased covers at our restaurants.</w:t>
      </w:r>
    </w:p>
    <w:p>
      <w:pPr>
        <w:sectPr>
          <w:pgSz w:w="11900" w:h="16838" w:orient="portrait"/>
          <w:cols w:equalWidth="0" w:num="1">
            <w:col w:w="11420"/>
          </w:cols>
          <w:pgMar w:left="240" w:top="114" w:right="239" w:bottom="1440" w:gutter="0" w:footer="0" w:header="0"/>
        </w:sect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4"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Entertainment, retail and other revenues increased 6.4%, or $12.9 million, to $215.4 million for the six months ended June 30, 2018, from $202.5 million for the same period of 2017. This is primarily due to higher sales at retail outlets at Wynn Palace and Wynn Macau.</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Operating expenses increased 30.1%, or $722.9 million, to $3.12 billion for the six months ended June 30, 2018, from $2.40 billion for the same period of 2017, primarily due to litigation settlement expense of $463.6 million and higher casino expenses of $193.2 million.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expenses increased 15.1%, or $193.2 million, to $1.47 billion for the six months ended June 30, 2018, from $1.28 billion for the same period of</w:t>
      </w:r>
    </w:p>
    <w:p>
      <w:pPr>
        <w:spacing w:after="0" w:line="46"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2017. This is primarily due to an increase of $224.5 million from Wynn Palace, partially offset by a decrease of $34.3 million from Wynn Macau. These changes were driven by gaming taxes and were commensurate with the changes in casino revenues for the respective property.</w:t>
      </w:r>
    </w:p>
    <w:p>
      <w:pPr>
        <w:spacing w:after="0" w:line="16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Room expenses increased 3.3%, or $4.1 million, to $126.9 million for the six months ended June 30, 2018, from $122.8 million for the same period of 2017, primarily related to our Las Vegas Operations and commensurate with an increase in room revenues.</w:t>
      </w:r>
    </w:p>
    <w:p>
      <w:pPr>
        <w:spacing w:after="0" w:line="17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Food and beverage expenses increased 6.8%, or $19.4 million, to $306.0 million for the six months ended June 30, 2018, from $286.5 million for the same period of 2017, primarily due to increases of $9.0 million and $7.7 million from our Las Vegas Operations and Wynn Palace, respectively. The increase from our Las Vegas Operations was primarily driven by a recent change in federal law that impacted wages beginning in the current period and higher costs in the current period for entertainment at Wynn Las Vegas nightclubs. The increase at Wynn Palace was primarily due to increased sales at our restaurants.</w:t>
      </w:r>
    </w:p>
    <w:p>
      <w:pPr>
        <w:spacing w:after="0" w:line="15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General and administrative expenses increased 9.0%, or $29.1 million, to $353.2 million for the six months ended June 30, 2018, from $324.1 million for the same period of 2017, primarily due to an increase of $12.9 million in corporate-related expenses and an increase of $11.1 million at Wynn Palace. The increase in corporate-related expenses was primarily related to legal expenses.</w:t>
      </w:r>
    </w:p>
    <w:p>
      <w:pPr>
        <w:spacing w:after="0" w:line="181" w:lineRule="exact"/>
        <w:rPr>
          <w:sz w:val="20"/>
          <w:szCs w:val="20"/>
          <w:color w:val="auto"/>
        </w:rPr>
      </w:pPr>
    </w:p>
    <w:p>
      <w:pPr>
        <w:jc w:val="both"/>
        <w:ind w:right="560" w:firstLine="405"/>
        <w:spacing w:after="0" w:line="264" w:lineRule="auto"/>
        <w:rPr>
          <w:sz w:val="20"/>
          <w:szCs w:val="20"/>
          <w:color w:val="auto"/>
        </w:rPr>
      </w:pPr>
      <w:r>
        <w:rPr>
          <w:rFonts w:ascii="Arial" w:cs="Arial" w:eastAsia="Arial" w:hAnsi="Arial"/>
          <w:sz w:val="18"/>
          <w:szCs w:val="18"/>
          <w:color w:val="auto"/>
        </w:rPr>
        <w:t>Litigation settlement expense of $463.6 million was incurred during the six months ended June 30, 2018 in connection with the repayment of the Redemption Note for claims related to the allegedly below-market interest rate of the Redemption Note. For more information, see Item 1 —"Notes to Condensed Consolidated Financial Statements," Note 13, "Commitments and Contingencies."</w:t>
      </w:r>
    </w:p>
    <w:p>
      <w:pPr>
        <w:spacing w:after="0" w:line="18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Provision for doubtful accounts was a benefit of $0.7 million for the six months ended June 30, 2018, compared to $6.2 million for the same period of 2017.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Pre-opening expenses were $21.5 million for the six months ended June 30, 2018, compared to $12.5 million for the same period of 2017. During the six months ended June 30, 2018, we incurred pre-opening expenses of $20.6 million related to Encore Boston Harbor and $0.9 million related to the redevelopment of a portion of the land previously occupied by the Wynn Las Vegas golf course. During the six months ended June 30, 2017, we incurred pre-opening expenses of $12.0 million related to Encore Boston Harbor and $0.5 million at our Las Vegas Operations.</w:t>
      </w:r>
    </w:p>
    <w:p>
      <w:pPr>
        <w:spacing w:after="0" w:line="17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Depreciation and amortization decreased 1.2%, or $3.3 million, to $274.2 million for the six months ended June 30, 2018, from $277.5 million for the same period of 2017. The decrease was the result of certain Wynn Macau assets becoming fully depreciated.</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w w:val="97"/>
              </w:rPr>
              <w:t>Interest expense, including amortization of debt issuance costs and original issue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discount and premium</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209,616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202,107</w:t>
            </w: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3.7</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(21,491)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(6,106)</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252.0</w:t>
            </w:r>
          </w:p>
        </w:tc>
      </w:tr>
      <w:tr>
        <w:trPr>
          <w:trHeight w:val="297"/>
        </w:trPr>
        <w:tc>
          <w:tcPr>
            <w:tcW w:w="67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188,125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196,001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w:t>
            </w:r>
          </w:p>
        </w:tc>
      </w:tr>
      <w:tr>
        <w:trPr>
          <w:trHeight w:val="311"/>
        </w:trPr>
        <w:tc>
          <w:tcPr>
            <w:tcW w:w="6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9,102,017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10,059,491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6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Interest expense increased $7.5 million for the six months ended June 30, 2018, compared to the same period of 2017, primarily due to an increase in our weighted average interest rate, partially offset by a decrease in our weighted average total debt balance. Capitalized interest increased $15.4 million for the six months ended June 30, 2018, compared to the same period of 2017, primarily due to Encore Boston Harbor construction activities.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incurred losses of $69.3 million and $28.3 million for the six months ended June 30, 2018 and 2017, respectively, from the change in fair value of the Redemption Note. The change in fair value is a result of changes in certain variables used to calculate the estimated fair value. During the first quarter of 2018, we repaid the $1.94 billion principal amount of the Redemption Note.</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Interest income was $14.1 million for the six months ended June 30, 2018, compared to $13.6 million for the same period of 2017. During 2018 and 2017, our short-term investment strategy has been to preserve capital while retaining sufficient liquidity. The majority of our short-term investment amounts were in time deposits, fixed deposits and money market accounts with a maturity of three months or less.</w:t>
      </w:r>
    </w:p>
    <w:p>
      <w:pPr>
        <w:spacing w:after="0" w:line="18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incurred a $2.3 million net gain on extinguishment of debt for the six months ended June 30, 2018 related to the repayment of the Redemption Note, Wynn Resorts' purchase of $40 million of Wynn Las Vegas' 5 1/2% Senior Notes due 2025 and 5 1/4% Senior Notes due 2027 and the execution of the supplemental indenture related to Wynn Las Vegas' 4 1/4% Senior Notes due 2023. We incurred losses on extinguishment of debt of $22.3 million for the six months ended June 30, 2017 related to the cash tender offer and subsequent redemption of 5 3/8% First Mortgage Notes due 2022, the issuance of the 5 1/4% Senior Notes due 2027, and the amendment of the Wynn America credit facilities.</w:t>
      </w:r>
    </w:p>
    <w:p>
      <w:pPr>
        <w:spacing w:after="0" w:line="173"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We incurred losses of $10.2 million and $17.9 million for the six months ended June 30, 2018 and 2017, respectively, from foreign currency remeasurements. The losses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an income tax benefit of $120.7 million for the six months ended June 30, 2018 compared to an income tax expense of $5.5 million for the same period in 2017. The 2018 income tax benefit primarily related to the settlement of the Redemption Note. The 2017 income tax expense primarily related to an increase in the domestic valuation allowance for U.S. foreign tax credits.</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Net income attributable to noncontrolling interests was $116.4 million for the six months ended June 30, 2018, compared to $63.6 million for the same period of 2017. These amounts were primarily related to the noncontrolling interests' share of net income from WML.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40"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(loss) on extinguishment of debt, change in interest rate swap fair value, change in Redemption Note fair value and other non-operating income and expenses.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14, "Segment Information." That footnote also presents a reconciliation of Adjusted Property EBITDA to net income (loss)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391,504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Wynn Palace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179,265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87,403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391,176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199,259</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124,157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132,210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266,753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266,787</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Adjusted Property EBITDA at Wynn Macau decreased 17.8% and 2.2% for the three and six months ended June 30, 2018, compared to the same period of 2017, primarily due to casino revenue performance in VIP operations.</w:t>
      </w:r>
    </w:p>
    <w:p>
      <w:pPr>
        <w:spacing w:after="0" w:line="17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Adjusted Property EBITDA at Wynn Palace increased 105.1% and 96.3% for the three and six months ended June 30, 2018, compared to the same period of 2017, primarily driven by significant business volume increases in both VIP and mass market operations and benefit from and increase in VIP win as a percentage of turnover.</w:t>
      </w:r>
    </w:p>
    <w:p>
      <w:pPr>
        <w:spacing w:after="0" w:line="10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Adjusted Property EBITDA at our Las Vegas Operations decreased 6.1% for the three months ended June 30, 2018, compared to the same period of 2017, primarily due to an increase in food and beverage labor-related expenses. Adjusted Property EBITDA was flat for the six months ended June 30, 2018, compared to the same period of 2017.</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 Summary</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53,302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803,552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(748,418)</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(397,286)</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(658,248)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(4,297)</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(3,943)</w:t>
            </w:r>
          </w:p>
        </w:tc>
      </w:tr>
      <w:tr>
        <w:trPr>
          <w:trHeight w:val="27"/>
        </w:trPr>
        <w:tc>
          <w:tcPr>
            <w:tcW w:w="7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(1,357,661)</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(157,110)</w:t>
            </w: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operating cash flows primarily consist of the operating income generated by our Macau and Las Vegas Operations (excluding depreciation and amortization and other non-cash charges), interest paid and earned, and changes in working capital accounts such as receivables, inventories, prepaid expenses and payables. Our table games play in both Macau and Las Vegas is a mix of cash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revenues are conducted primarily on a cash and credit basis. Accordingly, operating cash flows will be impacted by changes in operating income and accounts receivable.</w:t>
      </w:r>
    </w:p>
    <w:p>
      <w:pPr>
        <w:spacing w:after="0" w:line="189"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Net cash provided by operating activities for the six months ended June 30, 2018 was $53.3 million, compared to $803.6 million for the same period of 2017. The change was primarily due to $463.6 million of litigation settlement expense incurred in 2018, and changes in customer deposits.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Net cash used in investing activities for the six months ended June 30, 2018 was $748.4 million, compared to $397.3 million for the same period of 2017. During the six months ended June 30, 2018, we incurred $460.1 million in capital expenditures, net of construction payables and retention, for Encore Boston Harbor and $336.2 million for the acquisition of land on the Las Vegas Strip directly across from Wynn Las Vegas. During the six months ended June 30, 2017, we incurred capital expenditures, net of construction payables and retention, of $392.6 million primarily for Encore Boston Harbor.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Net cash used in financing activities for the six months ended June 30, 2018 was $658.2 million, compared to $559.4 million for the same period of 2017. During the six months ended June 30, 2018, we repaid the Redemption Note principal amount of $1.94 billion using cash on hand and amounts borrowed under the Bridge Facility and the WA Senior Revolving Credit Facility. In April 2018, we repaid all amounts borrowed under the Bridge Facility and the WA Senior Revolving Credit Facility using net proceeds of $915.2 million from a registered public equity offering. In addition, during the six months ended June 30, 2018, we borrowed $623.3 million under the Macau Senior Revolving Credit Facility, and we used cash of $270.0 million for the payment of dividends. During the six months ended June 30, 2017, we used cash of $1.36 billion for the repayment of long-term debt and $179.6 million for the payment of dividends.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of June 30, 2018, we had $1.45 billion of cash and cash equivalents and $131.8 million of available-for-sale investments in domestic and foreign debt securities. Cash and cash equivalents include cash on hand, cash in bank and fixed deposits, investments in money market funds and domestic and foreign bank time deposits, all with original maturities of less than 90 days. Of these amounts, WML and its subsidiaries (of which we own approximately 72%) held $1.07 billion in cash and cash equivalents. If our portion of this cash was repatriated to the U.S. on June 30, 2018, it would be subject to minimal U.S. taxes in the year of repatriation. Wynn America, LLC and Wynn Las Vegas, LLC held cash balances of $21.8 million and $194.8 million, respectively. Wynn Resorts, Limited (including its subsidiaries other than WML, Wynn America, LLC and Wynn Las Vegas, LLC), which is not a guarantor of the debt of its subsidiaries, held $161.7 million of cash and cash equivalents and $131.8 million of available-for-sale investments.</w:t>
      </w:r>
    </w:p>
    <w:p>
      <w:pPr>
        <w:spacing w:after="0" w:line="16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following table summarizes our outstanding borrowings and available borrowing capacity under our credit facilities as of June 30, 2018 (in thousands):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Facility Borrowing</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Borrowings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Letters of Credit</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Facility Availability</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2,294,864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2,294,864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747,018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623,345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123,673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WML Finance Credit Facility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493,196</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Related: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Wynn America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998,260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17,689</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357,311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credit facilities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4,908,338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3,916,469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17,689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974,180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right="280" w:hanging="412"/>
        <w:spacing w:after="0" w:line="277" w:lineRule="auto"/>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Macau related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Wynn Macau SA has the ability to upsize the Wynn Macau Credit Facilities by an additional $1 billion in equivalent senior secured loans upon its satisfaction of various conditions.</w:t>
      </w:r>
    </w:p>
    <w:p>
      <w:pPr>
        <w:spacing w:after="0" w:line="120" w:lineRule="exact"/>
        <w:rPr>
          <w:rFonts w:ascii="Arial" w:cs="Arial" w:eastAsia="Arial" w:hAnsi="Arial"/>
          <w:sz w:val="13"/>
          <w:szCs w:val="13"/>
          <w:color w:val="auto"/>
        </w:rPr>
      </w:pPr>
    </w:p>
    <w:p>
      <w:pPr>
        <w:ind w:left="420" w:right="20" w:hanging="412"/>
        <w:spacing w:after="0" w:line="312" w:lineRule="auto"/>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Macau related credit facilities include a HK$3.87 billion (approximately $493.2 million) cash-collateralized revolving credit facility ("WML Finance Credit Facility") under which WML Finance I, Limited, an indirect wholly owned subsidiary of WML, is the borrower. On July 18, 2018, the WML Finance Credit Facility matured with no outstanding borrowings.</w:t>
      </w:r>
    </w:p>
    <w:p>
      <w:pPr>
        <w:spacing w:after="0" w:line="97" w:lineRule="exact"/>
        <w:rPr>
          <w:rFonts w:ascii="Arial" w:cs="Arial" w:eastAsia="Arial" w:hAnsi="Arial"/>
          <w:sz w:val="13"/>
          <w:szCs w:val="13"/>
          <w:color w:val="auto"/>
        </w:rPr>
      </w:pPr>
    </w:p>
    <w:p>
      <w:pPr>
        <w:ind w:left="420" w:right="120" w:hanging="412"/>
        <w:spacing w:after="0" w:line="252"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Wynn America credit facilities consist of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under which Wynn America, LLC, an indirect wholly owned subsidiary of the Company, is the borrower. In June 2018, quarterly repayments of $1.7 million commenced under the WA Senior Term Loan Facility I.</w:t>
      </w:r>
    </w:p>
    <w:p>
      <w:pPr>
        <w:spacing w:after="0" w:line="193" w:lineRule="exact"/>
        <w:rPr>
          <w:sz w:val="20"/>
          <w:szCs w:val="20"/>
          <w:color w:val="auto"/>
        </w:rPr>
      </w:pPr>
    </w:p>
    <w:p>
      <w:pPr>
        <w:jc w:val="both"/>
        <w:ind w:right="160" w:firstLine="405"/>
        <w:spacing w:after="0" w:line="257" w:lineRule="auto"/>
        <w:rPr>
          <w:sz w:val="20"/>
          <w:szCs w:val="20"/>
          <w:color w:val="auto"/>
        </w:rPr>
      </w:pPr>
      <w:r>
        <w:rPr>
          <w:rFonts w:ascii="Arial" w:cs="Arial" w:eastAsia="Arial" w:hAnsi="Arial"/>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projects, including Encore Boston Harbor, with the available borrowing capacity under our Wynn America Credit Facilities, cash flows from operations and existing cash balances.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Retail Term Loan</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July 25, 2018, Wynn/CA Plaza Property Owner, LLC and Wynn/CA Property Owner, LLC (collectively, the "Borrowers"), subsidiaries of the Retail Joint Venture, entered into a term loan agreement to provide for a term loan facility (the “Retail Term Loan”) with an aggregate principal amount of $615 million, a maturity date of July 24, 2025, and an interest rate of LIBOR plus 1.70% per annum. The Company intends to use our portion of the net proceeds for the construction of Encore</w:t>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Boston Harbor and for other general corporate purposes. For more information on the Retail Term Loan, see Item 1—"Notes to Condensed Consolidated Financial Statements," Note 6, "Long-term Debt."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Wynn Resorts, Limited is a holding company and, as a result, our ability to pay dividends is highly dependent on our ability to obtain funds and our subsidiaries' ability to provide funds to us.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flows. We cannot assure you however, that our Las Vegas Operations will generate sufficient cash flows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flows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13, "Commitments and Contingencies."</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Our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June 30, 2018, we had $1.0 billion in repurchase authority under the program.</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As of June 30, 2018, we had outstanding letters of credit totaling $17.7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During the six months ended June 30, 2018, there have been no material changes to the contractual obligations previously reported in our Annual Report on Form 10-K for the year ended December 31, 2017, other than (i) the borrowing of $623.3 million on the Wynn Macau Senior Revolving Credit Facility, which matures in September 2020, (ii) the repayment of the $1.94 billion Redemption Note, which was to mature in February 2022, and (iii) the acquisition of a ground lease that has annual rental payments of $3.8 million until 2023 and total payments of $370.7 million thereafter.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2017. There have been no significant changes to these policies for the six months ended June 30, 2018.</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in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2017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controversy, regulatory action, litigation and investigations related to Stephen A. Wynn and his separation from the Company;</w:t>
      </w:r>
    </w:p>
    <w:p>
      <w:pPr>
        <w:spacing w:after="0" w:line="23"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right="2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 (including those related to the former Chairman and CEO of the Company);</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36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80" w:hanging="644"/>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June 30, 2018, approximately 53.5% of our long-term debt was based on fixed rates. Based on our borrowings as of June 30, 2018, an assumed 100 basis point change in the variable rates would cause our annual interest expense to change by $39.2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June 30, 2018, an assumed 1% change in the U.S. dollar/Hong Kong dollar exchange rate would cause a foreign currency transaction gain/loss of $23.7 million.</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2" w:right="27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13, "Commitments and Contingencies" of Part I in this Quarterly Report on Form 10-Q.</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cooperated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description of our risk factors can be found in Item 1A, Part I of our Annual Report on Form 10-K for the year ended December 31, 2017. There were no material changes to those risk factors during the six months ended June 30, 2018 other than resolution of certain litigation as discussed in Item 1—"Notes to Condensed Consolidated Financial Statements," Note 13, "Commitments and Contingencies" of Part I in this Quarterly Report on Form 10-Q.</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second quarter of 2018, we did not repurchase any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previously reported by the Company, Kim Sinatra ceased to serve as the Company’s Executive Vice President, General Counsel and Secretary, effective July 15, 2018. On August 3, 2018, the Company entered into an agreement with Ms. Sinatra (the "Agreement") to finalize the terms of her transition and departure.</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Agreement terminates Ms. Sinatra’s previous employment agreement with the Company as of August 3, 2018 and provides that through December 31, 2018, Ms. Sinatra will remain available to the CEO of the Company and provide advice, guidance and cooperation with respect to litigation and general corporate matters for up to 25 hours per calendar month, and cooperate with the Company and regulatory authorities regarding any outstanding matters that involved Ms. Sinatra during the time and scope of her employment with the Company.</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consideration of the terms set forth in the Agreement, the Agreement provides to Ms. Sinatra: (1) a cash payment of $1,814,000; (2) continued participation in the Company’s senior executive health program through December 31, 2018; and (3) health care benefits coverage for Ms. Sinatra and her dependents which shall be paid for by the Company until the expiration of Ms. Sinatra’s continuation coverage under the Consolidated Omnibus Budget Reconciliation Act of 1985. In addition, 39,286 unvested shares granted to Ms. Sinatra under a Restricted Stock Agreement and 25,000 unvested stock options granted to Ms. Sinatra under a Stock Option Agreement, respectively, vested on August 3, 2018; and the transfer restriction with respect to the vested shares granted to Ms. Sinatra in January 2016 was removed as of August 3, 2018. Pursuant to the Agreement, Ms. Sinatra grants a waiver and release of claims to the Company and agrees to certain non-competition and confidentiality provisions.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summary of the Agreement is qualified by reference to the Agreement, which is filed herewith as Exhibit 10.7.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2" w:right="29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4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6">
        <w:r>
          <w:rPr>
            <w:rFonts w:ascii="Arial" w:cs="Arial" w:eastAsia="Arial" w:hAnsi="Arial"/>
            <w:sz w:val="18"/>
            <w:szCs w:val="18"/>
            <w:u w:val="single" w:color="auto"/>
            <w:color w:val="0000FF"/>
          </w:rPr>
          <w:t>Third Amended and Restated Articles of Incorporation of the Registrant. (Incorporated by reference from the Quarterly Report on Form 10-Q</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filed by the Registrant on May 8, 2015.)</w:t>
        </w:r>
      </w:hyperlink>
    </w:p>
    <w:p>
      <w:pPr>
        <w:spacing w:after="0" w:line="8" w:lineRule="exact"/>
        <w:rPr>
          <w:sz w:val="20"/>
          <w:szCs w:val="20"/>
          <w:color w:val="auto"/>
        </w:rPr>
      </w:pPr>
    </w:p>
    <w:p>
      <w:pPr>
        <w:ind w:left="1080" w:right="34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7">
        <w:r>
          <w:rPr>
            <w:rFonts w:ascii="Arial" w:cs="Arial" w:eastAsia="Arial" w:hAnsi="Arial"/>
            <w:sz w:val="18"/>
            <w:szCs w:val="18"/>
            <w:u w:val="single" w:color="auto"/>
            <w:color w:val="0000FF"/>
          </w:rPr>
          <w:t>Eighth Amended and Restated Bylaws of the Registrant. (Incorporated by reference from the Quarterly Report on Form 10-Q filed by the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Registrant on November 6, 2015.)</w:t>
        </w:r>
      </w:hyperlink>
    </w:p>
    <w:p>
      <w:pPr>
        <w:spacing w:after="0" w:line="8" w:lineRule="exact"/>
        <w:rPr>
          <w:sz w:val="20"/>
          <w:szCs w:val="20"/>
          <w:color w:val="auto"/>
        </w:rPr>
      </w:pPr>
    </w:p>
    <w:p>
      <w:pPr>
        <w:ind w:left="1080" w:right="80" w:hanging="489"/>
        <w:spacing w:after="0" w:line="317"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48">
        <w:r>
          <w:rPr>
            <w:rFonts w:ascii="Arial" w:cs="Arial" w:eastAsia="Arial" w:hAnsi="Arial"/>
            <w:sz w:val="16"/>
            <w:szCs w:val="16"/>
            <w:u w:val="single" w:color="auto"/>
            <w:color w:val="0000FF"/>
          </w:rPr>
          <w:t>Settlement Agreement and Mutual Release, dated April 16, 2018, by and between Wynn Resorts, Limited, Stephen A. Wynn, Elaine P. Wynn</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and Kimmarie Sinatra. (Incorporated by reference from the Current Report on Form 8-K filed by the Registrant on April 18, 2018.)</w:t>
        </w:r>
      </w:hyperlink>
    </w:p>
    <w:p>
      <w:pPr>
        <w:ind w:left="1080" w:right="460" w:hanging="48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9">
        <w:r>
          <w:rPr>
            <w:rFonts w:ascii="Arial" w:cs="Arial" w:eastAsia="Arial" w:hAnsi="Arial"/>
            <w:sz w:val="18"/>
            <w:szCs w:val="18"/>
            <w:u w:val="single" w:color="auto"/>
            <w:color w:val="0000FF"/>
          </w:rPr>
          <w:t>Amended and Restated Employment Agreement, dated as of April 17, 2018, by and between Wynn Resorts, Limited and Matt Maddox.</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(Incorporated by reference from the Quarterly Report on Form 10-Q filed by the Registrant on May 9, 2018.)</w:t>
        </w:r>
      </w:hyperlink>
    </w:p>
    <w:p>
      <w:pPr>
        <w:spacing w:after="0" w:line="8" w:lineRule="exact"/>
        <w:rPr>
          <w:sz w:val="20"/>
          <w:szCs w:val="20"/>
          <w:color w:val="auto"/>
        </w:rPr>
      </w:pPr>
    </w:p>
    <w:p>
      <w:pPr>
        <w:ind w:left="1080" w:right="80" w:hanging="489"/>
        <w:spacing w:after="0" w:line="29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10.3</w:t>
      </w:r>
      <w:r>
        <w:rPr>
          <w:sz w:val="20"/>
          <w:szCs w:val="20"/>
          <w:color w:val="auto"/>
        </w:rPr>
        <w:tab/>
      </w:r>
      <w:hyperlink r:id="rId50">
        <w:r>
          <w:rPr>
            <w:rFonts w:ascii="Arial" w:cs="Arial" w:eastAsia="Arial" w:hAnsi="Arial"/>
            <w:sz w:val="17"/>
            <w:szCs w:val="17"/>
            <w:u w:val="single" w:color="auto"/>
            <w:color w:val="0000FF"/>
          </w:rPr>
          <w:t>First Amendment to the Amended and Restated Employment Agreement, dated as of April 17, 2018, by and between Wynn Resorts, Limited</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and Kim Sinatra. (Incorporated by reference from the Quarterly Report on Form 10-Q filed by the Registrant on May 9, 2018.)</w:t>
        </w:r>
      </w:hyperlink>
    </w:p>
    <w:p>
      <w:pPr>
        <w:spacing w:after="0" w:line="1" w:lineRule="exact"/>
        <w:rPr>
          <w:sz w:val="20"/>
          <w:szCs w:val="20"/>
          <w:color w:val="auto"/>
        </w:rPr>
      </w:pPr>
    </w:p>
    <w:p>
      <w:pPr>
        <w:ind w:left="1080" w:right="460" w:hanging="48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51">
        <w:r>
          <w:rPr>
            <w:rFonts w:ascii="Arial" w:cs="Arial" w:eastAsia="Arial" w:hAnsi="Arial"/>
            <w:sz w:val="18"/>
            <w:szCs w:val="18"/>
            <w:u w:val="single" w:color="auto"/>
            <w:color w:val="0000FF"/>
          </w:rPr>
          <w:t>First Amendment to Employment Agreement, dated as of April 17, 2018, by and between Wynn Resorts, Limited and Craig S. Billings.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(Incorporated by reference from the Quarterly Report on Form 10-Q filed by the Registrant on May 9, 2018.)</w:t>
        </w:r>
      </w:hyperlink>
    </w:p>
    <w:p>
      <w:pPr>
        <w:spacing w:after="0" w:line="8" w:lineRule="exact"/>
        <w:rPr>
          <w:sz w:val="20"/>
          <w:szCs w:val="20"/>
          <w:color w:val="auto"/>
        </w:rPr>
      </w:pPr>
    </w:p>
    <w:p>
      <w:pPr>
        <w:ind w:left="1080" w:right="40" w:hanging="489"/>
        <w:spacing w:after="0" w:line="30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52">
        <w:r>
          <w:rPr>
            <w:rFonts w:ascii="Arial" w:cs="Arial" w:eastAsia="Arial" w:hAnsi="Arial"/>
            <w:sz w:val="16"/>
            <w:szCs w:val="16"/>
            <w:u w:val="single" w:color="auto"/>
            <w:color w:val="0000FF"/>
          </w:rPr>
          <w:t>Term Loan Agreement, dated as of July 25, 2018, by and among Wynn/CA Plaza Property Owner, LLC and Wynn/CA Property Owner, LLC,</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as borrowers, United Overseas Bank Limited, New York Agency, as administrative agent and lead arranger, Fifth Third Bank, as joint lead</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arranger, Sumitomo Mitsui Banking Corporation, as joint lead arranger, Credit Agricole Corporate and Investment Bank, as managing agent,</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and the lenders party thereto. (Incorporated by reference from the Current Report on Form 8-K filed by the Registrant on July 30, 2018.)</w:t>
        </w:r>
      </w:hyperlink>
    </w:p>
    <w:p>
      <w:pPr>
        <w:spacing w:after="0" w:line="208" w:lineRule="exact"/>
        <w:rPr>
          <w:rFonts w:ascii="Arial" w:cs="Arial" w:eastAsia="Arial" w:hAnsi="Arial"/>
          <w:sz w:val="16"/>
          <w:szCs w:val="16"/>
          <w:u w:val="single" w:color="auto"/>
          <w:color w:val="0000FF"/>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w:anchor="page57">
        <w:r>
          <w:rPr>
            <w:rFonts w:ascii="Arial" w:cs="Arial" w:eastAsia="Arial" w:hAnsi="Arial"/>
            <w:sz w:val="16"/>
            <w:szCs w:val="16"/>
            <w:u w:val="single" w:color="auto"/>
            <w:color w:val="0000FF"/>
          </w:rPr>
          <w:t>Employment Agreement, dated as of August 2, 2018, by and between Wynn Resorts, Limited and Ellen Whittemore.</w:t>
        </w:r>
      </w:hyperlink>
    </w:p>
    <w:p>
      <w:pPr>
        <w:spacing w:after="0" w:line="63" w:lineRule="exact"/>
        <w:rPr>
          <w:rFonts w:ascii="Arial" w:cs="Arial" w:eastAsia="Arial" w:hAnsi="Arial"/>
          <w:sz w:val="16"/>
          <w:szCs w:val="16"/>
          <w:u w:val="single" w:color="auto"/>
          <w:color w:val="0000FF"/>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w:anchor="page83">
        <w:r>
          <w:rPr>
            <w:rFonts w:ascii="Arial" w:cs="Arial" w:eastAsia="Arial" w:hAnsi="Arial"/>
            <w:sz w:val="16"/>
            <w:szCs w:val="16"/>
            <w:u w:val="single" w:color="auto"/>
            <w:color w:val="0000FF"/>
          </w:rPr>
          <w:t>Agreement, dated as of August 3, 2018, by and between Wynn Resorts, Limited and Kim Sinatra.</w:t>
        </w:r>
      </w:hyperlink>
    </w:p>
    <w:p>
      <w:pPr>
        <w:spacing w:after="0" w:line="63" w:lineRule="exact"/>
        <w:rPr>
          <w:rFonts w:ascii="Arial" w:cs="Arial" w:eastAsia="Arial" w:hAnsi="Arial"/>
          <w:sz w:val="16"/>
          <w:szCs w:val="16"/>
          <w:u w:val="single" w:color="auto"/>
          <w:color w:val="0000FF"/>
        </w:rPr>
      </w:pPr>
    </w:p>
    <w:p>
      <w:pPr>
        <w:ind w:left="1080" w:right="40" w:hanging="48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53">
        <w:r>
          <w:rPr>
            <w:rFonts w:ascii="Arial" w:cs="Arial" w:eastAsia="Arial" w:hAnsi="Arial"/>
            <w:sz w:val="18"/>
            <w:szCs w:val="18"/>
            <w:u w:val="single" w:color="auto"/>
            <w:color w:val="0000FF"/>
          </w:rPr>
          <w:t>Cooperation Agreement, dated as of August 3, 2018, by and between Wynn Resorts, Limited and Elaine P. Wynn. (Incorporated by reference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from the Current Report on Form 8-K filed by the Registrant on August 6, 2018.)</w:t>
        </w:r>
      </w:hyperlink>
    </w:p>
    <w:p>
      <w:pPr>
        <w:spacing w:after="0" w:line="8"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88">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63"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89">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6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90">
        <w:r>
          <w:rPr>
            <w:rFonts w:ascii="Arial" w:cs="Arial" w:eastAsia="Arial" w:hAnsi="Arial"/>
            <w:sz w:val="16"/>
            <w:szCs w:val="16"/>
            <w:u w:val="single" w:color="auto"/>
            <w:color w:val="0000FF"/>
          </w:rPr>
          <w:t>Certification of CEO and CFO Pursuant to 18 U.S.C. Section 1350.</w:t>
        </w:r>
      </w:hyperlink>
    </w:p>
    <w:p>
      <w:pPr>
        <w:spacing w:after="0" w:line="63" w:lineRule="exact"/>
        <w:rPr>
          <w:sz w:val="20"/>
          <w:szCs w:val="20"/>
          <w:color w:val="auto"/>
        </w:rPr>
      </w:pPr>
    </w:p>
    <w:p>
      <w:pPr>
        <w:ind w:left="1080" w:right="20" w:hanging="539"/>
        <w:spacing w:after="0" w:line="293"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June 30, 2018, filed with the SEC on August 8, 2018 formatted in Extensible Business Reporting Language (XBRL): (i) the Condensed Consolidated Balance Sheets as of June 30, 2018 and December 31, 2017, (ii) the Condensed Consolidated Statements of Operations for the three and six months ended June 30, 2018 and 2017, (iii) the Condensed Consolidated Statements of Comprehensive Income (Loss) for the three and six months ended June 30, 2018 and 2017, (iv) the Condensed Consolidated Statement of Stockholders' Equity as of June 30, 2018, (v) the Condensed Consolidated Statements of Cash Flows for the six months ended June 30, 2018 and 2017, and (vi) Notes to Condensed Consolidated Financial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122" w:right="3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240" w:top="122" w:right="8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EMPLOYMENT AGREEMENT</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 xml:space="preserve">THIS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2nd day of August, 2018,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ELLEN WHITTEMORE</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W I T N E S S E T H</w:t>
      </w:r>
      <w:r>
        <w:rPr>
          <w:rFonts w:ascii="Arial" w:cs="Arial" w:eastAsia="Arial" w:hAnsi="Arial"/>
          <w:sz w:val="20"/>
          <w:szCs w:val="20"/>
          <w:b w:val="1"/>
          <w:bCs w:val="1"/>
          <w:i w:val="1"/>
          <w:i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a corporation duly organized and existing under the laws of the State of Nevada, maintains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principal place of business at 3131 Las Vegas Boulevard South, Las Vegas, Nevada 89109, and is engaged in the business of developing, owning and operating casino resorts;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personnel;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[intentionally omitted]; and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expertise to fulfill the terms of the employment stated in this Agreement; 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herein.</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understandings, undertakings, representations, warranties and promises hereinafter set forth, and intending to be legally bound thereby, Employer and Employee do hereby covenant and agree as follows:</w:t>
      </w:r>
    </w:p>
    <w:p>
      <w:pPr>
        <w:spacing w:after="0" w:line="226" w:lineRule="exact"/>
        <w:rPr>
          <w:sz w:val="20"/>
          <w:szCs w:val="20"/>
          <w:color w:val="auto"/>
        </w:rPr>
      </w:pPr>
    </w:p>
    <w:p>
      <w:pPr>
        <w:ind w:firstLine="656"/>
        <w:spacing w:after="0" w:line="342" w:lineRule="auto"/>
        <w:tabs>
          <w:tab w:leader="none" w:pos="146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meanings ascribed to them, unless a different meaning clearly appears from the context:</w:t>
      </w:r>
    </w:p>
    <w:p>
      <w:pPr>
        <w:spacing w:after="0" w:line="343" w:lineRule="exact"/>
        <w:rPr>
          <w:rFonts w:ascii="Arial" w:cs="Arial" w:eastAsia="Arial" w:hAnsi="Arial"/>
          <w:sz w:val="20"/>
          <w:szCs w:val="20"/>
          <w:b w:val="1"/>
          <w:bCs w:val="1"/>
          <w:color w:val="auto"/>
        </w:rPr>
      </w:pPr>
    </w:p>
    <w:p>
      <w:pPr>
        <w:jc w:val="both"/>
        <w:ind w:left="660" w:firstLine="645"/>
        <w:spacing w:after="0" w:line="335" w:lineRule="auto"/>
        <w:tabs>
          <w:tab w:leader="none" w:pos="2198" w:val="left"/>
        </w:tabs>
        <w:numPr>
          <w:ilvl w:val="1"/>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w:t>
      </w:r>
    </w:p>
    <w:p>
      <w:pPr>
        <w:sectPr>
          <w:pgSz w:w="11900" w:h="16838" w:orient="portrait"/>
          <w:cols w:equalWidth="0" w:num="1">
            <w:col w:w="11420"/>
          </w:cols>
          <w:pgMar w:left="240" w:top="162" w:right="239" w:bottom="1440" w:gutter="0" w:footer="0" w:header="0"/>
        </w:sectPr>
      </w:pPr>
    </w:p>
    <w:bookmarkStart w:id="57" w:name="page58"/>
    <w:bookmarkEnd w:id="57"/>
    <w:p>
      <w:pPr>
        <w:ind w:right="20"/>
        <w:spacing w:after="0" w:line="317" w:lineRule="auto"/>
        <w:rPr>
          <w:sz w:val="20"/>
          <w:szCs w:val="20"/>
          <w:color w:val="auto"/>
        </w:rPr>
      </w:pPr>
      <w:r>
        <w:rPr>
          <w:rFonts w:ascii="Arial" w:cs="Arial" w:eastAsia="Arial" w:hAnsi="Arial"/>
          <w:sz w:val="20"/>
          <w:szCs w:val="20"/>
          <w:color w:val="auto"/>
        </w:rPr>
        <w:t>hereof, “Person” shall mean an individual, partnership, corporation, limited liability company, business trust, joint stock company, trust, unincorporated association, joint venture or other entity of whatever nature.</w:t>
      </w:r>
    </w:p>
    <w:p>
      <w:pPr>
        <w:spacing w:after="0" w:line="192" w:lineRule="exact"/>
        <w:rPr>
          <w:sz w:val="20"/>
          <w:szCs w:val="20"/>
          <w:color w:val="auto"/>
        </w:rPr>
      </w:pPr>
    </w:p>
    <w:p>
      <w:pPr>
        <w:ind w:firstLine="645"/>
        <w:spacing w:after="0" w:line="342" w:lineRule="auto"/>
        <w:tabs>
          <w:tab w:leader="none" w:pos="1538"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Anniversary</w:t>
      </w:r>
      <w:r>
        <w:rPr>
          <w:rFonts w:ascii="Arial" w:cs="Arial" w:eastAsia="Arial" w:hAnsi="Arial"/>
          <w:sz w:val="20"/>
          <w:szCs w:val="20"/>
          <w:color w:val="auto"/>
        </w:rPr>
        <w:t>” means each annual anniversary date of the Effective Date during the Term (as defined in Section 5 hereof).</w:t>
      </w:r>
    </w:p>
    <w:p>
      <w:pPr>
        <w:spacing w:after="0" w:line="168" w:lineRule="exact"/>
        <w:rPr>
          <w:rFonts w:ascii="Arial" w:cs="Arial" w:eastAsia="Arial" w:hAnsi="Arial"/>
          <w:sz w:val="20"/>
          <w:szCs w:val="20"/>
          <w:color w:val="auto"/>
        </w:rPr>
      </w:pPr>
    </w:p>
    <w:p>
      <w:pPr>
        <w:ind w:left="1520" w:hanging="875"/>
        <w:spacing w:after="0"/>
        <w:tabs>
          <w:tab w:leader="none" w:pos="15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320" w:lineRule="exact"/>
        <w:rPr>
          <w:rFonts w:ascii="Arial" w:cs="Arial" w:eastAsia="Arial" w:hAnsi="Arial"/>
          <w:sz w:val="20"/>
          <w:szCs w:val="20"/>
          <w:color w:val="auto"/>
        </w:rPr>
      </w:pPr>
    </w:p>
    <w:p>
      <w:pPr>
        <w:ind w:left="640" w:right="20" w:firstLine="815"/>
        <w:spacing w:after="0" w:line="317" w:lineRule="auto"/>
        <w:tabs>
          <w:tab w:leader="none" w:pos="2112"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Employee’s failure to satisfactorily pass the Employer’s pre-employment drug test and background investigation conducted in accordance with Employer’s standard policies and procedures;</w:t>
      </w:r>
    </w:p>
    <w:p>
      <w:pPr>
        <w:spacing w:after="0" w:line="202" w:lineRule="exact"/>
        <w:rPr>
          <w:rFonts w:ascii="Arial" w:cs="Arial" w:eastAsia="Arial" w:hAnsi="Arial"/>
          <w:sz w:val="20"/>
          <w:szCs w:val="20"/>
          <w:color w:val="auto"/>
        </w:rPr>
      </w:pPr>
    </w:p>
    <w:p>
      <w:pPr>
        <w:ind w:left="640" w:firstLine="815"/>
        <w:spacing w:after="0" w:line="317" w:lineRule="auto"/>
        <w:tabs>
          <w:tab w:leader="none" w:pos="2156"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202" w:lineRule="exact"/>
        <w:rPr>
          <w:rFonts w:ascii="Arial" w:cs="Arial" w:eastAsia="Arial" w:hAnsi="Arial"/>
          <w:sz w:val="20"/>
          <w:szCs w:val="20"/>
          <w:color w:val="auto"/>
        </w:rPr>
      </w:pPr>
    </w:p>
    <w:p>
      <w:pPr>
        <w:ind w:left="640" w:firstLine="815"/>
        <w:spacing w:after="0" w:line="317" w:lineRule="auto"/>
        <w:tabs>
          <w:tab w:leader="none" w:pos="22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willful destruction by Employee of the property of Employer or its Affiliate having a material value to Employer or such Affiliate;</w:t>
      </w:r>
    </w:p>
    <w:p>
      <w:pPr>
        <w:spacing w:after="0" w:line="202" w:lineRule="exact"/>
        <w:rPr>
          <w:rFonts w:ascii="Arial" w:cs="Arial" w:eastAsia="Arial" w:hAnsi="Arial"/>
          <w:sz w:val="20"/>
          <w:szCs w:val="20"/>
          <w:color w:val="auto"/>
        </w:rPr>
      </w:pPr>
    </w:p>
    <w:p>
      <w:pPr>
        <w:jc w:val="both"/>
        <w:ind w:left="640" w:firstLine="815"/>
        <w:spacing w:after="0" w:line="313" w:lineRule="auto"/>
        <w:tabs>
          <w:tab w:leader="none" w:pos="2211" w:val="left"/>
        </w:tabs>
        <w:numPr>
          <w:ilvl w:val="1"/>
          <w:numId w:val="22"/>
        </w:numPr>
        <w:rPr>
          <w:rFonts w:ascii="Arial" w:cs="Arial" w:eastAsia="Arial" w:hAnsi="Arial"/>
          <w:sz w:val="20"/>
          <w:szCs w:val="20"/>
          <w:color w:val="auto"/>
        </w:rPr>
      </w:pPr>
      <w:r>
        <w:rPr>
          <w:rFonts w:ascii="Arial" w:cs="Arial" w:eastAsia="Arial" w:hAnsi="Arial"/>
          <w:sz w:val="20"/>
          <w:szCs w:val="20"/>
          <w:color w:val="auto"/>
        </w:rPr>
        <w:t>fraud, embezzlement, theft and/or dishonest activity committed by Employee (excluding acts involving a de minimis dollar value and not related in any manner whatsoever to Employer or its Affiliate or their business);</w:t>
      </w:r>
    </w:p>
    <w:p>
      <w:pPr>
        <w:spacing w:after="0" w:line="207" w:lineRule="exact"/>
        <w:rPr>
          <w:rFonts w:ascii="Arial" w:cs="Arial" w:eastAsia="Arial" w:hAnsi="Arial"/>
          <w:sz w:val="20"/>
          <w:szCs w:val="20"/>
          <w:color w:val="auto"/>
        </w:rPr>
      </w:pPr>
    </w:p>
    <w:p>
      <w:pPr>
        <w:ind w:left="2180" w:hanging="725"/>
        <w:spacing w:after="0"/>
        <w:tabs>
          <w:tab w:leader="none" w:pos="21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Employee’s conviction of or entering a plea of guilty or nolo contendere to any crime constituting a</w:t>
      </w:r>
    </w:p>
    <w:p>
      <w:pPr>
        <w:spacing w:after="0" w:line="7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0"/>
          <w:szCs w:val="20"/>
          <w:color w:val="auto"/>
        </w:rPr>
        <w:t>felony;</w:t>
      </w:r>
    </w:p>
    <w:p>
      <w:pPr>
        <w:spacing w:after="0" w:line="283" w:lineRule="exact"/>
        <w:rPr>
          <w:rFonts w:ascii="Arial" w:cs="Arial" w:eastAsia="Arial" w:hAnsi="Arial"/>
          <w:sz w:val="19"/>
          <w:szCs w:val="19"/>
          <w:color w:val="auto"/>
        </w:rPr>
      </w:pPr>
    </w:p>
    <w:p>
      <w:pPr>
        <w:ind w:left="2220" w:hanging="765"/>
        <w:spacing w:after="0"/>
        <w:tabs>
          <w:tab w:leader="none" w:pos="22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Employee’s material breach of this Agreement;</w:t>
      </w:r>
    </w:p>
    <w:p>
      <w:pPr>
        <w:spacing w:after="0" w:line="283" w:lineRule="exact"/>
        <w:rPr>
          <w:rFonts w:ascii="Arial" w:cs="Arial" w:eastAsia="Arial" w:hAnsi="Arial"/>
          <w:sz w:val="20"/>
          <w:szCs w:val="20"/>
          <w:color w:val="auto"/>
        </w:rPr>
      </w:pPr>
    </w:p>
    <w:p>
      <w:pPr>
        <w:jc w:val="both"/>
        <w:ind w:left="640" w:firstLine="815"/>
        <w:spacing w:after="0" w:line="313" w:lineRule="auto"/>
        <w:tabs>
          <w:tab w:leader="none" w:pos="2255"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Employee’s neglect, refusal, or failure to discharge Employee’s duties (other than due to physical or mental illness) commensurate with Employee’s title and function, or Employee’s failure to comply with a lawful direction of Employer or its Board of Directors;</w:t>
      </w:r>
    </w:p>
    <w:p>
      <w:pPr>
        <w:spacing w:after="0" w:line="207" w:lineRule="exact"/>
        <w:rPr>
          <w:rFonts w:ascii="Arial" w:cs="Arial" w:eastAsia="Arial" w:hAnsi="Arial"/>
          <w:sz w:val="20"/>
          <w:szCs w:val="20"/>
          <w:color w:val="auto"/>
        </w:rPr>
      </w:pPr>
    </w:p>
    <w:p>
      <w:pPr>
        <w:ind w:left="2300" w:hanging="845"/>
        <w:spacing w:after="0"/>
        <w:tabs>
          <w:tab w:leader="none" w:pos="2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knowing material misrepresentation to Employer or its Board of Directors;</w:t>
      </w:r>
    </w:p>
    <w:p>
      <w:pPr>
        <w:spacing w:after="0" w:line="283" w:lineRule="exact"/>
        <w:rPr>
          <w:rFonts w:ascii="Arial" w:cs="Arial" w:eastAsia="Arial" w:hAnsi="Arial"/>
          <w:sz w:val="20"/>
          <w:szCs w:val="20"/>
          <w:color w:val="auto"/>
        </w:rPr>
      </w:pPr>
    </w:p>
    <w:p>
      <w:pPr>
        <w:ind w:left="2220" w:hanging="765"/>
        <w:spacing w:after="0"/>
        <w:tabs>
          <w:tab w:leader="none" w:pos="22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failure to follow a material policy or procedure of Employer or its Affiliate;</w:t>
      </w:r>
    </w:p>
    <w:p>
      <w:pPr>
        <w:spacing w:after="0" w:line="283" w:lineRule="exact"/>
        <w:rPr>
          <w:rFonts w:ascii="Arial" w:cs="Arial" w:eastAsia="Arial" w:hAnsi="Arial"/>
          <w:sz w:val="20"/>
          <w:szCs w:val="20"/>
          <w:color w:val="auto"/>
        </w:rPr>
      </w:pPr>
    </w:p>
    <w:p>
      <w:pPr>
        <w:jc w:val="both"/>
        <w:ind w:left="640" w:firstLine="815"/>
        <w:spacing w:after="0" w:line="313" w:lineRule="auto"/>
        <w:tabs>
          <w:tab w:leader="none" w:pos="2167"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Employee’s violation, as determined by a court or governmental agency, of a statute, regulation or common law, whether federal, state or local, which applies to and/or governs the business of Employer or its Affiliate (including any gaming, financial or anti-money laundering laws and regulations); or</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0"/>
          </w:cols>
          <w:pgMar w:left="900" w:top="1365" w:right="239" w:bottom="1440" w:gutter="0" w:footer="0" w:header="0"/>
        </w:sectPr>
      </w:pPr>
    </w:p>
    <w:bookmarkStart w:id="58" w:name="page59"/>
    <w:bookmarkEnd w:id="58"/>
    <w:p>
      <w:pPr>
        <w:ind w:left="100" w:firstLine="815"/>
        <w:spacing w:after="0" w:line="317" w:lineRule="auto"/>
        <w:tabs>
          <w:tab w:leader="none" w:pos="1671" w:val="left"/>
        </w:tabs>
        <w:numPr>
          <w:ilvl w:val="0"/>
          <w:numId w:val="23"/>
        </w:numPr>
        <w:rPr>
          <w:rFonts w:ascii="Arial" w:cs="Arial" w:eastAsia="Arial" w:hAnsi="Arial"/>
          <w:sz w:val="20"/>
          <w:szCs w:val="20"/>
          <w:color w:val="auto"/>
        </w:rPr>
      </w:pPr>
      <w:r>
        <w:rPr>
          <w:rFonts w:ascii="Arial" w:cs="Arial" w:eastAsia="Arial" w:hAnsi="Arial"/>
          <w:sz w:val="20"/>
          <w:szCs w:val="20"/>
          <w:color w:val="auto"/>
        </w:rPr>
        <w:t>Employee’s breach of a statutory or common law duty of loyalty or fiduciary duty to Employer or its Affiliate, including Employer’s conflict of interest policy,</w:t>
      </w:r>
    </w:p>
    <w:p>
      <w:pPr>
        <w:spacing w:after="0" w:line="142" w:lineRule="exact"/>
        <w:rPr>
          <w:sz w:val="20"/>
          <w:szCs w:val="20"/>
          <w:color w:val="auto"/>
        </w:rPr>
      </w:pPr>
    </w:p>
    <w:p>
      <w:pPr>
        <w:ind w:left="100"/>
        <w:spacing w:after="0" w:line="267"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 xml:space="preserve">, </w:t>
      </w:r>
      <w:r>
        <w:rPr>
          <w:rFonts w:ascii="Arial" w:cs="Arial" w:eastAsia="Arial" w:hAnsi="Arial"/>
          <w:sz w:val="20"/>
          <w:szCs w:val="20"/>
          <w:color w:val="auto"/>
        </w:rPr>
        <w:t>that Employee’s Complete Disability due to illness or accident or any other mental or physical</w:t>
      </w:r>
      <w:r>
        <w:rPr>
          <w:rFonts w:ascii="Arial" w:cs="Arial" w:eastAsia="Arial" w:hAnsi="Arial"/>
          <w:sz w:val="20"/>
          <w:szCs w:val="20"/>
          <w:i w:val="1"/>
          <w:iCs w:val="1"/>
          <w:color w:val="auto"/>
        </w:rPr>
        <w:t xml:space="preserve"> </w:t>
      </w:r>
      <w:r>
        <w:rPr>
          <w:rFonts w:ascii="Arial" w:cs="Arial" w:eastAsia="Arial" w:hAnsi="Arial"/>
          <w:sz w:val="20"/>
          <w:szCs w:val="20"/>
          <w:color w:val="auto"/>
        </w:rPr>
        <w:t>incapacity shall not constitute “Cause” as defined herein.</w:t>
      </w:r>
    </w:p>
    <w:p>
      <w:pPr>
        <w:spacing w:after="0" w:line="214" w:lineRule="exact"/>
        <w:rPr>
          <w:sz w:val="20"/>
          <w:szCs w:val="20"/>
          <w:color w:val="auto"/>
        </w:rPr>
      </w:pPr>
    </w:p>
    <w:p>
      <w:pPr>
        <w:ind w:left="1000" w:hanging="895"/>
        <w:spacing w:after="0"/>
        <w:tabs>
          <w:tab w:leader="none" w:pos="10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8" w:lineRule="exact"/>
        <w:rPr>
          <w:rFonts w:ascii="Arial" w:cs="Arial" w:eastAsia="Arial" w:hAnsi="Arial"/>
          <w:sz w:val="20"/>
          <w:szCs w:val="20"/>
          <w:color w:val="auto"/>
        </w:rPr>
      </w:pPr>
    </w:p>
    <w:p>
      <w:pPr>
        <w:jc w:val="both"/>
        <w:ind w:left="100" w:firstLine="653"/>
        <w:spacing w:after="0" w:line="281" w:lineRule="auto"/>
        <w:tabs>
          <w:tab w:leader="none" w:pos="117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and regulations promulgated thereunder) is or becomes the "Beneficial</w:t>
      </w:r>
    </w:p>
    <w:p>
      <w:pPr>
        <w:spacing w:after="0" w:line="1" w:lineRule="exact"/>
        <w:rPr>
          <w:rFonts w:ascii="Arial" w:cs="Arial" w:eastAsia="Arial" w:hAnsi="Arial"/>
          <w:sz w:val="20"/>
          <w:szCs w:val="20"/>
          <w:color w:val="auto"/>
        </w:rPr>
      </w:pPr>
    </w:p>
    <w:p>
      <w:pPr>
        <w:jc w:val="both"/>
        <w:ind w:left="100"/>
        <w:spacing w:after="0" w:line="284" w:lineRule="auto"/>
        <w:rPr>
          <w:rFonts w:ascii="Arial" w:cs="Arial" w:eastAsia="Arial" w:hAnsi="Arial"/>
          <w:sz w:val="20"/>
          <w:szCs w:val="20"/>
          <w:color w:val="auto"/>
        </w:rPr>
      </w:pPr>
      <w:r>
        <w:rPr>
          <w:rFonts w:ascii="Arial" w:cs="Arial" w:eastAsia="Arial" w:hAnsi="Arial"/>
          <w:sz w:val="20"/>
          <w:szCs w:val="20"/>
          <w:color w:val="auto"/>
        </w:rPr>
        <w:t>Owner" (within the meaning of Rule 13d-3 promulgated under the Exchange Act), directly or indirectly, of securities of Wynn Resorts, Limited (“</w:t>
      </w:r>
      <w:r>
        <w:rPr>
          <w:rFonts w:ascii="Arial" w:cs="Arial" w:eastAsia="Arial" w:hAnsi="Arial"/>
          <w:sz w:val="20"/>
          <w:szCs w:val="20"/>
          <w:b w:val="1"/>
          <w:bCs w:val="1"/>
          <w:color w:val="auto"/>
        </w:rPr>
        <w:t>WRL</w:t>
      </w:r>
      <w:r>
        <w:rPr>
          <w:rFonts w:ascii="Arial" w:cs="Arial" w:eastAsia="Arial" w:hAnsi="Arial"/>
          <w:sz w:val="20"/>
          <w:szCs w:val="20"/>
          <w:color w:val="auto"/>
        </w:rPr>
        <w:t>”), or of any entity resulting from a merger or consolidation involving WRL, representing more than fifty percent (50%) of the combined voting power of the then outstanding securities of WRL or such entity;</w:t>
      </w:r>
    </w:p>
    <w:p>
      <w:pPr>
        <w:spacing w:after="0" w:line="200" w:lineRule="exact"/>
        <w:rPr>
          <w:rFonts w:ascii="Arial" w:cs="Arial" w:eastAsia="Arial" w:hAnsi="Arial"/>
          <w:sz w:val="20"/>
          <w:szCs w:val="20"/>
          <w:color w:val="auto"/>
        </w:rPr>
      </w:pPr>
    </w:p>
    <w:p>
      <w:pPr>
        <w:spacing w:after="0" w:line="389" w:lineRule="exact"/>
        <w:rPr>
          <w:rFonts w:ascii="Arial" w:cs="Arial" w:eastAsia="Arial" w:hAnsi="Arial"/>
          <w:sz w:val="20"/>
          <w:szCs w:val="20"/>
          <w:color w:val="auto"/>
        </w:rPr>
      </w:pPr>
    </w:p>
    <w:p>
      <w:pPr>
        <w:jc w:val="both"/>
        <w:ind w:left="100" w:firstLine="653"/>
        <w:spacing w:after="0" w:line="300" w:lineRule="auto"/>
        <w:tabs>
          <w:tab w:leader="none" w:pos="1215"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individuals who, as of the Effective Date, are members of WRL’s Board of Directors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Directors</w:t>
      </w:r>
      <w:r>
        <w:rPr>
          <w:rFonts w:ascii="Arial" w:cs="Arial" w:eastAsia="Arial" w:hAnsi="Arial"/>
          <w:sz w:val="19"/>
          <w:szCs w:val="19"/>
          <w:color w:val="auto"/>
        </w:rPr>
        <w:t>") cease, for any reason, to constitute more than fifty percent (50%) of the number of authorized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w:t>
      </w:r>
    </w:p>
    <w:p>
      <w:pPr>
        <w:spacing w:after="0" w:line="2" w:lineRule="exact"/>
        <w:rPr>
          <w:rFonts w:ascii="Arial" w:cs="Arial" w:eastAsia="Arial" w:hAnsi="Arial"/>
          <w:sz w:val="19"/>
          <w:szCs w:val="19"/>
          <w:color w:val="auto"/>
        </w:rPr>
      </w:pPr>
    </w:p>
    <w:p>
      <w:pPr>
        <w:jc w:val="both"/>
        <w:ind w:left="100"/>
        <w:spacing w:after="0" w:line="285" w:lineRule="auto"/>
        <w:rPr>
          <w:rFonts w:ascii="Arial" w:cs="Arial" w:eastAsia="Arial" w:hAnsi="Arial"/>
          <w:sz w:val="19"/>
          <w:szCs w:val="19"/>
          <w:color w:val="auto"/>
        </w:rPr>
      </w:pPr>
      <w:r>
        <w:rPr>
          <w:rFonts w:ascii="Arial" w:cs="Arial" w:eastAsia="Arial" w:hAnsi="Arial"/>
          <w:sz w:val="20"/>
          <w:szCs w:val="20"/>
          <w:color w:val="auto"/>
        </w:rPr>
        <w:t>promulgated under the Exchange Act) or other actual or threatened solicitation of proxies by or on behalf of anyone other than the Board (a "</w:t>
      </w:r>
      <w:r>
        <w:rPr>
          <w:rFonts w:ascii="Arial" w:cs="Arial" w:eastAsia="Arial" w:hAnsi="Arial"/>
          <w:sz w:val="20"/>
          <w:szCs w:val="20"/>
          <w:b w:val="1"/>
          <w:bCs w:val="1"/>
          <w:color w:val="auto"/>
        </w:rPr>
        <w:t>Proxy Contest</w:t>
      </w:r>
      <w:r>
        <w:rPr>
          <w:rFonts w:ascii="Arial" w:cs="Arial" w:eastAsia="Arial" w:hAnsi="Arial"/>
          <w:sz w:val="20"/>
          <w:szCs w:val="20"/>
          <w:color w:val="auto"/>
        </w:rPr>
        <w:t>"), including by reason of any agreement intended to avoid or settle any Election Contest or Proxy Contest;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100" w:firstLine="653"/>
        <w:spacing w:after="0" w:line="284" w:lineRule="auto"/>
        <w:tabs>
          <w:tab w:leader="none" w:pos="1243"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20"/>
          </w:cols>
          <w:pgMar w:left="1440" w:top="1365" w:right="239" w:bottom="1440" w:gutter="0" w:footer="0" w:header="0"/>
        </w:sectPr>
      </w:pPr>
    </w:p>
    <w:bookmarkStart w:id="59" w:name="page60"/>
    <w:bookmarkEnd w:id="59"/>
    <w:p>
      <w:pPr>
        <w:jc w:val="both"/>
        <w:ind w:left="100"/>
        <w:spacing w:after="0" w:line="282" w:lineRule="auto"/>
        <w:rPr>
          <w:sz w:val="20"/>
          <w:szCs w:val="20"/>
          <w:color w:val="auto"/>
        </w:rPr>
      </w:pPr>
      <w:r>
        <w:rPr>
          <w:rFonts w:ascii="Arial" w:cs="Arial" w:eastAsia="Arial" w:hAnsi="Arial"/>
          <w:sz w:val="20"/>
          <w:szCs w:val="20"/>
          <w:color w:val="auto"/>
        </w:rPr>
        <w:t>such transaction or series of related transactions as is referred to in clause (x) or clause (y) above in this subparagraph (iii) (singly or collectively, a "</w:t>
      </w:r>
      <w:r>
        <w:rPr>
          <w:rFonts w:ascii="Arial" w:cs="Arial" w:eastAsia="Arial" w:hAnsi="Arial"/>
          <w:sz w:val="20"/>
          <w:szCs w:val="20"/>
          <w:b w:val="1"/>
          <w:bCs w:val="1"/>
          <w:color w:val="auto"/>
        </w:rPr>
        <w:t>Transaction</w:t>
      </w:r>
      <w:r>
        <w:rPr>
          <w:rFonts w:ascii="Arial" w:cs="Arial" w:eastAsia="Arial" w:hAnsi="Arial"/>
          <w:sz w:val="20"/>
          <w:szCs w:val="20"/>
          <w:color w:val="auto"/>
        </w:rPr>
        <w:t>")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393" w:lineRule="exact"/>
        <w:rPr>
          <w:sz w:val="20"/>
          <w:szCs w:val="20"/>
          <w:color w:val="auto"/>
        </w:rPr>
      </w:pPr>
    </w:p>
    <w:p>
      <w:pPr>
        <w:jc w:val="both"/>
        <w:ind w:left="-540" w:firstLine="645"/>
        <w:spacing w:after="0" w:line="326" w:lineRule="auto"/>
        <w:tabs>
          <w:tab w:leader="none" w:pos="998"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183" w:lineRule="exact"/>
        <w:rPr>
          <w:rFonts w:ascii="Arial" w:cs="Arial" w:eastAsia="Arial" w:hAnsi="Arial"/>
          <w:sz w:val="20"/>
          <w:szCs w:val="20"/>
          <w:color w:val="auto"/>
        </w:rPr>
      </w:pPr>
    </w:p>
    <w:p>
      <w:pPr>
        <w:jc w:val="both"/>
        <w:ind w:left="-540" w:firstLine="645"/>
        <w:spacing w:after="0" w:line="312" w:lineRule="auto"/>
        <w:tabs>
          <w:tab w:leader="none" w:pos="943"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means any information that is possessed or developed by or for Employer or its Affiliate and that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know how, business and technical plans, strategies, existing and proposed bids, costs, technical developments, purchasing history, existing and proposed research projects, designs, concepts,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5" w:lineRule="exact"/>
        <w:rPr>
          <w:rFonts w:ascii="Arial" w:cs="Arial" w:eastAsia="Arial" w:hAnsi="Arial"/>
          <w:sz w:val="20"/>
          <w:szCs w:val="20"/>
          <w:color w:val="auto"/>
        </w:rPr>
      </w:pPr>
    </w:p>
    <w:p>
      <w:pPr>
        <w:ind w:left="1000" w:hanging="895"/>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July 16, 2018.</w:t>
      </w: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20"/>
          </w:cols>
          <w:pgMar w:left="1440" w:top="1351" w:right="239" w:bottom="1440" w:gutter="0" w:footer="0" w:header="0"/>
        </w:sectPr>
      </w:pPr>
    </w:p>
    <w:bookmarkStart w:id="60" w:name="page61"/>
    <w:bookmarkEnd w:id="60"/>
    <w:p>
      <w:pPr>
        <w:jc w:val="both"/>
        <w:ind w:left="-540" w:firstLine="645"/>
        <w:spacing w:after="0" w:line="318" w:lineRule="auto"/>
        <w:tabs>
          <w:tab w:leader="none" w:pos="998" w:val="left"/>
        </w:tabs>
        <w:numPr>
          <w:ilvl w:val="0"/>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Government Official</w:t>
      </w:r>
      <w:r>
        <w:rPr>
          <w:rFonts w:ascii="Arial" w:cs="Arial" w:eastAsia="Arial" w:hAnsi="Arial"/>
          <w:sz w:val="20"/>
          <w:szCs w:val="20"/>
          <w:color w:val="auto"/>
        </w:rPr>
        <w:t>” is defined to include officers, office holders, and employees, full or part time, regardless of rank, of local governments, 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91" w:lineRule="exact"/>
        <w:rPr>
          <w:rFonts w:ascii="Arial" w:cs="Arial" w:eastAsia="Arial" w:hAnsi="Arial"/>
          <w:sz w:val="20"/>
          <w:szCs w:val="20"/>
          <w:color w:val="auto"/>
        </w:rPr>
      </w:pPr>
    </w:p>
    <w:p>
      <w:pPr>
        <w:jc w:val="both"/>
        <w:ind w:left="-540" w:firstLine="645"/>
        <w:spacing w:after="0" w:line="320" w:lineRule="auto"/>
        <w:tabs>
          <w:tab w:leader="none" w:pos="932" w:val="left"/>
        </w:tabs>
        <w:numPr>
          <w:ilvl w:val="0"/>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74" w:lineRule="exact"/>
        <w:rPr>
          <w:rFonts w:ascii="Arial" w:cs="Arial" w:eastAsia="Arial" w:hAnsi="Arial"/>
          <w:sz w:val="20"/>
          <w:szCs w:val="20"/>
          <w:color w:val="auto"/>
        </w:rPr>
      </w:pPr>
    </w:p>
    <w:p>
      <w:pPr>
        <w:ind w:left="1140" w:hanging="387"/>
        <w:spacing w:after="0"/>
        <w:tabs>
          <w:tab w:leader="none" w:pos="11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Employer or an Affiliate reduces Employee’s Base Salary (as defined in Subparagraph 7(a) below);</w:t>
      </w:r>
    </w:p>
    <w:p>
      <w:pPr>
        <w:spacing w:after="0" w:line="229" w:lineRule="exact"/>
        <w:rPr>
          <w:rFonts w:ascii="Arial" w:cs="Arial" w:eastAsia="Arial" w:hAnsi="Arial"/>
          <w:sz w:val="20"/>
          <w:szCs w:val="20"/>
          <w:color w:val="auto"/>
        </w:rPr>
      </w:pPr>
    </w:p>
    <w:p>
      <w:pPr>
        <w:jc w:val="both"/>
        <w:ind w:left="100" w:firstLine="653"/>
        <w:spacing w:after="0" w:line="242" w:lineRule="auto"/>
        <w:tabs>
          <w:tab w:leader="none" w:pos="1245"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20" w:lineRule="exact"/>
        <w:rPr>
          <w:rFonts w:ascii="Arial" w:cs="Arial" w:eastAsia="Arial" w:hAnsi="Arial"/>
          <w:sz w:val="20"/>
          <w:szCs w:val="20"/>
          <w:color w:val="auto"/>
        </w:rPr>
      </w:pPr>
    </w:p>
    <w:p>
      <w:pPr>
        <w:ind w:left="100" w:firstLine="653"/>
        <w:spacing w:after="0" w:line="247" w:lineRule="auto"/>
        <w:tabs>
          <w:tab w:leader="none" w:pos="1326"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215" w:lineRule="exact"/>
        <w:rPr>
          <w:rFonts w:ascii="Arial" w:cs="Arial" w:eastAsia="Arial" w:hAnsi="Arial"/>
          <w:sz w:val="20"/>
          <w:szCs w:val="20"/>
          <w:color w:val="auto"/>
        </w:rPr>
      </w:pPr>
    </w:p>
    <w:p>
      <w:pPr>
        <w:jc w:val="both"/>
        <w:ind w:left="100" w:firstLine="653"/>
        <w:spacing w:after="0" w:line="243" w:lineRule="auto"/>
        <w:tabs>
          <w:tab w:leader="none" w:pos="127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219" w:lineRule="exact"/>
        <w:rPr>
          <w:rFonts w:ascii="Arial" w:cs="Arial" w:eastAsia="Arial" w:hAnsi="Arial"/>
          <w:sz w:val="20"/>
          <w:szCs w:val="20"/>
          <w:color w:val="auto"/>
        </w:rPr>
      </w:pPr>
    </w:p>
    <w:p>
      <w:pPr>
        <w:jc w:val="both"/>
        <w:ind w:left="100" w:firstLine="653"/>
        <w:spacing w:after="0" w:line="243" w:lineRule="auto"/>
        <w:tabs>
          <w:tab w:leader="none" w:pos="1225"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219" w:lineRule="exact"/>
        <w:rPr>
          <w:rFonts w:ascii="Arial" w:cs="Arial" w:eastAsia="Arial" w:hAnsi="Arial"/>
          <w:sz w:val="20"/>
          <w:szCs w:val="20"/>
          <w:color w:val="auto"/>
        </w:rPr>
      </w:pPr>
    </w:p>
    <w:p>
      <w:pPr>
        <w:ind w:left="100" w:right="20" w:firstLine="653"/>
        <w:spacing w:after="0" w:line="247" w:lineRule="auto"/>
        <w:tabs>
          <w:tab w:leader="none" w:pos="1274"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215" w:lineRule="exact"/>
        <w:rPr>
          <w:sz w:val="20"/>
          <w:szCs w:val="20"/>
          <w:color w:val="auto"/>
        </w:rPr>
      </w:pPr>
    </w:p>
    <w:p>
      <w:pPr>
        <w:ind w:left="100" w:right="20"/>
        <w:spacing w:after="0" w:line="247"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232" w:lineRule="exact"/>
        <w:rPr>
          <w:sz w:val="20"/>
          <w:szCs w:val="20"/>
          <w:color w:val="auto"/>
        </w:rPr>
      </w:pPr>
    </w:p>
    <w:p>
      <w:pPr>
        <w:jc w:val="both"/>
        <w:ind w:left="-540" w:firstLine="645"/>
        <w:spacing w:after="0" w:line="326" w:lineRule="auto"/>
        <w:tabs>
          <w:tab w:leader="none" w:pos="932"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Payment</w:t>
      </w:r>
      <w:r>
        <w:rPr>
          <w:rFonts w:ascii="Arial" w:cs="Arial" w:eastAsia="Arial" w:hAnsi="Arial"/>
          <w:sz w:val="20"/>
          <w:szCs w:val="20"/>
          <w:color w:val="auto"/>
        </w:rPr>
        <w:t>” means a lump sum equal to (A) Employee’s Base Salary for the remainder of the term of this Agreement, but not less than twelve (12) months (as defined in Subparagraph 7(a) of this Agreement), plus (B) the bonus projected for all bonus periods through the end of the term of this Agreement based upon the last bonus</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20"/>
          </w:cols>
          <w:pgMar w:left="1440" w:top="1341" w:right="239" w:bottom="1440" w:gutter="0" w:footer="0" w:header="0"/>
        </w:sectPr>
      </w:pPr>
    </w:p>
    <w:bookmarkStart w:id="61" w:name="page62"/>
    <w:bookmarkEnd w:id="61"/>
    <w:p>
      <w:pPr>
        <w:ind w:left="660"/>
        <w:spacing w:after="0" w:line="317" w:lineRule="auto"/>
        <w:rPr>
          <w:sz w:val="20"/>
          <w:szCs w:val="20"/>
          <w:color w:val="auto"/>
        </w:rPr>
      </w:pPr>
      <w:r>
        <w:rPr>
          <w:rFonts w:ascii="Arial" w:cs="Arial" w:eastAsia="Arial" w:hAnsi="Arial"/>
          <w:sz w:val="20"/>
          <w:szCs w:val="20"/>
          <w:color w:val="auto"/>
        </w:rPr>
        <w:t>that was paid to Employee under Subparagraph 7(b) for the preceding bonus period, plus (C) any accrued but unpaid vacation pay.</w:t>
      </w:r>
    </w:p>
    <w:p>
      <w:pPr>
        <w:spacing w:after="0" w:line="368" w:lineRule="exact"/>
        <w:rPr>
          <w:sz w:val="20"/>
          <w:szCs w:val="20"/>
          <w:color w:val="auto"/>
        </w:rPr>
      </w:pPr>
    </w:p>
    <w:p>
      <w:pPr>
        <w:jc w:val="both"/>
        <w:ind w:left="660" w:firstLine="645"/>
        <w:spacing w:after="0" w:line="314" w:lineRule="auto"/>
        <w:tabs>
          <w:tab w:leader="none" w:pos="2187"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(1) the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199" w:lineRule="exact"/>
        <w:rPr>
          <w:rFonts w:ascii="Arial" w:cs="Arial" w:eastAsia="Arial" w:hAnsi="Arial"/>
          <w:sz w:val="20"/>
          <w:szCs w:val="20"/>
          <w:color w:val="auto"/>
        </w:rPr>
      </w:pPr>
    </w:p>
    <w:p>
      <w:pPr>
        <w:jc w:val="both"/>
        <w:ind w:left="660" w:firstLine="645"/>
        <w:spacing w:after="0" w:line="316" w:lineRule="auto"/>
        <w:tabs>
          <w:tab w:leader="none" w:pos="2132"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95" w:lineRule="exact"/>
        <w:rPr>
          <w:rFonts w:ascii="Arial" w:cs="Arial" w:eastAsia="Arial" w:hAnsi="Arial"/>
          <w:sz w:val="20"/>
          <w:szCs w:val="20"/>
          <w:color w:val="auto"/>
        </w:rPr>
      </w:pPr>
    </w:p>
    <w:p>
      <w:pPr>
        <w:jc w:val="both"/>
        <w:ind w:firstLine="656"/>
        <w:spacing w:after="0" w:line="316" w:lineRule="auto"/>
        <w:tabs>
          <w:tab w:leader="none" w:pos="1462"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BASIC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terms and pursuant to the conditions hereinafter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371" w:lineRule="exact"/>
        <w:rPr>
          <w:rFonts w:ascii="Arial" w:cs="Arial" w:eastAsia="Arial" w:hAnsi="Arial"/>
          <w:sz w:val="20"/>
          <w:szCs w:val="20"/>
          <w:b w:val="1"/>
          <w:bCs w:val="1"/>
          <w:color w:val="auto"/>
        </w:rPr>
      </w:pPr>
    </w:p>
    <w:p>
      <w:pPr>
        <w:jc w:val="both"/>
        <w:ind w:firstLine="656"/>
        <w:spacing w:after="0" w:line="314" w:lineRule="auto"/>
        <w:tabs>
          <w:tab w:leader="none" w:pos="1462"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Executive Vice President and General Counsel</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365" w:right="239" w:bottom="1440" w:gutter="0" w:footer="0" w:header="0"/>
        </w:sectPr>
      </w:pPr>
    </w:p>
    <w:bookmarkStart w:id="62" w:name="page63"/>
    <w:bookmarkEnd w:id="62"/>
    <w:p>
      <w:pPr>
        <w:jc w:val="both"/>
        <w:spacing w:after="0" w:line="313" w:lineRule="auto"/>
        <w:rPr>
          <w:sz w:val="20"/>
          <w:szCs w:val="20"/>
          <w:color w:val="auto"/>
        </w:rPr>
      </w:pPr>
      <w:r>
        <w:rPr>
          <w:rFonts w:ascii="Arial" w:cs="Arial" w:eastAsia="Arial" w:hAnsi="Arial"/>
          <w:sz w:val="20"/>
          <w:szCs w:val="20"/>
          <w:color w:val="auto"/>
        </w:rPr>
        <w:t>assumes responsibility for review and understanding; and (vi) such other and further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373" w:lineRule="exact"/>
        <w:rPr>
          <w:sz w:val="20"/>
          <w:szCs w:val="20"/>
          <w:color w:val="auto"/>
        </w:rPr>
      </w:pPr>
    </w:p>
    <w:p>
      <w:pPr>
        <w:jc w:val="both"/>
        <w:ind w:firstLine="656"/>
        <w:spacing w:after="0" w:line="316" w:lineRule="auto"/>
        <w:tabs>
          <w:tab w:leader="none" w:pos="1462"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ACCEPTANCE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hereby unconditionally accepts the employment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3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Employee represents and warrants to Employer that the execution and delivery of this Agreement and the performance of Employee’s duties hereunder shall not violate the terms or conditions of any employment agreement or arrangement or any other agreement to which Employee is a party.</w:t>
      </w:r>
    </w:p>
    <w:p>
      <w:pPr>
        <w:spacing w:after="0" w:line="236" w:lineRule="exact"/>
        <w:rPr>
          <w:sz w:val="20"/>
          <w:szCs w:val="20"/>
          <w:color w:val="auto"/>
        </w:rPr>
      </w:pPr>
    </w:p>
    <w:p>
      <w:pPr>
        <w:jc w:val="both"/>
        <w:ind w:firstLine="656"/>
        <w:spacing w:after="0" w:line="315" w:lineRule="auto"/>
        <w:tabs>
          <w:tab w:leader="none" w:pos="146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 of four (4) years commencing on the Effective Date of this Agreement and terminating on the fourth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60" w:hanging="804"/>
        <w:spacing w:after="0"/>
        <w:tabs>
          <w:tab w:leader="none" w:pos="14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spacing w:after="0" w:line="296" w:lineRule="exact"/>
        <w:rPr>
          <w:rFonts w:ascii="Arial" w:cs="Arial" w:eastAsia="Arial" w:hAnsi="Arial"/>
          <w:sz w:val="20"/>
          <w:szCs w:val="20"/>
          <w:b w:val="1"/>
          <w:bCs w:val="1"/>
          <w:color w:val="auto"/>
        </w:rPr>
      </w:pPr>
    </w:p>
    <w:p>
      <w:pPr>
        <w:ind w:left="660" w:firstLine="645"/>
        <w:spacing w:after="0" w:line="317" w:lineRule="auto"/>
        <w:tabs>
          <w:tab w:leader="none" w:pos="2198" w:val="left"/>
        </w:tabs>
        <w:numPr>
          <w:ilvl w:val="1"/>
          <w:numId w:val="32"/>
        </w:numPr>
        <w:rPr>
          <w:rFonts w:ascii="Arial" w:cs="Arial" w:eastAsia="Arial" w:hAnsi="Arial"/>
          <w:sz w:val="20"/>
          <w:szCs w:val="20"/>
          <w:color w:val="auto"/>
        </w:rPr>
      </w:pPr>
      <w:r>
        <w:rPr>
          <w:rFonts w:ascii="Arial" w:cs="Arial" w:eastAsia="Arial" w:hAnsi="Arial"/>
          <w:sz w:val="20"/>
          <w:szCs w:val="20"/>
          <w:color w:val="auto"/>
        </w:rPr>
        <w:t>Notwithstanding the provisions of Section 5, this Agreement shall terminate upon the occurrence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365" w:right="239" w:bottom="1440" w:gutter="0" w:footer="0" w:header="0"/>
        </w:sectPr>
      </w:pPr>
    </w:p>
    <w:bookmarkStart w:id="63" w:name="page64"/>
    <w:bookmarkEnd w:id="63"/>
    <w:p>
      <w:pPr>
        <w:ind w:left="1580" w:hanging="665"/>
        <w:spacing w:after="0"/>
        <w:tabs>
          <w:tab w:leader="none" w:pos="15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death of Employee;</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00" w:firstLine="815"/>
        <w:spacing w:after="0" w:line="317" w:lineRule="auto"/>
        <w:tabs>
          <w:tab w:leader="none" w:pos="161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100" w:firstLine="815"/>
        <w:spacing w:after="0" w:line="311" w:lineRule="auto"/>
        <w:tabs>
          <w:tab w:leader="none" w:pos="1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Chief Executive Officer. If Employee disagrees with the decision reached by Employer’s Chief Executive Officer, any dispute as to the “Cause” determination will be limited to whether Employer’s Chief Executive Officer reached his/her decision in good faith, based upon facts reasonably believed by Employer’s Chief Executive Officer to be true, and not for any arbitrary, capricious or illegal reason. This shall be the standard applied by any fact finder, and Employee shall bear the burden to prove that “Cause,” under this standard, did not exist;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left="100" w:firstLine="815"/>
        <w:spacing w:after="0" w:line="313" w:lineRule="auto"/>
        <w:tabs>
          <w:tab w:leader="none" w:pos="167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100" w:firstLine="815"/>
        <w:spacing w:after="0" w:line="310" w:lineRule="auto"/>
        <w:tabs>
          <w:tab w:leader="none" w:pos="162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and if such position is the only position with Employer, with its Affiliates (irrespective of the title of the position), or a material reduction in Employee’s Base Salary; provided, however, that “material breach” shall not be construed to include any change in title and/or reporting structure alone with no material change to duties and responsibilities, any changes to Employee’s duties pursuant to Section 6(a)(vi), any changes to Employee’s duties and responsibilities as a result of a request by the</w:t>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20"/>
          </w:cols>
          <w:pgMar w:left="1440" w:top="1365" w:right="239" w:bottom="1440" w:gutter="0" w:footer="0" w:header="0"/>
        </w:sectPr>
      </w:pPr>
    </w:p>
    <w:bookmarkStart w:id="64" w:name="page65"/>
    <w:bookmarkEnd w:id="64"/>
    <w:p>
      <w:pPr>
        <w:jc w:val="both"/>
        <w:ind w:left="100"/>
        <w:spacing w:after="0" w:line="312" w:lineRule="auto"/>
        <w:rPr>
          <w:sz w:val="20"/>
          <w:szCs w:val="20"/>
          <w:color w:val="auto"/>
        </w:rPr>
      </w:pPr>
      <w:r>
        <w:rPr>
          <w:rFonts w:ascii="Arial" w:cs="Arial" w:eastAsia="Arial" w:hAnsi="Arial"/>
          <w:sz w:val="20"/>
          <w:szCs w:val="20"/>
          <w:color w:val="auto"/>
        </w:rPr>
        <w:t>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her duties and responsibilities under Sections 9, 10, 11, and 21 of this Agreement; 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00" w:firstLine="815"/>
        <w:spacing w:after="0" w:line="310" w:lineRule="auto"/>
        <w:tabs>
          <w:tab w:leader="none" w:pos="1671"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the giving of written two-week notice by Employer to Employee of Employer’s intention to terminate this Agreement without Cause for any reason deemed sufficient by Employer to be effective at the end of such two-week period. During such two-week notice period, Employer shall be permitted to reduce Employee’s responsibilities and time commitment to Employer; provided however, Employer may not reduce Employee’s salary or benefits during such two-week period. At the end of such two-week period, Employee shall cease to be an employee of Employer and this Agreement shall automatically terminate. Upon receipt of such notice, Employee shall have the option to resign Employee’s employment effective as of the date of the notice, rather than remain employed through such two-week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left="100" w:firstLine="815"/>
        <w:spacing w:after="0" w:line="336" w:lineRule="auto"/>
        <w:tabs>
          <w:tab w:leader="none" w:pos="1715" w:val="left"/>
        </w:tabs>
        <w:numPr>
          <w:ilvl w:val="2"/>
          <w:numId w:val="34"/>
        </w:numPr>
        <w:rPr>
          <w:rFonts w:ascii="Arial" w:cs="Arial" w:eastAsia="Arial" w:hAnsi="Arial"/>
          <w:sz w:val="19"/>
          <w:szCs w:val="19"/>
          <w:color w:val="auto"/>
        </w:rPr>
      </w:pPr>
      <w:r>
        <w:rPr>
          <w:rFonts w:ascii="Arial" w:cs="Arial" w:eastAsia="Arial" w:hAnsi="Arial"/>
          <w:sz w:val="19"/>
          <w:szCs w:val="19"/>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378" w:lineRule="exact"/>
        <w:rPr>
          <w:rFonts w:ascii="Arial" w:cs="Arial" w:eastAsia="Arial" w:hAnsi="Arial"/>
          <w:sz w:val="19"/>
          <w:szCs w:val="19"/>
          <w:color w:val="auto"/>
        </w:rPr>
      </w:pPr>
    </w:p>
    <w:p>
      <w:pPr>
        <w:ind w:left="1000" w:hanging="895"/>
        <w:spacing w:after="0"/>
        <w:tabs>
          <w:tab w:leader="none" w:pos="10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jc w:val="both"/>
        <w:ind w:left="100" w:firstLine="653"/>
        <w:spacing w:after="0" w:line="311" w:lineRule="auto"/>
        <w:tabs>
          <w:tab w:leader="none" w:pos="1572" w:val="left"/>
        </w:tabs>
        <w:numPr>
          <w:ilvl w:val="1"/>
          <w:numId w:val="35"/>
        </w:numPr>
        <w:rPr>
          <w:rFonts w:ascii="Arial" w:cs="Arial" w:eastAsia="Arial" w:hAnsi="Arial"/>
          <w:sz w:val="20"/>
          <w:szCs w:val="20"/>
          <w:color w:val="auto"/>
        </w:rPr>
      </w:pPr>
      <w:r>
        <w:rPr>
          <w:rFonts w:ascii="Arial" w:cs="Arial" w:eastAsia="Arial" w:hAnsi="Arial"/>
          <w:sz w:val="20"/>
          <w:szCs w:val="20"/>
          <w:color w:val="auto"/>
        </w:rPr>
        <w:t>In the event Employee resigns pursuant to Section 6(a)(v), 6(a)(vi) or 6(a)(vii),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breach or construction of this Agreement), or common law, that have arisen as of the date of such execution, irrespective of whether Employee has knowledge of the</w:t>
      </w:r>
    </w:p>
    <w:p>
      <w:pPr>
        <w:spacing w:after="0" w:line="39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20"/>
          </w:cols>
          <w:pgMar w:left="1440" w:top="1365" w:right="239" w:bottom="1440" w:gutter="0" w:footer="0" w:header="0"/>
        </w:sectPr>
      </w:pPr>
    </w:p>
    <w:bookmarkStart w:id="65" w:name="page66"/>
    <w:bookmarkEnd w:id="65"/>
    <w:p>
      <w:pPr>
        <w:jc w:val="both"/>
        <w:ind w:left="100"/>
        <w:spacing w:after="0" w:line="310" w:lineRule="auto"/>
        <w:rPr>
          <w:sz w:val="20"/>
          <w:szCs w:val="20"/>
          <w:color w:val="auto"/>
        </w:rPr>
      </w:pPr>
      <w:r>
        <w:rPr>
          <w:rFonts w:ascii="Arial" w:cs="Arial" w:eastAsia="Arial" w:hAnsi="Arial"/>
          <w:sz w:val="20"/>
          <w:szCs w:val="20"/>
          <w:color w:val="auto"/>
        </w:rPr>
        <w:t>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200" w:lineRule="exact"/>
        <w:rPr>
          <w:sz w:val="20"/>
          <w:szCs w:val="20"/>
          <w:color w:val="auto"/>
        </w:rPr>
      </w:pPr>
    </w:p>
    <w:p>
      <w:pPr>
        <w:spacing w:after="0" w:line="207" w:lineRule="exact"/>
        <w:rPr>
          <w:sz w:val="20"/>
          <w:szCs w:val="20"/>
          <w:color w:val="auto"/>
        </w:rPr>
      </w:pPr>
    </w:p>
    <w:p>
      <w:pPr>
        <w:jc w:val="both"/>
        <w:ind w:left="100" w:firstLine="815"/>
        <w:spacing w:after="0" w:line="311" w:lineRule="auto"/>
        <w:tabs>
          <w:tab w:leader="none" w:pos="1616"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Sections 6(a)(i), 6(a)(ii) or 6(a)(iv),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1365" w:right="239" w:bottom="1440" w:gutter="0" w:footer="0" w:header="0"/>
        </w:sectPr>
      </w:pPr>
    </w:p>
    <w:bookmarkStart w:id="66" w:name="page67"/>
    <w:bookmarkEnd w:id="66"/>
    <w:p>
      <w:pPr>
        <w:jc w:val="both"/>
        <w:ind w:left="1300" w:firstLine="815"/>
        <w:spacing w:after="0" w:line="312" w:lineRule="auto"/>
        <w:tabs>
          <w:tab w:leader="none" w:pos="2860" w:val="left"/>
        </w:tabs>
        <w:numPr>
          <w:ilvl w:val="2"/>
          <w:numId w:val="37"/>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left="1300" w:firstLine="815"/>
        <w:spacing w:after="0" w:line="313" w:lineRule="auto"/>
        <w:tabs>
          <w:tab w:leader="none" w:pos="2871" w:val="left"/>
        </w:tabs>
        <w:numPr>
          <w:ilvl w:val="2"/>
          <w:numId w:val="37"/>
        </w:numPr>
        <w:rPr>
          <w:rFonts w:ascii="Arial" w:cs="Arial" w:eastAsia="Arial" w:hAnsi="Arial"/>
          <w:sz w:val="20"/>
          <w:szCs w:val="20"/>
          <w:color w:val="auto"/>
        </w:rPr>
      </w:pPr>
      <w:r>
        <w:rPr>
          <w:rFonts w:ascii="Arial" w:cs="Arial" w:eastAsia="Arial" w:hAnsi="Arial"/>
          <w:sz w:val="20"/>
          <w:szCs w:val="20"/>
          <w:color w:val="auto"/>
        </w:rPr>
        <w:t>In the event of a termination of this Agreement for any reason, the termination provisions set forth in the restricted stock agreement referenced in Section 7(d) below, shall control with regard to the vesting of any stock grant.</w:t>
      </w:r>
    </w:p>
    <w:p>
      <w:pPr>
        <w:spacing w:after="0" w:line="200" w:lineRule="exact"/>
        <w:rPr>
          <w:rFonts w:ascii="Arial" w:cs="Arial" w:eastAsia="Arial" w:hAnsi="Arial"/>
          <w:sz w:val="20"/>
          <w:szCs w:val="20"/>
          <w:color w:val="auto"/>
        </w:rPr>
      </w:pPr>
    </w:p>
    <w:p>
      <w:pPr>
        <w:spacing w:after="0" w:line="348" w:lineRule="exact"/>
        <w:rPr>
          <w:rFonts w:ascii="Arial" w:cs="Arial" w:eastAsia="Arial" w:hAnsi="Arial"/>
          <w:sz w:val="20"/>
          <w:szCs w:val="20"/>
          <w:color w:val="auto"/>
        </w:rPr>
      </w:pPr>
    </w:p>
    <w:p>
      <w:pPr>
        <w:jc w:val="both"/>
        <w:ind w:firstLine="656"/>
        <w:spacing w:after="0" w:line="326" w:lineRule="auto"/>
        <w:tabs>
          <w:tab w:leader="none" w:pos="146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of Employee’s duties under this Agreement, Employer hereby covenants and agrees to pay to Employee, and Employee hereby covenants and agrees to accept from Employer, the following items of compensation:</w:t>
      </w:r>
    </w:p>
    <w:p>
      <w:pPr>
        <w:spacing w:after="0" w:line="359" w:lineRule="exact"/>
        <w:rPr>
          <w:rFonts w:ascii="Arial" w:cs="Arial" w:eastAsia="Arial" w:hAnsi="Arial"/>
          <w:sz w:val="20"/>
          <w:szCs w:val="20"/>
          <w:b w:val="1"/>
          <w:bCs w:val="1"/>
          <w:color w:val="auto"/>
        </w:rPr>
      </w:pPr>
    </w:p>
    <w:p>
      <w:pPr>
        <w:jc w:val="both"/>
        <w:ind w:left="660" w:firstLine="645"/>
        <w:spacing w:after="0" w:line="322" w:lineRule="auto"/>
        <w:tabs>
          <w:tab w:leader="none" w:pos="2198" w:val="left"/>
        </w:tabs>
        <w:numPr>
          <w:ilvl w:val="1"/>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and effective upon the approval of the Compensation Committee of Wynn</w:t>
      </w:r>
      <w:r>
        <w:rPr>
          <w:rFonts w:ascii="Arial" w:cs="Arial" w:eastAsia="Arial" w:hAnsi="Arial"/>
          <w:sz w:val="20"/>
          <w:szCs w:val="20"/>
          <w:b w:val="1"/>
          <w:bCs w:val="1"/>
          <w:color w:val="auto"/>
        </w:rPr>
        <w:t xml:space="preserve"> </w:t>
      </w:r>
      <w:r>
        <w:rPr>
          <w:rFonts w:ascii="Arial" w:cs="Arial" w:eastAsia="Arial" w:hAnsi="Arial"/>
          <w:sz w:val="20"/>
          <w:szCs w:val="20"/>
          <w:color w:val="auto"/>
        </w:rPr>
        <w:t>Resorts, Limited, Employer hereby covenants and agrees to pay to Employee, and Employee hereby covenants and</w:t>
      </w:r>
    </w:p>
    <w:p>
      <w:pPr>
        <w:spacing w:after="0" w:line="1" w:lineRule="exact"/>
        <w:rPr>
          <w:rFonts w:ascii="Arial" w:cs="Arial" w:eastAsia="Arial" w:hAnsi="Arial"/>
          <w:sz w:val="20"/>
          <w:szCs w:val="20"/>
          <w:color w:val="auto"/>
        </w:rPr>
      </w:pPr>
    </w:p>
    <w:p>
      <w:pPr>
        <w:jc w:val="both"/>
        <w:ind w:left="660"/>
        <w:spacing w:after="0" w:line="311" w:lineRule="auto"/>
        <w:rPr>
          <w:rFonts w:ascii="Arial" w:cs="Arial" w:eastAsia="Arial" w:hAnsi="Arial"/>
          <w:sz w:val="20"/>
          <w:szCs w:val="20"/>
          <w:color w:val="auto"/>
        </w:rPr>
      </w:pPr>
      <w:r>
        <w:rPr>
          <w:rFonts w:ascii="Arial" w:cs="Arial" w:eastAsia="Arial" w:hAnsi="Arial"/>
          <w:sz w:val="20"/>
          <w:szCs w:val="20"/>
          <w:color w:val="auto"/>
        </w:rPr>
        <w:t>agrees to accept from Employer, a base salary at the rate of Six Hundred Thousand Dollars ($600,000.00)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374" w:lineRule="exact"/>
        <w:rPr>
          <w:rFonts w:ascii="Arial" w:cs="Arial" w:eastAsia="Arial" w:hAnsi="Arial"/>
          <w:sz w:val="20"/>
          <w:szCs w:val="20"/>
          <w:color w:val="auto"/>
        </w:rPr>
      </w:pPr>
    </w:p>
    <w:p>
      <w:pPr>
        <w:jc w:val="both"/>
        <w:ind w:left="660" w:firstLine="645"/>
        <w:spacing w:after="0" w:line="320" w:lineRule="auto"/>
        <w:tabs>
          <w:tab w:leader="none" w:pos="2198" w:val="left"/>
        </w:tabs>
        <w:numPr>
          <w:ilvl w:val="1"/>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with a target bonus of 100% of the annual Base Salary actually received by Employee during the applicable year. Employer retains the discretion to adopt, amend or terminate any bonus plan at any time.</w:t>
      </w:r>
    </w:p>
    <w:p>
      <w:pPr>
        <w:spacing w:after="0" w:line="191" w:lineRule="exact"/>
        <w:rPr>
          <w:rFonts w:ascii="Arial" w:cs="Arial" w:eastAsia="Arial" w:hAnsi="Arial"/>
          <w:sz w:val="20"/>
          <w:szCs w:val="20"/>
          <w:color w:val="auto"/>
        </w:rPr>
      </w:pPr>
    </w:p>
    <w:p>
      <w:pPr>
        <w:jc w:val="both"/>
        <w:ind w:left="660" w:firstLine="645"/>
        <w:spacing w:after="0" w:line="320" w:lineRule="auto"/>
        <w:tabs>
          <w:tab w:leader="none" w:pos="2187" w:val="left"/>
        </w:tabs>
        <w:numPr>
          <w:ilvl w:val="1"/>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365" w:right="239" w:bottom="1440" w:gutter="0" w:footer="0" w:header="0"/>
        </w:sectPr>
      </w:pPr>
    </w:p>
    <w:bookmarkStart w:id="67" w:name="page68"/>
    <w:bookmarkEnd w:id="67"/>
    <w:p>
      <w:pPr>
        <w:jc w:val="both"/>
        <w:spacing w:after="0" w:line="312" w:lineRule="auto"/>
        <w:rPr>
          <w:sz w:val="20"/>
          <w:szCs w:val="20"/>
          <w:color w:val="auto"/>
        </w:rPr>
      </w:pPr>
      <w:r>
        <w:rPr>
          <w:rFonts w:ascii="Arial" w:cs="Arial" w:eastAsia="Arial" w:hAnsi="Arial"/>
          <w:sz w:val="20"/>
          <w:szCs w:val="20"/>
          <w:color w:val="auto"/>
        </w:rPr>
        <w:t>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46" w:lineRule="exact"/>
        <w:rPr>
          <w:sz w:val="20"/>
          <w:szCs w:val="20"/>
          <w:color w:val="auto"/>
        </w:rPr>
      </w:pPr>
    </w:p>
    <w:p>
      <w:pPr>
        <w:jc w:val="both"/>
        <w:ind w:firstLine="645"/>
        <w:spacing w:after="0" w:line="318" w:lineRule="auto"/>
        <w:tabs>
          <w:tab w:leader="none" w:pos="153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and effective upon the approval of the Compensation Committee of Wynn</w:t>
      </w:r>
      <w:r>
        <w:rPr>
          <w:rFonts w:ascii="Arial" w:cs="Arial" w:eastAsia="Arial" w:hAnsi="Arial"/>
          <w:sz w:val="20"/>
          <w:szCs w:val="20"/>
          <w:b w:val="1"/>
          <w:bCs w:val="1"/>
          <w:color w:val="auto"/>
        </w:rPr>
        <w:t xml:space="preserve"> </w:t>
      </w:r>
      <w:r>
        <w:rPr>
          <w:rFonts w:ascii="Arial" w:cs="Arial" w:eastAsia="Arial" w:hAnsi="Arial"/>
          <w:sz w:val="20"/>
          <w:szCs w:val="20"/>
          <w:color w:val="auto"/>
        </w:rPr>
        <w:t>Resorts, Limited, Employee shall at the earliest possible time after the Effective Date be granted 7,500 shares of restricted stock of Wynn Resorts, Limited common stock pursuant to the Wynn Resorts, Limited 2014 Omnibus Incentive Plan. Employee and Employer will enter into a separate restricted stock agreement incorporating the terms and conditions of the grant, including the grant date, vesting schedule, and termination provisions.</w:t>
      </w:r>
    </w:p>
    <w:p>
      <w:pPr>
        <w:spacing w:after="0" w:line="191" w:lineRule="exact"/>
        <w:rPr>
          <w:rFonts w:ascii="Arial" w:cs="Arial" w:eastAsia="Arial" w:hAnsi="Arial"/>
          <w:sz w:val="20"/>
          <w:szCs w:val="20"/>
          <w:color w:val="auto"/>
        </w:rPr>
      </w:pPr>
    </w:p>
    <w:p>
      <w:pPr>
        <w:jc w:val="both"/>
        <w:ind w:firstLine="645"/>
        <w:spacing w:after="0" w:line="318" w:lineRule="auto"/>
        <w:tabs>
          <w:tab w:leader="none" w:pos="153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91" w:lineRule="exact"/>
        <w:rPr>
          <w:rFonts w:ascii="Arial" w:cs="Arial" w:eastAsia="Arial" w:hAnsi="Arial"/>
          <w:sz w:val="20"/>
          <w:szCs w:val="20"/>
          <w:color w:val="auto"/>
        </w:rPr>
      </w:pPr>
    </w:p>
    <w:p>
      <w:pPr>
        <w:jc w:val="both"/>
        <w:ind w:firstLine="645"/>
        <w:spacing w:after="0" w:line="318" w:lineRule="auto"/>
        <w:tabs>
          <w:tab w:leader="none" w:pos="1483"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not less</w:t>
      </w:r>
      <w:r>
        <w:rPr>
          <w:rFonts w:ascii="Arial" w:cs="Arial" w:eastAsia="Arial" w:hAnsi="Arial"/>
          <w:sz w:val="20"/>
          <w:szCs w:val="20"/>
          <w:b w:val="1"/>
          <w:bCs w:val="1"/>
          <w:color w:val="auto"/>
        </w:rPr>
        <w:t xml:space="preserve"> </w:t>
      </w:r>
      <w:r>
        <w:rPr>
          <w:rFonts w:ascii="Arial" w:cs="Arial" w:eastAsia="Arial" w:hAnsi="Arial"/>
          <w:sz w:val="20"/>
          <w:szCs w:val="20"/>
          <w:color w:val="auto"/>
        </w:rPr>
        <w:t>than four (4) weeks paid vacation leave during each twelve (12) month period of employment in accordance with Employer’s standard policy, to be taken at such times as selected by Employee and approved by Employer, and (ii) paid holidays (or, at Employer’s option, an equivalent number of paid days off) in accordance with Employer’s respective standard policies.</w:t>
      </w:r>
    </w:p>
    <w:p>
      <w:pPr>
        <w:spacing w:after="0" w:line="191" w:lineRule="exact"/>
        <w:rPr>
          <w:rFonts w:ascii="Arial" w:cs="Arial" w:eastAsia="Arial" w:hAnsi="Arial"/>
          <w:sz w:val="20"/>
          <w:szCs w:val="20"/>
          <w:color w:val="auto"/>
        </w:rPr>
      </w:pPr>
    </w:p>
    <w:p>
      <w:pPr>
        <w:jc w:val="both"/>
        <w:ind w:firstLine="645"/>
        <w:spacing w:after="0" w:line="314" w:lineRule="auto"/>
        <w:tabs>
          <w:tab w:leader="none" w:pos="153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0"/>
          </w:cols>
          <w:pgMar w:left="900" w:top="1365" w:right="239" w:bottom="1440" w:gutter="0" w:footer="0" w:header="0"/>
        </w:sectPr>
      </w:pPr>
    </w:p>
    <w:bookmarkStart w:id="68" w:name="page69"/>
    <w:bookmarkEnd w:id="68"/>
    <w:p>
      <w:pPr>
        <w:jc w:val="both"/>
        <w:ind w:left="4" w:right="20"/>
        <w:spacing w:after="0" w:line="313" w:lineRule="auto"/>
        <w:rPr>
          <w:sz w:val="20"/>
          <w:szCs w:val="20"/>
          <w:color w:val="auto"/>
        </w:rPr>
      </w:pPr>
      <w:r>
        <w:rPr>
          <w:rFonts w:ascii="Arial" w:cs="Arial" w:eastAsia="Arial" w:hAnsi="Arial"/>
          <w:sz w:val="20"/>
          <w:szCs w:val="20"/>
          <w:color w:val="auto"/>
        </w:rPr>
        <w:t>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97" w:lineRule="exact"/>
        <w:rPr>
          <w:sz w:val="20"/>
          <w:szCs w:val="20"/>
          <w:color w:val="auto"/>
        </w:rPr>
      </w:pPr>
    </w:p>
    <w:p>
      <w:pPr>
        <w:ind w:left="4" w:firstLine="645"/>
        <w:spacing w:after="0" w:line="342" w:lineRule="auto"/>
        <w:tabs>
          <w:tab w:leader="none" w:pos="1542" w:val="left"/>
        </w:tabs>
        <w:numPr>
          <w:ilvl w:val="1"/>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applicable federal, state or local employment-related withholdings.</w:t>
      </w:r>
    </w:p>
    <w:p>
      <w:pPr>
        <w:spacing w:after="0" w:line="168" w:lineRule="exact"/>
        <w:rPr>
          <w:rFonts w:ascii="Arial" w:cs="Arial" w:eastAsia="Arial" w:hAnsi="Arial"/>
          <w:sz w:val="20"/>
          <w:szCs w:val="20"/>
          <w:color w:val="auto"/>
        </w:rPr>
      </w:pPr>
    </w:p>
    <w:p>
      <w:pPr>
        <w:ind w:left="804" w:hanging="804"/>
        <w:spacing w:after="0"/>
        <w:tabs>
          <w:tab w:leader="none" w:pos="804" w:val="left"/>
        </w:tabs>
        <w:numPr>
          <w:ilvl w:val="0"/>
          <w:numId w:val="4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71" w:lineRule="exact"/>
        <w:rPr>
          <w:rFonts w:ascii="Arial" w:cs="Arial" w:eastAsia="Arial" w:hAnsi="Arial"/>
          <w:sz w:val="20"/>
          <w:szCs w:val="20"/>
          <w:b w:val="1"/>
          <w:bCs w:val="1"/>
          <w:i w:val="1"/>
          <w:iCs w:val="1"/>
          <w:color w:val="auto"/>
        </w:rPr>
      </w:pPr>
    </w:p>
    <w:p>
      <w:pPr>
        <w:jc w:val="both"/>
        <w:ind w:left="4" w:firstLine="645"/>
        <w:spacing w:after="0" w:line="310" w:lineRule="auto"/>
        <w:tabs>
          <w:tab w:leader="none" w:pos="1542" w:val="left"/>
        </w:tabs>
        <w:numPr>
          <w:ilvl w:val="1"/>
          <w:numId w:val="41"/>
        </w:numPr>
        <w:rPr>
          <w:rFonts w:ascii="Arial" w:cs="Arial" w:eastAsia="Arial" w:hAnsi="Arial"/>
          <w:sz w:val="20"/>
          <w:szCs w:val="20"/>
          <w:color w:val="auto"/>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w:t>
      </w:r>
      <w:r>
        <w:rPr>
          <w:rFonts w:ascii="Arial" w:cs="Arial" w:eastAsia="Arial" w:hAnsi="Arial"/>
          <w:sz w:val="20"/>
          <w:szCs w:val="20"/>
          <w:b w:val="1"/>
          <w:bCs w:val="1"/>
          <w:color w:val="auto"/>
        </w:rPr>
        <w:t>Gaming</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Employer and Employee hereby covenant and agree to use their best efforts to obtain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392" w:lineRule="exact"/>
        <w:rPr>
          <w:rFonts w:ascii="Arial" w:cs="Arial" w:eastAsia="Arial" w:hAnsi="Arial"/>
          <w:sz w:val="20"/>
          <w:szCs w:val="20"/>
          <w:color w:val="auto"/>
        </w:rPr>
      </w:pPr>
    </w:p>
    <w:p>
      <w:pPr>
        <w:jc w:val="both"/>
        <w:ind w:left="4" w:firstLine="645"/>
        <w:spacing w:after="0" w:line="265" w:lineRule="auto"/>
        <w:tabs>
          <w:tab w:leader="none" w:pos="1564" w:val="left"/>
        </w:tabs>
        <w:numPr>
          <w:ilvl w:val="1"/>
          <w:numId w:val="41"/>
        </w:numPr>
        <w:rPr>
          <w:rFonts w:ascii="Arial" w:cs="Arial" w:eastAsia="Arial" w:hAnsi="Arial"/>
          <w:sz w:val="22"/>
          <w:szCs w:val="22"/>
          <w:color w:val="auto"/>
        </w:rPr>
      </w:pPr>
      <w:r>
        <w:rPr>
          <w:rFonts w:ascii="Arial" w:cs="Arial" w:eastAsia="Arial" w:hAnsi="Arial"/>
          <w:sz w:val="20"/>
          <w:szCs w:val="20"/>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0"/>
          <w:szCs w:val="20"/>
          <w:b w:val="1"/>
          <w:bCs w:val="1"/>
          <w:color w:val="auto"/>
        </w:rPr>
        <w:t>License</w:t>
      </w:r>
      <w:r>
        <w:rPr>
          <w:rFonts w:ascii="Arial" w:cs="Arial" w:eastAsia="Arial" w:hAnsi="Arial"/>
          <w:sz w:val="20"/>
          <w:szCs w:val="20"/>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4" w:right="20" w:firstLine="645"/>
        <w:spacing w:after="0" w:line="251" w:lineRule="auto"/>
        <w:tabs>
          <w:tab w:leader="none" w:pos="1552" w:val="left"/>
        </w:tabs>
        <w:numPr>
          <w:ilvl w:val="1"/>
          <w:numId w:val="41"/>
        </w:numPr>
        <w:rPr>
          <w:rFonts w:ascii="Arial" w:cs="Arial" w:eastAsia="Arial" w:hAnsi="Arial"/>
          <w:sz w:val="22"/>
          <w:szCs w:val="22"/>
          <w:color w:val="auto"/>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00" w:lineRule="exact"/>
        <w:rPr>
          <w:sz w:val="20"/>
          <w:szCs w:val="20"/>
          <w:color w:val="auto"/>
        </w:rPr>
      </w:pPr>
    </w:p>
    <w:p>
      <w:pPr>
        <w:spacing w:after="0" w:line="240"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64"/>
          </w:cols>
          <w:pgMar w:left="896" w:top="1365" w:right="239" w:bottom="1440" w:gutter="0" w:footer="0" w:header="0"/>
        </w:sectPr>
      </w:pPr>
    </w:p>
    <w:bookmarkStart w:id="69" w:name="page70"/>
    <w:bookmarkEnd w:id="69"/>
    <w:p>
      <w:pPr>
        <w:spacing w:after="0" w:line="361" w:lineRule="exact"/>
        <w:rPr>
          <w:sz w:val="20"/>
          <w:szCs w:val="20"/>
          <w:color w:val="auto"/>
        </w:rPr>
      </w:pPr>
    </w:p>
    <w:p>
      <w:pPr>
        <w:ind w:left="804" w:hanging="804"/>
        <w:spacing w:after="0"/>
        <w:tabs>
          <w:tab w:leader="none" w:pos="804"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OWNERSHIP; CONFIDENTIALITY</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spacing w:after="0" w:line="296" w:lineRule="exact"/>
        <w:rPr>
          <w:rFonts w:ascii="Arial" w:cs="Arial" w:eastAsia="Arial" w:hAnsi="Arial"/>
          <w:sz w:val="20"/>
          <w:szCs w:val="20"/>
          <w:b w:val="1"/>
          <w:bCs w:val="1"/>
          <w:color w:val="auto"/>
        </w:rPr>
      </w:pPr>
    </w:p>
    <w:p>
      <w:pPr>
        <w:jc w:val="both"/>
        <w:ind w:left="4" w:firstLine="645"/>
        <w:spacing w:after="0" w:line="310" w:lineRule="auto"/>
        <w:tabs>
          <w:tab w:leader="none" w:pos="1542" w:val="left"/>
        </w:tabs>
        <w:numPr>
          <w:ilvl w:val="1"/>
          <w:numId w:val="42"/>
        </w:numPr>
        <w:rPr>
          <w:rFonts w:ascii="Arial" w:cs="Arial" w:eastAsia="Arial" w:hAnsi="Arial"/>
          <w:sz w:val="20"/>
          <w:szCs w:val="20"/>
          <w:color w:val="auto"/>
        </w:rPr>
      </w:pPr>
      <w:r>
        <w:rPr>
          <w:rFonts w:ascii="Arial" w:cs="Arial" w:eastAsia="Arial" w:hAnsi="Arial"/>
          <w:sz w:val="20"/>
          <w:szCs w:val="20"/>
          <w:color w:val="auto"/>
        </w:rPr>
        <w:t>All Confidential Information, Trade Secrets, or Works of Authorship are the sole and exclusive property of Employer or its Affiliates. Employer will have the entire right and title and interest in and to any materials provided or</w:t>
      </w:r>
    </w:p>
    <w:p>
      <w:pPr>
        <w:jc w:val="both"/>
        <w:ind w:left="4"/>
        <w:spacing w:after="0" w:line="327" w:lineRule="auto"/>
        <w:rPr>
          <w:rFonts w:ascii="Arial" w:cs="Arial" w:eastAsia="Arial" w:hAnsi="Arial"/>
          <w:sz w:val="20"/>
          <w:szCs w:val="20"/>
          <w:color w:val="auto"/>
        </w:rPr>
      </w:pPr>
      <w:r>
        <w:rPr>
          <w:rFonts w:ascii="Arial" w:cs="Arial" w:eastAsia="Arial" w:hAnsi="Arial"/>
          <w:sz w:val="19"/>
          <w:szCs w:val="19"/>
          <w:color w:val="auto"/>
        </w:rPr>
        <w:t>prepared by Employee and/or its agents under this Agreement, any statement of work related to it and/or in the performance of the Services (the “</w:t>
      </w:r>
      <w:r>
        <w:rPr>
          <w:rFonts w:ascii="Arial" w:cs="Arial" w:eastAsia="Arial" w:hAnsi="Arial"/>
          <w:sz w:val="19"/>
          <w:szCs w:val="19"/>
          <w:b w:val="1"/>
          <w:bCs w:val="1"/>
          <w:color w:val="auto"/>
        </w:rPr>
        <w:t>Materials</w:t>
      </w:r>
      <w:r>
        <w:rPr>
          <w:rFonts w:ascii="Arial" w:cs="Arial" w:eastAsia="Arial" w:hAnsi="Arial"/>
          <w:sz w:val="19"/>
          <w:szCs w:val="19"/>
          <w:color w:val="auto"/>
        </w:rPr>
        <w:t>”), and Employee will receive no license or other rights from Employer with respect to such Materials. The Materials will be deemed to be “works made for hire” under United States copyright law (17 U.S.C. sections 101, et seq.) and made in the course of employment. To the extent the Materials may not, by operation of law, vest in Employer, or if any of the Materials is determined not to be a “work made for hire,” Employee hereby assigns to Employer in perpetuity all right, title and interest in and to the Materials, including all copyrights in the Materials (and all renewals and extensions thereof). Without limitation, Employer may exploit the Materials in any and all media, now known or hereafter devised, throughout the world, in perpetuity. Employer’s rights in the Materials may be freely assigned and licensed and any such assignment or license will be binding upon Employee and will inure to the benefit of such assignee or licensee. Employee waives any moral rights it may have in the Materials, including without limitation any right to integrity, association, credit or identification. Employee acknowledges that subsequent to the date of this Agreement, it may not claim to possess any right, title or interest in and to the Materials and will take no actions jeopardizing the existence or enforceability of the Materials or Employer’s rights therein. Employee agrees to assist Employer in every legal way to evidence, record and perfect this assignment and to apply for and obtain recordation of and from time to time enforce, maintain, and defend the assigned rights. If Employer is unable for any reason whatsoever to secure Employee’s signature to any document to which it is entitled under this assignment, Employee hereby irrevocably designates and appoints Employer and its duly authorized officers and agents to act as Employee’s agents and attorneys-in-fact, with full power of substitution to act for and on its behalf and instead of Employee, to execute and file any such document or documents and to do all other lawfully permitted acts to further the purposes of the foregoing with the same legal force and effect as if executed by Employee. The foregoing is deemed a power coupled with an interest and is irrevocable.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3" w:lineRule="exact"/>
        <w:rPr>
          <w:rFonts w:ascii="Arial" w:cs="Arial" w:eastAsia="Arial" w:hAnsi="Arial"/>
          <w:sz w:val="20"/>
          <w:szCs w:val="20"/>
          <w:color w:val="auto"/>
        </w:rPr>
      </w:pPr>
    </w:p>
    <w:p>
      <w:pPr>
        <w:ind w:left="1304" w:hanging="655"/>
        <w:spacing w:after="0"/>
        <w:tabs>
          <w:tab w:leader="none" w:pos="1304"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jc w:val="both"/>
        <w:ind w:left="644" w:firstLine="815"/>
        <w:spacing w:after="0" w:line="313" w:lineRule="auto"/>
        <w:tabs>
          <w:tab w:leader="none" w:pos="2116" w:val="left"/>
        </w:tabs>
        <w:numPr>
          <w:ilvl w:val="2"/>
          <w:numId w:val="42"/>
        </w:numPr>
        <w:rPr>
          <w:rFonts w:ascii="Arial" w:cs="Arial" w:eastAsia="Arial" w:hAnsi="Arial"/>
          <w:sz w:val="20"/>
          <w:szCs w:val="20"/>
          <w:color w:val="auto"/>
        </w:rPr>
      </w:pPr>
      <w:r>
        <w:rPr>
          <w:rFonts w:ascii="Arial" w:cs="Arial" w:eastAsia="Arial" w:hAnsi="Arial"/>
          <w:sz w:val="20"/>
          <w:szCs w:val="20"/>
          <w:color w:val="auto"/>
        </w:rPr>
        <w:t>Subject to Section 9(d), Employee shall not directly or indirectly use or disclose any Confidential Information, Trade Secrets, or Works of Authorship, whether in written, verbal, electronic, or model form, at any time or in any manner,</w:t>
      </w:r>
    </w:p>
    <w:p>
      <w:pPr>
        <w:spacing w:after="0" w:line="397"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764"/>
          </w:cols>
          <w:pgMar w:left="896" w:top="1440" w:right="239" w:bottom="1440" w:gutter="0" w:footer="0" w:header="0"/>
        </w:sectPr>
      </w:pPr>
    </w:p>
    <w:bookmarkStart w:id="70" w:name="page71"/>
    <w:bookmarkEnd w:id="70"/>
    <w:p>
      <w:pPr>
        <w:jc w:val="both"/>
        <w:ind w:left="640"/>
        <w:spacing w:after="0" w:line="311" w:lineRule="auto"/>
        <w:rPr>
          <w:sz w:val="20"/>
          <w:szCs w:val="20"/>
          <w:color w:val="auto"/>
        </w:rPr>
      </w:pPr>
      <w:r>
        <w:rPr>
          <w:rFonts w:ascii="Arial" w:cs="Arial" w:eastAsia="Arial" w:hAnsi="Arial"/>
          <w:sz w:val="20"/>
          <w:szCs w:val="20"/>
          <w:color w:val="auto"/>
        </w:rPr>
        <w:t>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200" w:lineRule="exact"/>
        <w:rPr>
          <w:sz w:val="20"/>
          <w:szCs w:val="20"/>
          <w:color w:val="auto"/>
        </w:rPr>
      </w:pPr>
    </w:p>
    <w:p>
      <w:pPr>
        <w:spacing w:after="0" w:line="201" w:lineRule="exact"/>
        <w:rPr>
          <w:sz w:val="20"/>
          <w:szCs w:val="20"/>
          <w:color w:val="auto"/>
        </w:rPr>
      </w:pPr>
    </w:p>
    <w:p>
      <w:pPr>
        <w:jc w:val="both"/>
        <w:ind w:left="640" w:firstLine="815"/>
        <w:spacing w:after="0" w:line="311" w:lineRule="auto"/>
        <w:tabs>
          <w:tab w:leader="none" w:pos="2156" w:val="left"/>
        </w:tabs>
        <w:numPr>
          <w:ilvl w:val="1"/>
          <w:numId w:val="43"/>
        </w:numPr>
        <w:rPr>
          <w:rFonts w:ascii="Arial" w:cs="Arial" w:eastAsia="Arial" w:hAnsi="Arial"/>
          <w:sz w:val="20"/>
          <w:szCs w:val="20"/>
          <w:color w:val="auto"/>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jc w:val="both"/>
        <w:ind w:left="640" w:firstLine="815"/>
        <w:spacing w:after="0" w:line="310" w:lineRule="auto"/>
        <w:tabs>
          <w:tab w:leader="none" w:pos="22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w:t>
      </w:r>
    </w:p>
    <w:p>
      <w:pPr>
        <w:ind w:left="640" w:right="20" w:firstLine="5"/>
        <w:spacing w:after="0" w:line="346" w:lineRule="auto"/>
        <w:tabs>
          <w:tab w:leader="none" w:pos="966" w:val="left"/>
        </w:tabs>
        <w:numPr>
          <w:ilvl w:val="0"/>
          <w:numId w:val="44"/>
        </w:numPr>
        <w:rPr>
          <w:rFonts w:ascii="Arial" w:cs="Arial" w:eastAsia="Arial" w:hAnsi="Arial"/>
          <w:sz w:val="19"/>
          <w:szCs w:val="19"/>
          <w:color w:val="auto"/>
        </w:rPr>
      </w:pPr>
      <w:r>
        <w:rPr>
          <w:rFonts w:ascii="Arial" w:cs="Arial" w:eastAsia="Arial" w:hAnsi="Arial"/>
          <w:sz w:val="19"/>
          <w:szCs w:val="19"/>
          <w:color w:val="auto"/>
        </w:rPr>
        <w:t>otherwise relating to Employee’s performance of duties under this Agreement. Employee further acknowledges and agrees that all such documents are the sole and exclusive property of Employer or its Affiliates.</w:t>
      </w:r>
    </w:p>
    <w:p>
      <w:pPr>
        <w:spacing w:after="0" w:line="369" w:lineRule="exact"/>
        <w:rPr>
          <w:sz w:val="20"/>
          <w:szCs w:val="20"/>
          <w:color w:val="auto"/>
        </w:rPr>
      </w:pPr>
    </w:p>
    <w:p>
      <w:pPr>
        <w:jc w:val="both"/>
        <w:ind w:firstLine="645"/>
        <w:spacing w:after="0" w:line="310" w:lineRule="auto"/>
        <w:tabs>
          <w:tab w:leader="none" w:pos="15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w:t>
      </w:r>
    </w:p>
    <w:p>
      <w:pPr>
        <w:jc w:val="both"/>
        <w:spacing w:after="0" w:line="312" w:lineRule="auto"/>
        <w:rPr>
          <w:rFonts w:ascii="Arial" w:cs="Arial" w:eastAsia="Arial" w:hAnsi="Arial"/>
          <w:sz w:val="20"/>
          <w:szCs w:val="20"/>
          <w:color w:val="auto"/>
        </w:rPr>
      </w:pPr>
      <w:r>
        <w:rPr>
          <w:rFonts w:ascii="Arial" w:cs="Arial" w:eastAsia="Arial" w:hAnsi="Arial"/>
          <w:sz w:val="20"/>
          <w:szCs w:val="20"/>
          <w:color w:val="auto"/>
        </w:rPr>
        <w:t>pattern, compilation, program, device, method, technique or process, which Employee is prohibited by contract, or otherwise, to disclose to Employer (the “</w:t>
      </w:r>
      <w:r>
        <w:rPr>
          <w:rFonts w:ascii="Arial" w:cs="Arial" w:eastAsia="Arial" w:hAnsi="Arial"/>
          <w:sz w:val="20"/>
          <w:szCs w:val="20"/>
          <w:b w:val="1"/>
          <w:bCs w:val="1"/>
          <w:color w:val="auto"/>
        </w:rPr>
        <w:t>Restricted Information</w:t>
      </w:r>
      <w:r>
        <w:rPr>
          <w:rFonts w:ascii="Arial" w:cs="Arial" w:eastAsia="Arial" w:hAnsi="Arial"/>
          <w:sz w:val="20"/>
          <w:szCs w:val="20"/>
          <w:color w:val="auto"/>
        </w:rPr>
        <w:t>”). In the event Employer requests Restricted Information from Employee, Employee shall advise Employer that the information requested is Restricted Information and may not be disclosed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60"/>
          </w:cols>
          <w:pgMar w:left="900" w:top="1365" w:right="239" w:bottom="1440" w:gutter="0" w:footer="0" w:header="0"/>
        </w:sectPr>
      </w:pPr>
    </w:p>
    <w:bookmarkStart w:id="71" w:name="page72"/>
    <w:bookmarkEnd w:id="71"/>
    <w:p>
      <w:pPr>
        <w:jc w:val="both"/>
        <w:ind w:left="4" w:right="20" w:firstLine="645"/>
        <w:spacing w:after="0" w:line="310" w:lineRule="auto"/>
        <w:tabs>
          <w:tab w:leader="none" w:pos="1542" w:val="left"/>
        </w:tabs>
        <w:numPr>
          <w:ilvl w:val="1"/>
          <w:numId w:val="46"/>
        </w:numPr>
        <w:rPr>
          <w:rFonts w:ascii="Arial" w:cs="Arial" w:eastAsia="Arial" w:hAnsi="Arial"/>
          <w:sz w:val="20"/>
          <w:szCs w:val="20"/>
          <w:color w:val="auto"/>
        </w:rPr>
      </w:pPr>
      <w:r>
        <w:rPr>
          <w:rFonts w:ascii="Arial" w:cs="Arial" w:eastAsia="Arial" w:hAnsi="Arial"/>
          <w:sz w:val="20"/>
          <w:szCs w:val="20"/>
          <w:color w:val="auto"/>
        </w:rPr>
        <w:t>Nothing in this Agreement or any other agreement between Employee and Employer or its parents, subsidiaries or affiliates or any other policies of Employer or its parents, subsidiaries or affiliates shall prohibit or restrict</w:t>
      </w:r>
    </w:p>
    <w:p>
      <w:pPr>
        <w:jc w:val="both"/>
        <w:ind w:left="4"/>
        <w:spacing w:after="0" w:line="310" w:lineRule="auto"/>
        <w:rPr>
          <w:rFonts w:ascii="Arial" w:cs="Arial" w:eastAsia="Arial" w:hAnsi="Arial"/>
          <w:sz w:val="20"/>
          <w:szCs w:val="20"/>
          <w:color w:val="auto"/>
        </w:rPr>
      </w:pPr>
      <w:r>
        <w:rPr>
          <w:rFonts w:ascii="Arial" w:cs="Arial" w:eastAsia="Arial" w:hAnsi="Arial"/>
          <w:sz w:val="20"/>
          <w:szCs w:val="20"/>
          <w:color w:val="auto"/>
        </w:rPr>
        <w:t>Employee from: (i) filing a charge or complaint with any federal, state or local governmental agency, legislative body, regulatory body or self-regulatory organization (each an “</w:t>
      </w:r>
      <w:r>
        <w:rPr>
          <w:rFonts w:ascii="Arial" w:cs="Arial" w:eastAsia="Arial" w:hAnsi="Arial"/>
          <w:sz w:val="20"/>
          <w:szCs w:val="20"/>
          <w:b w:val="1"/>
          <w:bCs w:val="1"/>
          <w:color w:val="auto"/>
        </w:rPr>
        <w:t>Agency</w:t>
      </w:r>
      <w:r>
        <w:rPr>
          <w:rFonts w:ascii="Arial" w:cs="Arial" w:eastAsia="Arial" w:hAnsi="Arial"/>
          <w:sz w:val="20"/>
          <w:szCs w:val="20"/>
          <w:color w:val="auto"/>
        </w:rPr>
        <w:t>”); (ii) initiating communications with, or responding to any inquiry from, any Agency regarding any good faith concerns about possible violations of law or regulation, including providing documents or other information, without notice to Employer; (iii) making any disclosure of relevant and necessary information or documents in any action, investigation, or proceeding as required by law or legal process, including with respect to possible violations of laws, without notice to Employer; (iv) participating, cooperating, or testifying in any action, investigation, or proceeding with, or providing information to, any Agency, and/or pursuant to the Sarbanes-Oxley Act including providing documents or other information, without notice to Employer; and/or (v) seeking, obtaining, or accepting any U.S. Securities and Exchange Commission awards. Pursuant to 18 U.S.C. § 1833(b), Employee will not be held criminally or civilly liable under any Federal or state trade secret law for the disclosure of a trade secret of Employer or its affiliates that (A) is made (1) in confidence to a Federal, state, or local government official, either directly or indirectly, or to Employee’s attorney and (2) solely for the purpose of reporting or investigating a suspected violation of law; or (B) is made in a complaint or other document that is filed under seal in a lawsuit or other proceeding. If Employee files a lawsuit for retaliation by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or any other agreement between Employer or its affiliates and Employee or any other policies of Employer or its affiliates is intended to conflict with 18 U.S.C. § 1833(b) or create liability for disclosures of trade secrets that are expressly allowed by such section.</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4" w:firstLine="645"/>
        <w:spacing w:after="0" w:line="317" w:lineRule="auto"/>
        <w:tabs>
          <w:tab w:leader="none" w:pos="1542"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obligations of this Section 9 are continuing and shall survive the termination of Employee’s employment with Employer for any reason.</w:t>
      </w:r>
    </w:p>
    <w:p>
      <w:pPr>
        <w:spacing w:after="0" w:line="367" w:lineRule="exact"/>
        <w:rPr>
          <w:rFonts w:ascii="Arial" w:cs="Arial" w:eastAsia="Arial" w:hAnsi="Arial"/>
          <w:sz w:val="20"/>
          <w:szCs w:val="20"/>
          <w:color w:val="auto"/>
        </w:rPr>
      </w:pPr>
    </w:p>
    <w:p>
      <w:pPr>
        <w:ind w:left="924" w:hanging="924"/>
        <w:spacing w:after="0"/>
        <w:tabs>
          <w:tab w:leader="none" w:pos="924" w:val="left"/>
        </w:tabs>
        <w:numPr>
          <w:ilvl w:val="0"/>
          <w:numId w:val="4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spacing w:after="0" w:line="296" w:lineRule="exact"/>
        <w:rPr>
          <w:rFonts w:ascii="Arial" w:cs="Arial" w:eastAsia="Arial" w:hAnsi="Arial"/>
          <w:sz w:val="20"/>
          <w:szCs w:val="20"/>
          <w:b w:val="1"/>
          <w:bCs w:val="1"/>
          <w:i w:val="1"/>
          <w:iCs w:val="1"/>
          <w:color w:val="auto"/>
        </w:rPr>
      </w:pPr>
    </w:p>
    <w:p>
      <w:pPr>
        <w:jc w:val="both"/>
        <w:ind w:left="4" w:firstLine="645"/>
        <w:spacing w:after="0" w:line="311" w:lineRule="auto"/>
        <w:tabs>
          <w:tab w:leader="none" w:pos="1542" w:val="left"/>
        </w:tabs>
        <w:numPr>
          <w:ilvl w:val="1"/>
          <w:numId w:val="47"/>
        </w:numPr>
        <w:rPr>
          <w:rFonts w:ascii="Arial" w:cs="Arial" w:eastAsia="Arial" w:hAnsi="Arial"/>
          <w:sz w:val="20"/>
          <w:szCs w:val="20"/>
          <w:color w:val="auto"/>
        </w:rPr>
      </w:pPr>
      <w:r>
        <w:rPr>
          <w:rFonts w:ascii="Arial" w:cs="Arial" w:eastAsia="Arial" w:hAnsi="Arial"/>
          <w:sz w:val="20"/>
          <w:szCs w:val="20"/>
          <w:color w:val="auto"/>
        </w:rPr>
        <w:t>Employee hereby covenants and agrees that for such period as Employer employs or compensates Employee (including payments made pursuant to Sections 6(a)(v), 6(a)(vi), or 6(a)(vii)),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w:t>
      </w:r>
    </w:p>
    <w:p>
      <w:pPr>
        <w:spacing w:after="0" w:line="400"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64"/>
          </w:cols>
          <w:pgMar w:left="896" w:top="1365" w:right="239" w:bottom="1440" w:gutter="0" w:footer="0" w:header="0"/>
        </w:sectPr>
      </w:pPr>
    </w:p>
    <w:bookmarkStart w:id="72" w:name="page73"/>
    <w:bookmarkEnd w:id="72"/>
    <w:p>
      <w:pPr>
        <w:jc w:val="both"/>
        <w:ind w:left="660"/>
        <w:spacing w:after="0" w:line="336" w:lineRule="auto"/>
        <w:rPr>
          <w:sz w:val="20"/>
          <w:szCs w:val="20"/>
          <w:color w:val="auto"/>
        </w:rPr>
      </w:pPr>
      <w:r>
        <w:rPr>
          <w:rFonts w:ascii="Arial" w:cs="Arial" w:eastAsia="Arial" w:hAnsi="Arial"/>
          <w:sz w:val="19"/>
          <w:szCs w:val="19"/>
          <w:color w:val="auto"/>
        </w:rPr>
        <w:t>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or beach club.</w:t>
      </w:r>
    </w:p>
    <w:p>
      <w:pPr>
        <w:spacing w:after="0" w:line="200" w:lineRule="exact"/>
        <w:rPr>
          <w:sz w:val="20"/>
          <w:szCs w:val="20"/>
          <w:color w:val="auto"/>
        </w:rPr>
      </w:pPr>
    </w:p>
    <w:p>
      <w:pPr>
        <w:spacing w:after="0" w:line="354" w:lineRule="exact"/>
        <w:rPr>
          <w:sz w:val="20"/>
          <w:szCs w:val="20"/>
          <w:color w:val="auto"/>
        </w:rPr>
      </w:pPr>
    </w:p>
    <w:p>
      <w:pPr>
        <w:jc w:val="both"/>
        <w:ind w:left="660" w:firstLine="645"/>
        <w:spacing w:after="0" w:line="310" w:lineRule="auto"/>
        <w:tabs>
          <w:tab w:leader="none" w:pos="2198" w:val="left"/>
        </w:tabs>
        <w:numPr>
          <w:ilvl w:val="0"/>
          <w:numId w:val="48"/>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for such period as Employer employs or compensates Employee (including payments pursuant to Sections 6(a)(v), 6(a)(vi), or 6(a)(vii)), and for a period of one (1) year following the termination of employment or compensation, for any reason, with or without Cause, or Employee’s resignation from employment, whichever is later,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200" w:lineRule="exact"/>
        <w:rPr>
          <w:rFonts w:ascii="Arial" w:cs="Arial" w:eastAsia="Arial" w:hAnsi="Arial"/>
          <w:sz w:val="20"/>
          <w:szCs w:val="20"/>
          <w:color w:val="auto"/>
        </w:rPr>
      </w:pPr>
    </w:p>
    <w:p>
      <w:pPr>
        <w:spacing w:after="0" w:line="381" w:lineRule="exact"/>
        <w:rPr>
          <w:rFonts w:ascii="Arial" w:cs="Arial" w:eastAsia="Arial" w:hAnsi="Arial"/>
          <w:sz w:val="20"/>
          <w:szCs w:val="20"/>
          <w:color w:val="auto"/>
        </w:rPr>
      </w:pPr>
    </w:p>
    <w:p>
      <w:pPr>
        <w:jc w:val="both"/>
        <w:ind w:left="660" w:firstLine="645"/>
        <w:spacing w:after="0" w:line="311" w:lineRule="auto"/>
        <w:tabs>
          <w:tab w:leader="none" w:pos="2187" w:val="left"/>
        </w:tabs>
        <w:numPr>
          <w:ilvl w:val="0"/>
          <w:numId w:val="48"/>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399" w:lineRule="exact"/>
        <w:rPr>
          <w:rFonts w:ascii="Arial" w:cs="Arial" w:eastAsia="Arial" w:hAnsi="Arial"/>
          <w:sz w:val="20"/>
          <w:szCs w:val="20"/>
          <w:color w:val="auto"/>
        </w:rPr>
      </w:pPr>
    </w:p>
    <w:p>
      <w:pPr>
        <w:ind w:left="660" w:right="20" w:firstLine="645"/>
        <w:spacing w:after="0" w:line="317" w:lineRule="auto"/>
        <w:tabs>
          <w:tab w:leader="none" w:pos="2198" w:val="left"/>
        </w:tabs>
        <w:numPr>
          <w:ilvl w:val="0"/>
          <w:numId w:val="48"/>
        </w:numPr>
        <w:rPr>
          <w:rFonts w:ascii="Arial" w:cs="Arial" w:eastAsia="Arial" w:hAnsi="Arial"/>
          <w:sz w:val="20"/>
          <w:szCs w:val="20"/>
          <w:color w:val="auto"/>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200" w:lineRule="exact"/>
        <w:rPr>
          <w:sz w:val="20"/>
          <w:szCs w:val="20"/>
          <w:color w:val="auto"/>
        </w:rPr>
      </w:pPr>
    </w:p>
    <w:p>
      <w:pPr>
        <w:spacing w:after="0" w:line="343" w:lineRule="exact"/>
        <w:rPr>
          <w:sz w:val="20"/>
          <w:szCs w:val="20"/>
          <w:color w:val="auto"/>
        </w:rPr>
      </w:pPr>
    </w:p>
    <w:p>
      <w:pPr>
        <w:jc w:val="both"/>
        <w:ind w:firstLine="656"/>
        <w:spacing w:after="0" w:line="320" w:lineRule="auto"/>
        <w:tabs>
          <w:tab w:leader="none" w:pos="157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REMEDIES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acknowledges that Employer has and will continue to deliver, provide and expose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to certain knowledge, information, practices, and procedures possessed or developed by or for Employer at a considerable investment of time and expense, which are protected as confidential and which are essential for carrying out Employer’s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1365" w:right="239" w:bottom="1440" w:gutter="0" w:footer="0" w:header="0"/>
        </w:sectPr>
      </w:pPr>
    </w:p>
    <w:bookmarkStart w:id="73" w:name="page74"/>
    <w:bookmarkEnd w:id="73"/>
    <w:p>
      <w:pPr>
        <w:jc w:val="both"/>
        <w:spacing w:after="0" w:line="310" w:lineRule="auto"/>
        <w:rPr>
          <w:sz w:val="20"/>
          <w:szCs w:val="20"/>
          <w:color w:val="auto"/>
        </w:rPr>
      </w:pPr>
      <w:r>
        <w:rPr>
          <w:rFonts w:ascii="Arial" w:cs="Arial" w:eastAsia="Arial" w:hAnsi="Arial"/>
          <w:sz w:val="20"/>
          <w:szCs w:val="20"/>
          <w:color w:val="auto"/>
        </w:rPr>
        <w:t>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the Company to enforce any covenant or in which Employee is in violation of his/her promises contained in Section 10.</w:t>
      </w:r>
    </w:p>
    <w:p>
      <w:pPr>
        <w:spacing w:after="0" w:line="382" w:lineRule="exact"/>
        <w:rPr>
          <w:sz w:val="20"/>
          <w:szCs w:val="20"/>
          <w:color w:val="auto"/>
        </w:rPr>
      </w:pPr>
    </w:p>
    <w:p>
      <w:pPr>
        <w:ind w:firstLine="656"/>
        <w:spacing w:after="0" w:line="34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copy bearing original signatures in ink shall be deemed an original.</w:t>
      </w:r>
    </w:p>
    <w:p>
      <w:pPr>
        <w:spacing w:after="0" w:line="343"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heirs, executors, administrators, personal representatives, successors and permitted assigns.</w:t>
      </w:r>
    </w:p>
    <w:p>
      <w:pPr>
        <w:spacing w:after="0" w:line="343" w:lineRule="exact"/>
        <w:rPr>
          <w:rFonts w:ascii="Arial" w:cs="Arial" w:eastAsia="Arial" w:hAnsi="Arial"/>
          <w:sz w:val="20"/>
          <w:szCs w:val="20"/>
          <w:b w:val="1"/>
          <w:bCs w:val="1"/>
          <w:color w:val="auto"/>
        </w:rPr>
      </w:pPr>
    </w:p>
    <w:p>
      <w:pPr>
        <w:jc w:val="both"/>
        <w:ind w:firstLine="656"/>
        <w:spacing w:after="0" w:line="316"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express 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371"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a writing signed by both Employer and Employee.</w:t>
      </w:r>
    </w:p>
    <w:p>
      <w:pPr>
        <w:spacing w:after="0" w:line="343"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of Nevada, without regard to conflict of laws principles.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1365" w:right="239" w:bottom="1440" w:gutter="0" w:footer="0" w:header="0"/>
        </w:sectPr>
      </w:pPr>
    </w:p>
    <w:bookmarkStart w:id="74" w:name="page75"/>
    <w:bookmarkEnd w:id="74"/>
    <w:p>
      <w:pPr>
        <w:spacing w:after="0" w:line="131" w:lineRule="exact"/>
        <w:rPr>
          <w:sz w:val="20"/>
          <w:szCs w:val="20"/>
          <w:color w:val="auto"/>
        </w:rPr>
      </w:pPr>
    </w:p>
    <w:p>
      <w:pPr>
        <w:ind w:firstLine="656"/>
        <w:spacing w:after="0" w:line="342" w:lineRule="auto"/>
        <w:tabs>
          <w:tab w:leader="none" w:pos="1572"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notices required under this Agreement shall be in writing and shall be either hand-delivered or mailed, certified mail, return receipt requested, addressed to:</w:t>
      </w: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EMPLOYER:</w:t>
            </w:r>
          </w:p>
        </w:tc>
        <w:tc>
          <w:tcPr>
            <w:tcW w:w="3840" w:type="dxa"/>
            <w:vAlign w:val="bottom"/>
          </w:tcPr>
          <w:p>
            <w:pPr>
              <w:ind w:left="220"/>
              <w:spacing w:after="0"/>
              <w:rPr>
                <w:sz w:val="20"/>
                <w:szCs w:val="20"/>
                <w:color w:val="auto"/>
              </w:rPr>
            </w:pPr>
            <w:r>
              <w:rPr>
                <w:rFonts w:ascii="Arial" w:cs="Arial" w:eastAsia="Arial" w:hAnsi="Arial"/>
                <w:sz w:val="20"/>
                <w:szCs w:val="20"/>
                <w:color w:val="auto"/>
              </w:rPr>
              <w:t>Wynn Resorts, Limited</w:t>
            </w:r>
          </w:p>
        </w:tc>
      </w:tr>
      <w:tr>
        <w:trPr>
          <w:trHeight w:val="246"/>
        </w:trPr>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w w:val="97"/>
              </w:rPr>
              <w:t>3131 Las Vegas Boulevard South</w:t>
            </w:r>
          </w:p>
        </w:tc>
      </w:tr>
      <w:tr>
        <w:trPr>
          <w:trHeight w:val="230"/>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Las Vegas, Nevada 89109</w:t>
            </w:r>
          </w:p>
        </w:tc>
      </w:tr>
      <w:tr>
        <w:trPr>
          <w:trHeight w:val="237"/>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Attn: Legal Department</w:t>
            </w:r>
          </w:p>
        </w:tc>
      </w:tr>
      <w:tr>
        <w:trPr>
          <w:trHeight w:val="415"/>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EMPLOYEE:</w:t>
            </w:r>
          </w:p>
        </w:tc>
        <w:tc>
          <w:tcPr>
            <w:tcW w:w="3840" w:type="dxa"/>
            <w:vAlign w:val="bottom"/>
          </w:tcPr>
          <w:p>
            <w:pPr>
              <w:ind w:left="220"/>
              <w:spacing w:after="0"/>
              <w:rPr>
                <w:sz w:val="20"/>
                <w:szCs w:val="20"/>
                <w:color w:val="auto"/>
              </w:rPr>
            </w:pPr>
            <w:r>
              <w:rPr>
                <w:rFonts w:ascii="Arial" w:cs="Arial" w:eastAsia="Arial" w:hAnsi="Arial"/>
                <w:sz w:val="20"/>
                <w:szCs w:val="20"/>
                <w:color w:val="auto"/>
              </w:rPr>
              <w:t>Ellen Whittemore</w:t>
            </w:r>
          </w:p>
        </w:tc>
      </w:tr>
      <w:tr>
        <w:trPr>
          <w:trHeight w:val="246"/>
        </w:trPr>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r>
        <w:trPr>
          <w:trHeight w:val="237"/>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bl>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36" w:lineRule="exact"/>
        <w:rPr>
          <w:sz w:val="20"/>
          <w:szCs w:val="20"/>
          <w:color w:val="auto"/>
        </w:rPr>
      </w:pPr>
    </w:p>
    <w:p>
      <w:pPr>
        <w:jc w:val="both"/>
        <w:ind w:firstLine="656"/>
        <w:spacing w:after="0" w:line="320"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INTERPRETATION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preamble recitals to this Agreement are incorporated into and made a part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spacing w:after="0" w:line="367" w:lineRule="exact"/>
        <w:rPr>
          <w:rFonts w:ascii="Arial" w:cs="Arial" w:eastAsia="Arial" w:hAnsi="Arial"/>
          <w:sz w:val="20"/>
          <w:szCs w:val="20"/>
          <w:b w:val="1"/>
          <w:bCs w:val="1"/>
          <w:color w:val="auto"/>
        </w:rPr>
      </w:pPr>
    </w:p>
    <w:p>
      <w:pPr>
        <w:jc w:val="both"/>
        <w:ind w:firstLine="656"/>
        <w:spacing w:after="0" w:line="326"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unenforceable, the remainder of this Agreement shall survive and such provision(s) shall be deemed modified or amended so as to fulfill the intent of the parties hereto.</w:t>
      </w:r>
    </w:p>
    <w:p>
      <w:pPr>
        <w:spacing w:after="0" w:line="359" w:lineRule="exact"/>
        <w:rPr>
          <w:rFonts w:ascii="Arial" w:cs="Arial" w:eastAsia="Arial" w:hAnsi="Arial"/>
          <w:sz w:val="20"/>
          <w:szCs w:val="20"/>
          <w:b w:val="1"/>
          <w:bCs w:val="1"/>
          <w:color w:val="auto"/>
        </w:rPr>
      </w:pPr>
    </w:p>
    <w:p>
      <w:pPr>
        <w:jc w:val="both"/>
        <w:ind w:firstLine="656"/>
        <w:spacing w:after="0" w:line="320"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367" w:lineRule="exact"/>
        <w:rPr>
          <w:rFonts w:ascii="Arial" w:cs="Arial" w:eastAsia="Arial" w:hAnsi="Arial"/>
          <w:sz w:val="20"/>
          <w:szCs w:val="20"/>
          <w:b w:val="1"/>
          <w:bCs w:val="1"/>
          <w:color w:val="auto"/>
        </w:rPr>
      </w:pPr>
    </w:p>
    <w:p>
      <w:pPr>
        <w:jc w:val="both"/>
        <w:ind w:firstLine="656"/>
        <w:spacing w:after="0" w:line="316"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DISPUTE RESOLUTION</w:t>
      </w:r>
      <w:r>
        <w:rPr>
          <w:rFonts w:ascii="Arial" w:cs="Arial" w:eastAsia="Arial" w:hAnsi="Arial"/>
          <w:sz w:val="20"/>
          <w:szCs w:val="20"/>
          <w:color w:val="auto"/>
        </w:rPr>
        <w:t>. Except for a claim by either Employee or Employer for injunctive relief where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w:t>
      </w:r>
    </w:p>
    <w:p>
      <w:pPr>
        <w:spacing w:after="0" w:line="1" w:lineRule="exact"/>
        <w:rPr>
          <w:rFonts w:ascii="Arial" w:cs="Arial" w:eastAsia="Arial" w:hAnsi="Arial"/>
          <w:sz w:val="20"/>
          <w:szCs w:val="20"/>
          <w:b w:val="1"/>
          <w:bCs w:val="1"/>
          <w:color w:val="auto"/>
        </w:rPr>
      </w:pPr>
    </w:p>
    <w:p>
      <w:pPr>
        <w:spacing w:after="0" w:line="317" w:lineRule="auto"/>
        <w:rPr>
          <w:rFonts w:ascii="Arial" w:cs="Arial" w:eastAsia="Arial" w:hAnsi="Arial"/>
          <w:sz w:val="20"/>
          <w:szCs w:val="20"/>
          <w:b w:val="1"/>
          <w:bCs w:val="1"/>
          <w:color w:val="auto"/>
        </w:rPr>
      </w:pPr>
      <w:r>
        <w:rPr>
          <w:rFonts w:ascii="Arial" w:cs="Arial" w:eastAsia="Arial" w:hAnsi="Arial"/>
          <w:sz w:val="20"/>
          <w:szCs w:val="20"/>
          <w:color w:val="auto"/>
        </w:rPr>
        <w:t>statutory or common law, shall be submitted to binding arbitration in accordance with the employment arbitration rules then in effect of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to the extent not inconsistent with this Section as set forth below, and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440" w:right="239" w:bottom="1440" w:gutter="0" w:footer="0" w:header="0"/>
        </w:sectPr>
      </w:pPr>
    </w:p>
    <w:bookmarkStart w:id="75" w:name="page76"/>
    <w:bookmarkEnd w:id="75"/>
    <w:p>
      <w:pPr>
        <w:jc w:val="both"/>
        <w:spacing w:after="0" w:line="319" w:lineRule="auto"/>
        <w:rPr>
          <w:sz w:val="20"/>
          <w:szCs w:val="20"/>
          <w:color w:val="auto"/>
        </w:rPr>
      </w:pPr>
      <w:r>
        <w:rPr>
          <w:rFonts w:ascii="Arial" w:cs="Arial" w:eastAsia="Arial" w:hAnsi="Arial"/>
          <w:sz w:val="20"/>
          <w:szCs w:val="20"/>
          <w:color w:val="auto"/>
        </w:rPr>
        <w:t xml:space="preserve">Federal Arbitration Act, 9 U.S.C. §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the Uniform Arbitration Act as adopted in Nevada Revised Statutes 38.015,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This Section 21 applies to any claim Employee might have against any officer, director, employee, or agent of Employer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 and all successors and assigns of any of them. These arbitration provisions shall survive the termination of Employee’s employment with Employer and the expiration of this Agreement.</w:t>
      </w:r>
    </w:p>
    <w:p>
      <w:pPr>
        <w:spacing w:after="0" w:line="391" w:lineRule="exact"/>
        <w:rPr>
          <w:sz w:val="20"/>
          <w:szCs w:val="20"/>
          <w:color w:val="auto"/>
        </w:rPr>
      </w:pPr>
    </w:p>
    <w:p>
      <w:pPr>
        <w:jc w:val="both"/>
        <w:ind w:left="660" w:firstLine="645"/>
        <w:spacing w:after="0" w:line="310" w:lineRule="auto"/>
        <w:tabs>
          <w:tab w:leader="none" w:pos="2198"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365" w:lineRule="exact"/>
        <w:rPr>
          <w:sz w:val="20"/>
          <w:szCs w:val="20"/>
          <w:color w:val="auto"/>
        </w:rPr>
      </w:pPr>
    </w:p>
    <w:p>
      <w:pPr>
        <w:jc w:val="both"/>
        <w:ind w:left="660" w:firstLine="648"/>
        <w:spacing w:after="0" w:line="241"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for injunctive or equitable relief for violations of non-competition and/or confidentiality covenants contained in Sections 9, 10 and 11; or any claims that are prohibited as a matter of law from being covered by this Section 21.</w:t>
      </w:r>
    </w:p>
    <w:p>
      <w:pPr>
        <w:spacing w:after="0" w:line="263" w:lineRule="exact"/>
        <w:rPr>
          <w:sz w:val="20"/>
          <w:szCs w:val="20"/>
          <w:color w:val="auto"/>
        </w:rPr>
      </w:pPr>
    </w:p>
    <w:p>
      <w:pPr>
        <w:jc w:val="both"/>
        <w:ind w:left="660" w:firstLine="645"/>
        <w:spacing w:after="0" w:line="311" w:lineRule="auto"/>
        <w:tabs>
          <w:tab w:leader="none" w:pos="2198" w:val="left"/>
        </w:tabs>
        <w:numPr>
          <w:ilvl w:val="0"/>
          <w:numId w:val="54"/>
        </w:numPr>
        <w:rPr>
          <w:rFonts w:ascii="Arial" w:cs="Arial" w:eastAsia="Arial" w:hAnsi="Arial"/>
          <w:sz w:val="20"/>
          <w:szCs w:val="20"/>
          <w:color w:val="auto"/>
        </w:rPr>
      </w:pPr>
      <w:r>
        <w:rPr>
          <w:rFonts w:ascii="Arial" w:cs="Arial" w:eastAsia="Arial" w:hAnsi="Arial"/>
          <w:sz w:val="20"/>
          <w:szCs w:val="20"/>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345" w:right="239" w:bottom="1440" w:gutter="0" w:footer="0" w:header="0"/>
        </w:sectPr>
      </w:pPr>
    </w:p>
    <w:bookmarkStart w:id="76" w:name="page77"/>
    <w:bookmarkEnd w:id="76"/>
    <w:p>
      <w:pPr>
        <w:spacing w:after="0" w:line="155" w:lineRule="exact"/>
        <w:rPr>
          <w:sz w:val="20"/>
          <w:szCs w:val="20"/>
          <w:color w:val="auto"/>
        </w:rPr>
      </w:pPr>
    </w:p>
    <w:p>
      <w:pPr>
        <w:jc w:val="both"/>
        <w:ind w:left="-540" w:firstLine="645"/>
        <w:spacing w:after="0" w:line="311" w:lineRule="auto"/>
        <w:tabs>
          <w:tab w:leader="none" w:pos="987" w:val="left"/>
        </w:tabs>
        <w:numPr>
          <w:ilvl w:val="1"/>
          <w:numId w:val="55"/>
        </w:numPr>
        <w:rPr>
          <w:rFonts w:ascii="Arial" w:cs="Arial" w:eastAsia="Arial" w:hAnsi="Arial"/>
          <w:sz w:val="20"/>
          <w:szCs w:val="20"/>
          <w:color w:val="auto"/>
        </w:rPr>
      </w:pPr>
      <w:r>
        <w:rPr>
          <w:rFonts w:ascii="Arial" w:cs="Arial" w:eastAsia="Arial" w:hAnsi="Arial"/>
          <w:sz w:val="20"/>
          <w:szCs w:val="20"/>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398" w:lineRule="exact"/>
        <w:rPr>
          <w:rFonts w:ascii="Arial" w:cs="Arial" w:eastAsia="Arial" w:hAnsi="Arial"/>
          <w:sz w:val="20"/>
          <w:szCs w:val="20"/>
          <w:color w:val="auto"/>
        </w:rPr>
      </w:pPr>
    </w:p>
    <w:p>
      <w:pPr>
        <w:jc w:val="both"/>
        <w:ind w:left="-540" w:firstLine="645"/>
        <w:spacing w:after="0" w:line="329" w:lineRule="auto"/>
        <w:tabs>
          <w:tab w:leader="none" w:pos="99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388" w:lineRule="exact"/>
        <w:rPr>
          <w:rFonts w:ascii="Arial" w:cs="Arial" w:eastAsia="Arial" w:hAnsi="Arial"/>
          <w:sz w:val="19"/>
          <w:szCs w:val="19"/>
          <w:color w:val="auto"/>
        </w:rPr>
      </w:pPr>
    </w:p>
    <w:p>
      <w:pPr>
        <w:jc w:val="both"/>
        <w:ind w:left="-540" w:firstLine="645"/>
        <w:spacing w:after="0" w:line="311" w:lineRule="auto"/>
        <w:tabs>
          <w:tab w:leader="none" w:pos="998" w:val="left"/>
        </w:tabs>
        <w:numPr>
          <w:ilvl w:val="1"/>
          <w:numId w:val="55"/>
        </w:numPr>
        <w:rPr>
          <w:rFonts w:ascii="Arial" w:cs="Arial" w:eastAsia="Arial" w:hAnsi="Arial"/>
          <w:sz w:val="20"/>
          <w:szCs w:val="20"/>
          <w:color w:val="auto"/>
        </w:rPr>
      </w:pPr>
      <w:r>
        <w:rPr>
          <w:rFonts w:ascii="Arial" w:cs="Arial" w:eastAsia="Arial" w:hAnsi="Arial"/>
          <w:sz w:val="20"/>
          <w:szCs w:val="20"/>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398" w:lineRule="exact"/>
        <w:rPr>
          <w:rFonts w:ascii="Arial" w:cs="Arial" w:eastAsia="Arial" w:hAnsi="Arial"/>
          <w:sz w:val="20"/>
          <w:szCs w:val="20"/>
          <w:color w:val="auto"/>
        </w:rPr>
      </w:pPr>
    </w:p>
    <w:p>
      <w:pPr>
        <w:jc w:val="both"/>
        <w:ind w:left="-540" w:firstLine="645"/>
        <w:spacing w:after="0" w:line="311" w:lineRule="auto"/>
        <w:tabs>
          <w:tab w:leader="none" w:pos="943" w:val="left"/>
        </w:tabs>
        <w:numPr>
          <w:ilvl w:val="1"/>
          <w:numId w:val="55"/>
        </w:numPr>
        <w:rPr>
          <w:rFonts w:ascii="Arial" w:cs="Arial" w:eastAsia="Arial" w:hAnsi="Arial"/>
          <w:sz w:val="20"/>
          <w:szCs w:val="20"/>
          <w:color w:val="auto"/>
        </w:rPr>
      </w:pPr>
      <w:r>
        <w:rPr>
          <w:rFonts w:ascii="Arial" w:cs="Arial" w:eastAsia="Arial" w:hAnsi="Arial"/>
          <w:sz w:val="20"/>
          <w:szCs w:val="20"/>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w:t>
      </w:r>
    </w:p>
    <w:p>
      <w:pPr>
        <w:spacing w:after="0" w:line="40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220"/>
          </w:cols>
          <w:pgMar w:left="1440" w:top="1440" w:right="239" w:bottom="1440" w:gutter="0" w:footer="0" w:header="0"/>
        </w:sectPr>
      </w:pPr>
    </w:p>
    <w:bookmarkStart w:id="77" w:name="page78"/>
    <w:bookmarkEnd w:id="77"/>
    <w:p>
      <w:pPr>
        <w:jc w:val="both"/>
        <w:spacing w:after="0" w:line="310" w:lineRule="auto"/>
        <w:rPr>
          <w:sz w:val="20"/>
          <w:szCs w:val="20"/>
          <w:color w:val="auto"/>
        </w:rPr>
      </w:pPr>
      <w:r>
        <w:rPr>
          <w:rFonts w:ascii="Arial" w:cs="Arial" w:eastAsia="Arial" w:hAnsi="Arial"/>
          <w:sz w:val="20"/>
          <w:szCs w:val="20"/>
          <w:color w:val="auto"/>
        </w:rPr>
        <w:t>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200" w:lineRule="exact"/>
        <w:rPr>
          <w:sz w:val="20"/>
          <w:szCs w:val="20"/>
          <w:color w:val="auto"/>
        </w:rPr>
      </w:pPr>
    </w:p>
    <w:p>
      <w:pPr>
        <w:spacing w:after="0" w:line="206" w:lineRule="exact"/>
        <w:rPr>
          <w:sz w:val="20"/>
          <w:szCs w:val="20"/>
          <w:color w:val="auto"/>
        </w:rPr>
      </w:pPr>
    </w:p>
    <w:p>
      <w:pPr>
        <w:jc w:val="both"/>
        <w:ind w:firstLine="645"/>
        <w:spacing w:after="0" w:line="311" w:lineRule="auto"/>
        <w:tabs>
          <w:tab w:leader="none" w:pos="1538" w:val="left"/>
        </w:tabs>
        <w:numPr>
          <w:ilvl w:val="0"/>
          <w:numId w:val="56"/>
        </w:numPr>
        <w:rPr>
          <w:rFonts w:ascii="Arial" w:cs="Arial" w:eastAsia="Arial" w:hAnsi="Arial"/>
          <w:sz w:val="20"/>
          <w:szCs w:val="20"/>
          <w:color w:val="auto"/>
        </w:rPr>
      </w:pPr>
      <w:r>
        <w:rPr>
          <w:rFonts w:ascii="Arial" w:cs="Arial" w:eastAsia="Arial" w:hAnsi="Arial"/>
          <w:sz w:val="20"/>
          <w:szCs w:val="20"/>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399" w:lineRule="exact"/>
        <w:rPr>
          <w:rFonts w:ascii="Arial" w:cs="Arial" w:eastAsia="Arial" w:hAnsi="Arial"/>
          <w:sz w:val="20"/>
          <w:szCs w:val="20"/>
          <w:color w:val="auto"/>
        </w:rPr>
      </w:pPr>
    </w:p>
    <w:p>
      <w:pPr>
        <w:jc w:val="both"/>
        <w:ind w:firstLine="645"/>
        <w:spacing w:after="0" w:line="311" w:lineRule="auto"/>
        <w:tabs>
          <w:tab w:leader="none" w:pos="1538" w:val="left"/>
        </w:tabs>
        <w:numPr>
          <w:ilvl w:val="0"/>
          <w:numId w:val="56"/>
        </w:numPr>
        <w:rPr>
          <w:rFonts w:ascii="Arial" w:cs="Arial" w:eastAsia="Arial" w:hAnsi="Arial"/>
          <w:sz w:val="20"/>
          <w:szCs w:val="20"/>
          <w:color w:val="auto"/>
        </w:rPr>
      </w:pPr>
      <w:r>
        <w:rPr>
          <w:rFonts w:ascii="Arial" w:cs="Arial" w:eastAsia="Arial" w:hAnsi="Arial"/>
          <w:sz w:val="20"/>
          <w:szCs w:val="20"/>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398" w:lineRule="exact"/>
        <w:rPr>
          <w:rFonts w:ascii="Arial" w:cs="Arial" w:eastAsia="Arial" w:hAnsi="Arial"/>
          <w:sz w:val="20"/>
          <w:szCs w:val="20"/>
          <w:color w:val="auto"/>
        </w:rPr>
      </w:pPr>
    </w:p>
    <w:p>
      <w:pPr>
        <w:jc w:val="both"/>
        <w:ind w:firstLine="645"/>
        <w:spacing w:after="0" w:line="336" w:lineRule="auto"/>
        <w:tabs>
          <w:tab w:leader="none" w:pos="1472"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w:t>
      </w:r>
    </w:p>
    <w:p>
      <w:pPr>
        <w:spacing w:after="0" w:line="379"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760"/>
          </w:cols>
          <w:pgMar w:left="900" w:top="1365" w:right="239" w:bottom="1440" w:gutter="0" w:footer="0" w:header="0"/>
        </w:sectPr>
      </w:pPr>
    </w:p>
    <w:bookmarkStart w:id="78" w:name="page79"/>
    <w:bookmarkEnd w:id="78"/>
    <w:p>
      <w:pPr>
        <w:jc w:val="both"/>
        <w:ind w:left="660"/>
        <w:spacing w:after="0" w:line="311" w:lineRule="auto"/>
        <w:rPr>
          <w:sz w:val="20"/>
          <w:szCs w:val="20"/>
          <w:color w:val="auto"/>
        </w:rPr>
      </w:pPr>
      <w:r>
        <w:rPr>
          <w:rFonts w:ascii="Arial" w:cs="Arial" w:eastAsia="Arial" w:hAnsi="Arial"/>
          <w:sz w:val="20"/>
          <w:szCs w:val="20"/>
          <w:color w:val="auto"/>
        </w:rPr>
        <w:t xml:space="preserve">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Arial" w:cs="Arial" w:eastAsia="Arial" w:hAnsi="Arial"/>
          <w:sz w:val="20"/>
          <w:szCs w:val="20"/>
          <w:b w:val="1"/>
          <w:bCs w:val="1"/>
          <w:color w:val="auto"/>
        </w:rPr>
        <w:t>Employee and Employer agree to mutually waive their respective rights to a trial by jury in</w:t>
      </w:r>
      <w:r>
        <w:rPr>
          <w:rFonts w:ascii="Arial" w:cs="Arial" w:eastAsia="Arial" w:hAnsi="Arial"/>
          <w:sz w:val="20"/>
          <w:szCs w:val="20"/>
          <w:color w:val="auto"/>
        </w:rPr>
        <w:t xml:space="preserve"> </w:t>
      </w:r>
      <w:r>
        <w:rPr>
          <w:rFonts w:ascii="Arial" w:cs="Arial" w:eastAsia="Arial" w:hAnsi="Arial"/>
          <w:sz w:val="20"/>
          <w:szCs w:val="20"/>
          <w:b w:val="1"/>
          <w:bCs w:val="1"/>
          <w:color w:val="auto"/>
        </w:rPr>
        <w:t>a court of competent jurisdiction in which an action is filed to resolve any such covered claims</w:t>
      </w:r>
      <w:r>
        <w:rPr>
          <w:rFonts w:ascii="Arial" w:cs="Arial" w:eastAsia="Arial" w:hAnsi="Arial"/>
          <w:sz w:val="20"/>
          <w:szCs w:val="20"/>
          <w:color w:val="auto"/>
        </w:rPr>
        <w:t>.</w:t>
      </w:r>
    </w:p>
    <w:p>
      <w:pPr>
        <w:spacing w:after="0" w:line="336" w:lineRule="exact"/>
        <w:rPr>
          <w:sz w:val="20"/>
          <w:szCs w:val="20"/>
          <w:color w:val="auto"/>
        </w:rPr>
      </w:pPr>
    </w:p>
    <w:p>
      <w:pPr>
        <w:jc w:val="both"/>
        <w:ind w:left="660"/>
        <w:spacing w:after="0" w:line="272" w:lineRule="auto"/>
        <w:rPr>
          <w:sz w:val="20"/>
          <w:szCs w:val="20"/>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208" w:lineRule="exact"/>
        <w:rPr>
          <w:sz w:val="20"/>
          <w:szCs w:val="20"/>
          <w:color w:val="auto"/>
        </w:rPr>
      </w:pPr>
    </w:p>
    <w:p>
      <w:pPr>
        <w:jc w:val="both"/>
        <w:ind w:firstLine="656"/>
        <w:spacing w:after="0" w:line="334" w:lineRule="auto"/>
        <w:tabs>
          <w:tab w:leader="none" w:pos="1572"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 supersedes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356" w:lineRule="exact"/>
        <w:rPr>
          <w:rFonts w:ascii="Arial" w:cs="Arial" w:eastAsia="Arial" w:hAnsi="Arial"/>
          <w:sz w:val="19"/>
          <w:szCs w:val="19"/>
          <w:b w:val="1"/>
          <w:bCs w:val="1"/>
          <w:color w:val="auto"/>
        </w:rPr>
      </w:pPr>
    </w:p>
    <w:p>
      <w:pPr>
        <w:jc w:val="both"/>
        <w:ind w:firstLine="656"/>
        <w:spacing w:after="0" w:line="316" w:lineRule="auto"/>
        <w:tabs>
          <w:tab w:leader="none" w:pos="1572"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color w:val="auto"/>
        </w:rPr>
        <w:t>. Employer advises Employee that the United States Foreign Corrupt Practices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355" w:lineRule="exact"/>
        <w:rPr>
          <w:sz w:val="20"/>
          <w:szCs w:val="20"/>
          <w:color w:val="auto"/>
        </w:rPr>
      </w:pPr>
    </w:p>
    <w:p>
      <w:pPr>
        <w:jc w:val="both"/>
        <w:spacing w:after="0"/>
        <w:rPr>
          <w:sz w:val="20"/>
          <w:szCs w:val="20"/>
          <w:color w:val="auto"/>
        </w:rPr>
      </w:pPr>
      <w:r>
        <w:rPr>
          <w:rFonts w:ascii="Arial" w:cs="Arial" w:eastAsia="Arial" w:hAnsi="Arial"/>
          <w:sz w:val="20"/>
          <w:szCs w:val="20"/>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365" w:right="239" w:bottom="1440" w:gutter="0" w:footer="0" w:header="0"/>
        </w:sectPr>
      </w:pPr>
    </w:p>
    <w:bookmarkStart w:id="79" w:name="page80"/>
    <w:bookmarkEnd w:id="79"/>
    <w:p>
      <w:pPr>
        <w:jc w:val="both"/>
        <w:spacing w:after="0" w:line="242" w:lineRule="auto"/>
        <w:rPr>
          <w:sz w:val="20"/>
          <w:szCs w:val="20"/>
          <w:color w:val="auto"/>
        </w:rPr>
      </w:pPr>
      <w:r>
        <w:rPr>
          <w:rFonts w:ascii="Arial" w:cs="Arial" w:eastAsia="Arial" w:hAnsi="Arial"/>
          <w:sz w:val="20"/>
          <w:szCs w:val="20"/>
          <w:color w:val="auto"/>
        </w:rPr>
        <w:t>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24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In case of breach of this provision, the Employer may suspend or terminate this Agreement at any time without notice or indemnity.</w:t>
      </w:r>
    </w:p>
    <w:p>
      <w:pPr>
        <w:spacing w:after="0" w:line="381" w:lineRule="exact"/>
        <w:rPr>
          <w:sz w:val="20"/>
          <w:szCs w:val="20"/>
          <w:color w:val="auto"/>
        </w:rPr>
      </w:pPr>
    </w:p>
    <w:p>
      <w:pPr>
        <w:jc w:val="both"/>
        <w:ind w:firstLine="656"/>
        <w:spacing w:after="0" w:line="318" w:lineRule="auto"/>
        <w:tabs>
          <w:tab w:leader="none" w:pos="1572"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COOPERATION IN MATTERS RELATED TO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term of this Agreement, and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extent necessary following Employee’s separation from employment, Employee agrees to cooperate with Employer, Employer’s counsel, and any federal, state, or local governmental agency or regulatory body regarding any outstanding matters that involved Employee during the time and scope of her employment with Employer. Employer shall reimburse Employee for any reasonable expenses incurred through Employee’s participation in such cooperation.</w:t>
      </w:r>
    </w:p>
    <w:p>
      <w:pPr>
        <w:spacing w:after="0" w:line="200" w:lineRule="exact"/>
        <w:rPr>
          <w:rFonts w:ascii="Arial" w:cs="Arial" w:eastAsia="Arial" w:hAnsi="Arial"/>
          <w:sz w:val="20"/>
          <w:szCs w:val="20"/>
          <w:b w:val="1"/>
          <w:bCs w:val="1"/>
          <w:color w:val="auto"/>
        </w:rPr>
      </w:pPr>
    </w:p>
    <w:p>
      <w:pPr>
        <w:spacing w:after="0" w:line="383" w:lineRule="exact"/>
        <w:rPr>
          <w:rFonts w:ascii="Arial" w:cs="Arial" w:eastAsia="Arial" w:hAnsi="Arial"/>
          <w:sz w:val="20"/>
          <w:szCs w:val="20"/>
          <w:b w:val="1"/>
          <w:bCs w:val="1"/>
          <w:color w:val="auto"/>
        </w:rPr>
      </w:pPr>
    </w:p>
    <w:p>
      <w:pPr>
        <w:jc w:val="both"/>
        <w:ind w:firstLine="656"/>
        <w:spacing w:after="0" w:line="326" w:lineRule="auto"/>
        <w:tabs>
          <w:tab w:leader="none" w:pos="1572"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represent that they have read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and acknowledge that they have discussed its contents with their respective legal counsel or have been afforded the opportunity to avail themselves of the opportunity to the extent they each wished to do so.</w:t>
      </w:r>
    </w:p>
    <w:p>
      <w:pPr>
        <w:spacing w:after="0" w:line="3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pacing w:after="0" w:line="352" w:lineRule="exact"/>
        <w:rPr>
          <w:sz w:val="20"/>
          <w:szCs w:val="20"/>
          <w:color w:val="auto"/>
        </w:rPr>
      </w:pPr>
    </w:p>
    <w:tbl>
      <w:tblPr>
        <w:tblLayout w:type="fixed"/>
        <w:tblInd w:w="1160" w:type="dxa"/>
        <w:tblCellMar>
          <w:top w:w="0" w:type="dxa"/>
          <w:left w:w="0" w:type="dxa"/>
          <w:bottom w:w="0" w:type="dxa"/>
          <w:right w:w="0" w:type="dxa"/>
        </w:tblCellMar>
      </w:tblPr>
      <w:tr>
        <w:trPr>
          <w:trHeight w:val="261"/>
        </w:trPr>
        <w:tc>
          <w:tcPr>
            <w:tcW w:w="4720" w:type="dxa"/>
            <w:vAlign w:val="bottom"/>
          </w:tcPr>
          <w:p>
            <w:pPr>
              <w:jc w:val="center"/>
              <w:ind w:right="1221"/>
              <w:spacing w:after="0"/>
              <w:rPr>
                <w:sz w:val="20"/>
                <w:szCs w:val="20"/>
                <w:color w:val="auto"/>
              </w:rPr>
            </w:pPr>
            <w:r>
              <w:rPr>
                <w:rFonts w:ascii="Arial" w:cs="Arial" w:eastAsia="Arial" w:hAnsi="Arial"/>
                <w:sz w:val="20"/>
                <w:szCs w:val="20"/>
                <w:b w:val="1"/>
                <w:bCs w:val="1"/>
                <w:color w:val="auto"/>
                <w:w w:val="99"/>
              </w:rPr>
              <w:t>WYNN RESORTS, LIMITED</w:t>
            </w:r>
          </w:p>
        </w:tc>
        <w:tc>
          <w:tcPr>
            <w:tcW w:w="4060" w:type="dxa"/>
            <w:vAlign w:val="bottom"/>
          </w:tcPr>
          <w:p>
            <w:pPr>
              <w:jc w:val="center"/>
              <w:ind w:left="1221"/>
              <w:spacing w:after="0"/>
              <w:rPr>
                <w:sz w:val="20"/>
                <w:szCs w:val="20"/>
                <w:color w:val="auto"/>
              </w:rPr>
            </w:pPr>
            <w:r>
              <w:rPr>
                <w:rFonts w:ascii="Arial" w:cs="Arial" w:eastAsia="Arial" w:hAnsi="Arial"/>
                <w:sz w:val="20"/>
                <w:szCs w:val="20"/>
                <w:b w:val="1"/>
                <w:bCs w:val="1"/>
                <w:color w:val="auto"/>
                <w:w w:val="98"/>
              </w:rPr>
              <w:t>EMPLOYEE</w:t>
            </w:r>
          </w:p>
        </w:tc>
      </w:tr>
      <w:tr>
        <w:trPr>
          <w:trHeight w:val="567"/>
        </w:trPr>
        <w:tc>
          <w:tcPr>
            <w:tcW w:w="4720" w:type="dxa"/>
            <w:vAlign w:val="bottom"/>
          </w:tcPr>
          <w:p>
            <w:pPr>
              <w:jc w:val="center"/>
              <w:ind w:right="1221"/>
              <w:spacing w:after="0"/>
              <w:rPr>
                <w:sz w:val="20"/>
                <w:szCs w:val="20"/>
                <w:color w:val="auto"/>
              </w:rPr>
            </w:pPr>
            <w:r>
              <w:rPr>
                <w:rFonts w:ascii="Arial" w:cs="Arial" w:eastAsia="Arial" w:hAnsi="Arial"/>
                <w:sz w:val="20"/>
                <w:szCs w:val="20"/>
                <w:color w:val="auto"/>
                <w:w w:val="98"/>
              </w:rPr>
              <w:t>/s/ Matt Maddox</w:t>
            </w:r>
          </w:p>
        </w:tc>
        <w:tc>
          <w:tcPr>
            <w:tcW w:w="4060" w:type="dxa"/>
            <w:vAlign w:val="bottom"/>
          </w:tcPr>
          <w:p>
            <w:pPr>
              <w:jc w:val="center"/>
              <w:ind w:left="1221"/>
              <w:spacing w:after="0"/>
              <w:rPr>
                <w:sz w:val="20"/>
                <w:szCs w:val="20"/>
                <w:color w:val="auto"/>
              </w:rPr>
            </w:pPr>
            <w:r>
              <w:rPr>
                <w:rFonts w:ascii="Arial" w:cs="Arial" w:eastAsia="Arial" w:hAnsi="Arial"/>
                <w:sz w:val="20"/>
                <w:szCs w:val="20"/>
                <w:color w:val="auto"/>
                <w:w w:val="99"/>
              </w:rPr>
              <w:t>/s/ Ellen Whittemore</w:t>
            </w:r>
          </w:p>
        </w:tc>
      </w:tr>
      <w:tr>
        <w:trPr>
          <w:trHeight w:val="270"/>
        </w:trPr>
        <w:tc>
          <w:tcPr>
            <w:tcW w:w="4720" w:type="dxa"/>
            <w:vAlign w:val="bottom"/>
          </w:tcPr>
          <w:p>
            <w:pPr>
              <w:jc w:val="center"/>
              <w:ind w:right="1201"/>
              <w:spacing w:after="0"/>
              <w:rPr>
                <w:sz w:val="20"/>
                <w:szCs w:val="20"/>
                <w:color w:val="auto"/>
              </w:rPr>
            </w:pPr>
            <w:r>
              <w:rPr>
                <w:rFonts w:ascii="Arial" w:cs="Arial" w:eastAsia="Arial" w:hAnsi="Arial"/>
                <w:sz w:val="20"/>
                <w:szCs w:val="20"/>
                <w:color w:val="auto"/>
                <w:w w:val="99"/>
              </w:rPr>
              <w:t>_______________________________</w:t>
            </w:r>
          </w:p>
        </w:tc>
        <w:tc>
          <w:tcPr>
            <w:tcW w:w="4060" w:type="dxa"/>
            <w:vAlign w:val="bottom"/>
          </w:tcPr>
          <w:p>
            <w:pPr>
              <w:jc w:val="center"/>
              <w:ind w:left="1221"/>
              <w:spacing w:after="0"/>
              <w:rPr>
                <w:sz w:val="20"/>
                <w:szCs w:val="20"/>
                <w:color w:val="auto"/>
              </w:rPr>
            </w:pPr>
            <w:r>
              <w:rPr>
                <w:rFonts w:ascii="Arial" w:cs="Arial" w:eastAsia="Arial" w:hAnsi="Arial"/>
                <w:sz w:val="20"/>
                <w:szCs w:val="20"/>
                <w:color w:val="auto"/>
                <w:w w:val="98"/>
              </w:rPr>
              <w:t>_________________________</w:t>
            </w:r>
          </w:p>
        </w:tc>
      </w:tr>
      <w:tr>
        <w:trPr>
          <w:trHeight w:val="270"/>
        </w:trPr>
        <w:tc>
          <w:tcPr>
            <w:tcW w:w="4720" w:type="dxa"/>
            <w:vAlign w:val="bottom"/>
          </w:tcPr>
          <w:p>
            <w:pPr>
              <w:jc w:val="center"/>
              <w:ind w:right="1201"/>
              <w:spacing w:after="0"/>
              <w:rPr>
                <w:sz w:val="20"/>
                <w:szCs w:val="20"/>
                <w:color w:val="auto"/>
              </w:rPr>
            </w:pPr>
            <w:r>
              <w:rPr>
                <w:rFonts w:ascii="Arial" w:cs="Arial" w:eastAsia="Arial" w:hAnsi="Arial"/>
                <w:sz w:val="20"/>
                <w:szCs w:val="20"/>
                <w:color w:val="auto"/>
                <w:w w:val="98"/>
              </w:rPr>
              <w:t>Matt Maddox, Chief Executive Officer</w:t>
            </w:r>
          </w:p>
        </w:tc>
        <w:tc>
          <w:tcPr>
            <w:tcW w:w="4060" w:type="dxa"/>
            <w:vAlign w:val="bottom"/>
          </w:tcPr>
          <w:p>
            <w:pPr>
              <w:jc w:val="center"/>
              <w:ind w:left="1221"/>
              <w:spacing w:after="0"/>
              <w:rPr>
                <w:sz w:val="20"/>
                <w:szCs w:val="20"/>
                <w:color w:val="auto"/>
              </w:rPr>
            </w:pPr>
            <w:r>
              <w:rPr>
                <w:rFonts w:ascii="Arial" w:cs="Arial" w:eastAsia="Arial" w:hAnsi="Arial"/>
                <w:sz w:val="20"/>
                <w:szCs w:val="20"/>
                <w:color w:val="auto"/>
                <w:w w:val="98"/>
              </w:rPr>
              <w:t>Ellen Whittemore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1324" w:right="239" w:bottom="1440" w:gutter="0" w:footer="0" w:header="0"/>
        </w:sectPr>
      </w:pPr>
    </w:p>
    <w:bookmarkStart w:id="80" w:name="page81"/>
    <w:bookmarkEnd w:id="80"/>
    <w:p>
      <w:pPr>
        <w:spacing w:after="0" w:line="320"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330" w:lineRule="exact"/>
        <w:rPr>
          <w:sz w:val="20"/>
          <w:szCs w:val="20"/>
          <w:color w:val="auto"/>
        </w:rPr>
      </w:pPr>
    </w:p>
    <w:tbl>
      <w:tblPr>
        <w:tblLayout w:type="fixed"/>
        <w:tblInd w:w="1160" w:type="dxa"/>
        <w:tblCellMar>
          <w:top w:w="0" w:type="dxa"/>
          <w:left w:w="0" w:type="dxa"/>
          <w:bottom w:w="0" w:type="dxa"/>
          <w:right w:w="0" w:type="dxa"/>
        </w:tblCellMar>
      </w:tblPr>
      <w:tr>
        <w:trPr>
          <w:trHeight w:val="261"/>
        </w:trPr>
        <w:tc>
          <w:tcPr>
            <w:tcW w:w="3920" w:type="dxa"/>
            <w:vAlign w:val="bottom"/>
          </w:tcPr>
          <w:p>
            <w:pPr>
              <w:jc w:val="center"/>
              <w:ind w:right="421"/>
              <w:spacing w:after="0"/>
              <w:rPr>
                <w:sz w:val="20"/>
                <w:szCs w:val="20"/>
                <w:color w:val="auto"/>
              </w:rPr>
            </w:pPr>
            <w:r>
              <w:rPr>
                <w:rFonts w:ascii="Arial" w:cs="Arial" w:eastAsia="Arial" w:hAnsi="Arial"/>
                <w:sz w:val="20"/>
                <w:szCs w:val="20"/>
                <w:b w:val="1"/>
                <w:bCs w:val="1"/>
                <w:color w:val="auto"/>
                <w:w w:val="99"/>
              </w:rPr>
              <w:t>WYNN RESORTS, LIMITED</w:t>
            </w:r>
          </w:p>
        </w:tc>
        <w:tc>
          <w:tcPr>
            <w:tcW w:w="4860" w:type="dxa"/>
            <w:vAlign w:val="bottom"/>
          </w:tcPr>
          <w:p>
            <w:pPr>
              <w:jc w:val="center"/>
              <w:ind w:left="2021"/>
              <w:spacing w:after="0"/>
              <w:rPr>
                <w:sz w:val="20"/>
                <w:szCs w:val="20"/>
                <w:color w:val="auto"/>
              </w:rPr>
            </w:pPr>
            <w:r>
              <w:rPr>
                <w:rFonts w:ascii="Arial" w:cs="Arial" w:eastAsia="Arial" w:hAnsi="Arial"/>
                <w:sz w:val="20"/>
                <w:szCs w:val="20"/>
                <w:b w:val="1"/>
                <w:bCs w:val="1"/>
                <w:color w:val="auto"/>
                <w:w w:val="98"/>
              </w:rPr>
              <w:t>EMPLOYEE</w:t>
            </w:r>
          </w:p>
        </w:tc>
      </w:tr>
      <w:tr>
        <w:trPr>
          <w:trHeight w:val="567"/>
        </w:trPr>
        <w:tc>
          <w:tcPr>
            <w:tcW w:w="3920" w:type="dxa"/>
            <w:vAlign w:val="bottom"/>
          </w:tcPr>
          <w:p>
            <w:pPr>
              <w:jc w:val="center"/>
              <w:ind w:right="421"/>
              <w:spacing w:after="0"/>
              <w:rPr>
                <w:sz w:val="20"/>
                <w:szCs w:val="20"/>
                <w:color w:val="auto"/>
              </w:rPr>
            </w:pPr>
            <w:r>
              <w:rPr>
                <w:rFonts w:ascii="Arial" w:cs="Arial" w:eastAsia="Arial" w:hAnsi="Arial"/>
                <w:sz w:val="20"/>
                <w:szCs w:val="20"/>
                <w:color w:val="auto"/>
                <w:w w:val="98"/>
              </w:rPr>
              <w:t>/s/ Matt Maddox</w:t>
            </w:r>
          </w:p>
        </w:tc>
        <w:tc>
          <w:tcPr>
            <w:tcW w:w="4860" w:type="dxa"/>
            <w:vAlign w:val="bottom"/>
          </w:tcPr>
          <w:p>
            <w:pPr>
              <w:jc w:val="center"/>
              <w:ind w:left="2021"/>
              <w:spacing w:after="0"/>
              <w:rPr>
                <w:sz w:val="20"/>
                <w:szCs w:val="20"/>
                <w:color w:val="auto"/>
              </w:rPr>
            </w:pPr>
            <w:r>
              <w:rPr>
                <w:rFonts w:ascii="Arial" w:cs="Arial" w:eastAsia="Arial" w:hAnsi="Arial"/>
                <w:sz w:val="20"/>
                <w:szCs w:val="20"/>
                <w:color w:val="auto"/>
                <w:w w:val="99"/>
              </w:rPr>
              <w:t>/s/ Ellen Whittemore</w:t>
            </w:r>
          </w:p>
        </w:tc>
      </w:tr>
      <w:tr>
        <w:trPr>
          <w:trHeight w:val="270"/>
        </w:trPr>
        <w:tc>
          <w:tcPr>
            <w:tcW w:w="3920" w:type="dxa"/>
            <w:vAlign w:val="bottom"/>
          </w:tcPr>
          <w:p>
            <w:pPr>
              <w:jc w:val="center"/>
              <w:ind w:right="401"/>
              <w:spacing w:after="0"/>
              <w:rPr>
                <w:sz w:val="20"/>
                <w:szCs w:val="20"/>
                <w:color w:val="auto"/>
              </w:rPr>
            </w:pPr>
            <w:r>
              <w:rPr>
                <w:rFonts w:ascii="Arial" w:cs="Arial" w:eastAsia="Arial" w:hAnsi="Arial"/>
                <w:sz w:val="20"/>
                <w:szCs w:val="20"/>
                <w:color w:val="auto"/>
                <w:w w:val="99"/>
              </w:rPr>
              <w:t>_______________________________</w:t>
            </w:r>
          </w:p>
        </w:tc>
        <w:tc>
          <w:tcPr>
            <w:tcW w:w="4860" w:type="dxa"/>
            <w:vAlign w:val="bottom"/>
          </w:tcPr>
          <w:p>
            <w:pPr>
              <w:jc w:val="center"/>
              <w:ind w:left="2021"/>
              <w:spacing w:after="0"/>
              <w:rPr>
                <w:sz w:val="20"/>
                <w:szCs w:val="20"/>
                <w:color w:val="auto"/>
              </w:rPr>
            </w:pPr>
            <w:r>
              <w:rPr>
                <w:rFonts w:ascii="Arial" w:cs="Arial" w:eastAsia="Arial" w:hAnsi="Arial"/>
                <w:sz w:val="20"/>
                <w:szCs w:val="20"/>
                <w:color w:val="auto"/>
                <w:w w:val="98"/>
              </w:rPr>
              <w:t>_________________________</w:t>
            </w:r>
          </w:p>
        </w:tc>
      </w:tr>
      <w:tr>
        <w:trPr>
          <w:trHeight w:val="270"/>
        </w:trPr>
        <w:tc>
          <w:tcPr>
            <w:tcW w:w="3920" w:type="dxa"/>
            <w:vAlign w:val="bottom"/>
          </w:tcPr>
          <w:p>
            <w:pPr>
              <w:jc w:val="center"/>
              <w:ind w:right="401"/>
              <w:spacing w:after="0"/>
              <w:rPr>
                <w:sz w:val="20"/>
                <w:szCs w:val="20"/>
                <w:color w:val="auto"/>
              </w:rPr>
            </w:pPr>
            <w:r>
              <w:rPr>
                <w:rFonts w:ascii="Arial" w:cs="Arial" w:eastAsia="Arial" w:hAnsi="Arial"/>
                <w:sz w:val="20"/>
                <w:szCs w:val="20"/>
                <w:color w:val="auto"/>
                <w:w w:val="98"/>
              </w:rPr>
              <w:t>Matt Maddox, Chief Executive Officer</w:t>
            </w:r>
          </w:p>
        </w:tc>
        <w:tc>
          <w:tcPr>
            <w:tcW w:w="4860" w:type="dxa"/>
            <w:vAlign w:val="bottom"/>
          </w:tcPr>
          <w:p>
            <w:pPr>
              <w:jc w:val="center"/>
              <w:ind w:left="2021"/>
              <w:spacing w:after="0"/>
              <w:rPr>
                <w:sz w:val="20"/>
                <w:szCs w:val="20"/>
                <w:color w:val="auto"/>
              </w:rPr>
            </w:pPr>
            <w:r>
              <w:rPr>
                <w:rFonts w:ascii="Arial" w:cs="Arial" w:eastAsia="Arial" w:hAnsi="Arial"/>
                <w:sz w:val="20"/>
                <w:szCs w:val="20"/>
                <w:color w:val="auto"/>
                <w:w w:val="98"/>
              </w:rPr>
              <w:t>Ellen Whittemore</w:t>
            </w:r>
          </w:p>
        </w:tc>
      </w:tr>
      <w:tr>
        <w:trPr>
          <w:trHeight w:val="972"/>
        </w:trPr>
        <w:tc>
          <w:tcPr>
            <w:tcW w:w="3920" w:type="dxa"/>
            <w:vAlign w:val="bottom"/>
          </w:tcPr>
          <w:p>
            <w:pPr>
              <w:spacing w:after="0"/>
              <w:rPr>
                <w:sz w:val="24"/>
                <w:szCs w:val="24"/>
                <w:color w:val="auto"/>
              </w:rPr>
            </w:pPr>
          </w:p>
        </w:tc>
        <w:tc>
          <w:tcPr>
            <w:tcW w:w="4860" w:type="dxa"/>
            <w:vAlign w:val="bottom"/>
          </w:tcPr>
          <w:p>
            <w:pPr>
              <w:jc w:val="right"/>
              <w:ind w:right="4021"/>
              <w:spacing w:after="0"/>
              <w:rPr>
                <w:sz w:val="20"/>
                <w:szCs w:val="20"/>
                <w:color w:val="auto"/>
              </w:rPr>
            </w:pPr>
            <w:r>
              <w:rPr>
                <w:rFonts w:ascii="Arial" w:cs="Arial" w:eastAsia="Arial" w:hAnsi="Arial"/>
                <w:sz w:val="20"/>
                <w:szCs w:val="20"/>
                <w:color w:val="auto"/>
              </w:rPr>
              <w:t>25</w:t>
            </w:r>
          </w:p>
        </w:tc>
      </w:tr>
    </w:tbl>
    <w:p>
      <w:pPr>
        <w:sectPr>
          <w:pgSz w:w="11900" w:h="16838" w:orient="portrait"/>
          <w:cols w:equalWidth="0" w:num="1">
            <w:col w:w="11420"/>
          </w:cols>
          <w:pgMar w:left="240" w:top="1440" w:right="2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EMPLOYMENT AGREEMENT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by and between -</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LIMITED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(“Employer”)</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and -</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ELLEN WHITTEMORE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(“Employee”)</w:t>
      </w: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16" w:lineRule="exact"/>
        <w:rPr>
          <w:sz w:val="20"/>
          <w:szCs w:val="20"/>
          <w:color w:val="auto"/>
        </w:rPr>
      </w:pPr>
    </w:p>
    <w:p>
      <w:pPr>
        <w:jc w:val="center"/>
        <w:ind w:right="-1300"/>
        <w:spacing w:after="0"/>
        <w:tabs>
          <w:tab w:leader="none" w:pos="180" w:val="left"/>
        </w:tabs>
        <w:rPr>
          <w:sz w:val="20"/>
          <w:szCs w:val="20"/>
          <w:color w:val="auto"/>
        </w:rPr>
      </w:pPr>
      <w:r>
        <w:rPr>
          <w:rFonts w:ascii="Arial" w:cs="Arial" w:eastAsia="Arial" w:hAnsi="Arial"/>
          <w:sz w:val="20"/>
          <w:szCs w:val="20"/>
          <w:b w:val="1"/>
          <w:bCs w:val="1"/>
          <w:color w:val="auto"/>
        </w:rPr>
        <w:t>DATED:</w:t>
      </w:r>
      <w:r>
        <w:rPr>
          <w:sz w:val="20"/>
          <w:szCs w:val="20"/>
          <w:color w:val="auto"/>
        </w:rPr>
        <w:tab/>
      </w:r>
      <w:r>
        <w:rPr>
          <w:rFonts w:ascii="Arial" w:cs="Arial" w:eastAsia="Arial" w:hAnsi="Arial"/>
          <w:sz w:val="20"/>
          <w:szCs w:val="20"/>
          <w:color w:val="auto"/>
        </w:rPr>
        <w:t>August 2, 2018</w:t>
      </w:r>
    </w:p>
    <w:p>
      <w:pPr>
        <w:spacing w:after="0" w:line="24"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ectPr>
          <w:pgSz w:w="11900" w:h="16838" w:orient="portrait"/>
          <w:cols w:equalWidth="0" w:num="1">
            <w:col w:w="9019"/>
          </w:cols>
          <w:pgMar w:left="1440" w:top="144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the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day of August, 2018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Wynn Resorts, Limited (“</w:t>
      </w:r>
      <w:r>
        <w:rPr>
          <w:rFonts w:ascii="Arial" w:cs="Arial" w:eastAsia="Arial" w:hAnsi="Arial"/>
          <w:sz w:val="20"/>
          <w:szCs w:val="20"/>
          <w:b w:val="1"/>
          <w:bCs w:val="1"/>
          <w:color w:val="auto"/>
        </w:rPr>
        <w:t>Employer</w:t>
      </w:r>
      <w:r>
        <w:rPr>
          <w:rFonts w:ascii="Arial" w:cs="Arial" w:eastAsia="Arial" w:hAnsi="Arial"/>
          <w:sz w:val="20"/>
          <w:szCs w:val="20"/>
          <w:color w:val="auto"/>
        </w:rPr>
        <w:t>”) and Kim Sinatra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is a corporation duly organized and existing under the laws of the State of Nevada, and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maintains its principal place of business at 3131 Las Vegas Boulevard South, Las Vegas, Nevada 89109;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is an adult individual residing at [intentionally omitted];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Amended and Restated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effective as of November 4, 2016, as amended by that certain First Amendment to Amended and Restated Employment Agreement dated as of April 17, 2018 (the “</w:t>
      </w:r>
      <w:r>
        <w:rPr>
          <w:rFonts w:ascii="Arial" w:cs="Arial" w:eastAsia="Arial" w:hAnsi="Arial"/>
          <w:sz w:val="20"/>
          <w:szCs w:val="20"/>
          <w:b w:val="1"/>
          <w:bCs w:val="1"/>
          <w:color w:val="auto"/>
        </w:rPr>
        <w:t>Employment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on July 15, 2018, Employee ceased serving as the Executive Vice President, General Counsel and Secretary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Employer and became available to the CEO as he requested; and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and Employee have agreed to terminate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NOW, THEREFORE</w:t>
      </w:r>
      <w:r>
        <w:rPr>
          <w:rFonts w:ascii="Arial" w:cs="Arial" w:eastAsia="Arial" w:hAnsi="Arial"/>
          <w:sz w:val="20"/>
          <w:szCs w:val="20"/>
          <w:color w:val="auto"/>
        </w:rPr>
        <w:t>, in consideration of the foregoing and the respective representations, warranties, covenants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agreements set forth in this </w:t>
      </w:r>
      <w:r>
        <w:rPr>
          <w:rFonts w:ascii="Arial" w:cs="Arial" w:eastAsia="Arial" w:hAnsi="Arial"/>
          <w:sz w:val="20"/>
          <w:szCs w:val="20"/>
          <w:b w:val="1"/>
          <w:bCs w:val="1"/>
          <w:color w:val="auto"/>
        </w:rPr>
        <w:t>Agreement</w:t>
      </w:r>
      <w:r>
        <w:rPr>
          <w:rFonts w:ascii="Arial" w:cs="Arial" w:eastAsia="Arial" w:hAnsi="Arial"/>
          <w:sz w:val="20"/>
          <w:szCs w:val="20"/>
          <w:color w:val="auto"/>
        </w:rPr>
        <w:t>, the parties hereto agree as follows:</w:t>
      </w:r>
    </w:p>
    <w:p>
      <w:pPr>
        <w:spacing w:after="0" w:line="191"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Base Agreement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85" w:lineRule="auto"/>
        <w:tabs>
          <w:tab w:leader="none" w:pos="17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Employer and Employee acknowledge and agree that Employee’s employment with Employer shall terminate as of the close of business on August 3, 2018. However, through December 31, 2018, Employee will remain available to the CEO of Employer and provide advice, guidance and cooperation with respect to litigation and general corporate matters. Employee shall not be required to devote more than 25 hours per calendar month to the performance of advisory services for Employer pursuant to this Agreement and may perform the duties set forth in this Section 1 of this Agreement remotely, from a location of Employees choosing. Employer agrees to provide reasonable notice to Employee of any need for advice and assistance and Employee agrees to respond to email and other inquiries within a reasonable timeframe.</w:t>
      </w:r>
    </w:p>
    <w:p>
      <w:pPr>
        <w:spacing w:after="0" w:line="209" w:lineRule="exact"/>
        <w:rPr>
          <w:rFonts w:ascii="Arial" w:cs="Arial" w:eastAsia="Arial" w:hAnsi="Arial"/>
          <w:sz w:val="19"/>
          <w:szCs w:val="19"/>
          <w:color w:val="auto"/>
        </w:rPr>
      </w:pPr>
    </w:p>
    <w:p>
      <w:pPr>
        <w:jc w:val="both"/>
        <w:ind w:left="660" w:firstLine="645"/>
        <w:spacing w:after="0" w:line="270" w:lineRule="auto"/>
        <w:tabs>
          <w:tab w:leader="none" w:pos="17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Through December 31, 2018, Employee agrees to cooperate with Employer, Employer’s counsel, and any federal, state, or local governmental agency or regulatory body regarding any outstanding matters that involved Employee during the time and scope of her employment with Employer. Employer shall reimburse Employee for all reasonable fees and expenses incurred through Employee’s participation in such cooperation.</w:t>
      </w:r>
    </w:p>
    <w:p>
      <w:pPr>
        <w:sectPr>
          <w:pgSz w:w="11900" w:h="16838" w:orient="portrait"/>
          <w:cols w:equalWidth="0" w:num="1">
            <w:col w:w="11420"/>
          </w:cols>
          <w:pgMar w:left="240" w:top="553" w:right="239" w:bottom="1440" w:gutter="0" w:footer="0" w:header="0"/>
        </w:sectPr>
      </w:pPr>
    </w:p>
    <w:bookmarkStart w:id="83" w:name="page84"/>
    <w:bookmarkEnd w:id="83"/>
    <w:p>
      <w:pPr>
        <w:jc w:val="both"/>
        <w:ind w:left="4" w:firstLine="645"/>
        <w:spacing w:after="0" w:line="270" w:lineRule="auto"/>
        <w:tabs>
          <w:tab w:leader="none" w:pos="1112"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Indemnification Agreement dated February 7, 2018, by and between Employee, on the one side, and Employer or any of Employer’s Affiliates, on the other side, shall remain in effect. Nothing in this Agreement shall in any way limit, modify or impact the Employee’s rights under said Indemnification Agreement, including, without limitation, the Release set forth in Section 3 hereof.</w:t>
      </w:r>
    </w:p>
    <w:p>
      <w:pPr>
        <w:spacing w:after="0" w:line="221" w:lineRule="exact"/>
        <w:rPr>
          <w:rFonts w:ascii="Arial" w:cs="Arial" w:eastAsia="Arial" w:hAnsi="Arial"/>
          <w:sz w:val="20"/>
          <w:szCs w:val="20"/>
          <w:color w:val="auto"/>
        </w:rPr>
      </w:pPr>
    </w:p>
    <w:p>
      <w:pPr>
        <w:jc w:val="both"/>
        <w:ind w:left="4" w:firstLine="645"/>
        <w:spacing w:after="0" w:line="270" w:lineRule="auto"/>
        <w:tabs>
          <w:tab w:leader="none" w:pos="1124" w:val="left"/>
        </w:tabs>
        <w:numPr>
          <w:ilvl w:val="1"/>
          <w:numId w:val="60"/>
        </w:numPr>
        <w:rPr>
          <w:rFonts w:ascii="Arial" w:cs="Arial" w:eastAsia="Arial" w:hAnsi="Arial"/>
          <w:sz w:val="20"/>
          <w:szCs w:val="20"/>
          <w:color w:val="auto"/>
        </w:rPr>
      </w:pPr>
      <w:r>
        <w:rPr>
          <w:rFonts w:ascii="Arial" w:cs="Arial" w:eastAsia="Arial" w:hAnsi="Arial"/>
          <w:sz w:val="20"/>
          <w:szCs w:val="20"/>
          <w:color w:val="auto"/>
        </w:rPr>
        <w:t>Employer will pay Employee a single, lump-sum cash payment in the amount of one million eight hundred fourteen thousand ($1,814,000.00), less all applicable taxes and withholding, on or before August 8, 2018. Such payment reflects all unpaid base salary through December 31, 2018, projected 2018 bonus compensation, and unpaid but accrued vacation pay.</w:t>
      </w:r>
    </w:p>
    <w:p>
      <w:pPr>
        <w:spacing w:after="0" w:line="221" w:lineRule="exact"/>
        <w:rPr>
          <w:rFonts w:ascii="Arial" w:cs="Arial" w:eastAsia="Arial" w:hAnsi="Arial"/>
          <w:sz w:val="20"/>
          <w:szCs w:val="20"/>
          <w:color w:val="auto"/>
        </w:rPr>
      </w:pPr>
    </w:p>
    <w:p>
      <w:pPr>
        <w:jc w:val="both"/>
        <w:ind w:left="4" w:firstLine="645"/>
        <w:spacing w:after="0" w:line="269" w:lineRule="auto"/>
        <w:tabs>
          <w:tab w:leader="none" w:pos="1124" w:val="left"/>
        </w:tabs>
        <w:numPr>
          <w:ilvl w:val="1"/>
          <w:numId w:val="60"/>
        </w:numPr>
        <w:rPr>
          <w:rFonts w:ascii="Arial" w:cs="Arial" w:eastAsia="Arial" w:hAnsi="Arial"/>
          <w:sz w:val="20"/>
          <w:szCs w:val="20"/>
          <w:color w:val="auto"/>
        </w:rPr>
      </w:pPr>
      <w:r>
        <w:rPr>
          <w:rFonts w:ascii="Arial" w:cs="Arial" w:eastAsia="Arial" w:hAnsi="Arial"/>
          <w:sz w:val="20"/>
          <w:szCs w:val="20"/>
          <w:color w:val="auto"/>
        </w:rPr>
        <w:t>Employee shall remain able to participate in Employer’s senior executive health program through December 31, 2018. When Employee becomes eligible for benefits under the Consolidated Omnibus Budget Reconciliation Act of 1985 (“</w:t>
      </w:r>
      <w:r>
        <w:rPr>
          <w:rFonts w:ascii="Arial" w:cs="Arial" w:eastAsia="Arial" w:hAnsi="Arial"/>
          <w:sz w:val="20"/>
          <w:szCs w:val="20"/>
          <w:u w:val="single" w:color="auto"/>
          <w:color w:val="auto"/>
        </w:rPr>
        <w:t>COBRA</w:t>
      </w:r>
      <w:r>
        <w:rPr>
          <w:rFonts w:ascii="Arial" w:cs="Arial" w:eastAsia="Arial" w:hAnsi="Arial"/>
          <w:sz w:val="20"/>
          <w:szCs w:val="20"/>
          <w:color w:val="auto"/>
        </w:rPr>
        <w:t>”) and Employee elects to continue health coverage under COBRA, Employer will pay the entire monthly premium for such COBRA coverage for Employee and for Employee’s dependents, from the first date on which Employee loses health coverage as an employee of Employer (with any payments commencing after such date being made retroactively to such date) until the expiration of Employee’s continuation coverage under COBRA.</w:t>
      </w:r>
    </w:p>
    <w:p>
      <w:pPr>
        <w:spacing w:after="0" w:line="222" w:lineRule="exact"/>
        <w:rPr>
          <w:rFonts w:ascii="Arial" w:cs="Arial" w:eastAsia="Arial" w:hAnsi="Arial"/>
          <w:sz w:val="20"/>
          <w:szCs w:val="20"/>
          <w:color w:val="auto"/>
        </w:rPr>
      </w:pPr>
    </w:p>
    <w:p>
      <w:pPr>
        <w:jc w:val="both"/>
        <w:ind w:left="4" w:firstLine="645"/>
        <w:spacing w:after="0" w:line="270" w:lineRule="auto"/>
        <w:tabs>
          <w:tab w:leader="none" w:pos="1014" w:val="left"/>
        </w:tabs>
        <w:numPr>
          <w:ilvl w:val="1"/>
          <w:numId w:val="60"/>
        </w:numPr>
        <w:rPr>
          <w:rFonts w:ascii="Arial" w:cs="Arial" w:eastAsia="Arial" w:hAnsi="Arial"/>
          <w:sz w:val="20"/>
          <w:szCs w:val="20"/>
          <w:color w:val="auto"/>
        </w:rPr>
      </w:pPr>
      <w:r>
        <w:rPr>
          <w:rFonts w:ascii="Arial" w:cs="Arial" w:eastAsia="Arial" w:hAnsi="Arial"/>
          <w:sz w:val="20"/>
          <w:szCs w:val="20"/>
          <w:color w:val="auto"/>
        </w:rPr>
        <w:t>On January 14, 2016, Employer awarded Employee a stock award of 13,203 shares of Employer Common Stock (the “</w:t>
      </w:r>
      <w:r>
        <w:rPr>
          <w:rFonts w:ascii="Arial" w:cs="Arial" w:eastAsia="Arial" w:hAnsi="Arial"/>
          <w:sz w:val="20"/>
          <w:szCs w:val="20"/>
          <w:u w:val="single" w:color="auto"/>
          <w:color w:val="auto"/>
        </w:rPr>
        <w:t>First Stock Award</w:t>
      </w:r>
      <w:r>
        <w:rPr>
          <w:rFonts w:ascii="Arial" w:cs="Arial" w:eastAsia="Arial" w:hAnsi="Arial"/>
          <w:sz w:val="20"/>
          <w:szCs w:val="20"/>
          <w:color w:val="auto"/>
        </w:rPr>
        <w:t>”) which First Stock Award is evidenced by a Stock Agreement entered into by and between Employer and Employee on January 15, 2016 (the “</w:t>
      </w:r>
      <w:r>
        <w:rPr>
          <w:rFonts w:ascii="Arial" w:cs="Arial" w:eastAsia="Arial" w:hAnsi="Arial"/>
          <w:sz w:val="20"/>
          <w:szCs w:val="20"/>
          <w:u w:val="single" w:color="auto"/>
          <w:color w:val="auto"/>
        </w:rPr>
        <w:t>Stock Agreement</w:t>
      </w:r>
      <w:r>
        <w:rPr>
          <w:rFonts w:ascii="Arial" w:cs="Arial" w:eastAsia="Arial" w:hAnsi="Arial"/>
          <w:sz w:val="20"/>
          <w:szCs w:val="20"/>
          <w:color w:val="auto"/>
        </w:rPr>
        <w:t>”). The Stock Agreement is hereby amended to provide that the “Transfer Restriction Release Date” shall mean August 3, 2018.</w:t>
      </w:r>
    </w:p>
    <w:p>
      <w:pPr>
        <w:spacing w:after="0" w:line="221" w:lineRule="exact"/>
        <w:rPr>
          <w:rFonts w:ascii="Arial" w:cs="Arial" w:eastAsia="Arial" w:hAnsi="Arial"/>
          <w:sz w:val="20"/>
          <w:szCs w:val="20"/>
          <w:color w:val="auto"/>
        </w:rPr>
      </w:pPr>
    </w:p>
    <w:p>
      <w:pPr>
        <w:jc w:val="both"/>
        <w:ind w:left="4" w:firstLine="645"/>
        <w:spacing w:after="0" w:line="269" w:lineRule="auto"/>
        <w:tabs>
          <w:tab w:leader="none" w:pos="1124" w:val="left"/>
        </w:tabs>
        <w:numPr>
          <w:ilvl w:val="1"/>
          <w:numId w:val="60"/>
        </w:numPr>
        <w:rPr>
          <w:rFonts w:ascii="Arial" w:cs="Arial" w:eastAsia="Arial" w:hAnsi="Arial"/>
          <w:sz w:val="20"/>
          <w:szCs w:val="20"/>
          <w:color w:val="auto"/>
        </w:rPr>
      </w:pPr>
      <w:r>
        <w:rPr>
          <w:rFonts w:ascii="Arial" w:cs="Arial" w:eastAsia="Arial" w:hAnsi="Arial"/>
          <w:sz w:val="20"/>
          <w:szCs w:val="20"/>
          <w:color w:val="auto"/>
        </w:rPr>
        <w:t>On February 28, 2017, Employer awarded Employee a stock award of 100,000 shares of Employer Common Stock (the “</w:t>
      </w:r>
      <w:r>
        <w:rPr>
          <w:rFonts w:ascii="Arial" w:cs="Arial" w:eastAsia="Arial" w:hAnsi="Arial"/>
          <w:sz w:val="20"/>
          <w:szCs w:val="20"/>
          <w:u w:val="single" w:color="auto"/>
          <w:color w:val="auto"/>
        </w:rPr>
        <w:t>Second Stock Award</w:t>
      </w:r>
      <w:r>
        <w:rPr>
          <w:rFonts w:ascii="Arial" w:cs="Arial" w:eastAsia="Arial" w:hAnsi="Arial"/>
          <w:sz w:val="20"/>
          <w:szCs w:val="20"/>
          <w:color w:val="auto"/>
        </w:rPr>
        <w:t>”) which Second Stock Award is evidenced by a Restricted Stock Agreement entered into by and between Employer and Employee on February 28, 2017 (the “</w:t>
      </w:r>
      <w:r>
        <w:rPr>
          <w:rFonts w:ascii="Arial" w:cs="Arial" w:eastAsia="Arial" w:hAnsi="Arial"/>
          <w:sz w:val="20"/>
          <w:szCs w:val="20"/>
          <w:u w:val="single" w:color="auto"/>
          <w:color w:val="auto"/>
        </w:rPr>
        <w:t>Restricted Stock Agreement</w:t>
      </w:r>
      <w:r>
        <w:rPr>
          <w:rFonts w:ascii="Arial" w:cs="Arial" w:eastAsia="Arial" w:hAnsi="Arial"/>
          <w:sz w:val="20"/>
          <w:szCs w:val="20"/>
          <w:color w:val="auto"/>
        </w:rPr>
        <w:t>”), as amended by that certain First Amendment to Restricted Stock Agreement entered into as of April 17, 2018. The Restricted Stock Agreement is hereby amended to provide that 39,286 shares shall vest effective August 3, 2018, and no further shares shall vest pursuant to the Restricted Stock Agreement.</w:t>
      </w:r>
    </w:p>
    <w:p>
      <w:pPr>
        <w:spacing w:after="0" w:line="222" w:lineRule="exact"/>
        <w:rPr>
          <w:rFonts w:ascii="Arial" w:cs="Arial" w:eastAsia="Arial" w:hAnsi="Arial"/>
          <w:sz w:val="20"/>
          <w:szCs w:val="20"/>
          <w:color w:val="auto"/>
        </w:rPr>
      </w:pPr>
    </w:p>
    <w:p>
      <w:pPr>
        <w:jc w:val="both"/>
        <w:ind w:left="4" w:firstLine="645"/>
        <w:spacing w:after="0" w:line="269" w:lineRule="auto"/>
        <w:tabs>
          <w:tab w:leader="none" w:pos="1124" w:val="left"/>
        </w:tabs>
        <w:numPr>
          <w:ilvl w:val="1"/>
          <w:numId w:val="60"/>
        </w:numPr>
        <w:rPr>
          <w:rFonts w:ascii="Arial" w:cs="Arial" w:eastAsia="Arial" w:hAnsi="Arial"/>
          <w:sz w:val="20"/>
          <w:szCs w:val="20"/>
          <w:color w:val="auto"/>
        </w:rPr>
      </w:pPr>
      <w:r>
        <w:rPr>
          <w:rFonts w:ascii="Arial" w:cs="Arial" w:eastAsia="Arial" w:hAnsi="Arial"/>
          <w:sz w:val="20"/>
          <w:szCs w:val="20"/>
          <w:color w:val="auto"/>
        </w:rPr>
        <w:t>On May 6, 2009, Employer awarded Employee a stock option to purchase 250,000 shares of Employer Common Stock (the “</w:t>
      </w:r>
      <w:r>
        <w:rPr>
          <w:rFonts w:ascii="Arial" w:cs="Arial" w:eastAsia="Arial" w:hAnsi="Arial"/>
          <w:sz w:val="20"/>
          <w:szCs w:val="20"/>
          <w:u w:val="single" w:color="auto"/>
          <w:color w:val="auto"/>
        </w:rPr>
        <w:t>Option</w:t>
      </w:r>
      <w:r>
        <w:rPr>
          <w:rFonts w:ascii="Arial" w:cs="Arial" w:eastAsia="Arial" w:hAnsi="Arial"/>
          <w:sz w:val="20"/>
          <w:szCs w:val="20"/>
          <w:color w:val="auto"/>
        </w:rPr>
        <w:t>”) which Option is evidenced by a Stock Option Grant Notice and Stock Option Agreement dated as of May 6, 2009 (the “</w:t>
      </w:r>
      <w:r>
        <w:rPr>
          <w:rFonts w:ascii="Arial" w:cs="Arial" w:eastAsia="Arial" w:hAnsi="Arial"/>
          <w:sz w:val="20"/>
          <w:szCs w:val="20"/>
          <w:u w:val="single" w:color="auto"/>
          <w:color w:val="auto"/>
        </w:rPr>
        <w:t>Option Agreement</w:t>
      </w:r>
      <w:r>
        <w:rPr>
          <w:rFonts w:ascii="Arial" w:cs="Arial" w:eastAsia="Arial" w:hAnsi="Arial"/>
          <w:sz w:val="20"/>
          <w:szCs w:val="20"/>
          <w:color w:val="auto"/>
        </w:rPr>
        <w:t>”). The Option Agreement is hereby amended to provide that 25,000 shares shall vest and become exercisable effective August 3, 2018, such that the Option shall be fully vested and exercisable as of August 3, 2018</w:t>
      </w:r>
    </w:p>
    <w:p>
      <w:pPr>
        <w:spacing w:after="0" w:line="223" w:lineRule="exact"/>
        <w:rPr>
          <w:rFonts w:ascii="Arial" w:cs="Arial" w:eastAsia="Arial" w:hAnsi="Arial"/>
          <w:sz w:val="20"/>
          <w:szCs w:val="20"/>
          <w:color w:val="auto"/>
        </w:rPr>
      </w:pPr>
    </w:p>
    <w:p>
      <w:pPr>
        <w:ind w:left="4" w:firstLine="645"/>
        <w:spacing w:after="0" w:line="275" w:lineRule="auto"/>
        <w:tabs>
          <w:tab w:leader="none" w:pos="1003" w:val="left"/>
        </w:tabs>
        <w:numPr>
          <w:ilvl w:val="1"/>
          <w:numId w:val="60"/>
        </w:numPr>
        <w:rPr>
          <w:rFonts w:ascii="Arial" w:cs="Arial" w:eastAsia="Arial" w:hAnsi="Arial"/>
          <w:sz w:val="20"/>
          <w:szCs w:val="20"/>
          <w:color w:val="auto"/>
        </w:rPr>
      </w:pPr>
      <w:r>
        <w:rPr>
          <w:rFonts w:ascii="Arial" w:cs="Arial" w:eastAsia="Arial" w:hAnsi="Arial"/>
          <w:sz w:val="20"/>
          <w:szCs w:val="20"/>
          <w:color w:val="auto"/>
        </w:rPr>
        <w:t>Employee understands and agrees that, except as specifically set out in this Agreement, no other wages, vacation, sick pay, benefits, stock, or other compensation is due to Employee.</w:t>
      </w:r>
    </w:p>
    <w:p>
      <w:pPr>
        <w:spacing w:after="0" w:line="202" w:lineRule="exact"/>
        <w:rPr>
          <w:rFonts w:ascii="Arial" w:cs="Arial" w:eastAsia="Arial" w:hAnsi="Arial"/>
          <w:sz w:val="20"/>
          <w:szCs w:val="20"/>
          <w:color w:val="auto"/>
        </w:rPr>
      </w:pPr>
    </w:p>
    <w:p>
      <w:pPr>
        <w:ind w:left="324" w:hanging="324"/>
        <w:spacing w:after="0" w:line="247" w:lineRule="auto"/>
        <w:tabs>
          <w:tab w:leader="none" w:pos="32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Continuing Obligations. Employee acknowledges and agrees that the following provisions of</w:t>
      </w:r>
      <w:r>
        <w:rPr>
          <w:rFonts w:ascii="Arial" w:cs="Arial" w:eastAsia="Arial" w:hAnsi="Arial"/>
          <w:sz w:val="20"/>
          <w:szCs w:val="20"/>
          <w:color w:val="auto"/>
        </w:rPr>
        <w:t xml:space="preserve"> the Employment Agreement remain in full force and effect:</w:t>
      </w:r>
    </w:p>
    <w:p>
      <w:pPr>
        <w:spacing w:after="0" w:line="228" w:lineRule="exact"/>
        <w:rPr>
          <w:rFonts w:ascii="Arial" w:cs="Arial" w:eastAsia="Arial" w:hAnsi="Arial"/>
          <w:sz w:val="20"/>
          <w:szCs w:val="20"/>
          <w:color w:val="auto"/>
        </w:rPr>
      </w:pPr>
    </w:p>
    <w:p>
      <w:pPr>
        <w:ind w:left="2264" w:hanging="1291"/>
        <w:spacing w:after="0"/>
        <w:tabs>
          <w:tab w:leader="none" w:pos="2264" w:val="left"/>
        </w:tabs>
        <w:numPr>
          <w:ilvl w:val="2"/>
          <w:numId w:val="61"/>
        </w:numPr>
        <w:rPr>
          <w:rFonts w:ascii="Arial" w:cs="Arial" w:eastAsia="Arial" w:hAnsi="Arial"/>
          <w:sz w:val="20"/>
          <w:szCs w:val="20"/>
          <w:color w:val="auto"/>
        </w:rPr>
      </w:pPr>
      <w:r>
        <w:rPr>
          <w:rFonts w:ascii="Arial" w:cs="Arial" w:eastAsia="Arial" w:hAnsi="Arial"/>
          <w:sz w:val="20"/>
          <w:szCs w:val="20"/>
          <w:color w:val="auto"/>
        </w:rPr>
        <w:t>Section 9, relating to confidentiality.</w:t>
      </w:r>
    </w:p>
    <w:p>
      <w:pPr>
        <w:sectPr>
          <w:pgSz w:w="11900" w:h="16838" w:orient="portrait"/>
          <w:cols w:equalWidth="0" w:num="1">
            <w:col w:w="10764"/>
          </w:cols>
          <w:pgMar w:left="896" w:top="392" w:right="239" w:bottom="1440" w:gutter="0" w:footer="0" w:header="0"/>
        </w:sectPr>
      </w:pPr>
    </w:p>
    <w:bookmarkStart w:id="84" w:name="page85"/>
    <w:bookmarkEnd w:id="84"/>
    <w:p>
      <w:pPr>
        <w:ind w:left="324" w:right="20" w:firstLine="649"/>
        <w:spacing w:after="0" w:line="275" w:lineRule="auto"/>
        <w:tabs>
          <w:tab w:leader="none" w:pos="1443" w:val="left"/>
        </w:tabs>
        <w:numPr>
          <w:ilvl w:val="1"/>
          <w:numId w:val="62"/>
        </w:numPr>
        <w:rPr>
          <w:rFonts w:ascii="Arial" w:cs="Arial" w:eastAsia="Arial" w:hAnsi="Arial"/>
          <w:sz w:val="20"/>
          <w:szCs w:val="20"/>
          <w:color w:val="auto"/>
        </w:rPr>
      </w:pPr>
      <w:r>
        <w:rPr>
          <w:rFonts w:ascii="Arial" w:cs="Arial" w:eastAsia="Arial" w:hAnsi="Arial"/>
          <w:sz w:val="20"/>
          <w:szCs w:val="20"/>
          <w:color w:val="auto"/>
        </w:rPr>
        <w:t>Section 10(a) relating to non-competition except that the parties agree that Section 10(a) shall expire on December 31, 2018.</w:t>
      </w:r>
    </w:p>
    <w:p>
      <w:pPr>
        <w:spacing w:after="0" w:line="215" w:lineRule="exact"/>
        <w:rPr>
          <w:rFonts w:ascii="Arial" w:cs="Arial" w:eastAsia="Arial" w:hAnsi="Arial"/>
          <w:sz w:val="20"/>
          <w:szCs w:val="20"/>
          <w:color w:val="auto"/>
        </w:rPr>
      </w:pPr>
    </w:p>
    <w:p>
      <w:pPr>
        <w:ind w:left="324" w:firstLine="649"/>
        <w:spacing w:after="0" w:line="275" w:lineRule="auto"/>
        <w:tabs>
          <w:tab w:leader="none" w:pos="1506" w:val="left"/>
        </w:tabs>
        <w:numPr>
          <w:ilvl w:val="1"/>
          <w:numId w:val="62"/>
        </w:numPr>
        <w:rPr>
          <w:rFonts w:ascii="Arial" w:cs="Arial" w:eastAsia="Arial" w:hAnsi="Arial"/>
          <w:sz w:val="20"/>
          <w:szCs w:val="20"/>
          <w:color w:val="auto"/>
        </w:rPr>
      </w:pPr>
      <w:r>
        <w:rPr>
          <w:rFonts w:ascii="Arial" w:cs="Arial" w:eastAsia="Arial" w:hAnsi="Arial"/>
          <w:sz w:val="20"/>
          <w:szCs w:val="20"/>
          <w:color w:val="auto"/>
        </w:rPr>
        <w:t>Section 21 of the Employment Agreement relating to arbitration shall remain in full force and effect and this Agreement shall be covered by such arbitration provision.</w:t>
      </w:r>
    </w:p>
    <w:p>
      <w:pPr>
        <w:spacing w:after="0" w:line="202" w:lineRule="exact"/>
        <w:rPr>
          <w:rFonts w:ascii="Arial" w:cs="Arial" w:eastAsia="Arial" w:hAnsi="Arial"/>
          <w:sz w:val="20"/>
          <w:szCs w:val="20"/>
          <w:color w:val="auto"/>
        </w:rPr>
      </w:pPr>
    </w:p>
    <w:p>
      <w:pPr>
        <w:jc w:val="both"/>
        <w:ind w:left="324" w:hanging="324"/>
        <w:spacing w:after="0" w:line="239" w:lineRule="auto"/>
        <w:tabs>
          <w:tab w:leader="none" w:pos="324"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Waiver and Release</w:t>
      </w:r>
      <w:r>
        <w:rPr>
          <w:rFonts w:ascii="Arial" w:cs="Arial" w:eastAsia="Arial" w:hAnsi="Arial"/>
          <w:sz w:val="20"/>
          <w:szCs w:val="20"/>
          <w:color w:val="auto"/>
        </w:rPr>
        <w:t>. Except as set forth in Section 1(c) above, Employee, for Employee, Employee’s spouse, children, heirs, executors, administrators, successors and assigns (hereinafter “Releasors”), to the extent permitted by applicable law, hereby fully and forever releases, acquits, discharges and promises not to sue Employer and its past, present and future parent and/or subsidiary entities, divisions, affiliates and any of their present or future partners, owners, joint venturers, , predecessors, successors, officers, directors, administrators, employees, agents, representatives, attorneys, heirs, executors, assigns, insurers, benefit and retirement plans and/or their trustees and any other person, firm or corporation with whom any of them is now or may hereafter be affiliated, and any of their successors and assigns, excluding from the scope of this release any individual or entity acting at the control or direction of any person not included in this release (the persons and/or entities released hereunder, the “Releasees”), over any and all claims, counterclaims, agreements, debts, promises, grievances, complaints, demands, obligations, losses, causes of action, suits, controversies, actions, cross-claims, counter-claims, costs, expenses, attorney’s fees, demands, compensatory damages, liquidated damages, punitive or exemplary damages, any other damages, liabilities and indemnities of any nature whatsoever, at law or in equity, whether negligent or intentional, whether now known or unknown, discovered now or in the future, (a) from the beginning of time through the date upon which Employee signs this Agreement; (b) arising from or in any way related to Employee’s employment or termination of employment with any of the Releasees; (c) arising from or in any way related to any agreement with any of the Releasees, including but not limited to the Employment Agreement; and/or (d) arising from or in any way related to awards, policies, plans, programs or practices of any of the Releasees that may apply to Employee or in which Employee may participate, in each case, including, but not limited to, under any federal, state or local law, act, statute, code, order, judgment, injunction, ruling, decree, writ, ordinance or regulation, including, but not limited to, any claims based on race, age, disability, national origin, religion, gender, sexual orientation, marital status, veteran status, protected activity, compensation and benefits from employment, including stock, stock options, stock option agreements and retirement plans, whether based on contract, tort, statute or other legal or equitable theory of recovery, whether mature or to mature in the future.</w:t>
      </w:r>
    </w:p>
    <w:p>
      <w:pPr>
        <w:spacing w:after="0" w:line="243" w:lineRule="exact"/>
        <w:rPr>
          <w:rFonts w:ascii="Arial" w:cs="Arial" w:eastAsia="Arial" w:hAnsi="Arial"/>
          <w:sz w:val="20"/>
          <w:szCs w:val="20"/>
          <w:color w:val="auto"/>
        </w:rPr>
      </w:pPr>
    </w:p>
    <w:p>
      <w:pPr>
        <w:jc w:val="both"/>
        <w:ind w:left="324"/>
        <w:spacing w:after="0"/>
        <w:rPr>
          <w:rFonts w:ascii="Arial" w:cs="Arial" w:eastAsia="Arial" w:hAnsi="Arial"/>
          <w:sz w:val="20"/>
          <w:szCs w:val="20"/>
          <w:color w:val="auto"/>
        </w:rPr>
      </w:pPr>
      <w:r>
        <w:rPr>
          <w:rFonts w:ascii="Arial" w:cs="Arial" w:eastAsia="Arial" w:hAnsi="Arial"/>
          <w:sz w:val="20"/>
          <w:szCs w:val="20"/>
          <w:color w:val="auto"/>
        </w:rPr>
        <w:t>Without limiting the foregoing, except as set forth in Section 1(c) above, this Agreement applies to any and all matters that have been or which could have been asserted against any Releasee in a lawsuit or in any state or federal judicial or administrative forum, up to the Execution Date under the Nevada Fair Employment Practices Act, the Equal Pay Act, the Family and Medical Leave Act of 1993, as amended, the Genetic Information Nondiscrimination Act of 2008, the National Labor Relations Act, as amended, Title VII of the Civil Rights Act of 1964, as amended, the Post-Civil War Reconstruction Acts, as amended (42 U.S.C. §§ 1981-1988), the Age Discrimination in Employment Act of 1967, as amended, the Americans with Disabilities Act of 1990, as amended, the Rehabilitation Act of 1973, as amended, the Employee Retirement Income Security Act of 1974, as amended, the Civil Rights Act of 1991, the Pregnancy Discrimination Act, any other federal statute, any state civil rights act, any state statutory wage claim such as those contained in Chapter 608 of the Nevada Revised Statutes, any other statutory claim, any claim of wrongful discharge, any claim in tort or contract (including but not</w:t>
      </w:r>
    </w:p>
    <w:p>
      <w:pPr>
        <w:sectPr>
          <w:pgSz w:w="11900" w:h="16838" w:orient="portrait"/>
          <w:cols w:equalWidth="0" w:num="1">
            <w:col w:w="10764"/>
          </w:cols>
          <w:pgMar w:left="896" w:top="393" w:right="239" w:bottom="1440" w:gutter="0" w:footer="0" w:header="0"/>
        </w:sectPr>
      </w:pPr>
    </w:p>
    <w:bookmarkStart w:id="85" w:name="page86"/>
    <w:bookmarkEnd w:id="85"/>
    <w:p>
      <w:pPr>
        <w:jc w:val="both"/>
        <w:ind w:left="324"/>
        <w:spacing w:after="0" w:line="242" w:lineRule="auto"/>
        <w:rPr>
          <w:sz w:val="20"/>
          <w:szCs w:val="20"/>
          <w:color w:val="auto"/>
        </w:rPr>
      </w:pPr>
      <w:r>
        <w:rPr>
          <w:rFonts w:ascii="Arial" w:cs="Arial" w:eastAsia="Arial" w:hAnsi="Arial"/>
          <w:sz w:val="20"/>
          <w:szCs w:val="20"/>
          <w:color w:val="auto"/>
        </w:rPr>
        <w:t>limited to the Employment Agreement), any claim seeking declaratory, injunctive, or equitable relief, or any other claim of any type whatsoever arising out of the common law of any state. Notwithstanding the above, this Agreement does not apply to any rights, obligations or claims governed by Chapter 612 of the Nevada Revised Statutes pertaining to unemployment compensation.</w:t>
      </w:r>
    </w:p>
    <w:p>
      <w:pPr>
        <w:spacing w:after="0" w:line="220" w:lineRule="exact"/>
        <w:rPr>
          <w:sz w:val="20"/>
          <w:szCs w:val="20"/>
          <w:color w:val="auto"/>
        </w:rPr>
      </w:pPr>
    </w:p>
    <w:p>
      <w:pPr>
        <w:jc w:val="both"/>
        <w:ind w:left="324"/>
        <w:spacing w:after="0"/>
        <w:rPr>
          <w:sz w:val="20"/>
          <w:szCs w:val="20"/>
          <w:color w:val="auto"/>
        </w:rPr>
      </w:pPr>
      <w:r>
        <w:rPr>
          <w:rFonts w:ascii="Arial" w:cs="Arial" w:eastAsia="Arial" w:hAnsi="Arial"/>
          <w:sz w:val="20"/>
          <w:szCs w:val="20"/>
          <w:color w:val="auto"/>
        </w:rPr>
        <w:t>This Agreement is not intended to bar or affect any claims that may not be waived by private agreement under applicable law, or any claims that may be brought under the Indemnification Agreement. This Agreement also does not limit any party's right to file an administrative charge or participate in an investigative proceeding of any federal, state or local government agency tasked with enforcing employment-related laws, such as the U.S. Equal Employment Opportunity Commission, the Department of Labor, or the National Labor Relations Board, or their state level equivalents, but does operate as a waiver of any personal recovery if related to the claims released herein. For example, and for the avoidance of doubt, this Agreement shall not bar any claims for indemnification or advancement for any claims arising out of or in any way relating to the fact that Employer and Employee have entered into this Agreement, including those that may be brought by any shareholder directly or in the name of Employer.</w:t>
      </w:r>
    </w:p>
    <w:p>
      <w:pPr>
        <w:spacing w:after="0" w:line="213" w:lineRule="exact"/>
        <w:rPr>
          <w:sz w:val="20"/>
          <w:szCs w:val="20"/>
          <w:color w:val="auto"/>
        </w:rPr>
      </w:pPr>
    </w:p>
    <w:p>
      <w:pPr>
        <w:ind w:left="324" w:right="20" w:hanging="324"/>
        <w:spacing w:after="0" w:line="247" w:lineRule="auto"/>
        <w:tabs>
          <w:tab w:leader="none" w:pos="324"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and all notices required by this Agreement shall be either hand-delivered or mailed, via certified mail, return receipt requested, and email addressed to:</w:t>
      </w:r>
    </w:p>
    <w:p>
      <w:pPr>
        <w:spacing w:after="0" w:line="200" w:lineRule="exact"/>
        <w:rPr>
          <w:sz w:val="20"/>
          <w:szCs w:val="20"/>
          <w:color w:val="auto"/>
        </w:rPr>
      </w:pPr>
    </w:p>
    <w:p>
      <w:pPr>
        <w:spacing w:after="0" w:line="231" w:lineRule="exact"/>
        <w:rPr>
          <w:sz w:val="20"/>
          <w:szCs w:val="20"/>
          <w:color w:val="auto"/>
        </w:rPr>
      </w:pPr>
    </w:p>
    <w:p>
      <w:pPr>
        <w:ind w:left="644"/>
        <w:spacing w:after="0"/>
        <w:tabs>
          <w:tab w:leader="none" w:pos="2283" w:val="left"/>
        </w:tabs>
        <w:rPr>
          <w:sz w:val="20"/>
          <w:szCs w:val="20"/>
          <w:color w:val="auto"/>
        </w:rPr>
      </w:pPr>
      <w:r>
        <w:rPr>
          <w:rFonts w:ascii="Arial" w:cs="Arial" w:eastAsia="Arial" w:hAnsi="Arial"/>
          <w:sz w:val="20"/>
          <w:szCs w:val="20"/>
          <w:u w:val="single" w:color="auto"/>
          <w:color w:val="auto"/>
        </w:rPr>
        <w:t>TO EMPLOYER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Wynn Resorts, Limited</w:t>
      </w:r>
    </w:p>
    <w:p>
      <w:pPr>
        <w:spacing w:after="0" w:line="216"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3131 Las Vegas Boulevard South</w:t>
      </w:r>
    </w:p>
    <w:p>
      <w:pPr>
        <w:spacing w:after="0" w:line="216" w:lineRule="exact"/>
        <w:rPr>
          <w:sz w:val="20"/>
          <w:szCs w:val="20"/>
          <w:color w:val="auto"/>
        </w:rPr>
      </w:pPr>
    </w:p>
    <w:p>
      <w:pPr>
        <w:ind w:left="2584"/>
        <w:spacing w:after="0"/>
        <w:rPr>
          <w:sz w:val="20"/>
          <w:szCs w:val="20"/>
          <w:color w:val="auto"/>
        </w:rPr>
      </w:pPr>
      <w:r>
        <w:rPr>
          <w:rFonts w:ascii="Arial" w:cs="Arial" w:eastAsia="Arial" w:hAnsi="Arial"/>
          <w:sz w:val="20"/>
          <w:szCs w:val="20"/>
          <w:color w:val="auto"/>
        </w:rPr>
        <w:t>Las Vegas, Nevada 89109</w:t>
      </w:r>
    </w:p>
    <w:p>
      <w:pPr>
        <w:spacing w:after="0" w:line="216" w:lineRule="exact"/>
        <w:rPr>
          <w:sz w:val="20"/>
          <w:szCs w:val="20"/>
          <w:color w:val="auto"/>
        </w:rPr>
      </w:pPr>
    </w:p>
    <w:p>
      <w:pPr>
        <w:ind w:left="2584"/>
        <w:spacing w:after="0"/>
        <w:rPr>
          <w:sz w:val="20"/>
          <w:szCs w:val="20"/>
          <w:color w:val="auto"/>
        </w:rPr>
      </w:pPr>
      <w:r>
        <w:rPr>
          <w:rFonts w:ascii="Arial" w:cs="Arial" w:eastAsia="Arial" w:hAnsi="Arial"/>
          <w:sz w:val="20"/>
          <w:szCs w:val="20"/>
          <w:color w:val="auto"/>
        </w:rPr>
        <w:t>Ellen.Whittemore@wynn.resorts.com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4"/>
        <w:spacing w:after="0"/>
        <w:tabs>
          <w:tab w:leader="none" w:pos="2283" w:val="left"/>
        </w:tabs>
        <w:rPr>
          <w:sz w:val="20"/>
          <w:szCs w:val="20"/>
          <w:color w:val="auto"/>
        </w:rPr>
      </w:pPr>
      <w:r>
        <w:rPr>
          <w:rFonts w:ascii="Arial" w:cs="Arial" w:eastAsia="Arial" w:hAnsi="Arial"/>
          <w:sz w:val="20"/>
          <w:szCs w:val="20"/>
          <w:u w:val="single" w:color="auto"/>
          <w:color w:val="auto"/>
        </w:rPr>
        <w:t>TO EMPLOYEE:</w:t>
      </w:r>
      <w:r>
        <w:rPr>
          <w:sz w:val="20"/>
          <w:szCs w:val="20"/>
          <w:color w:val="auto"/>
        </w:rPr>
        <w:tab/>
      </w:r>
      <w:r>
        <w:rPr>
          <w:rFonts w:ascii="Arial" w:cs="Arial" w:eastAsia="Arial" w:hAnsi="Arial"/>
          <w:sz w:val="19"/>
          <w:szCs w:val="19"/>
          <w:color w:val="auto"/>
        </w:rPr>
        <w:t>Kim Sinatra</w:t>
      </w:r>
    </w:p>
    <w:p>
      <w:pPr>
        <w:spacing w:after="0" w:line="216" w:lineRule="exact"/>
        <w:rPr>
          <w:sz w:val="20"/>
          <w:szCs w:val="20"/>
          <w:color w:val="auto"/>
        </w:rPr>
      </w:pPr>
    </w:p>
    <w:p>
      <w:pPr>
        <w:ind w:left="2584"/>
        <w:spacing w:after="0"/>
        <w:rPr>
          <w:sz w:val="20"/>
          <w:szCs w:val="20"/>
          <w:color w:val="auto"/>
        </w:rPr>
      </w:pPr>
      <w:r>
        <w:rPr>
          <w:rFonts w:ascii="Arial" w:cs="Arial" w:eastAsia="Arial" w:hAnsi="Arial"/>
          <w:sz w:val="20"/>
          <w:szCs w:val="20"/>
          <w:color w:val="auto"/>
        </w:rPr>
        <w:t>[intentionally omitted]</w:t>
      </w:r>
    </w:p>
    <w:p>
      <w:pPr>
        <w:spacing w:after="0" w:line="216" w:lineRule="exact"/>
        <w:rPr>
          <w:sz w:val="20"/>
          <w:szCs w:val="20"/>
          <w:color w:val="auto"/>
        </w:rPr>
      </w:pPr>
    </w:p>
    <w:p>
      <w:pPr>
        <w:ind w:left="2584"/>
        <w:spacing w:after="0"/>
        <w:rPr>
          <w:sz w:val="20"/>
          <w:szCs w:val="20"/>
          <w:color w:val="auto"/>
        </w:rPr>
      </w:pPr>
      <w:r>
        <w:rPr>
          <w:rFonts w:ascii="Arial" w:cs="Arial" w:eastAsia="Arial" w:hAnsi="Arial"/>
          <w:sz w:val="20"/>
          <w:szCs w:val="20"/>
          <w:color w:val="auto"/>
        </w:rPr>
        <w:t>[intentionally omitted]</w:t>
      </w:r>
    </w:p>
    <w:p>
      <w:pPr>
        <w:spacing w:after="0" w:line="216" w:lineRule="exact"/>
        <w:rPr>
          <w:sz w:val="20"/>
          <w:szCs w:val="20"/>
          <w:color w:val="auto"/>
        </w:rPr>
      </w:pPr>
    </w:p>
    <w:p>
      <w:pPr>
        <w:ind w:left="2584"/>
        <w:spacing w:after="0"/>
        <w:rPr>
          <w:sz w:val="20"/>
          <w:szCs w:val="20"/>
          <w:color w:val="auto"/>
        </w:rPr>
      </w:pPr>
      <w:r>
        <w:rPr>
          <w:rFonts w:ascii="Arial" w:cs="Arial" w:eastAsia="Arial" w:hAnsi="Arial"/>
          <w:sz w:val="20"/>
          <w:szCs w:val="20"/>
          <w:color w:val="auto"/>
        </w:rPr>
        <w:t>[intentionally omitted]</w:t>
      </w:r>
    </w:p>
    <w:p>
      <w:pPr>
        <w:spacing w:after="0" w:line="200" w:lineRule="exact"/>
        <w:rPr>
          <w:sz w:val="20"/>
          <w:szCs w:val="20"/>
          <w:color w:val="auto"/>
        </w:rPr>
      </w:pPr>
    </w:p>
    <w:p>
      <w:pPr>
        <w:spacing w:after="0" w:line="245" w:lineRule="exact"/>
        <w:rPr>
          <w:sz w:val="20"/>
          <w:szCs w:val="20"/>
          <w:color w:val="auto"/>
        </w:rPr>
      </w:pPr>
    </w:p>
    <w:p>
      <w:pPr>
        <w:jc w:val="both"/>
        <w:ind w:left="324"/>
        <w:spacing w:after="0" w:line="243" w:lineRule="auto"/>
        <w:rPr>
          <w:sz w:val="20"/>
          <w:szCs w:val="20"/>
          <w:color w:val="auto"/>
        </w:rPr>
      </w:pPr>
      <w:r>
        <w:rPr>
          <w:rFonts w:ascii="Arial" w:cs="Arial" w:eastAsia="Arial" w:hAnsi="Arial"/>
          <w:sz w:val="20"/>
          <w:szCs w:val="20"/>
          <w:color w:val="auto"/>
        </w:rPr>
        <w:t>All notices hand-delivered shall be deemed delivered as of the date actually delivered to the addressee. All notices mailed shall be deemed delivered as of three (3) business days after the date postmarked. Any changes in any of the addresses listed herein shall be made by notice as provided in this Section 4.</w:t>
      </w:r>
    </w:p>
    <w:p>
      <w:pPr>
        <w:spacing w:after="0" w:line="206" w:lineRule="exact"/>
        <w:rPr>
          <w:sz w:val="20"/>
          <w:szCs w:val="20"/>
          <w:color w:val="auto"/>
        </w:rPr>
      </w:pPr>
    </w:p>
    <w:p>
      <w:pPr>
        <w:jc w:val="both"/>
        <w:ind w:left="324" w:hanging="324"/>
        <w:spacing w:after="0" w:line="242" w:lineRule="auto"/>
        <w:tabs>
          <w:tab w:leader="none" w:pos="324"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Governing Law; Arbitration; Jury Waiver</w:t>
      </w:r>
      <w:r>
        <w:rPr>
          <w:rFonts w:ascii="Arial" w:cs="Arial" w:eastAsia="Arial" w:hAnsi="Arial"/>
          <w:sz w:val="20"/>
          <w:szCs w:val="20"/>
          <w:color w:val="auto"/>
        </w:rPr>
        <w:t>. This Agreement shall be governed by and construed in accordance with the laws of the State of Nevada, without regard to conflict of laws principles. Any and all claims or disputes arising out of or in connection with this Agreement shall be submitted to binding arbitration in accordance Section 21 of the Employment Agreement, except</w:t>
      </w:r>
    </w:p>
    <w:p>
      <w:pPr>
        <w:sectPr>
          <w:pgSz w:w="11900" w:h="16838" w:orient="portrait"/>
          <w:cols w:equalWidth="0" w:num="1">
            <w:col w:w="10764"/>
          </w:cols>
          <w:pgMar w:left="896" w:top="379" w:right="239" w:bottom="1440" w:gutter="0" w:footer="0" w:header="0"/>
        </w:sectPr>
      </w:pPr>
    </w:p>
    <w:bookmarkStart w:id="86" w:name="page87"/>
    <w:bookmarkEnd w:id="86"/>
    <w:p>
      <w:pPr>
        <w:jc w:val="both"/>
        <w:ind w:left="980"/>
        <w:spacing w:after="0" w:line="271" w:lineRule="auto"/>
        <w:rPr>
          <w:sz w:val="20"/>
          <w:szCs w:val="20"/>
          <w:color w:val="auto"/>
        </w:rPr>
      </w:pPr>
      <w:r>
        <w:rPr>
          <w:rFonts w:ascii="Arial" w:cs="Arial" w:eastAsia="Arial" w:hAnsi="Arial"/>
          <w:sz w:val="20"/>
          <w:szCs w:val="20"/>
          <w:color w:val="auto"/>
        </w:rPr>
        <w:t>for those provisions expressly authorizing injunctive relief. EMPLOYEE EXPRESSLY WAIVES THE RIGHT TO TRIAL BY JURY IN ANY ACTION OR PROCEEDING RELATING TO OR ARISING IN ANY WAY FROM THIS AGREEMENT OR THE MATTERS CONTEMPLATED.</w:t>
      </w:r>
    </w:p>
    <w:p>
      <w:pPr>
        <w:spacing w:after="0" w:line="207"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IN WITNESS WHEREOF, the parties hereto have caused this Agreement to be executed and effective as of the date first written above.</w:t>
      </w:r>
    </w:p>
    <w:p>
      <w:pPr>
        <w:spacing w:after="0" w:line="353" w:lineRule="exact"/>
        <w:rPr>
          <w:sz w:val="20"/>
          <w:szCs w:val="20"/>
          <w:color w:val="auto"/>
        </w:rPr>
      </w:pPr>
    </w:p>
    <w:tbl>
      <w:tblPr>
        <w:tblLayout w:type="fixed"/>
        <w:tblInd w:w="1260" w:type="dxa"/>
        <w:tblCellMar>
          <w:top w:w="0" w:type="dxa"/>
          <w:left w:w="0" w:type="dxa"/>
          <w:bottom w:w="0" w:type="dxa"/>
          <w:right w:w="0" w:type="dxa"/>
        </w:tblCellMar>
      </w:tblPr>
      <w:tr>
        <w:trPr>
          <w:trHeight w:val="261"/>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WYNN RESORTS, LIMITED</w:t>
            </w:r>
          </w:p>
        </w:tc>
        <w:tc>
          <w:tcPr>
            <w:tcW w:w="4200" w:type="dxa"/>
            <w:vAlign w:val="bottom"/>
          </w:tcPr>
          <w:p>
            <w:pPr>
              <w:ind w:left="780"/>
              <w:spacing w:after="0"/>
              <w:rPr>
                <w:sz w:val="20"/>
                <w:szCs w:val="20"/>
                <w:color w:val="auto"/>
              </w:rPr>
            </w:pPr>
            <w:r>
              <w:rPr>
                <w:rFonts w:ascii="Arial" w:cs="Arial" w:eastAsia="Arial" w:hAnsi="Arial"/>
                <w:sz w:val="20"/>
                <w:szCs w:val="20"/>
                <w:b w:val="1"/>
                <w:bCs w:val="1"/>
                <w:color w:val="auto"/>
              </w:rPr>
              <w:t>EMPLOYEE</w:t>
            </w:r>
          </w:p>
        </w:tc>
        <w:tc>
          <w:tcPr>
            <w:tcW w:w="0" w:type="dxa"/>
            <w:vAlign w:val="bottom"/>
          </w:tcPr>
          <w:p>
            <w:pPr>
              <w:spacing w:after="0"/>
              <w:rPr>
                <w:sz w:val="1"/>
                <w:szCs w:val="1"/>
                <w:color w:val="auto"/>
              </w:rPr>
            </w:pPr>
          </w:p>
        </w:tc>
      </w:tr>
      <w:tr>
        <w:trPr>
          <w:trHeight w:val="203"/>
        </w:trPr>
        <w:tc>
          <w:tcPr>
            <w:tcW w:w="4180" w:type="dxa"/>
            <w:vAlign w:val="bottom"/>
            <w:vMerge w:val="continue"/>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4180" w:type="dxa"/>
            <w:vAlign w:val="bottom"/>
          </w:tcPr>
          <w:p>
            <w:pPr>
              <w:spacing w:after="0"/>
              <w:rPr>
                <w:sz w:val="20"/>
                <w:szCs w:val="20"/>
                <w:color w:val="auto"/>
              </w:rPr>
            </w:pPr>
            <w:r>
              <w:rPr>
                <w:rFonts w:ascii="Arial" w:cs="Arial" w:eastAsia="Arial" w:hAnsi="Arial"/>
                <w:sz w:val="20"/>
                <w:szCs w:val="20"/>
                <w:color w:val="auto"/>
              </w:rPr>
              <w:t>/s/ Matt Maddox</w:t>
            </w:r>
          </w:p>
        </w:tc>
        <w:tc>
          <w:tcPr>
            <w:tcW w:w="4200" w:type="dxa"/>
            <w:vAlign w:val="bottom"/>
          </w:tcPr>
          <w:p>
            <w:pPr>
              <w:ind w:left="780"/>
              <w:spacing w:after="0"/>
              <w:rPr>
                <w:sz w:val="20"/>
                <w:szCs w:val="20"/>
                <w:color w:val="auto"/>
              </w:rPr>
            </w:pPr>
            <w:r>
              <w:rPr>
                <w:rFonts w:ascii="Arial" w:cs="Arial" w:eastAsia="Arial" w:hAnsi="Arial"/>
                <w:sz w:val="20"/>
                <w:szCs w:val="20"/>
                <w:color w:val="auto"/>
              </w:rPr>
              <w:t>/s/ Kim Sinatra</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20"/>
                <w:szCs w:val="20"/>
                <w:color w:val="auto"/>
              </w:rPr>
              <w:t>_______________________________</w:t>
            </w:r>
          </w:p>
        </w:tc>
        <w:tc>
          <w:tcPr>
            <w:tcW w:w="4200" w:type="dxa"/>
            <w:vAlign w:val="bottom"/>
          </w:tcPr>
          <w:p>
            <w:pPr>
              <w:ind w:left="780"/>
              <w:spacing w:after="0"/>
              <w:rPr>
                <w:sz w:val="20"/>
                <w:szCs w:val="20"/>
                <w:color w:val="auto"/>
              </w:rPr>
            </w:pPr>
            <w:r>
              <w:rPr>
                <w:rFonts w:ascii="Arial" w:cs="Arial" w:eastAsia="Arial" w:hAnsi="Arial"/>
                <w:sz w:val="20"/>
                <w:szCs w:val="20"/>
                <w:color w:val="auto"/>
                <w:w w:val="98"/>
              </w:rPr>
              <w:t>_______________________________</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20"/>
                <w:szCs w:val="20"/>
                <w:color w:val="auto"/>
              </w:rPr>
              <w:t>Matt Maddox, Chief Executive Officer</w:t>
            </w:r>
          </w:p>
        </w:tc>
        <w:tc>
          <w:tcPr>
            <w:tcW w:w="4200" w:type="dxa"/>
            <w:vAlign w:val="bottom"/>
          </w:tcPr>
          <w:p>
            <w:pPr>
              <w:ind w:left="780"/>
              <w:spacing w:after="0"/>
              <w:rPr>
                <w:sz w:val="20"/>
                <w:szCs w:val="20"/>
                <w:color w:val="auto"/>
              </w:rPr>
            </w:pPr>
            <w:r>
              <w:rPr>
                <w:rFonts w:ascii="Arial" w:cs="Arial" w:eastAsia="Arial" w:hAnsi="Arial"/>
                <w:sz w:val="20"/>
                <w:szCs w:val="20"/>
                <w:color w:val="auto"/>
              </w:rPr>
              <w:t>Kim Sinatra</w:t>
            </w:r>
          </w:p>
        </w:tc>
        <w:tc>
          <w:tcPr>
            <w:tcW w:w="0" w:type="dxa"/>
            <w:vAlign w:val="bottom"/>
          </w:tcPr>
          <w:p>
            <w:pPr>
              <w:spacing w:after="0"/>
              <w:rPr>
                <w:sz w:val="1"/>
                <w:szCs w:val="1"/>
                <w:color w:val="auto"/>
              </w:rPr>
            </w:pPr>
          </w:p>
        </w:tc>
      </w:tr>
    </w:tbl>
    <w:p>
      <w:pPr>
        <w:sectPr>
          <w:pgSz w:w="11900" w:h="16838" w:orient="portrait"/>
          <w:cols w:equalWidth="0" w:num="1">
            <w:col w:w="11420"/>
          </w:cols>
          <w:pgMar w:left="240" w:top="39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2018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8, 2018</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8, 2018</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lowerRoman"/>
      <w:start w:val="5"/>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1"/>
    </w:lvl>
    <w:lvl w:ilvl="1">
      <w:lvlJc w:val="left"/>
      <w:lvlText w:val="(%2)"/>
      <w:numFmt w:val="lowerLetter"/>
      <w:start w:val="1"/>
    </w:lvl>
  </w:abstractNum>
  <w:abstractNum w:abstractNumId="21">
    <w:nsid w:val="57E4CCAF"/>
    <w:multiLevelType w:val="hybridMultilevel"/>
    <w:lvl w:ilvl="0">
      <w:lvlJc w:val="left"/>
      <w:lvlText w:val="(%1)"/>
      <w:numFmt w:val="lowerLetter"/>
      <w:start w:val="2"/>
    </w:lvl>
    <w:lvl w:ilvl="1">
      <w:lvlJc w:val="left"/>
      <w:lvlText w:val="(%2)"/>
      <w:numFmt w:val="lowerRoman"/>
      <w:start w:val="1"/>
    </w:lvl>
  </w:abstractNum>
  <w:abstractNum w:abstractNumId="22">
    <w:nsid w:val="7A6D8D3C"/>
    <w:multiLevelType w:val="hybridMultilevel"/>
    <w:lvl w:ilvl="0">
      <w:lvlJc w:val="left"/>
      <w:lvlText w:val="(%1)"/>
      <w:numFmt w:val="lowerRoman"/>
      <w:start w:val="11"/>
    </w:lvl>
  </w:abstractNum>
  <w:abstractNum w:abstractNumId="23">
    <w:nsid w:val="4B588F54"/>
    <w:multiLevelType w:val="hybridMultilevel"/>
    <w:lvl w:ilvl="0">
      <w:lvlJc w:val="left"/>
      <w:lvlText w:val="(%1)"/>
      <w:numFmt w:val="lowerLetter"/>
      <w:start w:val="4"/>
    </w:lvl>
    <w:lvl w:ilvl="1">
      <w:lvlJc w:val="left"/>
      <w:lvlText w:val="(%2)"/>
      <w:numFmt w:val="lowerRoman"/>
      <w:start w:val="1"/>
    </w:lvl>
  </w:abstractNum>
  <w:abstractNum w:abstractNumId="24">
    <w:nsid w:val="542289EC"/>
    <w:multiLevelType w:val="hybridMultilevel"/>
    <w:lvl w:ilvl="0">
      <w:lvlJc w:val="left"/>
      <w:lvlText w:val="(%1)"/>
      <w:numFmt w:val="lowerLetter"/>
      <w:start w:val="5"/>
    </w:lvl>
  </w:abstractNum>
  <w:abstractNum w:abstractNumId="25">
    <w:nsid w:val="6DE91B18"/>
    <w:multiLevelType w:val="hybridMultilevel"/>
    <w:lvl w:ilvl="0">
      <w:lvlJc w:val="left"/>
      <w:lvlText w:val="(%1)"/>
      <w:numFmt w:val="lowerLetter"/>
      <w:start w:val="8"/>
    </w:lvl>
    <w:lvl w:ilvl="1">
      <w:lvlJc w:val="left"/>
      <w:lvlText w:val="(%2)"/>
      <w:numFmt w:val="lowerRoman"/>
      <w:start w:val="1"/>
    </w:lvl>
  </w:abstractNum>
  <w:abstractNum w:abstractNumId="26">
    <w:nsid w:val="38437FDB"/>
    <w:multiLevelType w:val="hybridMultilevel"/>
    <w:lvl w:ilvl="0">
      <w:lvlJc w:val="left"/>
      <w:lvlText w:val="(%1)"/>
      <w:numFmt w:val="lowerLetter"/>
      <w:start w:val="10"/>
    </w:lvl>
  </w:abstractNum>
  <w:abstractNum w:abstractNumId="27">
    <w:nsid w:val="7644A45C"/>
    <w:multiLevelType w:val="hybridMultilevel"/>
    <w:lvl w:ilvl="0">
      <w:lvlJc w:val="left"/>
      <w:lvlText w:val="%1"/>
      <w:numFmt w:val="decimal"/>
      <w:start w:val="1"/>
    </w:lvl>
    <w:lvl w:ilvl="1">
      <w:lvlJc w:val="left"/>
      <w:lvlText w:val="(%2)"/>
      <w:numFmt w:val="lowerLetter"/>
      <w:start w:val="11"/>
    </w:lvl>
  </w:abstractNum>
  <w:abstractNum w:abstractNumId="28">
    <w:nsid w:val="32FFF902"/>
    <w:multiLevelType w:val="hybridMultilevel"/>
    <w:lvl w:ilvl="0">
      <w:lvlJc w:val="left"/>
      <w:lvlText w:val="%1."/>
      <w:numFmt w:val="decimal"/>
      <w:start w:val="2"/>
    </w:lvl>
    <w:lvl w:ilvl="1">
      <w:lvlJc w:val="left"/>
      <w:lvlText w:val="%2"/>
      <w:numFmt w:val="lowerLetter"/>
      <w:start w:val="1"/>
    </w:lvl>
  </w:abstractNum>
  <w:abstractNum w:abstractNumId="29">
    <w:nsid w:val="684A481A"/>
    <w:multiLevelType w:val="hybridMultilevel"/>
    <w:lvl w:ilvl="0">
      <w:lvlJc w:val="left"/>
      <w:lvlText w:val="%1."/>
      <w:numFmt w:val="decimal"/>
      <w:start w:val="4"/>
    </w:lvl>
  </w:abstractNum>
  <w:abstractNum w:abstractNumId="30">
    <w:nsid w:val="579478FE"/>
    <w:multiLevelType w:val="hybridMultilevel"/>
    <w:lvl w:ilvl="0">
      <w:lvlJc w:val="left"/>
      <w:lvlText w:val="%1."/>
      <w:numFmt w:val="decimal"/>
      <w:start w:val="5"/>
    </w:lvl>
  </w:abstractNum>
  <w:abstractNum w:abstractNumId="31">
    <w:nsid w:val="749ABB43"/>
    <w:multiLevelType w:val="hybridMultilevel"/>
    <w:lvl w:ilvl="0">
      <w:lvlJc w:val="left"/>
      <w:lvlText w:val="%1."/>
      <w:numFmt w:val="decimal"/>
      <w:start w:val="6"/>
    </w:lvl>
    <w:lvl w:ilvl="1">
      <w:lvlJc w:val="left"/>
      <w:lvlText w:val="(%2)"/>
      <w:numFmt w:val="lowerLetter"/>
      <w:start w:val="1"/>
    </w:lvl>
  </w:abstractNum>
  <w:abstractNum w:abstractNumId="32">
    <w:nsid w:val="3DC240FB"/>
    <w:multiLevelType w:val="hybridMultilevel"/>
    <w:lvl w:ilvl="0">
      <w:lvlJc w:val="left"/>
      <w:lvlText w:val="(%1)"/>
      <w:numFmt w:val="lowerRoman"/>
      <w:start w:val="1"/>
    </w:lvl>
  </w:abstractNum>
  <w:abstractNum w:abstractNumId="33">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34">
    <w:nsid w:val="79A1DEA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5">
    <w:nsid w:val="75C6C33A"/>
    <w:multiLevelType w:val="hybridMultilevel"/>
    <w:lvl w:ilvl="0">
      <w:lvlJc w:val="left"/>
      <w:lvlText w:val="(%1)"/>
      <w:numFmt w:val="lowerRoman"/>
      <w:start w:val="2"/>
    </w:lvl>
  </w:abstractNum>
  <w:abstractNum w:abstractNumId="36">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7">
    <w:nsid w:val="70C6A52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
    <w:nsid w:val="520EEDD1"/>
    <w:multiLevelType w:val="hybridMultilevel"/>
    <w:lvl w:ilvl="0">
      <w:lvlJc w:val="left"/>
      <w:lvlText w:val="(%1)"/>
      <w:numFmt w:val="lowerLetter"/>
      <w:start w:val="4"/>
    </w:lvl>
  </w:abstractNum>
  <w:abstractNum w:abstractNumId="39">
    <w:nsid w:val="374A3FE6"/>
    <w:multiLevelType w:val="hybridMultilevel"/>
    <w:lvl w:ilvl="0">
      <w:lvlJc w:val="left"/>
      <w:lvlText w:val="%1"/>
      <w:numFmt w:val="decimal"/>
      <w:start w:val="1"/>
    </w:lvl>
    <w:lvl w:ilvl="1">
      <w:lvlJc w:val="left"/>
      <w:lvlText w:val="(%2)"/>
      <w:numFmt w:val="lowerLetter"/>
      <w:start w:val="8"/>
    </w:lvl>
  </w:abstractNum>
  <w:abstractNum w:abstractNumId="40">
    <w:nsid w:val="4F4EF005"/>
    <w:multiLevelType w:val="hybridMultilevel"/>
    <w:lvl w:ilvl="0">
      <w:lvlJc w:val="left"/>
      <w:lvlText w:val="%1."/>
      <w:numFmt w:val="decimal"/>
      <w:start w:val="8"/>
    </w:lvl>
    <w:lvl w:ilvl="1">
      <w:lvlJc w:val="left"/>
      <w:lvlText w:val="(%2)"/>
      <w:numFmt w:val="lowerLetter"/>
      <w:start w:val="1"/>
    </w:lvl>
  </w:abstractNum>
  <w:abstractNum w:abstractNumId="41">
    <w:nsid w:val="23F9C13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42">
    <w:nsid w:val="649BB77C"/>
    <w:multiLevelType w:val="hybridMultilevel"/>
    <w:lvl w:ilvl="0">
      <w:lvlJc w:val="left"/>
      <w:lvlText w:val="%1"/>
      <w:numFmt w:val="lowerRoman"/>
      <w:start w:val="1"/>
    </w:lvl>
    <w:lvl w:ilvl="1">
      <w:lvlJc w:val="left"/>
      <w:lvlText w:val="(%2)"/>
      <w:numFmt w:val="lowerRoman"/>
      <w:start w:val="2"/>
    </w:lvl>
  </w:abstractNum>
  <w:abstractNum w:abstractNumId="43">
    <w:nsid w:val="275AC794"/>
    <w:multiLevelType w:val="hybridMultilevel"/>
    <w:lvl w:ilvl="0">
      <w:lvlJc w:val="left"/>
      <w:lvlText w:val="(%1)"/>
      <w:numFmt w:val="lowerRoman"/>
      <w:start w:val="3"/>
    </w:lvl>
    <w:lvl w:ilvl="1">
      <w:lvlJc w:val="left"/>
      <w:lvlText w:val="%2"/>
      <w:numFmt w:val="lowerRoman"/>
      <w:start w:val="1"/>
    </w:lvl>
  </w:abstractNum>
  <w:abstractNum w:abstractNumId="44">
    <w:nsid w:val="39386575"/>
    <w:multiLevelType w:val="hybridMultilevel"/>
    <w:lvl w:ilvl="0">
      <w:lvlJc w:val="left"/>
      <w:lvlText w:val="(%1)"/>
      <w:numFmt w:val="lowerLetter"/>
      <w:start w:val="3"/>
    </w:lvl>
  </w:abstractNum>
  <w:abstractNum w:abstractNumId="45">
    <w:nsid w:val="1CF10FD8"/>
    <w:multiLevelType w:val="hybridMultilevel"/>
    <w:lvl w:ilvl="0">
      <w:lvlJc w:val="left"/>
      <w:lvlText w:val="%1"/>
      <w:numFmt w:val="decimal"/>
      <w:start w:val="1"/>
    </w:lvl>
    <w:lvl w:ilvl="1">
      <w:lvlJc w:val="left"/>
      <w:lvlText w:val="(%2)"/>
      <w:numFmt w:val="lowerLetter"/>
      <w:start w:val="4"/>
    </w:lvl>
  </w:abstractNum>
  <w:abstractNum w:abstractNumId="46">
    <w:nsid w:val="180115BE"/>
    <w:multiLevelType w:val="hybridMultilevel"/>
    <w:lvl w:ilvl="0">
      <w:lvlJc w:val="left"/>
      <w:lvlText w:val="%1."/>
      <w:numFmt w:val="decimal"/>
      <w:start w:val="10"/>
    </w:lvl>
    <w:lvl w:ilvl="1">
      <w:lvlJc w:val="left"/>
      <w:lvlText w:val="(%2)"/>
      <w:numFmt w:val="lowerLetter"/>
      <w:start w:val="1"/>
    </w:lvl>
  </w:abstractNum>
  <w:abstractNum w:abstractNumId="47">
    <w:nsid w:val="235BA861"/>
    <w:multiLevelType w:val="hybridMultilevel"/>
    <w:lvl w:ilvl="0">
      <w:lvlJc w:val="left"/>
      <w:lvlText w:val="(%1)"/>
      <w:numFmt w:val="lowerLetter"/>
      <w:start w:val="2"/>
    </w:lvl>
  </w:abstractNum>
  <w:abstractNum w:abstractNumId="48">
    <w:nsid w:val="47398C89"/>
    <w:multiLevelType w:val="hybridMultilevel"/>
    <w:lvl w:ilvl="0">
      <w:lvlJc w:val="left"/>
      <w:lvlText w:val="%1."/>
      <w:numFmt w:val="decimal"/>
      <w:start w:val="11"/>
    </w:lvl>
  </w:abstractNum>
  <w:abstractNum w:abstractNumId="49">
    <w:nsid w:val="354FE9F9"/>
    <w:multiLevelType w:val="hybridMultilevel"/>
    <w:lvl w:ilvl="0">
      <w:lvlJc w:val="left"/>
      <w:lvlText w:val="%1."/>
      <w:numFmt w:val="decimal"/>
      <w:start w:val="12"/>
    </w:lvl>
  </w:abstractNum>
  <w:abstractNum w:abstractNumId="50">
    <w:nsid w:val="15B5AF5C"/>
    <w:multiLevelType w:val="hybridMultilevel"/>
    <w:lvl w:ilvl="0">
      <w:lvlJc w:val="left"/>
      <w:lvlText w:val="%1."/>
      <w:numFmt w:val="decimal"/>
      <w:start w:val="17"/>
    </w:lvl>
  </w:abstractNum>
  <w:abstractNum w:abstractNumId="51">
    <w:nsid w:val="741226BB"/>
    <w:multiLevelType w:val="hybridMultilevel"/>
    <w:lvl w:ilvl="0">
      <w:lvlJc w:val="left"/>
      <w:lvlText w:val="%1."/>
      <w:numFmt w:val="decimal"/>
      <w:start w:val="18"/>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2"/>
    </w:lvl>
  </w:abstractNum>
  <w:abstractNum w:abstractNumId="54">
    <w:nsid w:val="3F6AB60F"/>
    <w:multiLevelType w:val="hybridMultilevel"/>
    <w:lvl w:ilvl="0">
      <w:lvlJc w:val="left"/>
      <w:lvlText w:val="%1"/>
      <w:numFmt w:val="upperLetter"/>
      <w:start w:val="1"/>
    </w:lvl>
    <w:lvl w:ilvl="1">
      <w:lvlJc w:val="left"/>
      <w:lvlText w:val="(%2)"/>
      <w:numFmt w:val="lowerLetter"/>
      <w:start w:val="3"/>
    </w:lvl>
  </w:abstractNum>
  <w:abstractNum w:abstractNumId="55">
    <w:nsid w:val="61574095"/>
    <w:multiLevelType w:val="hybridMultilevel"/>
    <w:lvl w:ilvl="0">
      <w:lvlJc w:val="left"/>
      <w:lvlText w:val="(%1)"/>
      <w:numFmt w:val="lowerLetter"/>
      <w:start w:val="7"/>
    </w:lvl>
  </w:abstractNum>
  <w:abstractNum w:abstractNumId="56">
    <w:nsid w:val="7E0C57B1"/>
    <w:multiLevelType w:val="hybridMultilevel"/>
    <w:lvl w:ilvl="0">
      <w:lvlJc w:val="left"/>
      <w:lvlText w:val="%1."/>
      <w:numFmt w:val="decimal"/>
      <w:start w:val="22"/>
    </w:lvl>
  </w:abstractNum>
  <w:abstractNum w:abstractNumId="57">
    <w:nsid w:val="77AE35EB"/>
    <w:multiLevelType w:val="hybridMultilevel"/>
    <w:lvl w:ilvl="0">
      <w:lvlJc w:val="left"/>
      <w:lvlText w:val="%1."/>
      <w:numFmt w:val="decimal"/>
      <w:start w:val="24"/>
    </w:lvl>
  </w:abstractNum>
  <w:abstractNum w:abstractNumId="58">
    <w:nsid w:val="579BE4F1"/>
    <w:multiLevelType w:val="hybridMultilevel"/>
    <w:lvl w:ilvl="0">
      <w:lvlJc w:val="left"/>
      <w:lvlText w:val="%1."/>
      <w:numFmt w:val="decimal"/>
      <w:start w:val="1"/>
    </w:lvl>
    <w:lvl w:ilvl="1">
      <w:lvlJc w:val="left"/>
      <w:lvlText w:val="(%2)"/>
      <w:numFmt w:val="lowerLetter"/>
      <w:start w:val="1"/>
    </w:lvl>
  </w:abstractNum>
  <w:abstractNum w:abstractNumId="59">
    <w:nsid w:val="310C50B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0">
    <w:nsid w:val="5FF87E0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61">
    <w:nsid w:val="2F305DEF"/>
    <w:multiLevelType w:val="hybridMultilevel"/>
    <w:lvl w:ilvl="0">
      <w:lvlJc w:val="left"/>
      <w:lvlText w:val="%1"/>
      <w:numFmt w:val="decimal"/>
      <w:start w:val="1"/>
    </w:lvl>
    <w:lvl w:ilvl="1">
      <w:lvlJc w:val="left"/>
      <w:lvlText w:val="(%2)"/>
      <w:numFmt w:val="lowerLetter"/>
      <w:start w:val="2"/>
    </w:lvl>
  </w:abstractNum>
  <w:abstractNum w:abstractNumId="62">
    <w:nsid w:val="25A70BF7"/>
    <w:multiLevelType w:val="hybridMultilevel"/>
    <w:lvl w:ilvl="0">
      <w:lvlJc w:val="left"/>
      <w:lvlText w:val="%1."/>
      <w:numFmt w:val="decimal"/>
      <w:start w:val="3"/>
    </w:lvl>
    <w:lvl w:ilvl="1">
      <w:lvlJc w:val="left"/>
      <w:lvlText w:val="%2"/>
      <w:numFmt w:val="lowerLetter"/>
      <w:start w:val="1"/>
    </w:lvl>
  </w:abstractNum>
  <w:abstractNum w:abstractNumId="63">
    <w:nsid w:val="1DBABF00"/>
    <w:multiLevelType w:val="hybridMultilevel"/>
    <w:lvl w:ilvl="0">
      <w:lvlJc w:val="left"/>
      <w:lvlText w:val="%1."/>
      <w:numFmt w:val="decimal"/>
      <w:start w:val="4"/>
    </w:lvl>
  </w:abstractNum>
  <w:abstractNum w:abstractNumId="64">
    <w:nsid w:val="4AD084E9"/>
    <w:multiLevelType w:val="hybridMultilevel"/>
    <w:lvl w:ilvl="0">
      <w:lvlJc w:val="left"/>
      <w:lvlText w:val="%1."/>
      <w:numFmt w:val="decimal"/>
      <w:start w:val="5"/>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46" Type="http://schemas.openxmlformats.org/officeDocument/2006/relationships/hyperlink" Target="http://www.sec.gov/Archives/edgar/data/1174922/000117492215000044/ex-31.htm" TargetMode="External"/><Relationship Id="rId47" Type="http://schemas.openxmlformats.org/officeDocument/2006/relationships/hyperlink" Target="http://www.sec.gov/Archives/edgar/data/1174922/000117492215000106/ex-32.htm" TargetMode="External"/><Relationship Id="rId48" Type="http://schemas.openxmlformats.org/officeDocument/2006/relationships/hyperlink" Target="http://www.sec.gov/Archives/edgar/data/1174922/000117492218000050/ex101x041618x8k.htm" TargetMode="External"/><Relationship Id="rId49" Type="http://schemas.openxmlformats.org/officeDocument/2006/relationships/hyperlink" Target="http://www.sec.gov/Archives/edgar/data/1174922/000117492218000100/ex105-20180331.htm" TargetMode="External"/><Relationship Id="rId50" Type="http://schemas.openxmlformats.org/officeDocument/2006/relationships/hyperlink" Target="http://www.sec.gov/Archives/edgar/data/1174922/000117492218000100/ex106-20180331.htm" TargetMode="External"/><Relationship Id="rId51" Type="http://schemas.openxmlformats.org/officeDocument/2006/relationships/hyperlink" Target="http://www.sec.gov/Archives/edgar/data/1174922/000117492218000100/ex107-20180331.htm" TargetMode="External"/><Relationship Id="rId52" Type="http://schemas.openxmlformats.org/officeDocument/2006/relationships/hyperlink" Target="http://www.sec.gov/Archives/edgar/data/1174922/000117492218000133/ex101x072518x8k.htm" TargetMode="External"/><Relationship Id="rId53" Type="http://schemas.openxmlformats.org/officeDocument/2006/relationships/hyperlink" Target="http://www.sec.gov/Archives/edgar/data/1174922/000119312518239080/d5341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2019-12-28T20:22:41Z</dcterms:created>
  <dcterms:modified xsi:type="dcterms:W3CDTF">2019-12-28T20:22:41Z</dcterms:modified>
</cp:coreProperties>
</file>