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2153920</wp:posOffset>
            </wp:positionH>
            <wp:positionV relativeFrom="paragraph">
              <wp:posOffset>205105</wp:posOffset>
            </wp:positionV>
            <wp:extent cx="2851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13"/>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2153920</wp:posOffset>
            </wp:positionH>
            <wp:positionV relativeFrom="paragraph">
              <wp:posOffset>85725</wp:posOffset>
            </wp:positionV>
            <wp:extent cx="28517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3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7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2153920</wp:posOffset>
            </wp:positionH>
            <wp:positionV relativeFrom="paragraph">
              <wp:posOffset>216535</wp:posOffset>
            </wp:positionV>
            <wp:extent cx="2851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7"/>
          <w:szCs w:val="37"/>
          <w:b w:val="1"/>
          <w:bCs w:val="1"/>
          <w:color w:val="auto"/>
        </w:rPr>
        <w:t>WYNN RESORTS, LIMITED</w:t>
      </w:r>
    </w:p>
    <w:p>
      <w:pPr>
        <w:spacing w:after="0" w:line="6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328" w:lineRule="exact"/>
        <w:rPr>
          <w:sz w:val="24"/>
          <w:szCs w:val="24"/>
          <w:color w:val="auto"/>
        </w:rPr>
      </w:pPr>
    </w:p>
    <w:tbl>
      <w:tblPr>
        <w:tblLayout w:type="fixed"/>
        <w:tblInd w:w="7"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Nevada</w:t>
            </w:r>
          </w:p>
        </w:tc>
        <w:tc>
          <w:tcPr>
            <w:tcW w:w="3180" w:type="dxa"/>
            <w:vAlign w:val="bottom"/>
            <w:gridSpan w:val="2"/>
          </w:tcPr>
          <w:p>
            <w:pPr>
              <w:ind w:left="1280"/>
              <w:spacing w:after="0"/>
              <w:rPr>
                <w:sz w:val="20"/>
                <w:szCs w:val="20"/>
                <w:color w:val="auto"/>
              </w:rPr>
            </w:pPr>
            <w:r>
              <w:rPr>
                <w:rFonts w:ascii="Times New Roman" w:cs="Times New Roman" w:eastAsia="Times New Roman" w:hAnsi="Times New Roman"/>
                <w:sz w:val="15"/>
                <w:szCs w:val="15"/>
                <w:b w:val="1"/>
                <w:bCs w:val="1"/>
                <w:color w:val="auto"/>
              </w:rPr>
              <w:t>000-50028</w:t>
            </w:r>
          </w:p>
        </w:tc>
        <w:tc>
          <w:tcPr>
            <w:tcW w:w="2980" w:type="dxa"/>
            <w:vAlign w:val="bottom"/>
            <w:gridSpan w:val="3"/>
          </w:tcPr>
          <w:p>
            <w:pPr>
              <w:jc w:val="right"/>
              <w:ind w:right="1458"/>
              <w:spacing w:after="0"/>
              <w:rPr>
                <w:sz w:val="20"/>
                <w:szCs w:val="20"/>
                <w:color w:val="auto"/>
              </w:rPr>
            </w:pPr>
            <w:r>
              <w:rPr>
                <w:rFonts w:ascii="Times New Roman" w:cs="Times New Roman" w:eastAsia="Times New Roman" w:hAnsi="Times New Roman"/>
                <w:sz w:val="15"/>
                <w:szCs w:val="15"/>
                <w:b w:val="1"/>
                <w:bCs w:val="1"/>
                <w:color w:val="auto"/>
              </w:rPr>
              <w:t>46-0484987</w:t>
            </w:r>
          </w:p>
        </w:tc>
        <w:tc>
          <w:tcPr>
            <w:tcW w:w="1140" w:type="dxa"/>
            <w:vAlign w:val="bottom"/>
          </w:tcPr>
          <w:p>
            <w:pPr>
              <w:spacing w:after="0"/>
              <w:rPr>
                <w:sz w:val="17"/>
                <w:szCs w:val="17"/>
                <w:color w:val="auto"/>
              </w:rPr>
            </w:pPr>
          </w:p>
        </w:tc>
      </w:tr>
      <w:tr>
        <w:trPr>
          <w:trHeight w:val="162"/>
        </w:trPr>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12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(Commission</w:t>
            </w:r>
          </w:p>
        </w:tc>
        <w:tc>
          <w:tcPr>
            <w:tcW w:w="120" w:type="dxa"/>
            <w:vAlign w:val="bottom"/>
          </w:tcPr>
          <w:p>
            <w:pPr>
              <w:spacing w:after="0"/>
              <w:rPr>
                <w:sz w:val="14"/>
                <w:szCs w:val="14"/>
                <w:color w:val="auto"/>
              </w:rPr>
            </w:pPr>
          </w:p>
        </w:tc>
        <w:tc>
          <w:tcPr>
            <w:tcW w:w="4000" w:type="dxa"/>
            <w:vAlign w:val="bottom"/>
            <w:gridSpan w:val="3"/>
          </w:tcPr>
          <w:p>
            <w:pPr>
              <w:jc w:val="center"/>
              <w:ind w:right="206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12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20" w:type="dxa"/>
            <w:vAlign w:val="bottom"/>
          </w:tcPr>
          <w:p>
            <w:pPr>
              <w:spacing w:after="0"/>
              <w:rPr>
                <w:sz w:val="14"/>
                <w:szCs w:val="14"/>
                <w:color w:val="auto"/>
              </w:rPr>
            </w:pPr>
          </w:p>
        </w:tc>
        <w:tc>
          <w:tcPr>
            <w:tcW w:w="4000" w:type="dxa"/>
            <w:vAlign w:val="bottom"/>
            <w:gridSpan w:val="3"/>
          </w:tcPr>
          <w:p>
            <w:pPr>
              <w:jc w:val="center"/>
              <w:ind w:right="204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25"/>
        </w:trPr>
        <w:tc>
          <w:tcPr>
            <w:tcW w:w="940" w:type="dxa"/>
            <w:vAlign w:val="bottom"/>
          </w:tcPr>
          <w:p>
            <w:pPr>
              <w:spacing w:after="0"/>
              <w:rPr>
                <w:sz w:val="19"/>
                <w:szCs w:val="19"/>
                <w:color w:val="auto"/>
              </w:rPr>
            </w:pPr>
          </w:p>
        </w:tc>
        <w:tc>
          <w:tcPr>
            <w:tcW w:w="6200" w:type="dxa"/>
            <w:vAlign w:val="bottom"/>
            <w:gridSpan w:val="5"/>
          </w:tcPr>
          <w:p>
            <w:pPr>
              <w:jc w:val="center"/>
              <w:ind w:right="2098"/>
              <w:spacing w:after="0"/>
              <w:rPr>
                <w:sz w:val="20"/>
                <w:szCs w:val="20"/>
                <w:color w:val="auto"/>
              </w:rPr>
            </w:pPr>
            <w:r>
              <w:rPr>
                <w:rFonts w:ascii="Times New Roman" w:cs="Times New Roman" w:eastAsia="Times New Roman" w:hAnsi="Times New Roman"/>
                <w:sz w:val="15"/>
                <w:szCs w:val="15"/>
                <w:b w:val="1"/>
                <w:bCs w:val="1"/>
                <w:color w:val="auto"/>
              </w:rPr>
              <w:t>3131 Las Vegas Boulevard South</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4"/>
        </w:trPr>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Las Vegas, Nevada</w:t>
            </w:r>
          </w:p>
        </w:tc>
        <w:tc>
          <w:tcPr>
            <w:tcW w:w="1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980" w:type="dxa"/>
            <w:vAlign w:val="bottom"/>
            <w:gridSpan w:val="3"/>
          </w:tcPr>
          <w:p>
            <w:pPr>
              <w:jc w:val="right"/>
              <w:ind w:right="1638"/>
              <w:spacing w:after="0"/>
              <w:rPr>
                <w:sz w:val="20"/>
                <w:szCs w:val="20"/>
                <w:color w:val="auto"/>
              </w:rPr>
            </w:pPr>
            <w:r>
              <w:rPr>
                <w:rFonts w:ascii="Times New Roman" w:cs="Times New Roman" w:eastAsia="Times New Roman" w:hAnsi="Times New Roman"/>
                <w:sz w:val="15"/>
                <w:szCs w:val="15"/>
                <w:b w:val="1"/>
                <w:bCs w:val="1"/>
                <w:color w:val="auto"/>
              </w:rPr>
              <w:t>89109</w:t>
            </w:r>
          </w:p>
        </w:tc>
        <w:tc>
          <w:tcPr>
            <w:tcW w:w="1140" w:type="dxa"/>
            <w:vAlign w:val="bottom"/>
          </w:tcPr>
          <w:p>
            <w:pPr>
              <w:spacing w:after="0"/>
              <w:rPr>
                <w:sz w:val="16"/>
                <w:szCs w:val="16"/>
                <w:color w:val="auto"/>
              </w:rPr>
            </w:pPr>
          </w:p>
        </w:tc>
      </w:tr>
      <w:tr>
        <w:trPr>
          <w:trHeight w:val="174"/>
        </w:trPr>
        <w:tc>
          <w:tcPr>
            <w:tcW w:w="940" w:type="dxa"/>
            <w:vAlign w:val="bottom"/>
          </w:tcPr>
          <w:p>
            <w:pPr>
              <w:spacing w:after="0"/>
              <w:rPr>
                <w:sz w:val="15"/>
                <w:szCs w:val="15"/>
                <w:color w:val="auto"/>
              </w:rPr>
            </w:pPr>
          </w:p>
        </w:tc>
        <w:tc>
          <w:tcPr>
            <w:tcW w:w="6200" w:type="dxa"/>
            <w:vAlign w:val="bottom"/>
            <w:gridSpan w:val="5"/>
          </w:tcPr>
          <w:p>
            <w:pPr>
              <w:jc w:val="center"/>
              <w:ind w:right="2098"/>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380" w:type="dxa"/>
            <w:vAlign w:val="bottom"/>
            <w:gridSpan w:val="2"/>
          </w:tcPr>
          <w:p>
            <w:pPr>
              <w:jc w:val="center"/>
              <w:ind w:right="268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625"/>
        </w:trPr>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80" w:type="dxa"/>
            <w:vAlign w:val="bottom"/>
            <w:gridSpan w:val="2"/>
          </w:tcPr>
          <w:p>
            <w:pPr>
              <w:jc w:val="center"/>
              <w:ind w:left="67"/>
              <w:spacing w:after="0"/>
              <w:rPr>
                <w:sz w:val="20"/>
                <w:szCs w:val="20"/>
                <w:color w:val="auto"/>
              </w:rPr>
            </w:pPr>
            <w:r>
              <w:rPr>
                <w:rFonts w:ascii="Times New Roman" w:cs="Times New Roman" w:eastAsia="Times New Roman" w:hAnsi="Times New Roman"/>
                <w:sz w:val="15"/>
                <w:szCs w:val="15"/>
                <w:b w:val="1"/>
                <w:bCs w:val="1"/>
                <w:color w:val="auto"/>
              </w:rPr>
              <w:t>(702) 770-7555</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80" w:type="dxa"/>
            <w:vAlign w:val="bottom"/>
            <w:gridSpan w:val="2"/>
          </w:tcPr>
          <w:p>
            <w:pPr>
              <w:jc w:val="center"/>
              <w:ind w:left="87"/>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59"/>
        </w:trPr>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80" w:type="dxa"/>
            <w:vAlign w:val="bottom"/>
            <w:gridSpan w:val="2"/>
          </w:tcPr>
          <w:p>
            <w:pPr>
              <w:jc w:val="center"/>
              <w:ind w:left="67"/>
              <w:spacing w:after="0"/>
              <w:rPr>
                <w:sz w:val="20"/>
                <w:szCs w:val="20"/>
                <w:color w:val="auto"/>
              </w:rPr>
            </w:pPr>
            <w:r>
              <w:rPr>
                <w:rFonts w:ascii="Times New Roman" w:cs="Times New Roman" w:eastAsia="Times New Roman" w:hAnsi="Times New Roman"/>
                <w:sz w:val="15"/>
                <w:szCs w:val="15"/>
                <w:b w:val="1"/>
                <w:bCs w:val="1"/>
                <w:color w:val="auto"/>
              </w:rPr>
              <w:t>Not Applicable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300" w:type="dxa"/>
            <w:vAlign w:val="bottom"/>
            <w:gridSpan w:val="6"/>
          </w:tcPr>
          <w:p>
            <w:pPr>
              <w:jc w:val="center"/>
              <w:ind w:right="396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r>
      <w:tr>
        <w:trPr>
          <w:trHeight w:val="103"/>
        </w:trPr>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501"/>
        </w:trPr>
        <w:tc>
          <w:tcPr>
            <w:tcW w:w="39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1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7"/>
        </w:trPr>
        <w:tc>
          <w:tcPr>
            <w:tcW w:w="9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860" w:type="dxa"/>
            <w:vAlign w:val="bottom"/>
            <w:gridSpan w:val="2"/>
          </w:tcPr>
          <w:p>
            <w:pPr>
              <w:spacing w:after="0"/>
              <w:rPr>
                <w:sz w:val="23"/>
                <w:szCs w:val="23"/>
                <w:color w:val="auto"/>
              </w:rPr>
            </w:pPr>
          </w:p>
        </w:tc>
        <w:tc>
          <w:tcPr>
            <w:tcW w:w="3180" w:type="dxa"/>
            <w:vAlign w:val="bottom"/>
            <w:gridSpan w:val="2"/>
          </w:tcPr>
          <w:p>
            <w:pPr>
              <w:jc w:val="center"/>
              <w:ind w:right="1898"/>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120" w:type="dxa"/>
            <w:vAlign w:val="bottom"/>
            <w:gridSpan w:val="4"/>
          </w:tcPr>
          <w:p>
            <w:pPr>
              <w:jc w:val="center"/>
              <w:ind w:right="102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1"/>
        </w:trPr>
        <w:tc>
          <w:tcPr>
            <w:tcW w:w="3960" w:type="dxa"/>
            <w:vAlign w:val="bottom"/>
            <w:gridSpan w:val="4"/>
          </w:tcPr>
          <w:p>
            <w:pPr>
              <w:jc w:val="center"/>
              <w:ind w:right="940"/>
              <w:spacing w:after="0"/>
              <w:rPr>
                <w:sz w:val="20"/>
                <w:szCs w:val="20"/>
                <w:color w:val="auto"/>
              </w:rPr>
            </w:pPr>
            <w:r>
              <w:rPr>
                <w:rFonts w:ascii="Times New Roman" w:cs="Times New Roman" w:eastAsia="Times New Roman" w:hAnsi="Times New Roman"/>
                <w:sz w:val="15"/>
                <w:szCs w:val="15"/>
                <w:color w:val="auto"/>
              </w:rPr>
              <w:t>Common stock, par value $0.01</w:t>
            </w:r>
          </w:p>
        </w:tc>
        <w:tc>
          <w:tcPr>
            <w:tcW w:w="3180" w:type="dxa"/>
            <w:vAlign w:val="bottom"/>
            <w:gridSpan w:val="2"/>
          </w:tcPr>
          <w:p>
            <w:pPr>
              <w:jc w:val="center"/>
              <w:ind w:right="1878"/>
              <w:spacing w:after="0"/>
              <w:rPr>
                <w:sz w:val="20"/>
                <w:szCs w:val="20"/>
                <w:color w:val="auto"/>
              </w:rPr>
            </w:pPr>
            <w:r>
              <w:rPr>
                <w:rFonts w:ascii="Times New Roman" w:cs="Times New Roman" w:eastAsia="Times New Roman" w:hAnsi="Times New Roman"/>
                <w:sz w:val="15"/>
                <w:szCs w:val="15"/>
                <w:color w:val="auto"/>
              </w:rPr>
              <w:t>WYNN</w:t>
            </w:r>
          </w:p>
        </w:tc>
        <w:tc>
          <w:tcPr>
            <w:tcW w:w="120" w:type="dxa"/>
            <w:vAlign w:val="bottom"/>
          </w:tcPr>
          <w:p>
            <w:pPr>
              <w:spacing w:after="0"/>
              <w:rPr>
                <w:sz w:val="18"/>
                <w:szCs w:val="18"/>
                <w:color w:val="auto"/>
              </w:rPr>
            </w:pPr>
          </w:p>
        </w:tc>
        <w:tc>
          <w:tcPr>
            <w:tcW w:w="4000" w:type="dxa"/>
            <w:vAlign w:val="bottom"/>
            <w:gridSpan w:val="3"/>
          </w:tcPr>
          <w:p>
            <w:pPr>
              <w:jc w:val="center"/>
              <w:ind w:right="1140"/>
              <w:spacing w:after="0"/>
              <w:rPr>
                <w:sz w:val="20"/>
                <w:szCs w:val="20"/>
                <w:color w:val="auto"/>
              </w:rPr>
            </w:pPr>
            <w:r>
              <w:rPr>
                <w:rFonts w:ascii="Times New Roman" w:cs="Times New Roman" w:eastAsia="Times New Roman" w:hAnsi="Times New Roman"/>
                <w:sz w:val="15"/>
                <w:szCs w:val="15"/>
                <w:color w:val="auto"/>
              </w:rPr>
              <w:t>Nasdaq Global Select Market</w:t>
            </w:r>
          </w:p>
        </w:tc>
      </w:tr>
      <w:tr>
        <w:trPr>
          <w:trHeight w:val="166"/>
        </w:trPr>
        <w:tc>
          <w:tcPr>
            <w:tcW w:w="9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pacing w:after="0" w:line="286" w:lineRule="exact"/>
        <w:rPr>
          <w:sz w:val="24"/>
          <w:szCs w:val="24"/>
          <w:color w:val="auto"/>
        </w:rPr>
      </w:pPr>
    </w:p>
    <w:p>
      <w:pPr>
        <w:ind w:left="7"/>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29"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2"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24" w:lineRule="exact"/>
        <w:rPr>
          <w:sz w:val="24"/>
          <w:szCs w:val="24"/>
          <w:color w:val="auto"/>
        </w:rPr>
      </w:pPr>
    </w:p>
    <w:p>
      <w:pPr>
        <w:ind w:left="7" w:right="20"/>
        <w:spacing w:after="0" w:line="256"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6" w:lineRule="exact"/>
        <w:rPr>
          <w:sz w:val="24"/>
          <w:szCs w:val="24"/>
          <w:color w:val="auto"/>
        </w:rPr>
      </w:pPr>
    </w:p>
    <w:p>
      <w:pPr>
        <w:ind w:left="7" w:right="600"/>
        <w:spacing w:after="0" w:line="19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462915</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921" w:right="31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98" w:lineRule="exact"/>
        <w:rPr>
          <w:sz w:val="20"/>
          <w:szCs w:val="20"/>
          <w:color w:val="auto"/>
        </w:rPr>
      </w:pPr>
    </w:p>
    <w:p>
      <w:pPr>
        <w:jc w:val="both"/>
        <w:ind w:firstLine="347"/>
        <w:spacing w:after="0" w:line="270" w:lineRule="auto"/>
        <w:rPr>
          <w:sz w:val="20"/>
          <w:szCs w:val="20"/>
          <w:color w:val="auto"/>
        </w:rPr>
      </w:pPr>
      <w:r>
        <w:rPr>
          <w:rFonts w:ascii="Times New Roman" w:cs="Times New Roman" w:eastAsia="Times New Roman" w:hAnsi="Times New Roman"/>
          <w:sz w:val="15"/>
          <w:szCs w:val="15"/>
          <w:color w:val="auto"/>
        </w:rPr>
        <w:t>On May 5, 2022 (Hong Kong time), Wynn Macau, Limited (“Wynn Macau”), an indirect subsidiary of Wynn Resorts, Limited (“Wynn Resorts” or the “Company”) with its ordinary shares of common stock listed on The Stock Exchange of Hong Kong Limited (the “HKSE”), filed with the HKSE an announcement (the “Amendments to the Facility Agreement Announcement”) that on May 5, 2022, WM Cayman Holdings Limited II and Bank of China Limited, Macau Branch as agent and a syndicate of lenders agreed to amend certain provisions of the facility agreement dated September 16, 2021. The Amendments to the Facility Agreement Announcement is furnished herewith as Exhibit 99.1.</w:t>
      </w:r>
    </w:p>
    <w:p>
      <w:pPr>
        <w:spacing w:after="0" w:line="173"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The information furnished pursuant to this Item 7.01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9.01</w:t>
            </w: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Financial Statements and Exhibits.</w:t>
            </w:r>
          </w:p>
        </w:tc>
      </w:tr>
      <w:tr>
        <w:trPr>
          <w:trHeight w:val="370"/>
        </w:trPr>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(d) Exhibits.</w:t>
            </w:r>
          </w:p>
        </w:tc>
        <w:tc>
          <w:tcPr>
            <w:tcW w:w="6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32"/>
        </w:trPr>
        <w:tc>
          <w:tcPr>
            <w:tcW w:w="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72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35"/>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720" w:type="dxa"/>
            <w:vAlign w:val="bottom"/>
          </w:tcPr>
          <w:p>
            <w:pPr>
              <w:spacing w:after="0"/>
              <w:rPr>
                <w:sz w:val="20"/>
                <w:szCs w:val="20"/>
                <w:color w:val="auto"/>
              </w:rPr>
            </w:pPr>
          </w:p>
        </w:tc>
        <w:tc>
          <w:tcPr>
            <w:tcW w:w="6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rPr>
              <w:t>Amendments to the Facility Agreement Announcement of Wynn Macau, Limited, dated May 5, 2022</w:t>
            </w:r>
          </w:p>
        </w:tc>
        <w:tc>
          <w:tcPr>
            <w:tcW w:w="3660" w:type="dxa"/>
            <w:vAlign w:val="bottom"/>
          </w:tcPr>
          <w:p>
            <w:pPr>
              <w:spacing w:after="0"/>
              <w:rPr>
                <w:sz w:val="20"/>
                <w:szCs w:val="20"/>
                <w:color w:val="auto"/>
              </w:rPr>
            </w:pPr>
          </w:p>
        </w:tc>
      </w:tr>
      <w:tr>
        <w:trPr>
          <w:trHeight w:val="211"/>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2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r>
        <w:trPr>
          <w:trHeight w:val="1034"/>
        </w:trPr>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ind w:firstLine="382"/>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5"/>
          <w:szCs w:val="15"/>
          <w:b w:val="1"/>
          <w:bCs w:val="1"/>
          <w:color w:val="auto"/>
        </w:rPr>
        <w:t>WYNN RESORTS, LIMITED</w:t>
      </w:r>
    </w:p>
    <w:p>
      <w:pPr>
        <w:sectPr>
          <w:pgSz w:w="11900" w:h="16838" w:orient="portrait"/>
          <w:cols w:equalWidth="0" w:num="1">
            <w:col w:w="11260"/>
          </w:cols>
          <w:pgMar w:left="320" w:top="781" w:right="319" w:bottom="1440" w:gutter="0" w:footer="0" w:header="0"/>
        </w:sectPr>
      </w:pP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Dated: May 5, 2022</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Julie Cameron-Doe</w:t>
      </w:r>
    </w:p>
    <w:p>
      <w:pPr>
        <w:spacing w:after="0" w:line="27" w:lineRule="exact"/>
        <w:rPr>
          <w:sz w:val="20"/>
          <w:szCs w:val="20"/>
          <w:color w:val="auto"/>
        </w:rPr>
      </w:pPr>
    </w:p>
    <w:p>
      <w:pPr>
        <w:sectPr>
          <w:pgSz w:w="11900" w:h="16838" w:orient="portrait"/>
          <w:cols w:equalWidth="0" w:num="2">
            <w:col w:w="6120" w:space="720"/>
            <w:col w:w="4420"/>
          </w:cols>
          <w:pgMar w:left="320" w:top="781" w:right="319" w:bottom="1440" w:gutter="0" w:footer="0" w:header="0"/>
          <w:type w:val="continuous"/>
        </w:sectPr>
      </w:pPr>
    </w:p>
    <w:p>
      <w:pPr>
        <w:ind w:left="6960"/>
        <w:spacing w:after="0"/>
        <w:rPr>
          <w:sz w:val="20"/>
          <w:szCs w:val="20"/>
          <w:color w:val="auto"/>
        </w:rPr>
      </w:pPr>
      <w:r>
        <w:rPr>
          <w:rFonts w:ascii="Times New Roman" w:cs="Times New Roman" w:eastAsia="Times New Roman" w:hAnsi="Times New Roman"/>
          <w:sz w:val="15"/>
          <w:szCs w:val="15"/>
          <w:color w:val="auto"/>
        </w:rPr>
        <w:t>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4736465</wp:posOffset>
            </wp:positionH>
            <wp:positionV relativeFrom="paragraph">
              <wp:posOffset>-108585</wp:posOffset>
            </wp:positionV>
            <wp:extent cx="24644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4435" cy="7620"/>
                    </a:xfrm>
                    <a:prstGeom prst="rect">
                      <a:avLst/>
                    </a:prstGeom>
                    <a:noFill/>
                  </pic:spPr>
                </pic:pic>
              </a:graphicData>
            </a:graphic>
          </wp:anchor>
        </w:drawing>
      </w:r>
    </w:p>
    <w:p>
      <w:pPr>
        <w:spacing w:after="0" w:line="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2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5"/>
          <w:szCs w:val="15"/>
          <w:color w:val="auto"/>
        </w:rPr>
        <w:t>(Principal Financial and Accounting Officer)</w:t>
      </w:r>
    </w:p>
    <w:p>
      <w:pPr>
        <w:sectPr>
          <w:pgSz w:w="11900" w:h="16838" w:orient="portrait"/>
          <w:cols w:equalWidth="0" w:num="1">
            <w:col w:w="11260"/>
          </w:cols>
          <w:pgMar w:left="320" w:top="781" w:right="31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2022-05-05T16:53:41Z</dcterms:created>
  <dcterms:modified xsi:type="dcterms:W3CDTF">2022-05-05T16:53:41Z</dcterms:modified>
</cp:coreProperties>
</file>