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tbl>
      <w:tblPr>
        <w:tblLayout w:type="fixed"/>
        <w:tblInd w:w="1980" w:type="dxa"/>
        <w:tblCellMar>
          <w:top w:w="0" w:type="dxa"/>
          <w:left w:w="0" w:type="dxa"/>
          <w:bottom w:w="0" w:type="dxa"/>
          <w:right w:w="0" w:type="dxa"/>
        </w:tblCellMar>
      </w:tblPr>
      <w:tr>
        <w:trPr>
          <w:trHeight w:val="228"/>
        </w:trPr>
        <w:tc>
          <w:tcPr>
            <w:tcW w:w="6140" w:type="dxa"/>
            <w:vAlign w:val="bottom"/>
            <w:gridSpan w:val="3"/>
          </w:tcPr>
          <w:p>
            <w:pPr>
              <w:jc w:val="center"/>
              <w:ind w:left="1263"/>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1080" w:type="dxa"/>
            <w:vAlign w:val="bottom"/>
          </w:tcPr>
          <w:p>
            <w:pPr>
              <w:spacing w:after="0"/>
              <w:rPr>
                <w:sz w:val="19"/>
                <w:szCs w:val="19"/>
                <w:color w:val="auto"/>
              </w:rPr>
            </w:pPr>
          </w:p>
        </w:tc>
      </w:tr>
      <w:tr>
        <w:trPr>
          <w:trHeight w:val="253"/>
        </w:trPr>
        <w:tc>
          <w:tcPr>
            <w:tcW w:w="6140" w:type="dxa"/>
            <w:vAlign w:val="bottom"/>
            <w:gridSpan w:val="3"/>
          </w:tcPr>
          <w:p>
            <w:pPr>
              <w:jc w:val="center"/>
              <w:ind w:right="436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140" w:type="dxa"/>
            <w:vAlign w:val="bottom"/>
            <w:gridSpan w:val="3"/>
          </w:tcPr>
          <w:p>
            <w:pPr>
              <w:jc w:val="center"/>
              <w:ind w:right="43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40" w:type="dxa"/>
            <w:vAlign w:val="bottom"/>
            <w:gridSpan w:val="3"/>
          </w:tcPr>
          <w:p>
            <w:pPr>
              <w:jc w:val="center"/>
              <w:ind w:right="4380"/>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58"/>
        </w:trPr>
        <w:tc>
          <w:tcPr>
            <w:tcW w:w="6140" w:type="dxa"/>
            <w:vAlign w:val="bottom"/>
            <w:gridSpan w:val="3"/>
          </w:tcPr>
          <w:p>
            <w:pPr>
              <w:jc w:val="center"/>
              <w:ind w:left="1263"/>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080" w:type="dxa"/>
            <w:vAlign w:val="bottom"/>
          </w:tcPr>
          <w:p>
            <w:pPr>
              <w:spacing w:after="0"/>
              <w:rPr>
                <w:sz w:val="22"/>
                <w:szCs w:val="22"/>
                <w:color w:val="auto"/>
              </w:rPr>
            </w:pPr>
          </w:p>
        </w:tc>
      </w:tr>
      <w:tr>
        <w:trPr>
          <w:trHeight w:val="174"/>
        </w:trPr>
        <w:tc>
          <w:tcPr>
            <w:tcW w:w="6140" w:type="dxa"/>
            <w:vAlign w:val="bottom"/>
            <w:gridSpan w:val="3"/>
          </w:tcPr>
          <w:p>
            <w:pPr>
              <w:jc w:val="center"/>
              <w:ind w:left="1243"/>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080" w:type="dxa"/>
            <w:vAlign w:val="bottom"/>
          </w:tcPr>
          <w:p>
            <w:pPr>
              <w:spacing w:after="0"/>
              <w:rPr>
                <w:sz w:val="15"/>
                <w:szCs w:val="15"/>
                <w:color w:val="auto"/>
              </w:rPr>
            </w:pPr>
          </w:p>
        </w:tc>
      </w:tr>
      <w:tr>
        <w:trPr>
          <w:trHeight w:val="244"/>
        </w:trPr>
        <w:tc>
          <w:tcPr>
            <w:tcW w:w="4920" w:type="dxa"/>
            <w:vAlign w:val="bottom"/>
            <w:gridSpan w:val="2"/>
          </w:tcPr>
          <w:p>
            <w:pPr>
              <w:jc w:val="center"/>
              <w:ind w:left="2463"/>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74"/>
        </w:trPr>
        <w:tc>
          <w:tcPr>
            <w:tcW w:w="6140" w:type="dxa"/>
            <w:vAlign w:val="bottom"/>
            <w:gridSpan w:val="3"/>
          </w:tcPr>
          <w:p>
            <w:pPr>
              <w:jc w:val="center"/>
              <w:ind w:left="124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136"/>
        </w:trPr>
        <w:tc>
          <w:tcPr>
            <w:tcW w:w="254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1"/>
        </w:trPr>
        <w:tc>
          <w:tcPr>
            <w:tcW w:w="2540" w:type="dxa"/>
            <w:vAlign w:val="bottom"/>
          </w:tcPr>
          <w:p>
            <w:pPr>
              <w:spacing w:after="0"/>
              <w:rPr>
                <w:sz w:val="21"/>
                <w:szCs w:val="21"/>
                <w:color w:val="auto"/>
              </w:rPr>
            </w:pPr>
          </w:p>
        </w:tc>
        <w:tc>
          <w:tcPr>
            <w:tcW w:w="36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080" w:type="dxa"/>
            <w:vAlign w:val="bottom"/>
          </w:tcPr>
          <w:p>
            <w:pPr>
              <w:spacing w:after="0"/>
              <w:rPr>
                <w:sz w:val="21"/>
                <w:szCs w:val="21"/>
                <w:color w:val="auto"/>
              </w:rPr>
            </w:pPr>
          </w:p>
        </w:tc>
      </w:tr>
      <w:tr>
        <w:trPr>
          <w:trHeight w:val="174"/>
        </w:trPr>
        <w:tc>
          <w:tcPr>
            <w:tcW w:w="6140" w:type="dxa"/>
            <w:vAlign w:val="bottom"/>
            <w:gridSpan w:val="3"/>
          </w:tcPr>
          <w:p>
            <w:pPr>
              <w:jc w:val="center"/>
              <w:ind w:left="124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8"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6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0" w:right="29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860" w:space="720"/>
            <w:col w:w="5060" w:space="720"/>
            <w:col w:w="212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4">
            <w:col w:w="1860" w:space="720"/>
            <w:col w:w="5060" w:space="720"/>
            <w:col w:w="2120" w:space="720"/>
            <w:col w:w="160"/>
          </w:cols>
          <w:pgMar w:left="240" w:top="230" w:right="299" w:bottom="144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5">
            <w:col w:w="8440" w:space="220"/>
            <w:col w:w="240" w:space="100"/>
            <w:col w:w="160" w:space="220"/>
            <w:col w:w="200" w:space="100"/>
            <w:col w:w="1680"/>
          </w:cols>
          <w:pgMar w:left="240" w:top="230" w:right="29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November 12,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5" w:lineRule="exact"/>
        <w:rPr>
          <w:sz w:val="24"/>
          <w:szCs w:val="24"/>
          <w:color w:val="auto"/>
        </w:rPr>
      </w:pPr>
    </w:p>
    <w:p>
      <w:pPr>
        <w:ind w:right="560" w:firstLine="456"/>
        <w:spacing w:after="0" w:line="268" w:lineRule="auto"/>
        <w:rPr>
          <w:sz w:val="20"/>
          <w:szCs w:val="20"/>
          <w:color w:val="auto"/>
        </w:rPr>
      </w:pPr>
      <w:r>
        <w:rPr>
          <w:rFonts w:ascii="Arial" w:cs="Arial" w:eastAsia="Arial" w:hAnsi="Arial"/>
          <w:sz w:val="18"/>
          <w:szCs w:val="18"/>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20" w:type="dxa"/>
            <w:vAlign w:val="bottom"/>
            <w:gridSpan w:val="10"/>
          </w:tcPr>
          <w:p>
            <w:pPr>
              <w:spacing w:after="0"/>
              <w:rPr>
                <w:sz w:val="20"/>
                <w:szCs w:val="20"/>
                <w:color w:val="auto"/>
              </w:rPr>
            </w:pPr>
            <w:r>
              <w:rPr>
                <w:rFonts w:ascii="Arial" w:cs="Arial" w:eastAsia="Arial" w:hAnsi="Arial"/>
                <w:sz w:val="18"/>
                <w:szCs w:val="18"/>
                <w:b w:val="1"/>
                <w:bCs w:val="1"/>
                <w:color w:val="auto"/>
              </w:rPr>
              <w:t>Financial Information</w:t>
            </w:r>
          </w:p>
        </w:tc>
        <w:tc>
          <w:tcPr>
            <w:tcW w:w="540" w:type="dxa"/>
            <w:vAlign w:val="bottom"/>
          </w:tcPr>
          <w:p>
            <w:pPr>
              <w:spacing w:after="0"/>
              <w:rPr>
                <w:sz w:val="19"/>
                <w:szCs w:val="19"/>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rPr>
              <w:t>Item 1.</w:t>
            </w:r>
          </w:p>
        </w:tc>
        <w:tc>
          <w:tcPr>
            <w:tcW w:w="9320" w:type="dxa"/>
            <w:vAlign w:val="bottom"/>
            <w:gridSpan w:val="10"/>
          </w:tcPr>
          <w:p>
            <w:pPr>
              <w:spacing w:after="0"/>
              <w:rPr>
                <w:sz w:val="20"/>
                <w:szCs w:val="20"/>
                <w:color w:val="auto"/>
              </w:rPr>
            </w:pPr>
            <w:r>
              <w:rPr>
                <w:rFonts w:ascii="Arial" w:cs="Arial" w:eastAsia="Arial" w:hAnsi="Arial"/>
                <w:sz w:val="18"/>
                <w:szCs w:val="18"/>
                <w:color w:val="auto"/>
              </w:rPr>
              <w:t>Financial Statements</w:t>
            </w:r>
          </w:p>
        </w:tc>
        <w:tc>
          <w:tcPr>
            <w:tcW w:w="540" w:type="dxa"/>
            <w:vAlign w:val="bottom"/>
          </w:tcPr>
          <w:p>
            <w:pPr>
              <w:spacing w:after="0"/>
              <w:rPr>
                <w:sz w:val="24"/>
                <w:szCs w:val="24"/>
                <w:color w:val="auto"/>
              </w:rPr>
            </w:pPr>
          </w:p>
        </w:tc>
      </w:tr>
      <w:tr>
        <w:trPr>
          <w:trHeight w:val="286"/>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8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2013 (unaudited) and December 31, 2012</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0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and Comprehensive Loss (unaudited) – Three and nine months ended</w:t>
              </w:r>
            </w:hyperlink>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80" w:type="dxa"/>
            <w:vAlign w:val="bottom"/>
            <w:gridSpan w:val="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2013 and 2012</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80" w:type="dxa"/>
            <w:vAlign w:val="bottom"/>
            <w:gridSpan w:val="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Cash Flows (unaudited) – Nine months ended September 30, 2013 and 2012</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47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5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2.</w:t>
            </w:r>
          </w:p>
        </w:tc>
        <w:tc>
          <w:tcPr>
            <w:tcW w:w="932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02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Controls and Procedures</w:t>
              </w:r>
            </w:hyperlink>
          </w:p>
        </w:tc>
        <w:tc>
          <w:tcPr>
            <w:tcW w:w="758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7000" w:type="dxa"/>
            <w:vAlign w:val="bottom"/>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2860" w:type="dxa"/>
            <w:vAlign w:val="bottom"/>
          </w:tcPr>
          <w:p>
            <w:pPr>
              <w:spacing w:after="0"/>
              <w:rPr>
                <w:sz w:val="19"/>
                <w:szCs w:val="19"/>
                <w:color w:val="auto"/>
              </w:rPr>
            </w:pPr>
          </w:p>
        </w:tc>
      </w:tr>
      <w:tr>
        <w:trPr>
          <w:trHeight w:val="286"/>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1A.</w:t>
            </w:r>
          </w:p>
        </w:tc>
        <w:tc>
          <w:tcPr>
            <w:tcW w:w="700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2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700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2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276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460" w:type="dxa"/>
            <w:vAlign w:val="bottom"/>
            <w:gridSpan w:val="3"/>
          </w:tcPr>
          <w:p>
            <w:pPr>
              <w:ind w:left="440"/>
              <w:spacing w:after="0"/>
              <w:rPr>
                <w:rFonts w:ascii="Arial" w:cs="Arial" w:eastAsia="Arial" w:hAnsi="Arial"/>
                <w:sz w:val="18"/>
                <w:szCs w:val="18"/>
                <w:color w:val="0000EE"/>
              </w:rPr>
            </w:pPr>
            <w:hyperlink w:anchor="page31">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3"/>
        </w:trPr>
        <w:tc>
          <w:tcPr>
            <w:tcW w:w="4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000" w:type="dxa"/>
            <w:vAlign w:val="bottom"/>
            <w:gridSpan w:val="4"/>
          </w:tcPr>
          <w:p>
            <w:pPr>
              <w:ind w:left="422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9"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CONDENSED CONSOLIDATED BALANCE SHEETS (amounts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tcBorders>
              <w:top w:val="single" w:sz="8" w:color="CCEEFF"/>
            </w:tcBorders>
            <w:shd w:val="clear" w:color="auto" w:fill="CCEEFF"/>
          </w:tcPr>
          <w:p>
            <w:pPr>
              <w:ind w:left="39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148,415</w:t>
            </w: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243,038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162,395</w:t>
            </w: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42,229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685,370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379,736</w:t>
            </w: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3,071,347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3,215,605</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40,871</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26,175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27,489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3,824,517</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3,669,881</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20" w:type="dxa"/>
            <w:vAlign w:val="bottom"/>
            <w:shd w:val="clear" w:color="auto" w:fill="CCEEFF"/>
          </w:tcPr>
          <w:p>
            <w:pPr>
              <w:ind w:left="2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37,694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39,431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64,048</w:t>
            </w: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58,889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45,580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21,813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106,243</w:t>
            </w:r>
          </w:p>
        </w:tc>
        <w:tc>
          <w:tcPr>
            <w:tcW w:w="0" w:type="dxa"/>
            <w:vAlign w:val="bottom"/>
          </w:tcPr>
          <w:p>
            <w:pPr>
              <w:spacing w:after="0"/>
              <w:rPr>
                <w:sz w:val="1"/>
                <w:szCs w:val="1"/>
                <w:color w:val="auto"/>
              </w:rPr>
            </w:pP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329,943</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3,131,920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3,125,424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146,345</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3,827,881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3,602,796</w:t>
            </w:r>
          </w:p>
        </w:tc>
        <w:tc>
          <w:tcPr>
            <w:tcW w:w="0" w:type="dxa"/>
            <w:vAlign w:val="bottom"/>
          </w:tcPr>
          <w:p>
            <w:pPr>
              <w:spacing w:after="0"/>
              <w:rPr>
                <w:sz w:val="1"/>
                <w:szCs w:val="1"/>
                <w:color w:val="auto"/>
              </w:rPr>
            </w:pPr>
          </w:p>
        </w:tc>
      </w:tr>
      <w:tr>
        <w:trPr>
          <w:trHeight w:val="221"/>
        </w:trPr>
        <w:tc>
          <w:tcPr>
            <w:tcW w:w="902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Contributed capital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1,198,764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1,192,135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(1,202,128)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(1,125,050)</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880"/>
              <w:spacing w:after="0"/>
              <w:rPr>
                <w:sz w:val="20"/>
                <w:szCs w:val="20"/>
                <w:color w:val="auto"/>
              </w:rPr>
            </w:pPr>
            <w:r>
              <w:rPr>
                <w:rFonts w:ascii="Arial" w:cs="Arial" w:eastAsia="Arial" w:hAnsi="Arial"/>
                <w:sz w:val="18"/>
                <w:szCs w:val="18"/>
                <w:color w:val="auto"/>
              </w:rPr>
              <w:t>Total member’s (deficit) equity</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67,085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3,824,517</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3,669,881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$161,580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$155,555</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480,465</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95,662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90,980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287,789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128,995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132,593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390,965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56,567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163,077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444,489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435,695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1,322,296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1,235,472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(51,760)</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(47,599)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(141,187)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(138,512)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392,729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388,096</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1,181,109</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78,083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77,047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229,752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32,824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80,812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75,956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241,792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34,158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60,985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59,685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182,329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5,892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5,822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17,720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61,720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62,419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276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21,698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10,095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363,630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375,782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1,062,040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1,060,682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29,099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12,314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119,069</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(56,459)</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(56,851)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(169,856)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(1,962)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(26,578)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(56,408)</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(58,456)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(196,147)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(171,050)</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(27,309)</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(46,142)</w:t>
            </w:r>
          </w:p>
        </w:tc>
        <w:tc>
          <w:tcPr>
            <w:tcW w:w="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(77,078)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(134,772)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 (27,309)</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 (46,142)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(77,078)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(134,772)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38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Net loss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(77,078)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(134,772)</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185,425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188,613</w:t>
            </w:r>
          </w:p>
        </w:tc>
      </w:tr>
      <w:tr>
        <w:trPr>
          <w:trHeight w:val="216"/>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6,459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9,646</w:t>
            </w:r>
          </w:p>
        </w:tc>
      </w:tr>
      <w:tr>
        <w:trPr>
          <w:trHeight w:val="216"/>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26,578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6,580</w:t>
            </w:r>
          </w:p>
        </w:tc>
      </w:tr>
      <w:tr>
        <w:trPr>
          <w:trHeight w:val="216"/>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10,147</w:t>
            </w: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26,125</w:t>
            </w:r>
          </w:p>
        </w:tc>
      </w:tr>
      <w:tr>
        <w:trPr>
          <w:trHeight w:val="216"/>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swap fair value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(13,639)</w:t>
            </w:r>
          </w:p>
        </w:tc>
      </w:tr>
      <w:tr>
        <w:trPr>
          <w:trHeight w:val="216"/>
        </w:trPr>
        <w:tc>
          <w:tcPr>
            <w:tcW w:w="738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7,662</w:t>
            </w:r>
          </w:p>
        </w:tc>
      </w:tr>
      <w:tr>
        <w:trPr>
          <w:trHeight w:val="216"/>
        </w:trPr>
        <w:tc>
          <w:tcPr>
            <w:tcW w:w="7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(25,792)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(3,251)</w:t>
            </w:r>
          </w:p>
        </w:tc>
      </w:tr>
      <w:tr>
        <w:trPr>
          <w:trHeight w:val="216"/>
        </w:trPr>
        <w:tc>
          <w:tcPr>
            <w:tcW w:w="738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11,001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4,810</w:t>
            </w:r>
          </w:p>
        </w:tc>
      </w:tr>
      <w:tr>
        <w:trPr>
          <w:trHeight w:val="27"/>
        </w:trPr>
        <w:tc>
          <w:tcPr>
            <w:tcW w:w="7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139,998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103,921</w:t>
            </w:r>
          </w:p>
        </w:tc>
      </w:t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 and retention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(41,996)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(32,134)</w:t>
            </w: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Deposits and purchase of other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(2,562)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(2,303)</w:t>
            </w:r>
          </w:p>
        </w:tc>
      </w:tr>
      <w:tr>
        <w:trPr>
          <w:trHeight w:val="216"/>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affiliates, net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w:t>
            </w: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Proceeds from sale of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r>
      <w:tr>
        <w:trPr>
          <w:trHeight w:val="27"/>
        </w:trPr>
        <w:tc>
          <w:tcPr>
            <w:tcW w:w="7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(31,190)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(29,548)</w:t>
            </w:r>
          </w:p>
        </w:tc>
      </w:t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500,000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900,000</w:t>
            </w: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Principal payments on long-term debt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(275,755)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(371,567)</w:t>
            </w:r>
          </w:p>
        </w:tc>
      </w:tr>
      <w:tr>
        <w:trPr>
          <w:trHeight w:val="216"/>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 for redemption of notes payable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(243,038)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Distribution to parent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(700,025)</w:t>
            </w:r>
          </w:p>
        </w:tc>
      </w:tr>
      <w:tr>
        <w:trPr>
          <w:trHeight w:val="216"/>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transactions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(2,368)</w:t>
            </w: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Payments of financing costs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(23,956)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(11,290)</w:t>
            </w:r>
          </w:p>
        </w:tc>
      </w:tr>
      <w:tr>
        <w:trPr>
          <w:trHeight w:val="27"/>
        </w:trPr>
        <w:tc>
          <w:tcPr>
            <w:tcW w:w="7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(42,749)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(185,250)</w:t>
            </w:r>
          </w:p>
        </w:tc>
      </w:t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(110,877)</w:t>
            </w: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148,415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201,399</w:t>
            </w:r>
          </w:p>
        </w:tc>
      </w:tr>
      <w:tr>
        <w:trPr>
          <w:trHeight w:val="27"/>
        </w:trPr>
        <w:tc>
          <w:tcPr>
            <w:tcW w:w="7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214,474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90,522</w:t>
            </w:r>
          </w:p>
        </w:tc>
      </w:tr>
      <w:tr>
        <w:trPr>
          <w:trHeight w:val="20"/>
        </w:trPr>
        <w:tc>
          <w:tcPr>
            <w:tcW w:w="7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460"/>
        <w:spacing w:after="0" w:line="261"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CONDENSED CONSOLIDATED FINANCIAL STATEMENTS (Unaudited)</w:t>
      </w:r>
    </w:p>
    <w:p>
      <w:pPr>
        <w:spacing w:after="0" w:line="392" w:lineRule="exact"/>
        <w:rPr>
          <w:sz w:val="20"/>
          <w:szCs w:val="20"/>
          <w:color w:val="auto"/>
        </w:rPr>
      </w:pPr>
    </w:p>
    <w:p>
      <w:pPr>
        <w:ind w:left="240" w:right="8240" w:hanging="232"/>
        <w:spacing w:after="0" w:line="347" w:lineRule="auto"/>
        <w:tabs>
          <w:tab w:leader="none" w:pos="2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 Encore (“Wynn Las Vegas”), a fully integrated destination resort and casino on the “Strip” in Las Vegas, Nevada.</w:t>
      </w:r>
    </w:p>
    <w:p>
      <w:pPr>
        <w:spacing w:after="0" w:line="11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September 30, 2013,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2013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2012.</w:t>
      </w:r>
    </w:p>
    <w:p>
      <w:pPr>
        <w:spacing w:after="0" w:line="234" w:lineRule="exact"/>
        <w:rPr>
          <w:sz w:val="20"/>
          <w:szCs w:val="20"/>
          <w:color w:val="auto"/>
        </w:rPr>
      </w:pPr>
    </w:p>
    <w:p>
      <w:pPr>
        <w:ind w:left="240" w:right="7880" w:hanging="232"/>
        <w:spacing w:after="0" w:line="347" w:lineRule="auto"/>
        <w:tabs>
          <w:tab w:leader="none" w:pos="2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Cash and Cash Equivalents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As of September 30, 2013, restricted cash balances totaled approximately $243 million, which consists of funds held for the purpose of redeeming, in November 2013, the portion of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2017 that were not tendered in May 2013. For more information on the Wynn Las Vegas tender offer, see Note 6 – “Long-Term Debt.” There were no restricted cash balances as of December 31, 2012.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2013 and December 31, 2012, approximately 78% of the Company’s markers were due from customers residing in foreign countries,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Accounts receivable, including casino and hotel receivables, are typically non-interest bearing and are initially recorded at cost. Accounts are written off when management deems them to be uncollectible or after two years, whichever period is shorter.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 During the quarter ended June 30, 2013, the Company recorded an adjustment to its reserve estimates for casino accounts receivable based on the results of historical collection patterns and current collection trends. This adjustment benefitted operating income and net loss by $12.2 million for the nine months ended September 30, 2013.</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quarter ended June 30, 2012, the Company recorded a similar adjustment which benefitted operating income and net loss by $9.6 million for the nine months ended September 30, 2012.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2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9"/>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540" w:type="dxa"/>
            <w:vAlign w:val="bottom"/>
          </w:tcPr>
          <w:p>
            <w:pPr>
              <w:spacing w:after="0"/>
              <w:rPr>
                <w:sz w:val="14"/>
                <w:szCs w:val="14"/>
                <w:color w:val="auto"/>
              </w:rPr>
            </w:pPr>
          </w:p>
        </w:tc>
        <w:tc>
          <w:tcPr>
            <w:tcW w:w="22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7"/>
              </w:rPr>
              <w:t>September 30,</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5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$28,225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$27,278</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Food and beverage</w:t>
            </w:r>
          </w:p>
        </w:tc>
        <w:tc>
          <w:tcPr>
            <w:tcW w:w="580" w:type="dxa"/>
            <w:vAlign w:val="bottom"/>
          </w:tcPr>
          <w:p>
            <w:pPr>
              <w:jc w:val="right"/>
              <w:spacing w:after="0"/>
              <w:rPr>
                <w:sz w:val="20"/>
                <w:szCs w:val="20"/>
                <w:color w:val="auto"/>
              </w:rPr>
            </w:pPr>
            <w:r>
              <w:rPr>
                <w:rFonts w:ascii="Arial" w:cs="Arial" w:eastAsia="Arial" w:hAnsi="Arial"/>
                <w:sz w:val="18"/>
                <w:szCs w:val="18"/>
                <w:color w:val="auto"/>
              </w:rPr>
              <w:t>17,138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14,370</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46,804</w:t>
            </w:r>
          </w:p>
        </w:tc>
        <w:tc>
          <w:tcPr>
            <w:tcW w:w="580" w:type="dxa"/>
            <w:vAlign w:val="bottom"/>
          </w:tcPr>
          <w:p>
            <w:pPr>
              <w:jc w:val="right"/>
              <w:spacing w:after="0"/>
              <w:rPr>
                <w:sz w:val="20"/>
                <w:szCs w:val="20"/>
                <w:color w:val="auto"/>
              </w:rPr>
            </w:pPr>
            <w:r>
              <w:rPr>
                <w:rFonts w:ascii="Arial" w:cs="Arial" w:eastAsia="Arial" w:hAnsi="Arial"/>
                <w:sz w:val="18"/>
                <w:szCs w:val="18"/>
                <w:color w:val="auto"/>
              </w:rPr>
              <w:t>43,559</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30,955</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27,648</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84,191</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81,021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and Comprehensive Loss. These taxes totaled $11.2 million and $10.9 million for the three months ended September 30, 2013 and 2012, respectively. For the nine months ended September 30, 2013 and 2012, these taxes totaled $34.6 million and $29.3 million,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and such costs are primarily included in general and administrative expenses. Advertising costs totaled $2.9 million and $4.6 million for the three months ended September 30, 2013 and 2012, respectively. Advertising costs totaled $13.3 million and $14.3 million for the nine months ended September 30, 2013 and 2012,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nine months ended September 30, 2013 and 2012, the Company recorded $6.6 million and $4.2 million, respectively, in share-based compensation with a corresponding credit to contributed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February 2013, the Financial Accounting Standards Board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adoption of this update did not have a material impact on the Company’s financial statements.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annual, and interim impairment tests performed for years beginning after September 15, 2012. The adoption did not have a material impact on the Company’s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 xml:space="preserve">Interest paid for the nine months ended September 30, 2013 and 2012 totaled $187.1 million and $168.6 million, respectively. Interest paid increased during the nine months ended September 30, 2013 due to the issuance of the $900 million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in March 2012. There was no interest capitalized during the nine months ended September 30, 2013 or 2012.</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the nine months ended September 30, 2013 capital expenditures include a decrease of $1.7 million in construction payables and retention recorded through amounts due to affiliates compared with a decrease of $5.5 million during the nine months ended September 30, 2012.</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September 18, 2012, Wynn Las Vegas distributed to Wynn Resorts, Limited, the Wynn Las Vegas golf course and the related water rights valued at $94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980" w:type="dxa"/>
            <w:vAlign w:val="bottom"/>
            <w:gridSpan w:val="6"/>
          </w:tcPr>
          <w:p>
            <w:pPr>
              <w:ind w:left="70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Hotel</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7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207,679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(54,819)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(64,281)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152,860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jc w:val="right"/>
              <w:ind w:right="4272"/>
              <w:spacing w:after="0"/>
              <w:rPr>
                <w:sz w:val="20"/>
                <w:szCs w:val="20"/>
                <w:color w:val="auto"/>
              </w:rPr>
            </w:pPr>
            <w:r>
              <w:rPr>
                <w:rFonts w:ascii="Arial" w:cs="Arial" w:eastAsia="Arial" w:hAnsi="Arial"/>
                <w:sz w:val="18"/>
                <w:szCs w:val="18"/>
                <w:b w:val="1"/>
                <w:bCs w:val="1"/>
                <w:color w:val="auto"/>
                <w:w w:val="90"/>
              </w:rPr>
              <w:t>5. Property and Equipment, net</w:t>
            </w:r>
          </w:p>
        </w:tc>
        <w:tc>
          <w:tcPr>
            <w:tcW w:w="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7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jc w:val="right"/>
              <w:ind w:right="632"/>
              <w:spacing w:after="0"/>
              <w:rPr>
                <w:sz w:val="20"/>
                <w:szCs w:val="20"/>
                <w:color w:val="auto"/>
              </w:rPr>
            </w:pPr>
            <w:r>
              <w:rPr>
                <w:rFonts w:ascii="Arial" w:cs="Arial" w:eastAsia="Arial" w:hAnsi="Arial"/>
                <w:sz w:val="18"/>
                <w:szCs w:val="18"/>
                <w:color w:val="auto"/>
                <w:w w:val="95"/>
              </w:rPr>
              <w:t>Property and equipment, net consisted of the following (amounts in thousands):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24"/>
                <w:szCs w:val="2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7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622,942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2,627,920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2,626,384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44,364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1,358,123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4,658,127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4,632,869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(1,586,780)</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(1,417,264)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620" w:type="dxa"/>
            <w:vAlign w:val="bottom"/>
            <w:gridSpan w:val="5"/>
          </w:tcPr>
          <w:p>
            <w:pPr>
              <w:jc w:val="right"/>
              <w:ind w:right="20"/>
              <w:spacing w:after="0"/>
              <w:rPr>
                <w:sz w:val="20"/>
                <w:szCs w:val="20"/>
                <w:color w:val="auto"/>
              </w:rPr>
            </w:pPr>
            <w:r>
              <w:rPr>
                <w:rFonts w:ascii="Arial" w:cs="Arial" w:eastAsia="Arial" w:hAnsi="Arial"/>
                <w:sz w:val="18"/>
                <w:szCs w:val="18"/>
                <w:color w:val="auto"/>
              </w:rPr>
              <w:t>$ 3,071,347</w:t>
            </w:r>
          </w:p>
        </w:tc>
        <w:tc>
          <w:tcPr>
            <w:tcW w:w="36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$ 3,215,605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jc w:val="right"/>
              <w:ind w:right="932"/>
              <w:spacing w:after="0"/>
              <w:rPr>
                <w:sz w:val="20"/>
                <w:szCs w:val="20"/>
                <w:color w:val="auto"/>
              </w:rPr>
            </w:pPr>
            <w:r>
              <w:rPr>
                <w:rFonts w:ascii="Arial" w:cs="Arial" w:eastAsia="Arial" w:hAnsi="Arial"/>
                <w:sz w:val="18"/>
                <w:szCs w:val="18"/>
                <w:color w:val="auto"/>
              </w:rPr>
              <w:t>9</w:t>
            </w: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9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88"/>
        </w:trPr>
        <w:tc>
          <w:tcPr>
            <w:tcW w:w="91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5"/>
              </w:rPr>
              <w:t xml:space="preserve">7 </w:t>
            </w:r>
            <w:r>
              <w:rPr>
                <w:rFonts w:ascii="Arial" w:cs="Arial" w:eastAsia="Arial" w:hAnsi="Arial"/>
                <w:sz w:val="11"/>
                <w:szCs w:val="11"/>
                <w:color w:val="auto"/>
                <w:w w:val="95"/>
              </w:rPr>
              <w:t>7</w:t>
            </w:r>
            <w:r>
              <w:rPr>
                <w:rFonts w:ascii="Arial" w:cs="Arial" w:eastAsia="Arial" w:hAnsi="Arial"/>
                <w:sz w:val="18"/>
                <w:szCs w:val="18"/>
                <w:color w:val="auto"/>
                <w:w w:val="95"/>
              </w:rPr>
              <w:t>/</w:t>
            </w:r>
            <w:r>
              <w:rPr>
                <w:rFonts w:ascii="Arial" w:cs="Arial" w:eastAsia="Arial" w:hAnsi="Arial"/>
                <w:sz w:val="11"/>
                <w:szCs w:val="11"/>
                <w:color w:val="auto"/>
                <w:w w:val="95"/>
              </w:rPr>
              <w:t>8</w:t>
            </w:r>
            <w:r>
              <w:rPr>
                <w:rFonts w:ascii="Arial" w:cs="Arial" w:eastAsia="Arial" w:hAnsi="Arial"/>
                <w:sz w:val="18"/>
                <w:szCs w:val="18"/>
                <w:color w:val="auto"/>
                <w:w w:val="95"/>
              </w:rPr>
              <w:t>% First Mortgage Notes, due November 1, 2017, net of original issue discount of $2,893 at September 30, 2013 and</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$7,384 at December 31,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222,402</w:t>
            </w: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492,616</w:t>
            </w:r>
          </w:p>
        </w:tc>
        <w:tc>
          <w:tcPr>
            <w:tcW w:w="120" w:type="dxa"/>
            <w:vAlign w:val="bottom"/>
            <w:shd w:val="clear" w:color="auto" w:fill="CCEEFF"/>
          </w:tcPr>
          <w:p>
            <w:pPr>
              <w:spacing w:after="0"/>
              <w:rPr>
                <w:sz w:val="19"/>
                <w:szCs w:val="19"/>
                <w:color w:val="auto"/>
              </w:rPr>
            </w:pPr>
          </w:p>
        </w:tc>
      </w:tr>
      <w:tr>
        <w:trPr>
          <w:trHeight w:val="208"/>
        </w:trPr>
        <w:tc>
          <w:tcPr>
            <w:tcW w:w="9120" w:type="dxa"/>
            <w:vAlign w:val="bottom"/>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May 1, 2020, net of payable to affiliate and original issue discount of $1,940 at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September 30, 2013 and $2,102 at December 31, 2012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350,070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349,908</w:t>
            </w:r>
          </w:p>
        </w:tc>
        <w:tc>
          <w:tcPr>
            <w:tcW w:w="120" w:type="dxa"/>
            <w:vAlign w:val="bottom"/>
          </w:tcPr>
          <w:p>
            <w:pPr>
              <w:spacing w:after="0"/>
              <w:rPr>
                <w:sz w:val="19"/>
                <w:szCs w:val="19"/>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First Mortgage Notes, due August 15, 2020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March 15, 2022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900,000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Senior Notes, due May 30, 2023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33,950</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3,355,372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3,126,474</w:t>
            </w:r>
          </w:p>
        </w:tc>
        <w:tc>
          <w:tcPr>
            <w:tcW w:w="120" w:type="dxa"/>
            <w:vAlign w:val="bottom"/>
          </w:tcPr>
          <w:p>
            <w:pPr>
              <w:spacing w:after="0"/>
              <w:rPr>
                <w:sz w:val="19"/>
                <w:szCs w:val="19"/>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(223,452)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r>
      <w:tr>
        <w:trPr>
          <w:trHeight w:val="222"/>
        </w:trPr>
        <w:tc>
          <w:tcPr>
            <w:tcW w:w="9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3,131,920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3,125,424</w:t>
            </w:r>
          </w:p>
        </w:tc>
        <w:tc>
          <w:tcPr>
            <w:tcW w:w="12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First Mortgage Notes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On May 15, 2013, the Company, an indirect wholly owned subsidiary of Wynn Resorts, Limited, commenced a cash tender offer (the “tender offer”) for any and all of the outstanding $500 million aggregate principal amount of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2017 (the “2017 Notes”) of Wynn Las Vegas, LLC (“Wynn Las Vegas”) and Wynn Las Vegas Capital Corp., an indirect wholly owned subsidiary of Wynn Resorts, Limited (together with Wynn Las Vegas, the “Issuers”), and a solicitation of consents to certain proposed amendments to the indenture (the “2017 Indenture”) governing the 2017 Notes.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tender offer expired on May 21, 2013 and at the time of expiration, Wynn Las Vegas had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extinguishment of debt in the accompanying Condensed Consolidated Statements of Operations and Comprehensive Loss. In addition, upon the tender offer completion, the Issuers entered into a supplemental indenture, which eliminated substantially all of the restrictive covenants and certain events of default from the 2017 Indenture.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Also in connection with this transaction, the Company expensed $6.7 million of unamortized debt issue costs and original issue discount related to the 2017 Notes and incurred other fees of approximately $0.3 million that are included in loss on extinguishment of debt in the accompanying Condensed Consolidated Statements of Operations and Comprehensive Loss.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 2013, the Company redeemed the untendered 2017 Notes principal amount of $225.3 million. The redemption price was equal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103.938% of the aggregate principal amount of the 2017 Notes plus accrued and unpaid interest on November 1, 2013. The total redemption fees paid were $8.9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2023 Notes</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 xml:space="preserve">On May 22, 2013, the Issuers completed the issuance of $500 million aggregate principal amount of 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Senior Notes due 2023 (the “2023 Notes”) pursuant to an indenture, dated as of May 22, 2013 (the “2023 Indenture”), among the Issuers, the Guarantors (as defined below) and U.S. Bank National Association, 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trustee. The 2023 Notes were issued at par. The Issuers used the net proceeds from the 2023 Notes to cover the cost of purchasing the 2017 Notes tendered in the tender offer. In addition, the Issuers satisfied and discharged the 2017 Indenture and, in November 2013, used the remaining net proceeds to redeem any and all of the 2017 Notes not previously tendered. In connection with the issuance of the 2023 Notes, the Company capitalized approximately $4.1 million of financing costs.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The 2023 Notes will mature on May 30, 2023 and bear interest at the rate of 4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The 2023 Notes are the Issuers’ senior unsecured obligations and rank pari passu in right of payment with the Issuers’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 First Mortgage Notes due 2020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2022 (the “2022 Notes” and, together with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the “Existing Notes”). The 2023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2023 Notes will be released.</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2023 Notes were offered pursuant to an exemption under the Securities Act of 1933, as amended (the “Securities Act”). The 2023 Notes were offered only to qualified institutional buyers in reliance on Rule 144A under the Securities Act or outside the United States to certain persons in reliance on Regulation S under the Securities Act. The 2023 Notes have not been and will not be registered under the Securities Act of 1933 or under any state securities laws. Therefore, the 2023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As described in Note 9 – “Commitments and Contingencies”, Elaine Wynn has submitted a cross claim against Steve Wynn and Kazuo Okada in relation to the ongoing litigation. The indentures governing the Existing Notes (other than the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 First Mortgage Notes due 2022) and the 2023 Notes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 Term Debt</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net book value of the Company’s outstanding first mortgage notes and senior notes was approximately $3.3 billion and $3.1 billion at September 30, 2013 and December 31, 2012, respectively. The estimated fair value of the Company’s outstanding first mortgage notes and senior notes, based on recent trades (using Level 2 inputs), was approximately $3.5 billion and $3.4 billion at September 30, 2013 and December 31, 2012, respectively. The net book value and estimated fair value of the Company’s other debt instruments was approximately $33 million and $34 million at September 30, 2013 and December 31, 2012, respectively.</w:t>
      </w:r>
    </w:p>
    <w:p>
      <w:pPr>
        <w:spacing w:after="0" w:line="258" w:lineRule="exact"/>
        <w:rPr>
          <w:sz w:val="20"/>
          <w:szCs w:val="20"/>
          <w:color w:val="auto"/>
        </w:rPr>
      </w:pPr>
    </w:p>
    <w:p>
      <w:pPr>
        <w:ind w:left="240" w:right="9060" w:hanging="232"/>
        <w:spacing w:after="0" w:line="417" w:lineRule="auto"/>
        <w:tabs>
          <w:tab w:leader="none" w:pos="228"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of September 30, 2013, the Company’s current due to affiliates, net was comprised of $40 million including corporate allocations discussed below and $2.4 million of construction related payables. The long-term due to affiliates is management fees of $164.1 million (equal to 1.5% of net revenues and payable upon meeting certain leverage ratios as specified in the documents governing the Company’s first mortgage notes indentures).</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2012, the Company’s current due to affiliates, net was comprised of $33.7 million including corporate allocations discussed below and $4.1 million of construction related payables. The long-term due to affiliates was management fees of $146.3 million.</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first mortgage notes and senior notes.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Condensed Consolidated Statements of Operations and Comprehensive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For the three months ended September 30, 2013 and 2012, $5.9 million and $6.6 million, respectively, were charged to the Company for such corporate allocations. For the nine months ended September 30, 2013 and 2012, $19.2 million and $20.4 million, respectively, were charged to the Company for such corporate allocations.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On March 18, 2010, Mr. Wynn and the Company entered into an Amended and Restated Agreement of Lease (the “Prior SW Lease”) for a villa suite to serve as Mr. Wynn’s personal residence. The Prior SW Lease amended and restated a previous lease. The Prior SW Lease was approved by the Audit Committee of the Board of Directors of Wynn Resorts. The term of the Prior SW Lease commenced as of March 1, 2010 and ran concurrent with Mr. Wynn’s employment agreement with Wynn Resorts; provided that either party could terminate on 90 days notice. Pursuant to the Prior SW Lease, the rental value of the villa suite is treated as imputed income to Mr. Wynn, and was equal to the fair market value of the accommodations provided. Effective March 1, 2010, and for the first two years of the term of the Prior SW Lease, the rental value was $503,831 per year. Effective March 1, 2012, the rental value was $440,000 per year. On May 7, 2013, Wynn Las Vegas entered into a 2013 Amended and Restated Agreement of Lease (the “Existing SW Lease”), effective December 29, 2012, to include an expansion of the villa and to adjust the rental value accordingly to $525,000 per year based on the current fair market value as established by the Audit Committee of Wynn Resorts with the assistance of an independent third-party appraisal. The rental value for the villa suite will be re-determined every two years during the term of the Existing SW Lease by the Audit Committee. Certain services for, and maintenance of, the villa suite are included in the rental.</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Aircraft Purchase Option Agreement</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January 3, 2013, Wynn Resorts and Mr. Wynn entered into an agreement pursuant to which Mr. Wynn agreed to terminate a previously granted option to purchase an approximately two acre tract of land located on the Wynn Las Vegas golf course and, in return, Wynn Resorts granted Mr. Wynn the right to purchase any or all of the aircraft owned by the Company. The aircraft purchase option is exercisable upon 30 days written notice and at a price equal to the book value of such aircraft, and will terminate on the date of termination of the employment agreement between Wynn Resorts and Mr. Wynn, which expires in October 2020.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Golf Course Lease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September 18, 2012, the Company distributed to Wynn Resorts, Limited,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notice of such termination to the other party no later than thirty (30) days prior to the expiration of any monthly period. The combined rental value for both the golf course land and the water rights is $598,000 per month.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Charges and Other</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Property charges and other for the three months ended September 30, 2013 and 2012 were $0.3 million and $21.7 million, respectively. Property charges and other for the nine months ended September 30, 2013 and 2012 were $10.1 million and $27.6 million, respectively.</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Property charges generally include costs related to the retirement of assets for remodels and asset abandonments. Property charges and other for the three and nine months ended September 30, 2013 included miscellaneous renovations and abandonments at our resort, entertainment development costs and fees associated with the termination of a contract. Property charges for the three and nine months ended September 30, 2012 included costs associated with a remodel of a restaurant, termination costs associated with a show which ended its run in November 2012, and miscellaneous renovations and abandonments at our resort complex.</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2008, the Nevada Supreme Court ruled, in the matter captioned Sparks Nugget, Inc. vs. The State of Nevada Ex Rel. Department of Taxation, that food and non-alcoholic beverages purchased for use in providing complimentary meals to customers and to employees were exempt from use tax. Through April 2008, Wynn Las Vegas paid use tax on these items and filed for refunds for the periods from April 2005 to April 2008. The amount subject to these refunds was $5.4 million. The Company had not recorded a receivable associated with its $5.4 million refund claim.</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February of 2012, the Nevada Department of Taxation announced that while the food and nonalcoholic beverages purchased for use in complimentary meals are not subject to use tax, the complimentary meal itself is subject to sales tax. At that time, the Company began to accrue sales tax on certain complimentary meals.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2013, the Governor of the State of Nevada signed into law a bill that provides food, meals, and non-alcoholic drinks provided to employees, patrons and guests are not subject to Nevada sales tax. This legislation codified an agreement reached between the Nevada Tax Commission and several large casino taxpayers pursuant to which the taxpayers agreed to forego and cause to dismiss their pending refund claims and the Nevada Tax Commission agreed not to assess Nevada sales or use tax on complimentary food, meals, and non-alcoholic drinks through 2019. As a result of this legislation, the Company reversed its accrual for sales tax on complimentary meals of $2.9 million during the nine months ended September 30,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and its affiliates are occasionally party to lawsuits. As with all litigation, no assurance can be provided as to the outcome of such matters and we note that litigation inherently involves significant costs.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February 18, 2012, the Gaming Compliance Committee of Wynn Resorts, Limited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at the time was a director of Wynn Resorts and two of its subsidiaries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Mr. Okada denied the impropriety of such conduct to members of the Board of Directors of Wynn Resorts, refused to acknowledge or abide by Wynn Resorts’ anti-bribery policies and refused to participate in the training all other directors received concerning these policies.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Based on the Freeh Report, the Board of Directors of Wynn Resorts determined that each of the Okada Parties is an “unsuitable person” under Article VII of Wynn Resorts’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and on February 24, 2012, he was removed from the Board of Directors of Wynn Macau, Limited. On February 22, 2013, Mr. Okada was removed from the Board of Directors of Wynn Resorts by a stockholder vote in which 99.6% of the over 86 million shares voted were cast in favor of removal. Additionally, Mr. Okada resigned from the Board of Directors of Wynn Resorts on February 21, 2013.</w:t>
      </w:r>
    </w:p>
    <w:p>
      <w:pPr>
        <w:spacing w:after="0" w:line="118"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Pursuant to the articles of incorporation, Wynn Resorts issued the Redemption Price Promissory Note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Claims and Investigations Related to Mr. Okada and Wynn Macau</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On February 19, 2012, Wynn Resorts filed a complaint in the Eighth Judicial District Court, Clark County, Nevada against the Okada Parties,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and (5) that the actions taken by the Wynn Resorts CEO and General Counsel violated the Nevada Racketeer Influenced and Corrupt Organizations Act.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June 19, 2012, Elaine Wynn responded to the Counterclaim and asserted a cross claim against Steve Wynn and Kazuo Okada seeking a declaration that</w:t>
      </w:r>
    </w:p>
    <w:p>
      <w:pPr>
        <w:spacing w:after="0" w:line="50" w:lineRule="exact"/>
        <w:rPr>
          <w:sz w:val="20"/>
          <w:szCs w:val="20"/>
          <w:color w:val="auto"/>
        </w:rPr>
      </w:pPr>
    </w:p>
    <w:p>
      <w:pPr>
        <w:ind w:firstLine="8"/>
        <w:spacing w:after="0" w:line="287"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Wynn Las Vegas, LLC first mortgage notes (the “Indentures”)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June 12, 2013, the Okada Parties filed a request to file a third amended counterclaim, and on August 30, 2013, the Okada Parties filed their third amended complaint. On September 18, 2013, Wynn Resorts filed a Partial Motion to Dismiss related to a claim in the third amended counterclaim alleging civil extortion by Mr. Wynn and Ms. Sinatra. On October 29, 2013 the court granted the motion and dismissed the claim. The parties had been engaged in discovery at the time the court entered the Stay (defined and discussed below). Therefore, although the court previously set a timetable for all discovery, pre-trial and trial deadlines, with a five-week jury trial scheduled to commence in April 2014, this schedule may change due to the Stay.</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motion stated that the federal government has been conducting a criminal investigation of the Okada Parties involving the “same underlying allegations of misconduct – that is, potential violations of the Foreign Corrupt Practice Act and related fraudulent conduct – that form the basis of” Wynn Resorts’ complaint, as amended, in the Redemption Action. The motion sought to stay all discovery in the Redemption Action related to the Okada Parties’ allegedly unlawful activities in connection with their Philippine Casino Project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October 29, 2013, the United States Attorney’s Office and the U.S. Department of Justice filed a Motion to Extend the Stay for a period of six months. At a hearing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in the following paragraph.</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August 2, 2013, the court stayed discovery in the indemnification action related to the government investigations (consistent with the Stay in the Redemption Action), and ordered that all other discovery be conducted within ninety days. The court did not set a trial date; rather set the matter for a status check on January 10, 2014.</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Subject to the Stay, Wynn Resorts will continue to vigorously pursue its claims against the Okada Parties,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served on those boards. The sole dissenting vote was cast by Mr. Okada whose stated objection was to the length of time over which the donation would occur, not its propriety. Mr. Okada has filed various lawsuits against Wynn Resorts relating to Wynn Resorts’ donation to the University of Macau and alleging that it was improper.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February 8, 2012, following the initiation of Mr. Okada’s litigation against Wynn Resorts regarding Wynn Macau’s donation to the University of Macau Development Foundation,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Wynn Resorts is fully cooperating with the Salt Lake Regional Office staff. On July 2, 2013, Wynn Resorts received a letter from the Office stating that the investigation had been completed with the Office not intending to recommend any enforcement action against Wynn Resorts by the SEC.</w:t>
      </w:r>
    </w:p>
    <w:p>
      <w:pPr>
        <w:spacing w:after="0" w:line="12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February 2013, the Nevada Gaming Control Board informed Wynn Resorts that it had completed an investigation of allegations made by Mr. Okada against Wynn Resorts regarding the activities of Mr. Wynn and related entities in Macau and found no violations of the Gaming Control Act or the Nevada Gaming Commission Regulations.</w:t>
      </w:r>
    </w:p>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donation to the University of Macau discussed above. Wynn Resorts has not received any target letter or subpoena in connection with such an investigation.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Wynn Resorts intends to cooperate fully with the government in response to any inquiry related to the donation to the University of Macau.</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the donation to the University of Macau. While Wynn Resorts believes that it is in full compliance with all applicable laws, any such investigations could result in actions by regulators against Wynn Resorts or its subsidiaries.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additional information regarding the proceedings discussed above and related proceedings see Part II, Item 1 of the Quarterly Report on Form 10-Q filed by Wynn Resorts for the quarter ended September 30, 2013.</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24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These include the risks and uncertainties in Item 1A – Risk Factors and other risk factors we describe from time to time in our periodic filings with the SEC as well as the following:</w:t>
      </w:r>
    </w:p>
    <w:p>
      <w:pPr>
        <w:spacing w:after="0" w:line="5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Wynn Las Vegas I Encore for all of our operating cash flow;</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 Encore (“Wynn Las Vegas”), a fully integrated destination casino resort in Las Vegas, Nevada. Wynn Las Vegas, located at the intersection of the Las Vegas Strip and Sands Avenue, occupies approximately 215 acres of land (of which approximately 140 acres comprise the Wynn Las Vegas golf course) fronting the Las Vegas Strip, owns approximately 18 additional acres across Sands Avenue, a portion of which is improved with an employee parking garage and utilizes approximately 5 acres adjacent to the golf course on which an office building is located. Commencing September 18, 2012, when the golf course land and related water rights were distributed to Wynn Resorts, we lease approximately 140 acres (upon which the golf course is located) and water rights from Wynn Resorts.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284,000 square feet of meeting and convention space;</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96,000 square feet of high-end, brand-name retail shopping, including stores and boutiques by Alexander McQueen, Brioni, Cartier, Chanel, Chloé, Chopard, Dior, Graff, Hermes, IWC Schaffhausen, Jaeger LeCoultre, Loro Piana, Louis Vuitton, Manolo Blahnik, Nicholas Kirkwood, Oscar de la Renta, Piaget, Rolex, Vertu and others;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made and expect to continue to remodel and make enhancements and refinements to our resort complex.</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premium gaming customers who wager on credit, thus exposing us to credit risk. High-end gaming also increases the potential for variability in our results.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recorded a net loss for the three months ended September 30, 2013 of $27.3 million, compared to a net loss of $46.1 million for the three months ended September 30, 2012. Our results for the prior year quarter were negatively impacted by higher property charges and other ($21.4 million) which included costs associated with a remodel of a restaurant, entertainment development costs and fees paid in connection with the termination of a contract. For the nine months ended September 30, 2013, we recorded a net loss of $77.1 million compared to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loss of $134.8 million for the nine months ended September 30, 2012. Our results for the nine months ended September 30, 2013 were benefitted by improved profits primarily in the casino department ($62.2 million) where we experienced a higher table games win percentage.</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Certain key operating statistics specific to the gaming industry are included in our discussions of the Company’s operational performance for the periods in which a Condensed Consolidated Statement of Operations and Comprehensive Loss is presented. Below are definitions of the statistics discussed:</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2013 compared to the three months ended September 30,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revenues for the three months ended September 30, 2013, were comprised of $161.6 million in casino revenues (41.1% of total net revenues)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$231.1 million of net non-casino revenues (58.9% of total net revenues). Net revenues for the three months ended September 30, 2012, were comprised of $155.6</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million in casino revenues (40.1% of total net revenues) and $232.5 million of net non-casino revenues (59.9% of total net revenues).</w:t>
      </w:r>
    </w:p>
    <w:p>
      <w:pPr>
        <w:spacing w:after="0" w:line="16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an increase in casino revenues of $6 million (3.9%) to $161.6 million for the three months ended September 30, 2013, compared to $155.6 million for the three months ended September 30, 2012, due to a significant increase in our table games win percentage (before discounts).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6"/>
              </w:rPr>
              <w:t>Three Months Ended September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75"/>
              <w:spacing w:after="0" w:line="129" w:lineRule="exact"/>
              <w:rPr>
                <w:sz w:val="20"/>
                <w:szCs w:val="20"/>
                <w:color w:val="auto"/>
              </w:rPr>
            </w:pPr>
            <w:r>
              <w:rPr>
                <w:rFonts w:ascii="Arial" w:cs="Arial" w:eastAsia="Arial" w:hAnsi="Arial"/>
                <w:sz w:val="14"/>
                <w:szCs w:val="14"/>
                <w:b w:val="1"/>
                <w:bCs w:val="1"/>
                <w:color w:val="auto"/>
                <w:w w:val="82"/>
              </w:rPr>
              <w:t>Increase/</w:t>
            </w:r>
          </w:p>
        </w:tc>
        <w:tc>
          <w:tcPr>
            <w:tcW w:w="580" w:type="dxa"/>
            <w:vAlign w:val="bottom"/>
          </w:tcPr>
          <w:p>
            <w:pPr>
              <w:ind w:left="100"/>
              <w:spacing w:after="0" w:line="129"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37"/>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10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2012</w:t>
            </w:r>
          </w:p>
        </w:tc>
        <w:tc>
          <w:tcPr>
            <w:tcW w:w="1560" w:type="dxa"/>
            <w:vAlign w:val="bottom"/>
            <w:gridSpan w:val="2"/>
          </w:tcPr>
          <w:p>
            <w:pPr>
              <w:jc w:val="right"/>
              <w:ind w:right="535"/>
              <w:spacing w:after="0"/>
              <w:rPr>
                <w:sz w:val="20"/>
                <w:szCs w:val="20"/>
                <w:color w:val="auto"/>
              </w:rPr>
            </w:pPr>
            <w:r>
              <w:rPr>
                <w:rFonts w:ascii="Arial" w:cs="Arial" w:eastAsia="Arial" w:hAnsi="Arial"/>
                <w:sz w:val="14"/>
                <w:szCs w:val="14"/>
                <w:b w:val="1"/>
                <w:bCs w:val="1"/>
                <w:color w:val="auto"/>
              </w:rPr>
              <w:t>(Decrease)</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120" w:type="dxa"/>
            <w:vAlign w:val="bottom"/>
            <w:tcBorders>
              <w:top w:val="single" w:sz="8" w:color="auto"/>
            </w:tcBorders>
            <w:gridSpan w:val="5"/>
          </w:tcPr>
          <w:p>
            <w:pPr>
              <w:jc w:val="right"/>
              <w:ind w:right="15"/>
              <w:spacing w:after="0" w:line="142" w:lineRule="exact"/>
              <w:rPr>
                <w:sz w:val="20"/>
                <w:szCs w:val="20"/>
                <w:color w:val="auto"/>
              </w:rPr>
            </w:pPr>
            <w:r>
              <w:rPr>
                <w:rFonts w:ascii="Arial" w:cs="Arial" w:eastAsia="Arial" w:hAnsi="Arial"/>
                <w:sz w:val="14"/>
                <w:szCs w:val="14"/>
                <w:color w:val="auto"/>
              </w:rPr>
              <w:t>(amounts in thousands except for win per unit per day amounts)</w:t>
            </w: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Drop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w w:val="92"/>
              </w:rPr>
              <w:t>676,287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2"/>
              </w:rPr>
              <w:t>682,349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(6,062)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Table games win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97"/>
              <w:spacing w:after="0"/>
              <w:rPr>
                <w:sz w:val="20"/>
                <w:szCs w:val="20"/>
                <w:color w:val="auto"/>
              </w:rPr>
            </w:pPr>
            <w:r>
              <w:rPr>
                <w:rFonts w:ascii="Arial" w:cs="Arial" w:eastAsia="Arial" w:hAnsi="Arial"/>
                <w:sz w:val="18"/>
                <w:szCs w:val="18"/>
                <w:color w:val="auto"/>
                <w:w w:val="92"/>
              </w:rPr>
              <w:t>152,842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5"/>
              <w:spacing w:after="0"/>
              <w:rPr>
                <w:sz w:val="20"/>
                <w:szCs w:val="20"/>
                <w:color w:val="auto"/>
              </w:rPr>
            </w:pPr>
            <w:r>
              <w:rPr>
                <w:rFonts w:ascii="Arial" w:cs="Arial" w:eastAsia="Arial" w:hAnsi="Arial"/>
                <w:sz w:val="18"/>
                <w:szCs w:val="18"/>
                <w:color w:val="auto"/>
                <w:w w:val="92"/>
              </w:rPr>
              <w:t>149,204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5"/>
              <w:spacing w:after="0"/>
              <w:rPr>
                <w:sz w:val="20"/>
                <w:szCs w:val="20"/>
                <w:color w:val="auto"/>
              </w:rPr>
            </w:pPr>
            <w:r>
              <w:rPr>
                <w:rFonts w:ascii="Arial" w:cs="Arial" w:eastAsia="Arial" w:hAnsi="Arial"/>
                <w:sz w:val="18"/>
                <w:szCs w:val="18"/>
                <w:color w:val="auto"/>
              </w:rPr>
              <w:t>3,638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Table games win %</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22.6%</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21.9%</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0.7 pts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Table games win per unit per day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97"/>
              <w:spacing w:after="0"/>
              <w:rPr>
                <w:sz w:val="20"/>
                <w:szCs w:val="20"/>
                <w:color w:val="auto"/>
              </w:rPr>
            </w:pPr>
            <w:r>
              <w:rPr>
                <w:rFonts w:ascii="Arial" w:cs="Arial" w:eastAsia="Arial" w:hAnsi="Arial"/>
                <w:sz w:val="18"/>
                <w:szCs w:val="18"/>
                <w:color w:val="auto"/>
              </w:rPr>
              <w:t>7,031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5"/>
              <w:spacing w:after="0"/>
              <w:rPr>
                <w:sz w:val="20"/>
                <w:szCs w:val="20"/>
                <w:color w:val="auto"/>
              </w:rPr>
            </w:pPr>
            <w:r>
              <w:rPr>
                <w:rFonts w:ascii="Arial" w:cs="Arial" w:eastAsia="Arial" w:hAnsi="Arial"/>
                <w:sz w:val="18"/>
                <w:szCs w:val="18"/>
                <w:color w:val="auto"/>
              </w:rPr>
              <w:t>7,323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15"/>
              <w:spacing w:after="0"/>
              <w:rPr>
                <w:sz w:val="20"/>
                <w:szCs w:val="20"/>
                <w:color w:val="auto"/>
              </w:rPr>
            </w:pPr>
            <w:r>
              <w:rPr>
                <w:rFonts w:ascii="Arial" w:cs="Arial" w:eastAsia="Arial" w:hAnsi="Arial"/>
                <w:sz w:val="18"/>
                <w:szCs w:val="18"/>
                <w:color w:val="auto"/>
              </w:rPr>
              <w:t>(292)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Slot machine handle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w w:val="92"/>
              </w:rPr>
              <w:t>733,540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2"/>
              </w:rPr>
              <w:t>723,514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10,026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Slot machine win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97"/>
              <w:spacing w:after="0"/>
              <w:rPr>
                <w:sz w:val="20"/>
                <w:szCs w:val="20"/>
                <w:color w:val="auto"/>
              </w:rPr>
            </w:pPr>
            <w:r>
              <w:rPr>
                <w:rFonts w:ascii="Arial" w:cs="Arial" w:eastAsia="Arial" w:hAnsi="Arial"/>
                <w:sz w:val="18"/>
                <w:szCs w:val="18"/>
                <w:color w:val="auto"/>
              </w:rPr>
              <w:t>45,848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5"/>
              <w:spacing w:after="0"/>
              <w:rPr>
                <w:sz w:val="20"/>
                <w:szCs w:val="20"/>
                <w:color w:val="auto"/>
              </w:rPr>
            </w:pPr>
            <w:r>
              <w:rPr>
                <w:rFonts w:ascii="Arial" w:cs="Arial" w:eastAsia="Arial" w:hAnsi="Arial"/>
                <w:sz w:val="18"/>
                <w:szCs w:val="18"/>
                <w:color w:val="auto"/>
              </w:rPr>
              <w:t>46,326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15"/>
              <w:spacing w:after="0"/>
              <w:rPr>
                <w:sz w:val="20"/>
                <w:szCs w:val="20"/>
                <w:color w:val="auto"/>
              </w:rPr>
            </w:pPr>
            <w:r>
              <w:rPr>
                <w:rFonts w:ascii="Arial" w:cs="Arial" w:eastAsia="Arial" w:hAnsi="Arial"/>
                <w:sz w:val="18"/>
                <w:szCs w:val="18"/>
                <w:color w:val="auto"/>
              </w:rPr>
              <w:t>(478)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 per unit per day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215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43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the three months ended September 30, 2013, room revenues were $95.7 million, which represents a $4.7 million (5.1%) increase over the $91 million generated in the three months ended September 30, 2012.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experienced an increase in ADR during the three months ended September 30, 2013, compared to the three months ended September 30, 2012, and an increase in occupancy rate of 2.2 percentage points. ADR has increased as we adjusted rates in an effort to attract customers who would take advantage of all aspects of our resort.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our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2013</w:t>
            </w:r>
          </w:p>
        </w:tc>
        <w:tc>
          <w:tcPr>
            <w:tcW w:w="9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Occupancy</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87.9%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85.7%</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9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Other non-casino revenues for the three months ended September 30, 2013, included food and beverage revenues of $129 million, retail revenues of $26 million, entertainment revenues of $17.5 million, and other revenues from outlets, including the spa and salon, of $14.8 million. Other non-casino revenues for the three months ended September 30, 2012, included food and beverage revenues of $132.6 million, retail revenues of $21.5 million, entertainment revenues of $21.6 million, and other revenues from outlets such as the spa and salon, of $13.5 million. Entertainment revenues decreased primarily due to a show that ended its run in November 2012. During the first half of 2013, we completed the reconfiguration to certain stores in our retail area which resulted in higher retail revenue for the three months ended September 30, 2013.</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three months ended September 30, 2013, departmental expenses included casino expenses of $78.1 million, room expense of $32.8 million, food and beverage expenses of $80.8 million, and entertainment, retail and other expenses of $34.2 million. Also included are general and administrative expenses of $61 million and an $8.9 million charge to provision for doubtful accounts. For the three months ended September 30, 2012, departmental expenses included casino expense of $77 million, room expense of $31.5 million, food and beverage expense of $76 million, and entertainment, retail and other expense of $35.5 million. Also included are general and administrative expenses of approximately $59.7 million and an approximately $6.1 million charge to provision for doubtful accounts. Food and beverage expenses increased over prior year quarter primarily due to additional nightclub promotional costs.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and senior notes indentures. Management fees were $5.9 million for the three months ended September 30, 2013, compared to $5.8 million for the three months ended September 30,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Depreciation and amortization for the three months ended September 30, 2013 was $61.7 million compared to $62.4 million for the three months ended September 30, 2012.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Property charges and other for the three months ended September 30, 2013, were $0.3 million compared to $21.7 million for the three months ended September 30, 2012. Property charges and other for the three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ended September 30, 2013 included miscellaneous renovations and abandonments at our resort. Property charges and other for the three months ended September 30, 2012 included costs associated with a remodel of a restaurant, entertainment development costs and fees paid in connection with the termination of a contract.</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and refinements.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was $56.5 million for the three months ended September 30, 2013, compared to $56.9 million for the three months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 No interest was capitalized during the quarter ended September 30, 2013 or 2012.</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17, 2012, we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did not incur any early termination penalties in connection with the termination. In connection with the termination, the Company expensed $2 million of previously deferred financing costs and third party fees related to the Wynn Las Vegas Credit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2013 compared to the nine months ended September 30,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Net revenues for the nine months ended September 30, 2013, are composed of $480.5 million in casino revenues (40.7% of total net revenues) and $700.6 million of net non-casino revenues (59.3% of total net revenues). Net revenues for the nine months ended September 30, 2012, were comprised of $411.8 million in casino revenues (37.5% of total net revenues) and $685.2 million of net non-casino revenues (62.5% of total net revenues).</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an increase in casino revenues of $68.7 million (16.7%) to $480.5 million for the nine months ended September 30, 2013, compared to $411.8 million for the nine months ended September 30, 2012, due to an increase in our table games win percentage (before discounts).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w w:val="87"/>
              </w:rPr>
              <w:t>Nine Months Ended September 30,</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Increase/</w:t>
            </w: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1420" w:type="dxa"/>
            <w:vAlign w:val="bottom"/>
          </w:tcPr>
          <w:p>
            <w:pPr>
              <w:jc w:val="right"/>
              <w:ind w:right="897"/>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(Decrease)</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left="37"/>
              <w:spacing w:after="0" w:line="131" w:lineRule="exact"/>
              <w:rPr>
                <w:sz w:val="20"/>
                <w:szCs w:val="20"/>
                <w:color w:val="auto"/>
              </w:rPr>
            </w:pPr>
            <w:r>
              <w:rPr>
                <w:rFonts w:ascii="Arial" w:cs="Arial" w:eastAsia="Arial" w:hAnsi="Arial"/>
                <w:sz w:val="14"/>
                <w:szCs w:val="14"/>
                <w:color w:val="auto"/>
                <w:w w:val="86"/>
              </w:rPr>
              <w:t>(amounts in thousands,</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940" w:type="dxa"/>
            <w:vAlign w:val="bottom"/>
            <w:gridSpan w:val="4"/>
          </w:tcPr>
          <w:p>
            <w:pPr>
              <w:jc w:val="center"/>
              <w:ind w:right="292"/>
              <w:spacing w:after="0"/>
              <w:rPr>
                <w:sz w:val="20"/>
                <w:szCs w:val="20"/>
                <w:color w:val="auto"/>
              </w:rPr>
            </w:pPr>
            <w:r>
              <w:rPr>
                <w:rFonts w:ascii="Arial" w:cs="Arial" w:eastAsia="Arial" w:hAnsi="Arial"/>
                <w:sz w:val="14"/>
                <w:szCs w:val="14"/>
                <w:color w:val="auto"/>
                <w:w w:val="88"/>
              </w:rPr>
              <w:t>except for win per unit per day amounts)</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Drop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84"/>
              </w:rPr>
              <w:t>1,893,227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84"/>
              </w:rPr>
              <w:t>1,912,430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(19,203)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Table games win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449,414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37"/>
              <w:spacing w:after="0"/>
              <w:rPr>
                <w:sz w:val="20"/>
                <w:szCs w:val="20"/>
                <w:color w:val="auto"/>
              </w:rPr>
            </w:pPr>
            <w:r>
              <w:rPr>
                <w:rFonts w:ascii="Arial" w:cs="Arial" w:eastAsia="Arial" w:hAnsi="Arial"/>
                <w:sz w:val="18"/>
                <w:szCs w:val="18"/>
                <w:color w:val="auto"/>
              </w:rPr>
              <w:t>384,979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w w:val="94"/>
              </w:rPr>
              <w:t>64,435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Table games win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23.7%</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3.6pts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Table games win per unit per day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7,027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37"/>
              <w:spacing w:after="0"/>
              <w:rPr>
                <w:sz w:val="20"/>
                <w:szCs w:val="20"/>
                <w:color w:val="auto"/>
              </w:rPr>
            </w:pPr>
            <w:r>
              <w:rPr>
                <w:rFonts w:ascii="Arial" w:cs="Arial" w:eastAsia="Arial" w:hAnsi="Arial"/>
                <w:sz w:val="18"/>
                <w:szCs w:val="18"/>
                <w:color w:val="auto"/>
              </w:rPr>
              <w:t>6,397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630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Slot machine handle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84"/>
              </w:rPr>
              <w:t>2,142,738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84"/>
              </w:rPr>
              <w:t>2,150,263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(7,525)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Slot machine win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132,821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37"/>
              <w:spacing w:after="0"/>
              <w:rPr>
                <w:sz w:val="20"/>
                <w:szCs w:val="20"/>
                <w:color w:val="auto"/>
              </w:rPr>
            </w:pPr>
            <w:r>
              <w:rPr>
                <w:rFonts w:ascii="Arial" w:cs="Arial" w:eastAsia="Arial" w:hAnsi="Arial"/>
                <w:sz w:val="18"/>
                <w:szCs w:val="18"/>
                <w:color w:val="auto"/>
              </w:rPr>
              <w:t>129,812</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3,009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 per unit per day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color w:val="auto"/>
        </w:rPr>
        <w:t>Room revenues were $287.8 million, which represents an increase of $13.3 million (4.8%) compared to the prior year period. During the nine months ended September 30, 2013, we experienced an increase in both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occupancy and room rates as compared to the nine months ended September 30, 2012. ADR has increased as we adjusted rates in an effort to attract customers who would take advantage of all aspects of our resort.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our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2013</w:t>
            </w:r>
          </w:p>
        </w:tc>
        <w:tc>
          <w:tcPr>
            <w:tcW w:w="9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Occupancy</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Other non-casino revenues for the nine months ended September 30, 2013, included food and beverage revenues of $391 million, retail revenues of $68.1 million, entertainment revenues of $47.4 million, and other revenues from outlets, including the spa and salon, of $47.6 million. Other non-casino revenues for the nine months ended September 30, 2012, included food and beverage revenues of $379.9 million, retail revenues of $62.7 million, entertainment revenues of $60.8 million, and other revenues from outlets such as the spa and salon, of $45.7 million. Food and beverage revenues increased primarily due to higher restaurant revenues. Entertainment revenues decreased from the prior year period due to a show that ended its run in November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nine months ended September 30, 2013, departmental expenses included casino expenses of $229.8 million, room expense of $98 million, food and beverage expenses of $241.8 million, and entertainment, retail and other expenses of $93.8 million. Also included are general and administrative expenses of $182.3 million and a $3.1 million charge to provision for doubtful accounts. For the nine months ended September 30, 2012, departmental expenses included casino expense of $223.3 million, room expense of $93.3 million, food and beverage expense of $221 million, and entertainment, retail and other expense of $107 million. Also included are general and administrative expenses of approximately $173.2 million and approximately $10.1 million charged as a provision for doubtful accounts. Casino expenses include a $2.9 million reversal of an accrual for sales tax on complimentary meals. Food and beverage expenses increased over the prior year period primarily due to additional nightclub promotional costs. General and administrative expenses increased primarily due to intercompany golf course and water rights lease expense that began in September 2012 as well as general advertising costs. During the nine months ended September 30, 2013 and 2012, we recorded adjustments of $12.2 million and $9.6 million, respectively, to our reserve estimates for casino accounts receivable based on the results of historical collection patterns and current collection trends.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first mortgage notes and senior notes indentures. Management fees were $17.7 million for the nine months ended September 30, 2013, compared to $16.5 million for the nine months ended September 30,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Depreciation and amortization for the nine months ended September 30, 2013 was $185.4 million compared to $188.6 million for the nine months ended September 30, 2012.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Property charges and other for the nine months ended September 30, 2013, were $10.1 million compared to $27.6 million for the nine months ended September 30, 2012. Property charges and other for the nine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ended September 30, 2013 included miscellaneous renovations and abandonments at our resort complex, entertainment development costs and fees associated with the termination of a contract. Property charges and other for the nine months ended September 30, 2012 related to the renovation of a restaurant, entertainment development costs, fees associated with the termination of a contract and miscellaneous renovations and abandonments at our resort complex.</w:t>
      </w:r>
    </w:p>
    <w:p>
      <w:pPr>
        <w:spacing w:after="0" w:line="8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Interest expense was $169.9 million for the nine months ended September 30, 2013, compared to $167.5 million for the nine months ended September 30, 2012. No interest was capitalized during the nine months ended September 30, 2013 or 2012. Interest expense increased approximately $2.4 million primarily due to the issuance of the $500 million 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senior notes in May 2013.</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On May 22, 2013, Wynn Las Vegas completed the tender offer for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2017 (the “2017 Notes”) as discussed in our Condensed Consolidated Financial Statements, Note 6 – “Long-Term Debt”. In connection with this tender offer, Wynn Las Vegas paid $19.6 million in consideration to those holders who tendered their notes. Additionally, Wynn Las Vegas expensed $6.7 million of unamortized debt issue costs and original issue discount related to the 2017 Notes and incurred other fees of approximately $0.3 million related to the tender offer. In accordance with the applicable accounting standards, we recorded theses expenses and charges as a loss on extinguishment of debt totaling $26.6 million.</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March 12, 2012, we entered into the Amended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costs of $4.8 million.</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17, 2012, we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LLC did not incur any early termination penalties in connection with the termination.</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the termination, the Company expensed $2 million of previously deferred financing costs and third party fees related to the Wynn Las Vegas Credit Agreement.</w:t>
      </w:r>
    </w:p>
    <w:p>
      <w:pPr>
        <w:spacing w:after="0" w:line="132"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period. We recorded a gain of approximately $2.3 million for the nine months ended September 30, 2012, resulting from the increase in the fair value of our interest rate swap during that period. In June 2012, we terminated the interest rate swap for a payment of $2.4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Net cash provided by operations for the nine months ended September 30, 2013, was $140 million compared to $103.9 million provided by operations for the nine months ended September 30, 2012. Cash flow from operations increased due to stronger operating results primarily driven by improved performance in the casino department.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Capital expenditures were approximately $42 million and $32.1 million for the nine months ended September 30, 2013 and 2012, respectively, and related primarily to general property improvements.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May 15, 2013, we commenced a tender offer for any and all of the outstanding $500 million aggregate principal amount of the 2017 Notes of Wynn Las Vegas and Wynn Las Vegas Capital Corp., an indirect wholly owned subsidiary of Wynn Resorts, Limited (together with Wynn Las Vegas, the “Issuers”), and a solicitation of consents to certain proposed amendments to the indenture (the “2017 Indenture”) governing the 2017 Notes.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tender offer expired on May 21, 2013 and at the time of expiration, Wynn Las Vegas had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extinguishment of debt in the accompanying Condensed Consolidated Statements of Operations and Comprehensive Loss. In addition, upon the tender offer completion, the Issuers entered into a supplemental indenture, which eliminated substantially all of the restrictive covenants and certain events of default from the 2017 Indenture.</w:t>
      </w:r>
    </w:p>
    <w:p>
      <w:pPr>
        <w:spacing w:after="0" w:line="12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Also in connection with this transaction, unamortized debt issue costs and original issue discount related to the 2017 Notes totaling $6.7 million were expensed and are included in loss on extinguishment of debt in the accompanying Condensed Consolidated Statements of Operations and Comprehensive Loss.</w:t>
      </w:r>
    </w:p>
    <w:p>
      <w:pPr>
        <w:spacing w:after="0" w:line="6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On November 1, 2013, we redeemed the untendered 2017 Notes principal amount of $225.3 million. The redemption price was equal to 103.938% of the aggregate principal amount of the 2017 Notes plus accrued and unpaid interest on November 1, 2013. The total redemption fees paid were $8.9 million.</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On May 22, 2013, the Issuers completed the issuance of $500 million aggregate principal amount of 4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Senior Notes due 2023 (the “2023 Notes”) pursuant to an indenture, dated as of May 22, 2013 (the “2023 Indenture”), among the Issuers, all of the Issuers’ subsidiaries, other than Wynn Las Vegas Capital Corp. which was a co-issuer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used all remaining net proceeds to redeem all of the 2017 Notes not previously tendered. In connection with the issuance of the 2023 Notes, the Company capitalized approximately $4.1 million of financing costs.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On March 12, 2012, the Issuers issued, in a private offering,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2022 (the “2022 Notes”) pursuant to an Indenture, dated as of March 12,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“2022 Indenture”). A portion of the proceeds were used to repay all amounts outstanding under the Wynn Las Vegas term loan facilities. In October 2012, we commenced an offer to exchange all of the 2022 Notes for notes registered under the Securities Act of 1933, as amended. The exchange offer closed on November 6, 2012.</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12, 2012, the Company entered into an eighth amendment (“Amendment No. 8”) to its Amended and Restated Credit Agreement (the “Wynn Las Vegas Credit Agreement”). Amendment No. 8 amended the Wynn Las Vegas Credit Agreement to, among other things, permit the issuance of the 2022 Notes. Concurrently with the issuance of the 2022 Notes, we prepaid all term loans under the Wynn Las Vegas Credit Agreement, terminated all of its revolving credit commitments that were due to expire in 2013, and terminated all but $100 million of its revolving credit commitments expiring in 2015. In connection with this transaction, the Company expensed deferred financing costs of $4.8 million.</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17, 2012, we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LLC did not incur any early termination penalties in connection with the termination. In connection with the termination, the Company expensed $2 million of previously deferred financing costs and third party fees related to the Wynn Las Vegas Credit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September 30, 2013, we had $214.5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anticipate such funds, together with any additional borrowings and cash generated from operations will satisfy our liquidity needs during the remainder of 2013.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2013 we had unsecured outstanding letters of credit totaling $15.8 million. There have been no other material changes outside the ordinary course of our business during the quarter to our contractual obligations or off-balance sheet arrangements as disclosed in our Annual Report on Form 10-K for the year ended December 31, 2012, except as discussed above under “Financing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are restricted under the indentures governing the first mortgage notes and senior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 Certain legal matters may also impact our liquidity. As described in our Condensed Consolidated Financial Statements, Note 9 – “Commitments and Contingencies”, Elaine Wynn has submitted a cross claim against Steve Wynn and Kazuo Okada. The indentures for the Wynn Las Vegas first mortgage notes and senior notes provide that if Steve Wynn, together with certain related parties, in the aggregate beneficially owns a lesser percentage of the outstanding common stock of Wynn Resorts than are beneficially owned by any other person,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 of control will have occurred. If Elaine Wynn prevails in her cross claim, Steve Wynn would not beneficially own or control Elaine Wynn’s shares and a change in control may result under the Company’s debt documents.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2012. There has been no material change to these policies for the nine months ended September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February 2013, the Financial Accounting Standards Board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adoption of this update did not have a material impact on our financial statements.</w:t>
      </w:r>
    </w:p>
    <w:p>
      <w:pPr>
        <w:spacing w:after="0" w:line="9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annual, and interim impairment tests performed for years beginning after September 15, 2012. The adoption of this update did not have a material impact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our long-term debt was essentially based on fixed rates.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280" w:firstLine="464"/>
        <w:spacing w:after="0" w:line="268"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principal executive officer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08" w:lineRule="exact"/>
        <w:rPr>
          <w:sz w:val="20"/>
          <w:szCs w:val="20"/>
          <w:color w:val="auto"/>
        </w:rPr>
      </w:pPr>
    </w:p>
    <w:p>
      <w:pPr>
        <w:ind w:right="80"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the Company’s internal control over financial reporting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Rules 13a-15(f) and 15d-15(f) under the Exchange Act) during the quarter to which this report relates that materially affected, or are reasonably likely to materially affect, the Company’s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2012. There were no material changes to those risk factors during the nine months ended September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40" w:type="dxa"/>
            <w:vAlign w:val="bottom"/>
            <w:gridSpan w:val="3"/>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2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Exhibit</w:t>
            </w:r>
          </w:p>
        </w:tc>
        <w:tc>
          <w:tcPr>
            <w:tcW w:w="5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4"/>
                <w:szCs w:val="14"/>
                <w:color w:val="auto"/>
              </w:rPr>
            </w:pPr>
          </w:p>
        </w:tc>
      </w:tr>
      <w:tr>
        <w:trPr>
          <w:trHeight w:val="316"/>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3.1</w:t>
            </w:r>
          </w:p>
        </w:tc>
        <w:tc>
          <w:tcPr>
            <w:tcW w:w="10540" w:type="dxa"/>
            <w:vAlign w:val="bottom"/>
            <w:gridSpan w:val="3"/>
          </w:tcPr>
          <w:p>
            <w:pPr>
              <w:ind w:left="3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3.2</w:t>
            </w:r>
          </w:p>
        </w:tc>
        <w:tc>
          <w:tcPr>
            <w:tcW w:w="10540" w:type="dxa"/>
            <w:vAlign w:val="bottom"/>
            <w:gridSpan w:val="3"/>
          </w:tcPr>
          <w:p>
            <w:pPr>
              <w:ind w:left="3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*31.1</w:t>
            </w:r>
          </w:p>
        </w:tc>
        <w:tc>
          <w:tcPr>
            <w:tcW w:w="10540" w:type="dxa"/>
            <w:vAlign w:val="bottom"/>
            <w:gridSpan w:val="3"/>
          </w:tcPr>
          <w:p>
            <w:pPr>
              <w:ind w:left="38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r>
      <w:tr>
        <w:trPr>
          <w:trHeight w:val="324"/>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*31.2</w:t>
            </w:r>
          </w:p>
        </w:tc>
        <w:tc>
          <w:tcPr>
            <w:tcW w:w="10540" w:type="dxa"/>
            <w:vAlign w:val="bottom"/>
            <w:gridSpan w:val="3"/>
          </w:tcPr>
          <w:p>
            <w:pPr>
              <w:ind w:left="38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r>
      <w:tr>
        <w:trPr>
          <w:trHeight w:val="324"/>
        </w:trPr>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540" w:type="dxa"/>
            <w:vAlign w:val="bottom"/>
            <w:gridSpan w:val="3"/>
          </w:tcPr>
          <w:p>
            <w:pPr>
              <w:ind w:left="38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0540" w:type="dxa"/>
            <w:vAlign w:val="bottom"/>
            <w:gridSpan w:val="3"/>
          </w:tcPr>
          <w:p>
            <w:pPr>
              <w:ind w:left="380"/>
              <w:spacing w:after="0"/>
              <w:rPr>
                <w:sz w:val="20"/>
                <w:szCs w:val="20"/>
                <w:color w:val="auto"/>
              </w:rPr>
            </w:pPr>
            <w:r>
              <w:rPr>
                <w:rFonts w:ascii="Arial" w:cs="Arial" w:eastAsia="Arial" w:hAnsi="Arial"/>
                <w:sz w:val="18"/>
                <w:szCs w:val="18"/>
                <w:color w:val="auto"/>
                <w:w w:val="90"/>
              </w:rPr>
              <w:t>The following financial information from the Company’s Quarterly Report on Form 10-Q for the three months ended September 30, 2013, filed</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40" w:type="dxa"/>
            <w:vAlign w:val="bottom"/>
            <w:gridSpan w:val="3"/>
          </w:tcPr>
          <w:p>
            <w:pPr>
              <w:ind w:left="380"/>
              <w:spacing w:after="0"/>
              <w:rPr>
                <w:sz w:val="20"/>
                <w:szCs w:val="20"/>
                <w:color w:val="auto"/>
              </w:rPr>
            </w:pPr>
            <w:r>
              <w:rPr>
                <w:rFonts w:ascii="Arial" w:cs="Arial" w:eastAsia="Arial" w:hAnsi="Arial"/>
                <w:sz w:val="18"/>
                <w:szCs w:val="18"/>
                <w:color w:val="auto"/>
                <w:w w:val="96"/>
              </w:rPr>
              <w:t>with the SEC on November 12, 2013 formatted in Extensible Business Reporting Language (XBRL): (i) the Condensed Consolidated</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40" w:type="dxa"/>
            <w:vAlign w:val="bottom"/>
            <w:gridSpan w:val="3"/>
          </w:tcPr>
          <w:p>
            <w:pPr>
              <w:ind w:left="380"/>
              <w:spacing w:after="0"/>
              <w:rPr>
                <w:sz w:val="20"/>
                <w:szCs w:val="20"/>
                <w:color w:val="auto"/>
              </w:rPr>
            </w:pPr>
            <w:r>
              <w:rPr>
                <w:rFonts w:ascii="Arial" w:cs="Arial" w:eastAsia="Arial" w:hAnsi="Arial"/>
                <w:sz w:val="18"/>
                <w:szCs w:val="18"/>
                <w:color w:val="auto"/>
                <w:w w:val="91"/>
              </w:rPr>
              <w:t>Statements of Operations and Comprehensive Loss for the three and nine months ended September 30, 2013 and 2012, (ii) the Condensed</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40" w:type="dxa"/>
            <w:vAlign w:val="bottom"/>
            <w:gridSpan w:val="3"/>
          </w:tcPr>
          <w:p>
            <w:pPr>
              <w:ind w:left="380"/>
              <w:spacing w:after="0"/>
              <w:rPr>
                <w:sz w:val="20"/>
                <w:szCs w:val="20"/>
                <w:color w:val="auto"/>
              </w:rPr>
            </w:pPr>
            <w:r>
              <w:rPr>
                <w:rFonts w:ascii="Arial" w:cs="Arial" w:eastAsia="Arial" w:hAnsi="Arial"/>
                <w:sz w:val="18"/>
                <w:szCs w:val="18"/>
                <w:color w:val="auto"/>
                <w:w w:val="87"/>
              </w:rPr>
              <w:t>Consolidated Balance Sheets at September 30, 2013 and December 31, 2012, (iii) the Condensed Consolidated Statements of Cash Flows for the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40" w:type="dxa"/>
            <w:vAlign w:val="bottom"/>
            <w:gridSpan w:val="3"/>
          </w:tcPr>
          <w:p>
            <w:pPr>
              <w:ind w:left="380"/>
              <w:spacing w:after="0"/>
              <w:rPr>
                <w:sz w:val="20"/>
                <w:szCs w:val="20"/>
                <w:color w:val="auto"/>
              </w:rPr>
            </w:pPr>
            <w:r>
              <w:rPr>
                <w:rFonts w:ascii="Arial" w:cs="Arial" w:eastAsia="Arial" w:hAnsi="Arial"/>
                <w:sz w:val="18"/>
                <w:szCs w:val="18"/>
                <w:color w:val="auto"/>
              </w:rPr>
              <w:t>nine months ended September 30, 2013 and 2012, and (iv) Notes to Condensed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20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spacing w:after="0"/>
        <w:tabs>
          <w:tab w:leader="none" w:pos="5940" w:val="left"/>
          <w:tab w:leader="none" w:pos="6380" w:val="left"/>
        </w:tabs>
        <w:rPr>
          <w:sz w:val="20"/>
          <w:szCs w:val="20"/>
          <w:color w:val="auto"/>
        </w:rPr>
      </w:pPr>
      <w:r>
        <w:rPr>
          <w:rFonts w:ascii="Arial" w:cs="Arial" w:eastAsia="Arial" w:hAnsi="Arial"/>
          <w:sz w:val="18"/>
          <w:szCs w:val="18"/>
          <w:color w:val="auto"/>
        </w:rPr>
        <w:t>Dated: November 12,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40"/>
          </w:cols>
          <w:pgMar w:left="240" w:top="459" w:right="11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21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Maurice Wooden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Scott Peterson,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21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September 30, 2013 as filed with the Securities and Exchange Commission on the date hereof (the “Report”), Maurice Wooden, as President of the Company and Scott Peterson, as Chief Financial Officer of the Company, each hereby certifies, pursuant to 18 U.S.C. Section 1350, as adopted pursuant to Section 906 of the Sarbanes-Oxley Act of 2002, that, to the best of their knowledge:</w:t>
      </w:r>
    </w:p>
    <w:p>
      <w:pPr>
        <w:spacing w:after="0" w:line="6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Maurice Wooden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Maurice Wooden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80"/>
              <w:spacing w:after="0"/>
              <w:rPr>
                <w:sz w:val="20"/>
                <w:szCs w:val="20"/>
                <w:color w:val="auto"/>
              </w:rPr>
            </w:pPr>
            <w:r>
              <w:rPr>
                <w:rFonts w:ascii="Arial" w:cs="Arial" w:eastAsia="Arial" w:hAnsi="Arial"/>
                <w:sz w:val="18"/>
                <w:szCs w:val="18"/>
                <w:color w:val="auto"/>
              </w:rPr>
              <w:t>President</w:t>
            </w:r>
          </w:p>
        </w:tc>
      </w:tr>
      <w:tr>
        <w:trPr>
          <w:trHeight w:val="216"/>
        </w:trPr>
        <w:tc>
          <w:tcPr>
            <w:tcW w:w="56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80"/>
              <w:spacing w:after="0"/>
              <w:rPr>
                <w:sz w:val="20"/>
                <w:szCs w:val="20"/>
                <w:color w:val="auto"/>
              </w:rPr>
            </w:pPr>
            <w:r>
              <w:rPr>
                <w:rFonts w:ascii="Arial" w:cs="Arial" w:eastAsia="Arial" w:hAnsi="Arial"/>
                <w:sz w:val="18"/>
                <w:szCs w:val="18"/>
                <w:color w:val="auto"/>
              </w:rPr>
              <w:t>November 12, 2013</w:t>
            </w:r>
          </w:p>
        </w:tc>
      </w:tr>
      <w:tr>
        <w:trPr>
          <w:trHeight w:val="420"/>
        </w:trPr>
        <w:tc>
          <w:tcPr>
            <w:tcW w:w="458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/s/ Scott Peterson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Scott Peterson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w w:val="99"/>
              </w:rPr>
              <w:t>Senior Vice President and Chief Financial Officer</w:t>
            </w:r>
          </w:p>
        </w:tc>
      </w:tr>
      <w:tr>
        <w:trPr>
          <w:trHeight w:val="216"/>
        </w:trPr>
        <w:tc>
          <w:tcPr>
            <w:tcW w:w="5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November 12, 2013</w:t>
            </w:r>
          </w:p>
        </w:tc>
      </w:tr>
    </w:tbl>
    <w:p>
      <w:pPr>
        <w:spacing w:after="0" w:line="15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7"/>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2019-12-07T04:39:49Z</dcterms:created>
  <dcterms:modified xsi:type="dcterms:W3CDTF">2019-12-07T04:39:49Z</dcterms:modified>
</cp:coreProperties>
</file>