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488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48843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8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Linda</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03/07/2005</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12"/>
        <w:spacing w:after="0"/>
        <w:rPr>
          <w:sz w:val="20"/>
          <w:szCs w:val="20"/>
          <w:color w:val="auto"/>
        </w:rPr>
      </w:pPr>
      <w:r>
        <w:rPr>
          <w:rFonts w:ascii="Arial" w:cs="Arial" w:eastAsia="Arial" w:hAnsi="Arial"/>
          <w:sz w:val="17"/>
          <w:szCs w:val="17"/>
          <w:color w:val="0000FF"/>
        </w:rPr>
        <w:t>Pres, Wynn Int'l Marketing</w:t>
      </w:r>
    </w:p>
    <w:p>
      <w:pPr>
        <w:spacing w:after="0" w:line="414" w:lineRule="exact"/>
        <w:rPr>
          <w:sz w:val="24"/>
          <w:szCs w:val="24"/>
          <w:color w:val="auto"/>
        </w:rPr>
      </w:pPr>
    </w:p>
    <w:p>
      <w:pPr>
        <w:sectPr>
          <w:pgSz w:w="11900" w:h="16838" w:orient="portrait"/>
          <w:cols w:equalWidth="0" w:num="3">
            <w:col w:w="3340" w:space="720"/>
            <w:col w:w="3268" w:space="720"/>
            <w:col w:w="3472"/>
          </w:cols>
          <w:pgMar w:left="240" w:top="224" w:right="139" w:bottom="879"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LAS VEGAS</w:t>
            </w:r>
          </w:p>
        </w:tc>
        <w:tc>
          <w:tcPr>
            <w:tcW w:w="1000" w:type="dxa"/>
            <w:vAlign w:val="bottom"/>
          </w:tcPr>
          <w:p>
            <w:pPr>
              <w:ind w:left="160"/>
              <w:spacing w:after="0"/>
              <w:rPr>
                <w:sz w:val="20"/>
                <w:szCs w:val="20"/>
                <w:color w:val="auto"/>
              </w:rPr>
            </w:pPr>
            <w:r>
              <w:rPr>
                <w:rFonts w:ascii="Arial" w:cs="Arial" w:eastAsia="Arial" w:hAnsi="Arial"/>
                <w:sz w:val="17"/>
                <w:szCs w:val="17"/>
                <w:color w:val="0000FF"/>
              </w:rPr>
              <w:t>NV</w:t>
            </w:r>
          </w:p>
        </w:tc>
        <w:tc>
          <w:tcPr>
            <w:tcW w:w="1680" w:type="dxa"/>
            <w:vAlign w:val="bottom"/>
          </w:tcPr>
          <w:p>
            <w:pPr>
              <w:ind w:left="440"/>
              <w:spacing w:after="0"/>
              <w:rPr>
                <w:sz w:val="20"/>
                <w:szCs w:val="20"/>
                <w:color w:val="auto"/>
              </w:rPr>
            </w:pPr>
            <w:r>
              <w:rPr>
                <w:rFonts w:ascii="Arial" w:cs="Arial" w:eastAsia="Arial" w:hAnsi="Arial"/>
                <w:sz w:val="17"/>
                <w:szCs w:val="17"/>
                <w:color w:val="0000FF"/>
              </w:rPr>
              <w:t>89109</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8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ind w:left="6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par value $0.01</w:t>
            </w: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09/14/2010</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ind w:right="30"/>
              <w:spacing w:after="0"/>
              <w:rPr>
                <w:sz w:val="20"/>
                <w:szCs w:val="20"/>
                <w:color w:val="auto"/>
              </w:rPr>
            </w:pPr>
            <w:r>
              <w:rPr>
                <w:rFonts w:ascii="Arial" w:cs="Arial" w:eastAsia="Arial" w:hAnsi="Arial"/>
                <w:sz w:val="17"/>
                <w:szCs w:val="17"/>
                <w:color w:val="0000FF"/>
                <w:w w:val="91"/>
              </w:rPr>
              <w:t>400</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91.5</w:t>
            </w:r>
          </w:p>
        </w:tc>
        <w:tc>
          <w:tcPr>
            <w:tcW w:w="1360" w:type="dxa"/>
            <w:vAlign w:val="bottom"/>
            <w:gridSpan w:val="3"/>
          </w:tcPr>
          <w:p>
            <w:pPr>
              <w:jc w:val="center"/>
              <w:ind w:left="12"/>
              <w:spacing w:after="0"/>
              <w:rPr>
                <w:sz w:val="20"/>
                <w:szCs w:val="20"/>
                <w:color w:val="auto"/>
              </w:rPr>
            </w:pPr>
            <w:r>
              <w:rPr>
                <w:rFonts w:ascii="Arial" w:cs="Arial" w:eastAsia="Arial" w:hAnsi="Arial"/>
                <w:sz w:val="17"/>
                <w:szCs w:val="17"/>
                <w:color w:val="0000FF"/>
                <w:w w:val="92"/>
              </w:rPr>
              <w:t>14,600</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par value $0.01</w:t>
            </w:r>
          </w:p>
        </w:tc>
        <w:tc>
          <w:tcPr>
            <w:tcW w:w="174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09/15/2010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2"/>
              </w:rPr>
              <w:t>14,600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90.07</w:t>
            </w:r>
            <w:r>
              <w:rPr>
                <w:rFonts w:ascii="Arial" w:cs="Arial" w:eastAsia="Arial" w:hAnsi="Arial"/>
                <w:sz w:val="21"/>
                <w:szCs w:val="21"/>
                <w:color w:val="008000"/>
                <w:w w:val="89"/>
                <w:vertAlign w:val="superscript"/>
              </w:rPr>
              <w:t>(1)</w:t>
            </w: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516"/>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 par value $0.01</w:t>
            </w:r>
          </w:p>
        </w:tc>
        <w:tc>
          <w:tcPr>
            <w:tcW w:w="1740" w:type="dxa"/>
            <w:vAlign w:val="bottom"/>
            <w:gridSpan w:val="2"/>
            <w:vMerge w:val="restart"/>
          </w:tcPr>
          <w:p>
            <w:pPr>
              <w:ind w:left="780"/>
              <w:spacing w:after="0"/>
              <w:rPr>
                <w:sz w:val="20"/>
                <w:szCs w:val="20"/>
                <w:color w:val="auto"/>
              </w:rPr>
            </w:pPr>
            <w:r>
              <w:rPr>
                <w:rFonts w:ascii="Arial" w:cs="Arial" w:eastAsia="Arial" w:hAnsi="Arial"/>
                <w:sz w:val="17"/>
                <w:szCs w:val="17"/>
                <w:color w:val="0000FF"/>
              </w:rPr>
              <w:t>09/15/2010</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80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10,000</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74.25</w:t>
            </w:r>
          </w:p>
        </w:tc>
        <w:tc>
          <w:tcPr>
            <w:tcW w:w="1360" w:type="dxa"/>
            <w:vAlign w:val="bottom"/>
            <w:gridSpan w:val="3"/>
            <w:vMerge w:val="restart"/>
          </w:tcPr>
          <w:p>
            <w:pPr>
              <w:jc w:val="center"/>
              <w:ind w:left="12"/>
              <w:spacing w:after="0"/>
              <w:rPr>
                <w:sz w:val="20"/>
                <w:szCs w:val="20"/>
                <w:color w:val="auto"/>
              </w:rPr>
            </w:pPr>
            <w:r>
              <w:rPr>
                <w:rFonts w:ascii="Arial" w:cs="Arial" w:eastAsia="Arial" w:hAnsi="Arial"/>
                <w:sz w:val="17"/>
                <w:szCs w:val="17"/>
                <w:color w:val="0000FF"/>
                <w:w w:val="92"/>
              </w:rPr>
              <w:t>10,000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 par value $0.01</w:t>
            </w:r>
          </w:p>
        </w:tc>
        <w:tc>
          <w:tcPr>
            <w:tcW w:w="1740" w:type="dxa"/>
            <w:vAlign w:val="bottom"/>
            <w:gridSpan w:val="2"/>
            <w:vMerge w:val="restart"/>
          </w:tcPr>
          <w:p>
            <w:pPr>
              <w:ind w:left="780"/>
              <w:spacing w:after="0"/>
              <w:rPr>
                <w:sz w:val="20"/>
                <w:szCs w:val="20"/>
                <w:color w:val="auto"/>
              </w:rPr>
            </w:pPr>
            <w:r>
              <w:rPr>
                <w:rFonts w:ascii="Arial" w:cs="Arial" w:eastAsia="Arial" w:hAnsi="Arial"/>
                <w:sz w:val="17"/>
                <w:szCs w:val="17"/>
                <w:color w:val="0000FF"/>
              </w:rPr>
              <w:t>09/15/2010</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80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10,000</w:t>
            </w:r>
          </w:p>
        </w:tc>
        <w:tc>
          <w:tcPr>
            <w:tcW w:w="5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89.6181</w:t>
            </w:r>
            <w:r>
              <w:rPr>
                <w:rFonts w:ascii="Arial" w:cs="Arial" w:eastAsia="Arial" w:hAnsi="Arial"/>
                <w:sz w:val="21"/>
                <w:szCs w:val="21"/>
                <w:color w:val="008000"/>
                <w:w w:val="88"/>
                <w:vertAlign w:val="superscript"/>
              </w:rPr>
              <w:t>(2)</w:t>
            </w:r>
          </w:p>
        </w:tc>
        <w:tc>
          <w:tcPr>
            <w:tcW w:w="520" w:type="dxa"/>
            <w:vAlign w:val="bottom"/>
          </w:tcPr>
          <w:p>
            <w:pPr>
              <w:spacing w:after="0"/>
              <w:rPr>
                <w:sz w:val="22"/>
                <w:szCs w:val="22"/>
                <w:color w:val="auto"/>
              </w:rPr>
            </w:pPr>
          </w:p>
        </w:tc>
        <w:tc>
          <w:tcPr>
            <w:tcW w:w="700" w:type="dxa"/>
            <w:vAlign w:val="bottom"/>
            <w:vMerge w:val="restart"/>
          </w:tcPr>
          <w:p>
            <w:pPr>
              <w:jc w:val="center"/>
              <w:ind w:right="516"/>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par value $0.01</w:t>
            </w:r>
          </w:p>
        </w:tc>
        <w:tc>
          <w:tcPr>
            <w:tcW w:w="1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ind w:left="12"/>
              <w:spacing w:after="0"/>
              <w:rPr>
                <w:sz w:val="20"/>
                <w:szCs w:val="20"/>
                <w:color w:val="auto"/>
              </w:rPr>
            </w:pPr>
            <w:r>
              <w:rPr>
                <w:rFonts w:ascii="Arial" w:cs="Arial" w:eastAsia="Arial" w:hAnsi="Arial"/>
                <w:sz w:val="17"/>
                <w:szCs w:val="17"/>
                <w:color w:val="0000FF"/>
                <w:w w:val="91"/>
              </w:rPr>
              <w:t>210,000</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3040" w:type="dxa"/>
            <w:vAlign w:val="bottom"/>
            <w:tcBorders>
              <w:bottom w:val="single" w:sz="8" w:color="2C2C2C"/>
            </w:tcBorders>
            <w:gridSpan w:val="7"/>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6"/>
              </w:rPr>
              <w:t>Acquired (A)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2"/>
            <w:vMerge w:val="restart"/>
          </w:tcPr>
          <w:p>
            <w:pPr>
              <w:ind w:left="10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color w:val="0000FF"/>
                <w:w w:val="94"/>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74.25</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03/07/2005</w:t>
            </w:r>
          </w:p>
        </w:tc>
        <w:tc>
          <w:tcPr>
            <w:tcW w:w="112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ind w:left="40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03/07/2015</w:t>
            </w:r>
          </w:p>
        </w:tc>
        <w:tc>
          <w:tcPr>
            <w:tcW w:w="520" w:type="dxa"/>
            <w:vAlign w:val="bottom"/>
          </w:tcPr>
          <w:p>
            <w:pPr>
              <w:ind w:left="160"/>
              <w:spacing w:after="0" w:line="145" w:lineRule="exact"/>
              <w:rPr>
                <w:sz w:val="20"/>
                <w:szCs w:val="20"/>
                <w:color w:val="auto"/>
              </w:rPr>
            </w:pPr>
            <w:r>
              <w:rPr>
                <w:rFonts w:ascii="Arial" w:cs="Arial" w:eastAsia="Arial" w:hAnsi="Arial"/>
                <w:sz w:val="13"/>
                <w:szCs w:val="13"/>
                <w:color w:val="0000FF"/>
                <w:w w:val="93"/>
              </w:rPr>
              <w:t>Stock,</w:t>
            </w:r>
          </w:p>
        </w:tc>
        <w:tc>
          <w:tcPr>
            <w:tcW w:w="8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rPr>
              <w:t>10,000</w:t>
            </w:r>
          </w:p>
        </w:tc>
        <w:tc>
          <w:tcPr>
            <w:tcW w:w="280" w:type="dxa"/>
            <w:vAlign w:val="bottom"/>
          </w:tcPr>
          <w:p>
            <w:pPr>
              <w:spacing w:after="0"/>
              <w:rPr>
                <w:sz w:val="12"/>
                <w:szCs w:val="12"/>
                <w:color w:val="auto"/>
              </w:rPr>
            </w:pPr>
          </w:p>
        </w:tc>
        <w:tc>
          <w:tcPr>
            <w:tcW w:w="68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5" w:lineRule="exact"/>
              <w:rPr>
                <w:sz w:val="20"/>
                <w:szCs w:val="20"/>
                <w:color w:val="auto"/>
              </w:rPr>
            </w:pPr>
            <w:r>
              <w:rPr>
                <w:rFonts w:ascii="Arial" w:cs="Arial" w:eastAsia="Arial" w:hAnsi="Arial"/>
                <w:sz w:val="13"/>
                <w:szCs w:val="13"/>
                <w:color w:val="0000FF"/>
                <w:w w:val="93"/>
              </w:rPr>
              <w:t>par value</w:t>
            </w:r>
          </w:p>
        </w:tc>
        <w:tc>
          <w:tcPr>
            <w:tcW w:w="6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Arial" w:cs="Arial" w:eastAsia="Arial" w:hAnsi="Arial"/>
                <w:sz w:val="13"/>
                <w:szCs w:val="13"/>
                <w:color w:val="0000FF"/>
                <w:w w:val="98"/>
              </w:rPr>
              <w:t>$0.01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color w:val="0000FF"/>
                <w:w w:val="94"/>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74.25</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09/15/2010</w:t>
            </w:r>
          </w:p>
        </w:tc>
        <w:tc>
          <w:tcPr>
            <w:tcW w:w="112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3"/>
                <w:szCs w:val="13"/>
                <w:color w:val="0000FF"/>
                <w:w w:val="85"/>
              </w:rPr>
              <w:t>10,000</w:t>
            </w:r>
          </w:p>
        </w:tc>
        <w:tc>
          <w:tcPr>
            <w:tcW w:w="800" w:type="dxa"/>
            <w:vAlign w:val="bottom"/>
          </w:tcPr>
          <w:p>
            <w:pPr>
              <w:ind w:left="40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03/07/2015</w:t>
            </w:r>
          </w:p>
        </w:tc>
        <w:tc>
          <w:tcPr>
            <w:tcW w:w="520" w:type="dxa"/>
            <w:vAlign w:val="bottom"/>
          </w:tcPr>
          <w:p>
            <w:pPr>
              <w:ind w:left="160"/>
              <w:spacing w:after="0" w:line="145" w:lineRule="exact"/>
              <w:rPr>
                <w:sz w:val="20"/>
                <w:szCs w:val="20"/>
                <w:color w:val="auto"/>
              </w:rPr>
            </w:pPr>
            <w:r>
              <w:rPr>
                <w:rFonts w:ascii="Arial" w:cs="Arial" w:eastAsia="Arial" w:hAnsi="Arial"/>
                <w:sz w:val="13"/>
                <w:szCs w:val="13"/>
                <w:color w:val="0000FF"/>
                <w:w w:val="93"/>
              </w:rPr>
              <w:t>Stock,</w:t>
            </w:r>
          </w:p>
        </w:tc>
        <w:tc>
          <w:tcPr>
            <w:tcW w:w="8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00" w:type="dxa"/>
            <w:vAlign w:val="bottom"/>
            <w:vMerge w:val="restart"/>
          </w:tcPr>
          <w:p>
            <w:pPr>
              <w:jc w:val="right"/>
              <w:ind w:right="76"/>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5" w:lineRule="exact"/>
              <w:rPr>
                <w:sz w:val="20"/>
                <w:szCs w:val="20"/>
                <w:color w:val="auto"/>
              </w:rPr>
            </w:pPr>
            <w:r>
              <w:rPr>
                <w:rFonts w:ascii="Arial" w:cs="Arial" w:eastAsia="Arial" w:hAnsi="Arial"/>
                <w:sz w:val="13"/>
                <w:szCs w:val="13"/>
                <w:color w:val="0000FF"/>
                <w:w w:val="93"/>
              </w:rPr>
              <w:t>par value</w:t>
            </w:r>
          </w:p>
        </w:tc>
        <w:tc>
          <w:tcPr>
            <w:tcW w:w="6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Arial" w:cs="Arial" w:eastAsia="Arial" w:hAnsi="Arial"/>
                <w:sz w:val="13"/>
                <w:szCs w:val="13"/>
                <w:color w:val="0000FF"/>
                <w:w w:val="98"/>
              </w:rPr>
              <w:t>$0.01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$89.71 and $90.31. The reporting person, upon request by the staff of the SEC, Wynn Resorts, Limited or any security holder of Wynn Resorts, Limited, undertakes to provide further information regarding the number of securities sold at each separate price.</w:t>
      </w:r>
    </w:p>
    <w:p>
      <w:pPr>
        <w:spacing w:after="0" w:line="21" w:lineRule="exact"/>
        <w:rPr>
          <w:rFonts w:ascii="Arial" w:cs="Arial" w:eastAsia="Arial" w:hAnsi="Arial"/>
          <w:sz w:val="13"/>
          <w:szCs w:val="13"/>
          <w:color w:val="008000"/>
        </w:rPr>
      </w:pPr>
    </w:p>
    <w:p>
      <w:pPr>
        <w:ind w:left="40" w:right="5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$89.51 and $89.805. The reporting person, upon request by the staff of the SEC, Wynn Resorts, Limited or any security holder of Wynn Resorts, Limited, undertakes to provide further information regarding the number of securities sold at each separate price.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transferred by spouse to trust for no consideration in a transaction exempt pursuant to Rule 16a-13.</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vested one-third on March 7, 2008, one-third on March 7, 2009 and one-third on March 7, 2010.</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Kevin Tourek,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09/16/2010</w:t>
            </w:r>
          </w:p>
        </w:tc>
        <w:tc>
          <w:tcPr>
            <w:tcW w:w="0" w:type="dxa"/>
            <w:vAlign w:val="bottom"/>
          </w:tcPr>
          <w:p>
            <w:pPr>
              <w:spacing w:after="0"/>
              <w:rPr>
                <w:sz w:val="1"/>
                <w:szCs w:val="1"/>
                <w:color w:val="auto"/>
              </w:rPr>
            </w:pPr>
          </w:p>
        </w:tc>
      </w:tr>
      <w:tr>
        <w:trPr>
          <w:trHeight w:val="90"/>
        </w:trPr>
        <w:tc>
          <w:tcPr>
            <w:tcW w:w="2040" w:type="dxa"/>
            <w:vAlign w:val="bottom"/>
            <w:tcBorders>
              <w:top w:val="single" w:sz="8" w:color="auto"/>
              <w:bottom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fact for Linda Chen</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8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948"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2019-12-18T01:38:28Z</dcterms:created>
  <dcterms:modified xsi:type="dcterms:W3CDTF">2019-12-18T01:38:28Z</dcterms:modified>
</cp:coreProperties>
</file>