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620" w:right="180" w:hanging="903"/>
        <w:spacing w:after="0" w:line="256" w:lineRule="auto"/>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620" w:right="160" w:hanging="862"/>
        <w:spacing w:after="0" w:line="256" w:lineRule="auto"/>
        <w:tabs>
          <w:tab w:leader="none" w:pos="16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3508375</wp:posOffset>
            </wp:positionH>
            <wp:positionV relativeFrom="paragraph">
              <wp:posOffset>-10160</wp:posOffset>
            </wp:positionV>
            <wp:extent cx="1709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0" w:gutter="0" w:footer="0" w:header="0"/>
        </w:sectPr>
      </w:pP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680" w:space="720"/>
            <w:col w:w="4020"/>
          </w:cols>
          <w:pgMar w:left="240" w:top="469" w:right="239" w:bottom="0" w:gutter="0" w:footer="0" w:header="0"/>
          <w:type w:val="continuous"/>
        </w:sectPr>
      </w:pP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3145 Las Vegas Boulevard South, Las Vegas, Nevada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733-4444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4"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19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412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42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November 29, 2002</w:t>
            </w:r>
          </w:p>
        </w:tc>
        <w:tc>
          <w:tcPr>
            <w:tcW w:w="1360" w:type="dxa"/>
            <w:vAlign w:val="bottom"/>
          </w:tcPr>
          <w:p>
            <w:pPr>
              <w:spacing w:after="0"/>
              <w:rPr>
                <w:sz w:val="15"/>
                <w:szCs w:val="15"/>
                <w:color w:val="auto"/>
              </w:rPr>
            </w:pPr>
          </w:p>
        </w:tc>
      </w:tr>
      <w:tr>
        <w:trPr>
          <w:trHeight w:val="105"/>
        </w:trPr>
        <w:tc>
          <w:tcPr>
            <w:tcW w:w="138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r>
      <w:tr>
        <w:trPr>
          <w:trHeight w:val="319"/>
        </w:trPr>
        <w:tc>
          <w:tcPr>
            <w:tcW w:w="138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560" w:type="dxa"/>
            <w:vAlign w:val="bottom"/>
            <w:gridSpan w:val="2"/>
          </w:tcPr>
          <w:p>
            <w:pPr>
              <w:jc w:val="right"/>
              <w:ind w:right="1612"/>
              <w:spacing w:after="0"/>
              <w:rPr>
                <w:sz w:val="20"/>
                <w:szCs w:val="20"/>
                <w:color w:val="auto"/>
              </w:rPr>
            </w:pPr>
            <w:r>
              <w:rPr>
                <w:rFonts w:ascii="Arial" w:cs="Arial" w:eastAsia="Arial" w:hAnsi="Arial"/>
                <w:sz w:val="18"/>
                <w:szCs w:val="18"/>
                <w:color w:val="auto"/>
              </w:rPr>
              <w:t>77,834,173</w:t>
            </w:r>
          </w:p>
        </w:tc>
        <w:tc>
          <w:tcPr>
            <w:tcW w:w="1360" w:type="dxa"/>
            <w:vAlign w:val="bottom"/>
          </w:tcPr>
          <w:p>
            <w:pPr>
              <w:spacing w:after="0"/>
              <w:rPr>
                <w:sz w:val="24"/>
                <w:szCs w:val="24"/>
                <w:color w:val="auto"/>
              </w:rPr>
            </w:pPr>
          </w:p>
        </w:tc>
      </w:tr>
      <w:tr>
        <w:trPr>
          <w:trHeight w:val="120"/>
        </w:trPr>
        <w:tc>
          <w:tcPr>
            <w:tcW w:w="138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115"/>
        </w:trPr>
        <w:tc>
          <w:tcPr>
            <w:tcW w:w="138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115"/>
        </w:trPr>
        <w:tc>
          <w:tcPr>
            <w:tcW w:w="138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3475990</wp:posOffset>
            </wp:positionH>
            <wp:positionV relativeFrom="paragraph">
              <wp:posOffset>-477520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-477520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-477520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-477520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-186055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6"/>
          <w:szCs w:val="16"/>
          <w:b w:val="1"/>
          <w:bCs w:val="1"/>
          <w:color w:val="auto"/>
        </w:rPr>
        <w:t>Financial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1"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414"/>
        </w:trPr>
        <w:tc>
          <w:tcPr>
            <w:tcW w:w="9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Consolidated Balance Sheets (unaudited)—September 30, 2002 and December 31, 2001</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600" w:type="dxa"/>
            <w:vAlign w:val="bottom"/>
            <w:gridSpan w:val="6"/>
          </w:tcPr>
          <w:p>
            <w:pPr>
              <w:spacing w:after="0"/>
              <w:rPr>
                <w:sz w:val="20"/>
                <w:szCs w:val="20"/>
                <w:color w:val="auto"/>
              </w:rPr>
            </w:pPr>
            <w:r>
              <w:rPr>
                <w:rFonts w:ascii="Arial" w:cs="Arial" w:eastAsia="Arial" w:hAnsi="Arial"/>
                <w:sz w:val="18"/>
                <w:szCs w:val="18"/>
                <w:color w:val="auto"/>
                <w:w w:val="88"/>
              </w:rPr>
              <w:t>Consolidated Statements of Operations (unaudited)—Three and nine months ended September 30, 2002 and 2001, and the period from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inception to September 30, 2002</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040" w:type="dxa"/>
            <w:vAlign w:val="bottom"/>
            <w:shd w:val="clear" w:color="auto" w:fill="CCEEFF"/>
          </w:tcPr>
          <w:p>
            <w:pPr>
              <w:spacing w:after="0"/>
              <w:rPr>
                <w:sz w:val="24"/>
                <w:szCs w:val="24"/>
                <w:color w:val="auto"/>
              </w:rPr>
            </w:pPr>
          </w:p>
        </w:tc>
        <w:tc>
          <w:tcPr>
            <w:tcW w:w="1038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4"/>
              </w:rPr>
              <w:t>Consolidated Statements of Cash Flows (unaudited)—Nine months ended September 30, 2002 and 2001, and the period from inception to</w:t>
            </w: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Condensed Notes to Consolidated Financial Statements (unaudited)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3"/>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2"/>
              </w:rPr>
              <w:t>Management's Discussion and Analysis of Financial Condition and Results of Operations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540" w:type="dxa"/>
            <w:vAlign w:val="bottom"/>
          </w:tcPr>
          <w:p>
            <w:pPr>
              <w:spacing w:after="0"/>
              <w:rPr>
                <w:sz w:val="20"/>
                <w:szCs w:val="20"/>
                <w:color w:val="auto"/>
              </w:rPr>
            </w:pPr>
            <w:r>
              <w:rPr>
                <w:rFonts w:ascii="Arial" w:cs="Arial" w:eastAsia="Arial" w:hAnsi="Arial"/>
                <w:sz w:val="18"/>
                <w:szCs w:val="18"/>
                <w:color w:val="auto"/>
              </w:rPr>
              <w:t>Quantitative and Qualitative Disclosure About Market Risk</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3"/>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Controls and Procedures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54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Legal Proceedings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6540" w:type="dxa"/>
            <w:vAlign w:val="bottom"/>
          </w:tcPr>
          <w:p>
            <w:pPr>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3"/>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Exhibits and Reports on Form 8-K</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3"/>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Certifications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46"/>
        </w:trPr>
        <w:tc>
          <w:tcPr>
            <w:tcW w:w="1040" w:type="dxa"/>
            <w:vAlign w:val="bottom"/>
          </w:tcPr>
          <w:p>
            <w:pPr>
              <w:spacing w:after="0"/>
              <w:rPr>
                <w:sz w:val="24"/>
                <w:szCs w:val="24"/>
                <w:color w:val="auto"/>
              </w:rPr>
            </w:pPr>
          </w:p>
        </w:tc>
        <w:tc>
          <w:tcPr>
            <w:tcW w:w="6540" w:type="dxa"/>
            <w:vAlign w:val="bottom"/>
          </w:tcPr>
          <w:p>
            <w:pPr>
              <w:jc w:val="center"/>
              <w:ind w:left="2732"/>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040" w:type="dxa"/>
            <w:vAlign w:val="bottom"/>
          </w:tcPr>
          <w:p>
            <w:pPr>
              <w:spacing w:after="0"/>
              <w:rPr>
                <w:sz w:val="24"/>
                <w:szCs w:val="24"/>
                <w:color w:val="auto"/>
              </w:rPr>
            </w:pPr>
          </w:p>
        </w:tc>
        <w:tc>
          <w:tcPr>
            <w:tcW w:w="6540" w:type="dxa"/>
            <w:vAlign w:val="bottom"/>
          </w:tcPr>
          <w:p>
            <w:pPr>
              <w:jc w:val="center"/>
              <w:ind w:left="2672"/>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40" w:type="dxa"/>
            <w:vAlign w:val="bottom"/>
          </w:tcPr>
          <w:p>
            <w:pPr>
              <w:spacing w:after="0"/>
              <w:rPr>
                <w:sz w:val="24"/>
                <w:szCs w:val="24"/>
                <w:color w:val="auto"/>
              </w:rPr>
            </w:pPr>
          </w:p>
        </w:tc>
        <w:tc>
          <w:tcPr>
            <w:tcW w:w="6840" w:type="dxa"/>
            <w:vAlign w:val="bottom"/>
            <w:gridSpan w:val="2"/>
          </w:tcPr>
          <w:p>
            <w:pPr>
              <w:jc w:val="center"/>
              <w:ind w:left="2412"/>
              <w:spacing w:after="0"/>
              <w:rPr>
                <w:sz w:val="20"/>
                <w:szCs w:val="20"/>
                <w:color w:val="auto"/>
              </w:rPr>
            </w:pPr>
            <w:r>
              <w:rPr>
                <w:rFonts w:ascii="Arial" w:cs="Arial" w:eastAsia="Arial" w:hAnsi="Arial"/>
                <w:sz w:val="18"/>
                <w:szCs w:val="18"/>
                <w:b w:val="1"/>
                <w:bCs w:val="1"/>
                <w:color w:val="auto"/>
                <w:w w:val="98"/>
              </w:rPr>
              <w:t>WYNN RESORTS, LIMITED AND SUBSIDIARIES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jc w:val="center"/>
              <w:ind w:left="2732"/>
              <w:spacing w:after="0"/>
              <w:rPr>
                <w:sz w:val="20"/>
                <w:szCs w:val="20"/>
                <w:color w:val="auto"/>
              </w:rPr>
            </w:pPr>
            <w:r>
              <w:rPr>
                <w:rFonts w:ascii="Arial" w:cs="Arial" w:eastAsia="Arial" w:hAnsi="Arial"/>
                <w:sz w:val="18"/>
                <w:szCs w:val="18"/>
                <w:b w:val="1"/>
                <w:bCs w:val="1"/>
                <w:color w:val="auto"/>
                <w:w w:val="97"/>
              </w:rPr>
              <w:t>(A DEVELOPMENT STAGE COMPANY)</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jc w:val="center"/>
              <w:ind w:left="273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540" w:type="dxa"/>
            <w:vAlign w:val="bottom"/>
          </w:tcPr>
          <w:p>
            <w:pPr>
              <w:jc w:val="center"/>
              <w:ind w:left="2712"/>
              <w:spacing w:after="0"/>
              <w:rPr>
                <w:sz w:val="20"/>
                <w:szCs w:val="20"/>
                <w:color w:val="auto"/>
              </w:rPr>
            </w:pPr>
            <w:r>
              <w:rPr>
                <w:rFonts w:ascii="Arial" w:cs="Arial" w:eastAsia="Arial" w:hAnsi="Arial"/>
                <w:sz w:val="18"/>
                <w:szCs w:val="18"/>
                <w:b w:val="1"/>
                <w:bCs w:val="1"/>
                <w:color w:val="auto"/>
                <w:w w:val="85"/>
              </w:rPr>
              <w:t>(amounts in thousands, except share data)</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19"/>
                <w:szCs w:val="19"/>
                <w:color w:val="auto"/>
              </w:rPr>
            </w:pPr>
          </w:p>
        </w:tc>
        <w:tc>
          <w:tcPr>
            <w:tcW w:w="6540" w:type="dxa"/>
            <w:vAlign w:val="bottom"/>
          </w:tcPr>
          <w:p>
            <w:pPr>
              <w:jc w:val="center"/>
              <w:ind w:left="2732"/>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0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6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6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6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654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83"/>
              </w:rPr>
              <w:t>Current assets:</w:t>
            </w:r>
          </w:p>
        </w:tc>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40" w:type="dxa"/>
            <w:vAlign w:val="bottom"/>
          </w:tcPr>
          <w:p>
            <w:pPr>
              <w:ind w:left="220"/>
              <w:spacing w:after="0"/>
              <w:rPr>
                <w:sz w:val="20"/>
                <w:szCs w:val="20"/>
                <w:color w:val="auto"/>
              </w:rPr>
            </w:pPr>
            <w:r>
              <w:rPr>
                <w:rFonts w:ascii="Arial" w:cs="Arial" w:eastAsia="Arial" w:hAnsi="Arial"/>
                <w:sz w:val="18"/>
                <w:szCs w:val="18"/>
                <w:color w:val="auto"/>
                <w:w w:val="90"/>
              </w:rPr>
              <w:t>Inventories</w:t>
            </w:r>
          </w:p>
        </w:tc>
        <w:tc>
          <w:tcPr>
            <w:tcW w:w="6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5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7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172,162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388,880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337,467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Water rights</w:t>
            </w:r>
          </w:p>
        </w:tc>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9"/>
              </w:rPr>
              <w:t>Other assets</w:t>
            </w:r>
          </w:p>
        </w:tc>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75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6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579,704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388,543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654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6540" w:type="dxa"/>
            <w:vAlign w:val="bottom"/>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4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and construction payable</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758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6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75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27,655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-6514465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-6514465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-4593590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-4593590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-4593590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-4593590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-3392805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-3392805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-3392805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-3392805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-2123440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-2123440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-2123440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-2123440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-596900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-596900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-596900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-596900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-13970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-13970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-13970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-13970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580" w:type="dxa"/>
            <w:vAlign w:val="bottom"/>
            <w:gridSpan w:val="2"/>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Preferred stock, par value $0.01; authorized 40,000,000 shares; zero shares issued and outstanding</w:t>
            </w:r>
          </w:p>
        </w:tc>
        <w:tc>
          <w:tcPr>
            <w:tcW w:w="6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w w:val="91"/>
              </w:rPr>
              <w:t>Common stock, par value $0.01; authorized 400,000,000 shares; 40,000,000 and 39,403,326 shares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issued and outstanding</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585,666</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Deficit accumulated from inception during the development stage</w:t>
            </w:r>
          </w:p>
        </w:tc>
        <w:tc>
          <w:tcPr>
            <w:tcW w:w="6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(49,312)</w:t>
            </w:r>
          </w:p>
        </w:tc>
        <w:tc>
          <w:tcPr>
            <w:tcW w:w="6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536,754</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579,704</w:t>
            </w:r>
          </w:p>
        </w:tc>
        <w:tc>
          <w:tcPr>
            <w:tcW w:w="220" w:type="dxa"/>
            <w:vAlign w:val="bottom"/>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388,543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-2244090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-2244090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-2244090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-2244090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-1952625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-1952625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-1952625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-1952625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-648970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-648970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-648970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-340360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-340360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-340360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246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93"/>
              <w:spacing w:after="0"/>
              <w:rPr>
                <w:sz w:val="20"/>
                <w:szCs w:val="20"/>
                <w:color w:val="auto"/>
              </w:rPr>
            </w:pPr>
            <w:r>
              <w:rPr>
                <w:rFonts w:ascii="Arial" w:cs="Arial" w:eastAsia="Arial" w:hAnsi="Arial"/>
                <w:sz w:val="14"/>
                <w:szCs w:val="14"/>
                <w:b w:val="1"/>
                <w:bCs w:val="1"/>
                <w:color w:val="auto"/>
                <w:w w:val="96"/>
              </w:rPr>
              <w:t>2001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21"/>
                <w:szCs w:val="21"/>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15,183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32,750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Facility closure expenses</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from incidental operations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6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15,740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56,362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(5,034)</w:t>
            </w: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(22,086)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(14,803)</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(54,179)</w:t>
            </w:r>
          </w:p>
        </w:tc>
        <w:tc>
          <w:tcPr>
            <w:tcW w:w="0" w:type="dxa"/>
            <w:vAlign w:val="bottom"/>
          </w:tcPr>
          <w:p>
            <w:pPr>
              <w:spacing w:after="0"/>
              <w:rPr>
                <w:sz w:val="1"/>
                <w:szCs w:val="1"/>
                <w:color w:val="auto"/>
              </w:rPr>
            </w:pPr>
          </w:p>
        </w:tc>
      </w:tr>
      <w:tr>
        <w:trPr>
          <w:trHeight w:val="118"/>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3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(8,194)</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(20,970)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(12,756)</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(49,312)</w:t>
            </w: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 earnings per common share: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(0.53)</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-5783580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-5783580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-5783580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-5783580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-5783580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-5783580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-5535295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-5535295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-5535295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-5535295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-5535295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-5535295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-5535295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-5535295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-5535295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-5535295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-4625975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-4625975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-4625975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-4625975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-4625975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-4625975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-4625975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-4625975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-4625975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-4625975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-4317365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-4317365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-4317365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-4317365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-4317365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-4317365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-4317365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-4317365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-4317365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-4317365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-2790825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-2790825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-2790825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-2790825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-2790825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-2790825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-2790825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-2790825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-2790825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-2790825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-2482215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-2482215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-2482215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-2482215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-2482215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-2482215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-2482215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-2482215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-2482215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-2482215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-2190750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-2190750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-2190750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-2190750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-2190750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-2190750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-2190750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-2190750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-2190750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-2190750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-1590040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-1590040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-1590040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-1590040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-1590040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-1590040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-1590040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-1590040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-1590040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-1590040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-1281430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-1281430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-1281430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-1281430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-1281430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-1281430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-1281430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-1281430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-1281430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-1281430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-989965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-989965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-989965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-989965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-989965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-989965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-989965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-989965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-989965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-989965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356" w:right="239" w:bottom="0" w:gutter="0" w:footer="0" w:header="0"/>
        </w:sectPr>
      </w:pPr>
    </w:p>
    <w:bookmarkStart w:id="3" w:name="page4"/>
    <w:bookmarkEnd w:id="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4"/>
        </w:trPr>
        <w:tc>
          <w:tcPr>
            <w:tcW w:w="4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40,000</w:t>
            </w: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39,404</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39,742</w:t>
            </w:r>
          </w:p>
        </w:tc>
        <w:tc>
          <w:tcPr>
            <w:tcW w:w="164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38,843</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38,919</w:t>
            </w:r>
          </w:p>
        </w:tc>
      </w:tr>
      <w:tr>
        <w:trPr>
          <w:trHeight w:val="241"/>
        </w:trPr>
        <w:tc>
          <w:tcPr>
            <w:tcW w:w="4120" w:type="dxa"/>
            <w:vAlign w:val="bottom"/>
          </w:tcPr>
          <w:p>
            <w:pPr>
              <w:ind w:left="460"/>
              <w:spacing w:after="0"/>
              <w:rPr>
                <w:sz w:val="20"/>
                <w:szCs w:val="20"/>
                <w:color w:val="auto"/>
              </w:rPr>
            </w:pPr>
            <w:r>
              <w:rPr>
                <w:rFonts w:ascii="Arial" w:cs="Arial" w:eastAsia="Arial" w:hAnsi="Arial"/>
                <w:sz w:val="18"/>
                <w:szCs w:val="18"/>
                <w:color w:val="auto"/>
              </w:rPr>
              <w:t>Diluted</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40,000</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39,404</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39,742</w:t>
            </w: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38,843</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38,919</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53"/>
              <w:spacing w:after="0"/>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jc w:val="center"/>
              <w:ind w:right="215"/>
              <w:spacing w:after="0"/>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(20,970)</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(12,756)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(49,312)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accumulated during the development stage to net cash</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loan origination fees</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Loss on sale of fixed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Incidental operations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4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adjustments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(9,886)</w:t>
            </w: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(20,953)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Acquisition of Desert Inn Resort and Casino, net of cash acquired</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(37,529)</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(22,941)</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(123,717)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(1,752)</w:t>
            </w:r>
          </w:p>
        </w:tc>
        <w:tc>
          <w:tcPr>
            <w:tcW w:w="4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(31,272)</w:t>
            </w:r>
          </w:p>
        </w:tc>
        <w:tc>
          <w:tcPr>
            <w:tcW w:w="4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(23,346)</w:t>
            </w:r>
          </w:p>
        </w:tc>
        <w:tc>
          <w:tcPr>
            <w:tcW w:w="300" w:type="dxa"/>
            <w:vAlign w:val="bottom"/>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(389,652)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173,494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distributions</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Macau</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of long-term debt</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(125,076)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(6,569)</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related party loan</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Principal payments of related party loan</w:t>
            </w: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169,498</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578,213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128,340</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(3,754)</w:t>
            </w:r>
          </w:p>
        </w:tc>
        <w:tc>
          <w:tcPr>
            <w:tcW w:w="3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39,268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22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-7569835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-7569835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-7569835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-7569835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-7320915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-7320915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-7320915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-7320915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-7320915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-7320915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-6892290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-6892290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-6892290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-6892290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-6892290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-6892290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-4765040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-4765040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-4765040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-4765040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-4765040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-4765040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-4456430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-4456430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-4456430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-4456430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-4456430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-4456430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-4147820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-4147820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-4147820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-4147820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-4147820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-4147820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-3238500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-3238500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-3238500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-3238500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-3238500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-3238500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-2929890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-2929890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-2929890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-2929890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-2929890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-2929890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-1249045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-1249045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-1249045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-1249045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-1249045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-1249045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-940435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-940435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-940435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-940435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-940435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-940435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-340360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-340360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-340360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-340360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-340360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5" w:orient="portrait"/>
          <w:cols w:equalWidth="0" w:num="1">
            <w:col w:w="11420"/>
          </w:cols>
          <w:pgMar w:left="240" w:top="347" w:right="239" w:bottom="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condensed notes are an integral part of these consolidated financial statements.</w:t>
      </w:r>
    </w:p>
    <w:p>
      <w:pPr>
        <w:sectPr>
          <w:pgSz w:w="11900" w:h="16845" w:orient="portrait"/>
          <w:cols w:equalWidth="0" w:num="1">
            <w:col w:w="11420"/>
          </w:cols>
          <w:pgMar w:left="240" w:top="347" w:right="239" w:bottom="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Basis of Presentation</w:t>
      </w:r>
    </w:p>
    <w:p>
      <w:pPr>
        <w:spacing w:after="0" w:line="231"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Wynn Resorts, Limited, a Nevada corporation ("Wynn Resorts") was formed in June 2002 to offer shares of its common stock for sale to the public in an initial public offering. Wynn Resorts' predecessor, Valvino Lamore, LLC ("Valvino"), was formed in April 2000 as a Nevada limited liability company to acquire land and design, develop and finance a new resort casino/hotel project named "Le Rêve". On September 24, 2002, Wynn Resorts became the parent company of Valvino when all the members of Valvino contributed 210,834 shares comprising 100% of the membership interests in Valvino to Wynn Resorts in exchange for 40,000,000 shares of the common stock of Wynn Resorts as discussed below. Hereafter, all references to the "Company" refer to Wynn Resorts and its subsidiaries or Valvino and its subsidiaries, as its predecessor company. At September 30, 2002, direct and indirect subsidiaries of the Company include Valvino; Wynn Las Vegas, LLC; Wynn Design and Development, LLC; Wynn Las Vegas Capital Corp.; World Travel, LLC; Las Vegas Jet, LLC; Rambas Marketing Company, LLC; Palo, LLC; Toasty, LLC; Wynn Resorts Holdings, LLC; WorldWide Wynn, LLC; Kevyn, LLC; Desert Inn Water Company, LLC; Desert Inn Improvement Company; Wynn Group Asia, Inc.; Wynn Resorts International, Ltd.; Wynn Resorts Holdings, Ltd.; Wynn Resorts (Macau), Limited; and Wynn Resorts (Macau) S.A.</w:t>
      </w:r>
    </w:p>
    <w:p>
      <w:pPr>
        <w:spacing w:after="0" w:line="17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Pursuant to an Asset and Land Purchase Agreement dated as of April 28, 2000, by and among Starwood Hotels &amp; Resorts Worldwide, Inc., Sheraton Gaming Corporation, Sheraton Desert Inn Corporation, Valvino and Stephen A. Wynn ("Mr. Wynn"), the Company acquired the assets and liabilities of the Desert Inn Resort and Casino for approximately $270 million plus an adjustment for working capital, as defined therein. Upon receiving all necessary regulatory approvals, the purchase was completed on June 22, 2000. The acquisition was accounted for using the purchase method of accounting and the purchase price was allocated to the assets acquired and liabilities assumed based on estimated fair values at the date of acquisition. Later in 2000 and early 2001, the Company acquired all of the remaining lots located in the interior of, and some of the lots around, the former Desert Inn Resort and Casino golf course for a total of $47.8 million.</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which were subsequently closed in June 2002. Since then, operations of the Company have been primarily limited to the design, development and financing of a new casino/hotel project named "Le Rêve" and the acquisition of a concession to operate casinos in Macau Special Administrative Region of the People's Republic of China ("Macau"), as more fully described below.</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50% new member, Aruze USA, Inc. ("Aruze USA"), in exchange for a capital contribution of $260 million. As part of this capital acquisition, the Company paid a fee of $10 million to a third party. The Company again amended the Agreement on April 16, 2001 when a third member, Baron Asset Fund, was admitted as a 3.7% member in exchange for a capital contribution of $20.8 million. As part of this capital acquisition, the Company paid a fee of $800,000 to a third party.</w:t>
      </w:r>
    </w:p>
    <w:p>
      <w:pPr>
        <w:spacing w:after="0" w:line="16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 financial position and results of operations of Kevyn, LLC are combined with the financial position and results of operations of the Company for all periods presented.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to the Company his 90% ownership interest in Wynn Resorts (Macau) S.A. and the right to be reimbursed for approximately $825,000 of expenses incurred by Mr. Wynn on behalf of Wynn Resorts (Macau) S.A. At the time of the capital contribution, the assets held by Wynn Resorts (Macau) S.A. principally consisted of the intangible asset associated with the provisional license to negotiate a concession with the government of Macau. The provisional license had no historical cost basis but the members of Valvino negotiated a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reflects the fair value of his 90% ownership interest in Wynn Resorts (Macau) S.A. relative to the fair value of the contributions from Aruze USA, Inc. and Baron Asset Fund as described below.</w:t>
      </w:r>
    </w:p>
    <w:p>
      <w:pPr>
        <w:spacing w:after="0" w:line="18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Concurrent with Mr. Wynn's contributions above, Aruze USA contributed an additional $120 million in cash and Baron Asset Fund contributed an additional $20.3 million in cash.</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each owned 47.5% of the membership interests in the Company, and Baron Asset Fund owned 5% of the membership interests in the Company.</w:t>
      </w:r>
    </w:p>
    <w:p>
      <w:pPr>
        <w:sectPr>
          <w:pgSz w:w="11900" w:h="16838" w:orient="portrait"/>
          <w:cols w:equalWidth="0" w:num="1">
            <w:col w:w="11420"/>
          </w:cols>
          <w:pgMar w:left="240" w:top="131" w:right="239" w:bottom="0" w:gutter="0" w:footer="0" w:header="0"/>
        </w:sectPr>
      </w:pPr>
    </w:p>
    <w:bookmarkStart w:id="5" w:name="page6"/>
    <w:bookmarkEnd w:id="5"/>
    <w:p>
      <w:pPr>
        <w:ind w:left="360"/>
        <w:spacing w:after="0"/>
        <w:rPr>
          <w:sz w:val="20"/>
          <w:szCs w:val="20"/>
          <w:color w:val="auto"/>
        </w:rPr>
      </w:pPr>
      <w:r>
        <w:rPr>
          <w:rFonts w:ascii="Arial" w:cs="Arial" w:eastAsia="Arial" w:hAnsi="Arial"/>
          <w:sz w:val="18"/>
          <w:szCs w:val="18"/>
          <w:color w:val="auto"/>
        </w:rPr>
        <w:t>In April 2002, the Company converted approximately $458,000 of advances to Wynn Resorts (Macau) S.A. into capital contributions.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2002, the Kenneth R. Wynn Family Trust contributed $1.2 million cash in exchange for a 0.146% membership interest in the Company.</w:t>
      </w:r>
    </w:p>
    <w:p>
      <w:pPr>
        <w:spacing w:after="0" w:line="248"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As discussed above, on September 24, 2002, all the members of Valvino contributed 100% of the membership interests in Valvino to the Company in exchange for 40,000,000 shares of the Company's common stock, making Valvino and its subsidiaries wholly-owned subsidiaries of the Company (hereafter referred to as the "Exchange").</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contributions under the Exchange were tax-free contributions under the Internal Revenue Code, and for financial statement accounting purposes the Exchange was considered to be a recapitalization. Because the ownership interests in the Company after the Exchange were identical to the previous ownership interests in Valvino, the Exchange was considered to be non-substantive. In accordance with Financial Accounting Standards Board ("FASB") Technical Bulletin 85-5, "Issues Relating to Accounting for Business Combinations", the Company recognized the assets and liabilities transferred at their carrying value in the books and records of Valvino at the time of exchange. The Company's consolidated financial statements report the impact of the Exchange as if it had occurred at the beginning of the periods presented.</w:t>
      </w:r>
    </w:p>
    <w:p>
      <w:pPr>
        <w:spacing w:after="0" w:line="17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 June 2002, the Company, through its 90% subsidiary, Wynn Resorts (Macau) S.A., entered into an agreement with the government of Macau China, granting Wynn Resorts (Macau) S.A. the right to construct and operate one or more casino gaming properties in Macau, located 37 miles southwest of Hong Kong.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in its development activities primarily in the acquisition of land and other assets, in the design and construction of Le Rêve and in obtaining the concession in Macau. As is customary for a development stage company, the Company has not commenced principal operations and therefore revenues are not significant. Consequently the Company has incurred losses in each period from inception to September 30, 2002.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state gaming license for the ownership and operation of the "Le Rêve" project, maintaining ongoing suitability requirements in Nevada and Macau as well as fulfilling the requirements of Macau's largely untested regulatory framework. The completions of the "Le Rêve" and Macau projects are dependent upon compliance with these rules and regulations. Management anticipates Le Rêve will cost approximately $2.4 billion to design and construct, including the cost of all 212 acres of land, capitalized interest, pre-opening expenses and financing fees. In addition, the Company is obligated to invest at least $4 billion Patacas (equivalent to approximately US $500 million) in Macau by June 2009.</w:t>
      </w:r>
    </w:p>
    <w:p>
      <w:pPr>
        <w:spacing w:after="0" w:line="18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Certain amounts in the 2001 consolidated financial statements have been reclassified to conform with the presentation for 2002. These reclassifications have no effect on net loss.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2002 are not necessarily indicative of results to be expected for the full fiscal year. These financial statements should be read in conjunction with the consolidated financial statements and notes thereto of Valvino and its subsidiaries, the predecessor company, as of and for the year ended December 31, 2001, included in the Company's Registration Statements on Forms S-1 (as amended).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September 30, 2002 and December 31, 2001 consist of the following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287,550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Airplane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403,938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388,880</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-1781175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-1781175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-1781175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-1781175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-803275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-803275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-803275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-803275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-340360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-340360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-340360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-340360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59" w:gutter="0" w:footer="0" w:header="0"/>
        </w:sectPr>
      </w:pPr>
    </w:p>
    <w:bookmarkStart w:id="6" w:name="page7"/>
    <w:bookmarkEnd w:id="6"/>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resort casino/hotel project.</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Supplemental Disclosure of Cash Flow Information</w:t>
      </w:r>
    </w:p>
    <w:p>
      <w:pPr>
        <w:spacing w:after="0" w:line="231" w:lineRule="exact"/>
        <w:rPr>
          <w:sz w:val="20"/>
          <w:szCs w:val="20"/>
          <w:color w:val="auto"/>
        </w:rPr>
      </w:pPr>
    </w:p>
    <w:p>
      <w:pPr>
        <w:ind w:right="980" w:firstLine="351"/>
        <w:spacing w:after="0" w:line="332" w:lineRule="auto"/>
        <w:rPr>
          <w:sz w:val="20"/>
          <w:szCs w:val="20"/>
          <w:color w:val="auto"/>
        </w:rPr>
      </w:pPr>
      <w:r>
        <w:rPr>
          <w:rFonts w:ascii="Arial" w:cs="Arial" w:eastAsia="Arial" w:hAnsi="Arial"/>
          <w:sz w:val="16"/>
          <w:szCs w:val="16"/>
          <w:color w:val="auto"/>
        </w:rPr>
        <w:t>Cash paid for interest for the nine months ended September 30, 2002 and 2001 and for the period from inception to September 30, 2002 totaled approximately $328,000, $7,000 and $826,000, respectively, net of amounts capitalized of $0, $0, and $6.4 million,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Equipment purchases financed by debt totaled $28.5 million for the nine months ended September 30, 2002.</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nine months ended September 30, 2001, the Company acquired the Desert Inn Water Company, LLC and $6.4 million of receivables recorded as due from a related party on the balance sheet at December 31, 2000, were reclassified to water rights.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the nine months ended September 30, 2001, the Company reduced the value of land by approximately $1.4 million representing the amount of excess liabilities accrued at the date of the Desert Inn Resort &amp; Casino purchase.</w:t>
      </w:r>
    </w:p>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period in which it operated as a limited-liability company, the Company was classified as a partnership for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provision was made for federal income taxes, as such taxes were liabilities of the members during this period.</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completion of the Exchange, the Company has accounted for income taxes in accordance with Statement of Financial Accounting Standards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7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SFAS No. 109 also requires recognition of a future tax benefit to the extent that realization of such benefit is more likely than not. Otherwise, a valuation allowance is applied. The Company, in its development stage, has accumulated significant net operating losses. Accordingly, because of the uncertainty of near-term future taxable income, as of September 30, 2002, the Company's potential net future tax benefit of approximately $6.5 million is fully reserved.</w:t>
      </w:r>
    </w:p>
    <w:p>
      <w:pPr>
        <w:spacing w:after="0" w:line="1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September 30, 2002 and December 31, 2001, the Company has no potentially dilutive securities and has recorded net losses. As a result, basic EPS is equal to diluted EPS.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58"/>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658"/>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4"/>
              </w:rPr>
              <w:t>Note payable secured by aircraft as part of the acquisition of World Travel, LLC; 47</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monthly principal payments of $158,000 with a balloon principal payment of</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7"/>
              </w:rPr>
              <w:t>approximately $21.1 million upon maturity; interest monthly at LIBOR plus 2.5%;</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matures in March 2007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6280" w:type="dxa"/>
            <w:vAlign w:val="bottom"/>
            <w:gridSpan w:val="2"/>
          </w:tcPr>
          <w:p>
            <w:pPr>
              <w:spacing w:after="0"/>
              <w:rPr>
                <w:sz w:val="20"/>
                <w:szCs w:val="20"/>
                <w:color w:val="auto"/>
              </w:rPr>
            </w:pPr>
            <w:r>
              <w:rPr>
                <w:rFonts w:ascii="Arial" w:cs="Arial" w:eastAsia="Arial" w:hAnsi="Arial"/>
                <w:sz w:val="18"/>
                <w:szCs w:val="18"/>
                <w:color w:val="auto"/>
              </w:rPr>
              <w:t>Note payable related to 1994 acquisition of land parcel assumed as part of the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w w:val="91"/>
              </w:rPr>
              <w:t>acquisition of the Desert Inn Resort &amp; Casino; monthly principal and interest payments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at 8% of $5,000; matures in February 2009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debt, net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w:t>
            </w: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8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vMerge w:val="continue"/>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-2378075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-2378075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-2378075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-2378075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-1125855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-1125855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-1125855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-1125855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-680085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-680085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-680085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-680085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Related Party Transactions</w:t>
      </w:r>
    </w:p>
    <w:p>
      <w:pPr>
        <w:sectPr>
          <w:pgSz w:w="11900" w:h="16838" w:orient="portrait"/>
          <w:cols w:equalWidth="0" w:num="1">
            <w:col w:w="11400"/>
          </w:cols>
          <w:pgMar w:left="240" w:top="131" w:right="259" w:bottom="0" w:gutter="0" w:footer="0" w:header="0"/>
          <w:type w:val="continuous"/>
        </w:sectPr>
      </w:pPr>
    </w:p>
    <w:bookmarkStart w:id="7" w:name="page8"/>
    <w:bookmarkEnd w:id="7"/>
    <w:p>
      <w:pPr>
        <w:ind w:right="680" w:firstLine="341"/>
        <w:spacing w:after="0" w:line="268" w:lineRule="auto"/>
        <w:rPr>
          <w:sz w:val="20"/>
          <w:szCs w:val="20"/>
          <w:color w:val="auto"/>
        </w:rPr>
      </w:pPr>
      <w:r>
        <w:rPr>
          <w:rFonts w:ascii="Arial" w:cs="Arial" w:eastAsia="Arial" w:hAnsi="Arial"/>
          <w:sz w:val="18"/>
          <w:szCs w:val="18"/>
          <w:color w:val="auto"/>
        </w:rPr>
        <w:t>At September 30, 2002 and December 31, 2001, receivables included net amounts due from related parties of approximately $10,000 and $344,000, respectively.</w:t>
      </w:r>
    </w:p>
    <w:p>
      <w:pPr>
        <w:spacing w:after="0" w:line="186"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Company periodically incurs costs on Mr. Wynn's behalf, including costs with respect to Mr. Wynn's personal use of the corporate aircraft. In the past, these balances were settled at regular intervals, usually monthly. The outstanding balance was settled in August 2002, and the Company terminated the arrangements pursuant to which costs were incurred and later reimbursed. Currently, Mr. Wynn has deposited $100,000 with the Company to prepay any such items. At September 30, 2002, the Company's net liability to Mr. Wynn was approximately $65,000.</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previously leased the Wynn Collection from Mr. and Mrs. Wynn at a monthly rate equal to the gross revenue received by the gallery each month, less direct expenses, subject to a monthly cap. In August 2002, the lease terms were amended. Under the new terms, one-half of the net income, if any, of the gallery is credited to the Company. If the gallery incurs a net loss, Mr. and Mrs. Wynn reimburse the Company to the extent of that loss. The Company made no lease payments during the period from inception to September 30, 2002.</w:t>
      </w:r>
    </w:p>
    <w:p>
      <w:pPr>
        <w:spacing w:after="0" w:line="191" w:lineRule="exact"/>
        <w:rPr>
          <w:sz w:val="20"/>
          <w:szCs w:val="20"/>
          <w:color w:val="auto"/>
        </w:rPr>
      </w:pPr>
    </w:p>
    <w:p>
      <w:pPr>
        <w:ind w:left="540" w:right="9220" w:hanging="532"/>
        <w:spacing w:after="0" w:line="567" w:lineRule="auto"/>
        <w:tabs>
          <w:tab w:leader="none" w:pos="3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i w:val="1"/>
          <w:iCs w:val="1"/>
          <w:color w:val="auto"/>
        </w:rPr>
        <w:t>Construction Contracts</w:t>
      </w:r>
    </w:p>
    <w:p>
      <w:pPr>
        <w:spacing w:after="0" w:line="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Since December 31, 2001,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resulting from Wynn Las Vegas, LLC's, actions.</w:t>
      </w:r>
    </w:p>
    <w:p>
      <w:pPr>
        <w:spacing w:after="0" w:line="17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has also entered into an agreement with a construction contractor for the design and construction of a parking structure for a maximum cost of $9.9 million, subject to specified exceptions, effective as of June 6, 2002.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Macau</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compliance with the Macau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under the concession agreement, including the payment of premiums, fines and any indemnity for failure to perform the concession agreement.</w:t>
      </w:r>
    </w:p>
    <w:p>
      <w:pPr>
        <w:spacing w:after="0" w:line="17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Prior to the final execution of the shareholder agreements, the Company received approximately $1.9 million of capital contributions for Wynn Resorts (Macau) S.A. At September 30, 2002, this amount has been reflected in other current liabilities. This amount will be reclassified to minority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interest upon final execution of the shareholder agreements. At that time, Wynn Resorts will own 82.5% of Wynn Resorts (Macau) S.A.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Incentive Plan</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intends to reserve 9,750,000 shares of common stock for issuance pursuant to its 2002 Stock Incentive Plan (the "Stock Plan") which provides for the grant of stock awards, incentive stock options and non-qualified stock options to employees, directors and specified consultants.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the Stock Plan, the Company intends to grant 189,723 shares of restricted stock to each of six key employees and one outside consultant, the sole consideration for which is future services. The total number of restricted shares intended to be granted is 1,328,061. Restrictions on selling these shares lapse on various dates between October 2004 and June 2006 depending on the grantee. The restrictions on the shares granted to the outside consultant also include certain performance and milestone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 Accounting Pronouncements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ectPr>
          <w:pgSz w:w="11900" w:h="16838" w:orient="portrait"/>
          <w:cols w:equalWidth="0" w:num="1">
            <w:col w:w="11420"/>
          </w:cols>
          <w:pgMar w:left="240" w:top="131" w:right="239" w:bottom="0" w:gutter="0" w:footer="0" w:header="0"/>
        </w:sectPr>
      </w:pPr>
    </w:p>
    <w:bookmarkStart w:id="8" w:name="page9"/>
    <w:bookmarkEnd w:id="8"/>
    <w:p>
      <w:pPr>
        <w:spacing w:after="0" w:line="5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 material impact on its consolidated financial position or results of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 material impact on the Company's consolidated financial position or results of operations.</w:t>
      </w:r>
    </w:p>
    <w:p>
      <w:pPr>
        <w:spacing w:after="0" w:line="168" w:lineRule="exact"/>
        <w:rPr>
          <w:sz w:val="20"/>
          <w:szCs w:val="20"/>
          <w:color w:val="auto"/>
        </w:rPr>
      </w:pPr>
    </w:p>
    <w:p>
      <w:pPr>
        <w:ind w:left="540" w:right="9280" w:hanging="532"/>
        <w:spacing w:after="0" w:line="567" w:lineRule="auto"/>
        <w:tabs>
          <w:tab w:leader="none" w:pos="29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Initial Public Offering</w:t>
      </w:r>
    </w:p>
    <w:p>
      <w:pPr>
        <w:spacing w:after="0" w:line="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October 25, 2002, the Company completed its initial public offering of 34,615,000 shares of its common stock at a price of $13 per share.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the same price the shares were offered to the public. Total proceeds of approximately $450 million were reduced by underwriting discounts and commissions of approximately $19.5 million for net proceeds to the Company of approximately $430.5 million, which will be used to finance construction of Le Rêve and to provide $40.0 million for the development of the Company's concession in Macau.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 Allotment Option</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Issuance of Second Mortgage Notes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October 30, 2002, Wynn Las Vegas, LLC and Wynn Las Vegas Capital Corp., two wholly-owned subsidiaries of the Company (collectively, the "Issuers"), issued $370 million aggregate principal amount of 12% second mortgage notes (the "Notes") maturing November 1, 2010 with semi-annual interest payments beginning in May 2003. The Notes are unconditionally guaranteed by Wynn Resorts, Limited as the parent company and certain other subsidiary guarantors, are secured by a first priority security interest in the net proceeds of the offering and a second priority security interest in substantially all the assets of 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issuance of preferred stock and equity interests of wholly-owned subsidiaries, transactions with affiliates, and various other restrictions as defined in the indenture.</w:t>
      </w:r>
    </w:p>
    <w:p>
      <w:pPr>
        <w:spacing w:after="0" w:line="1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were issued for approximately $343.3 million net of an original issue discount of approximately $26.7 million. The proceeds were further reduced by approximately $10.1 million of underwriting discounts and commissions which are capitalized and amortized over the term of the Notes using the effective interest method. Net proceeds before expenses were approximately $333.2 million and will be used finance development and construction of Le Rêve, to pay pre-opening expenses and meet debt service obligations.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Effective October 30, 2002, Wynn Las Vegas, LLC entered into a $750 million senior secured revolving credit facility (the "Revolver") and a $250 million delay draw senior secured term loan facility (the "Term Loan", and together with the Revolver, the "Credit Facilities") for additional construction financing for Le Rêve. The Credit Facilities are guaranteed by Wynn Resorts, Limited as the parent company, Valvino and its subsidiaries, and certain of Valvino's affiliates. The Credit Facilities are also secured by a first priority security interest in a $30.0 million liquidity reserve account, a first priority pledge of all equity interests in, and a first priority security interest in substantially all the assets of, Wynn Las Vegas, LLC, Wynn Las Vegas Capital Corp. and the restricted entities, first mortgages on all real property constituting Le Rêve, and a second priority security interest on the furniture, fixtures and equipment securing the FF&amp;E facility described below.</w:t>
      </w:r>
    </w:p>
    <w:p>
      <w:pPr>
        <w:spacing w:after="0" w:line="20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Le Rêve, annual interest is charged on outstanding borrowings at the London Interbank Offered Rate ("LIBOR") plus 4% on the Revolver and LIBOR plus 5.5% on the Term loan. Subsequent to the opening of Le Rêve,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ectPr>
          <w:pgSz w:w="11900" w:h="16892" w:orient="portrait"/>
          <w:cols w:equalWidth="0" w:num="1">
            <w:col w:w="11400"/>
          </w:cols>
          <w:pgMar w:left="240" w:top="131" w:right="259" w:bottom="0" w:gutter="0" w:footer="0" w:header="0"/>
        </w:sectPr>
      </w:pPr>
    </w:p>
    <w:bookmarkStart w:id="9" w:name="page10"/>
    <w:bookmarkEnd w:id="9"/>
    <w:p>
      <w:pPr>
        <w:spacing w:after="0" w:line="59" w:lineRule="exact"/>
        <w:rPr>
          <w:sz w:val="20"/>
          <w:szCs w:val="20"/>
          <w:color w:val="auto"/>
        </w:rPr>
      </w:pPr>
    </w:p>
    <w:p>
      <w:pPr>
        <w:ind w:right="560" w:firstLine="348"/>
        <w:spacing w:after="0" w:line="256" w:lineRule="auto"/>
        <w:rPr>
          <w:sz w:val="20"/>
          <w:szCs w:val="20"/>
          <w:color w:val="auto"/>
        </w:rPr>
      </w:pPr>
      <w:r>
        <w:rPr>
          <w:rFonts w:ascii="Arial" w:cs="Arial" w:eastAsia="Arial" w:hAnsi="Arial"/>
          <w:sz w:val="18"/>
          <w:szCs w:val="18"/>
          <w:color w:val="auto"/>
        </w:rPr>
        <w:t>The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Effective October 30, 2002, Wynn Las Vegas, LLC entered into a $188.5 million FF&amp;E facility (the "FF&amp;E Facility") to provide financing and refinancing for furniture, fixtures and equipment to be used at Le Rêve.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16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contributed $50 million of the net proceeds of the equity offering to a special purpose subsidiary of Wynn Las Vegas, LLC to provide a completion guarantee in favor of the lenders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and the Notes to secure completion of Le Rêve. After completion of Le Rêve, any remaining amounts will be released to the Company.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Incentive Plan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October 31, 2002, the Company filed a Registration Statement on Form S-8 to reserve 9,750,000 shares of common stock for issuance pursuant to the Stock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231" w:lineRule="exact"/>
        <w:rPr>
          <w:sz w:val="20"/>
          <w:szCs w:val="20"/>
          <w:color w:val="auto"/>
        </w:rPr>
      </w:pPr>
    </w:p>
    <w:p>
      <w:pPr>
        <w:ind w:right="380" w:firstLine="348"/>
        <w:spacing w:after="0" w:line="291"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Notes, their guarantors and non-guarantors as of September 30, 2002 and December 31, 2001, and for the three and nine months ended September 30, 2002 and 2001, and the period from inception to September 30, 2002. However, subsequent to September 30, 2002, Valvino transferred certain of its assets, including its equity interests in certain of the non-guarantor entities (Wynn Group Asia, Inc., Kevyn LLC, Rambas Marketing Co. LLC, Toasty, LLC and World Wide Wynn, LLC), inventories and affiliate receivables due from the non-guarantor entities, to the Company. As a result, the individual components outlined in the following consolidating financial statements may not be indicative of the individual components included in the financial position of the guarantors expected on an on-going basis.</w:t>
      </w:r>
    </w:p>
    <w:p>
      <w:pPr>
        <w:spacing w:after="0" w:line="17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There were no transactions for Wynn Las Vegas Capital Corp. for the periods presented prior to September 30, 2002. Guarantors of the Notes are Valvino and its wholly-owned subsidiaries, Wynn Design and Development, LLC, Wynn Resorts Holdings, LLC, Palo, LLC, Desert Inn Water Company, LLC, World Travel, LLC and Las Vegas Jet, LLC.</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tcPr>
          <w:p>
            <w:pPr>
              <w:jc w:val="center"/>
              <w:ind w:left="189"/>
              <w:spacing w:after="0"/>
              <w:rPr>
                <w:sz w:val="20"/>
                <w:szCs w:val="20"/>
                <w:color w:val="auto"/>
              </w:rPr>
            </w:pPr>
            <w:r>
              <w:rPr>
                <w:rFonts w:ascii="Arial" w:cs="Arial" w:eastAsia="Arial" w:hAnsi="Arial"/>
                <w:sz w:val="14"/>
                <w:szCs w:val="14"/>
                <w:b w:val="1"/>
                <w:bCs w:val="1"/>
                <w:color w:val="auto"/>
                <w:w w:val="87"/>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Wynn Las</w:t>
            </w: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Eliminating</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2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Vegas, LLC</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Entries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ind w:right="1169"/>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24,594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32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3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3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320" w:type="dxa"/>
            <w:vAlign w:val="bottom"/>
          </w:tcPr>
          <w:p>
            <w:pPr>
              <w:spacing w:after="0"/>
              <w:rPr>
                <w:sz w:val="24"/>
                <w:szCs w:val="24"/>
                <w:color w:val="auto"/>
              </w:rPr>
            </w:pPr>
          </w:p>
        </w:tc>
        <w:tc>
          <w:tcPr>
            <w:tcW w:w="5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24,788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218,676</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388,880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Water rights</w:t>
            </w:r>
          </w:p>
        </w:tc>
        <w:tc>
          <w:tcPr>
            <w:tcW w:w="1320" w:type="dxa"/>
            <w:vAlign w:val="bottom"/>
          </w:tcPr>
          <w:p>
            <w:pPr>
              <w:spacing w:after="0"/>
              <w:rPr>
                <w:sz w:val="18"/>
                <w:szCs w:val="18"/>
                <w:color w:val="auto"/>
              </w:rPr>
            </w:pPr>
          </w:p>
        </w:tc>
        <w:tc>
          <w:tcPr>
            <w:tcW w:w="5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-1984375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-1984375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-1984375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-1984375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-1984375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-1984375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-1984375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-1984375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-1984375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-1984375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-1984375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-1984375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-784225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-784225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-784225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-784225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-784225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-784225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-784225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-784225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-784225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-784225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-784225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-784225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6,569</w:t>
            </w:r>
          </w:p>
        </w:tc>
        <w:tc>
          <w:tcPr>
            <w:tcW w:w="60" w:type="dxa"/>
            <w:vAlign w:val="bottom"/>
          </w:tcPr>
          <w:p>
            <w:pPr>
              <w:spacing w:after="0"/>
              <w:rPr>
                <w:sz w:val="19"/>
                <w:szCs w:val="19"/>
                <w:color w:val="auto"/>
              </w:rPr>
            </w:pPr>
          </w:p>
        </w:tc>
      </w:tr>
      <w:tr>
        <w:trPr>
          <w:trHeight w:val="218"/>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(911,905)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3,798</w:t>
            </w:r>
          </w:p>
        </w:tc>
        <w:tc>
          <w:tcPr>
            <w:tcW w:w="60" w:type="dxa"/>
            <w:vAlign w:val="bottom"/>
          </w:tcPr>
          <w:p>
            <w:pPr>
              <w:spacing w:after="0"/>
              <w:rPr>
                <w:sz w:val="18"/>
                <w:szCs w:val="18"/>
                <w:color w:val="auto"/>
              </w:rPr>
            </w:pPr>
          </w:p>
        </w:tc>
      </w:tr>
      <w:tr>
        <w:trPr>
          <w:trHeight w:val="216"/>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r>
      <w:tr>
        <w:trPr>
          <w:trHeight w:val="112"/>
        </w:trPr>
        <w:tc>
          <w:tcPr>
            <w:tcW w:w="3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33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586,961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225,497</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654,914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(911,923)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579,704</w:t>
            </w:r>
          </w:p>
        </w:tc>
        <w:tc>
          <w:tcPr>
            <w:tcW w:w="60" w:type="dxa"/>
            <w:vAlign w:val="bottom"/>
            <w:shd w:val="clear" w:color="auto" w:fill="CCEEFF"/>
          </w:tcPr>
          <w:p>
            <w:pPr>
              <w:spacing w:after="0"/>
              <w:rPr>
                <w:sz w:val="21"/>
                <w:szCs w:val="21"/>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3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LIABILITIES AND STOCKHOLDERS'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EQUITY</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2"/>
        </w:trPr>
        <w:tc>
          <w:tcPr>
            <w:tcW w:w="33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21"/>
                <w:szCs w:val="21"/>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1,146</w:t>
            </w:r>
          </w:p>
        </w:tc>
        <w:tc>
          <w:tcPr>
            <w:tcW w:w="60" w:type="dxa"/>
            <w:vAlign w:val="bottom"/>
          </w:tcPr>
          <w:p>
            <w:pPr>
              <w:spacing w:after="0"/>
              <w:rPr>
                <w:sz w:val="21"/>
                <w:szCs w:val="21"/>
                <w:color w:val="auto"/>
              </w:rPr>
            </w:pPr>
          </w:p>
        </w:tc>
      </w:tr>
      <w:tr>
        <w:trPr>
          <w:trHeight w:val="24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and construction payable</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60" w:type="dxa"/>
            <w:vAlign w:val="bottom"/>
            <w:shd w:val="clear" w:color="auto" w:fill="CCEEFF"/>
          </w:tcPr>
          <w:p>
            <w:pPr>
              <w:spacing w:after="0"/>
              <w:rPr>
                <w:sz w:val="21"/>
                <w:szCs w:val="21"/>
                <w:color w:val="auto"/>
              </w:rPr>
            </w:pPr>
          </w:p>
        </w:tc>
      </w:tr>
      <w:tr>
        <w:trPr>
          <w:trHeight w:val="242"/>
        </w:trPr>
        <w:tc>
          <w:tcPr>
            <w:tcW w:w="33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3,317</w:t>
            </w:r>
          </w:p>
        </w:tc>
        <w:tc>
          <w:tcPr>
            <w:tcW w:w="60" w:type="dxa"/>
            <w:vAlign w:val="bottom"/>
          </w:tcPr>
          <w:p>
            <w:pPr>
              <w:spacing w:after="0"/>
              <w:rPr>
                <w:sz w:val="21"/>
                <w:szCs w:val="21"/>
                <w:color w:val="auto"/>
              </w:rPr>
            </w:pPr>
          </w:p>
        </w:tc>
      </w:tr>
      <w:tr>
        <w:trPr>
          <w:trHeight w:val="24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60" w:type="dxa"/>
            <w:vAlign w:val="bottom"/>
            <w:shd w:val="clear" w:color="auto" w:fill="CCEEFF"/>
          </w:tcPr>
          <w:p>
            <w:pPr>
              <w:spacing w:after="0"/>
              <w:rPr>
                <w:sz w:val="21"/>
                <w:szCs w:val="21"/>
                <w:color w:val="auto"/>
              </w:rPr>
            </w:pPr>
          </w:p>
        </w:tc>
      </w:tr>
      <w:tr>
        <w:trPr>
          <w:trHeight w:val="241"/>
        </w:trPr>
        <w:tc>
          <w:tcPr>
            <w:tcW w:w="33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20"/>
                <w:szCs w:val="20"/>
                <w:color w:val="auto"/>
              </w:rPr>
            </w:pPr>
          </w:p>
        </w:tc>
      </w:tr>
      <w:tr>
        <w:trPr>
          <w:trHeight w:val="120"/>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33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60" w:type="dxa"/>
            <w:vAlign w:val="bottom"/>
            <w:shd w:val="clear" w:color="auto" w:fill="CCEEFF"/>
          </w:tcPr>
          <w:p>
            <w:pPr>
              <w:spacing w:after="0"/>
              <w:rPr>
                <w:sz w:val="21"/>
                <w:szCs w:val="21"/>
                <w:color w:val="auto"/>
              </w:rPr>
            </w:pPr>
          </w:p>
        </w:tc>
      </w:tr>
      <w:tr>
        <w:trPr>
          <w:trHeight w:val="430"/>
        </w:trPr>
        <w:tc>
          <w:tcPr>
            <w:tcW w:w="3340" w:type="dxa"/>
            <w:vAlign w:val="bottom"/>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27,655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27,655</w:t>
            </w:r>
          </w:p>
        </w:tc>
        <w:tc>
          <w:tcPr>
            <w:tcW w:w="60" w:type="dxa"/>
            <w:vAlign w:val="bottom"/>
          </w:tcPr>
          <w:p>
            <w:pPr>
              <w:spacing w:after="0"/>
              <w:rPr>
                <w:sz w:val="24"/>
                <w:szCs w:val="24"/>
                <w:color w:val="auto"/>
              </w:rPr>
            </w:pPr>
          </w:p>
        </w:tc>
      </w:tr>
      <w:tr>
        <w:trPr>
          <w:trHeight w:val="120"/>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33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60" w:type="dxa"/>
            <w:vAlign w:val="bottom"/>
            <w:shd w:val="clear" w:color="auto" w:fill="CCEEFF"/>
          </w:tcPr>
          <w:p>
            <w:pPr>
              <w:spacing w:after="0"/>
              <w:rPr>
                <w:sz w:val="21"/>
                <w:szCs w:val="21"/>
                <w:color w:val="auto"/>
              </w:rPr>
            </w:pPr>
          </w:p>
        </w:tc>
      </w:tr>
      <w:tr>
        <w:trPr>
          <w:trHeight w:val="118"/>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3340" w:type="dxa"/>
            <w:vAlign w:val="bottom"/>
          </w:tcPr>
          <w:p>
            <w:pPr>
              <w:spacing w:after="0"/>
              <w:rPr>
                <w:sz w:val="20"/>
                <w:szCs w:val="20"/>
                <w:color w:val="auto"/>
              </w:rPr>
            </w:pPr>
            <w:r>
              <w:rPr>
                <w:rFonts w:ascii="Arial" w:cs="Arial" w:eastAsia="Arial" w:hAnsi="Arial"/>
                <w:sz w:val="18"/>
                <w:szCs w:val="18"/>
                <w:color w:val="auto"/>
              </w:rPr>
              <w:t>Minority interest</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2,183</w:t>
            </w:r>
          </w:p>
        </w:tc>
        <w:tc>
          <w:tcPr>
            <w:tcW w:w="60" w:type="dxa"/>
            <w:vAlign w:val="bottom"/>
          </w:tcPr>
          <w:p>
            <w:pPr>
              <w:spacing w:after="0"/>
              <w:rPr>
                <w:sz w:val="24"/>
                <w:szCs w:val="24"/>
                <w:color w:val="auto"/>
              </w:rPr>
            </w:pPr>
          </w:p>
        </w:tc>
      </w:tr>
      <w:tr>
        <w:trPr>
          <w:trHeight w:val="120"/>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32"/>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431"/>
        </w:trPr>
        <w:tc>
          <w:tcPr>
            <w:tcW w:w="3340" w:type="dxa"/>
            <w:vAlign w:val="bottom"/>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Preferred stock, par value $0.01;</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9"/>
              </w:rPr>
              <w:t>authorized 40,000,000 shares; zero shares</w:t>
            </w:r>
          </w:p>
        </w:tc>
        <w:tc>
          <w:tcPr>
            <w:tcW w:w="5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334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color w:val="auto"/>
              </w:rPr>
              <w:t>authorized 400,000,000 shares;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w w:val="90"/>
              </w:rPr>
              <w:t>40,000,000 shares issued and outstanding</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r>
      <w:tr>
        <w:trPr>
          <w:trHeight w:val="24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585,666</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227,842</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662,818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(918,235)</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585,666</w:t>
            </w:r>
          </w:p>
        </w:tc>
        <w:tc>
          <w:tcPr>
            <w:tcW w:w="60" w:type="dxa"/>
            <w:vAlign w:val="bottom"/>
            <w:shd w:val="clear" w:color="auto" w:fill="CCEEFF"/>
          </w:tcPr>
          <w:p>
            <w:pPr>
              <w:spacing w:after="0"/>
              <w:rPr>
                <w:sz w:val="21"/>
                <w:szCs w:val="21"/>
                <w:color w:val="auto"/>
              </w:rPr>
            </w:pPr>
          </w:p>
        </w:tc>
      </w:tr>
      <w:tr>
        <w:trPr>
          <w:trHeight w:val="208"/>
        </w:trPr>
        <w:tc>
          <w:tcPr>
            <w:tcW w:w="3340" w:type="dxa"/>
            <w:vAlign w:val="bottom"/>
          </w:tcPr>
          <w:p>
            <w:pPr>
              <w:ind w:left="240"/>
              <w:spacing w:after="0"/>
              <w:rPr>
                <w:sz w:val="20"/>
                <w:szCs w:val="20"/>
                <w:color w:val="auto"/>
              </w:rPr>
            </w:pPr>
            <w:r>
              <w:rPr>
                <w:rFonts w:ascii="Arial" w:cs="Arial" w:eastAsia="Arial" w:hAnsi="Arial"/>
                <w:sz w:val="18"/>
                <w:szCs w:val="18"/>
                <w:color w:val="auto"/>
              </w:rPr>
              <w:t>Deficit accumulated from inception</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340" w:type="dxa"/>
            <w:vAlign w:val="bottom"/>
          </w:tcPr>
          <w:p>
            <w:pPr>
              <w:ind w:left="240"/>
              <w:spacing w:after="0"/>
              <w:rPr>
                <w:sz w:val="20"/>
                <w:szCs w:val="20"/>
                <w:color w:val="auto"/>
              </w:rPr>
            </w:pPr>
            <w:r>
              <w:rPr>
                <w:rFonts w:ascii="Arial" w:cs="Arial" w:eastAsia="Arial" w:hAnsi="Arial"/>
                <w:sz w:val="18"/>
                <w:szCs w:val="18"/>
                <w:color w:val="auto"/>
              </w:rPr>
              <w:t>during the development stage</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(2,472)</w:t>
            </w: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(45,508)</w:t>
            </w: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(5,479)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(49,312)</w:t>
            </w:r>
          </w:p>
        </w:tc>
      </w:tr>
      <w:tr>
        <w:trPr>
          <w:trHeight w:val="120"/>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33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225,370</w:t>
            </w:r>
          </w:p>
        </w:tc>
        <w:tc>
          <w:tcPr>
            <w:tcW w:w="1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617,310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(914,106)</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536,754</w:t>
            </w:r>
          </w:p>
        </w:tc>
        <w:tc>
          <w:tcPr>
            <w:tcW w:w="60" w:type="dxa"/>
            <w:vAlign w:val="bottom"/>
            <w:shd w:val="clear" w:color="auto" w:fill="CCEEFF"/>
          </w:tcPr>
          <w:p>
            <w:pPr>
              <w:spacing w:after="0"/>
              <w:rPr>
                <w:sz w:val="21"/>
                <w:szCs w:val="21"/>
                <w:color w:val="auto"/>
              </w:rPr>
            </w:pPr>
          </w:p>
        </w:tc>
      </w:tr>
      <w:tr>
        <w:trPr>
          <w:trHeight w:val="118"/>
        </w:trPr>
        <w:tc>
          <w:tcPr>
            <w:tcW w:w="33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3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586,961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225,497</w:t>
            </w:r>
          </w:p>
        </w:tc>
        <w:tc>
          <w:tcPr>
            <w:tcW w:w="1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654,914</w:t>
            </w:r>
          </w:p>
        </w:tc>
        <w:tc>
          <w:tcPr>
            <w:tcW w:w="8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24,255</w:t>
            </w:r>
          </w:p>
        </w:tc>
        <w:tc>
          <w:tcPr>
            <w:tcW w:w="8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(911,923)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579,704</w:t>
            </w:r>
          </w:p>
        </w:tc>
        <w:tc>
          <w:tcPr>
            <w:tcW w:w="60" w:type="dxa"/>
            <w:vAlign w:val="bottom"/>
          </w:tcPr>
          <w:p>
            <w:pPr>
              <w:spacing w:after="0"/>
              <w:rPr>
                <w:sz w:val="24"/>
                <w:szCs w:val="24"/>
                <w:color w:val="auto"/>
              </w:rPr>
            </w:pPr>
          </w:p>
        </w:tc>
      </w:tr>
      <w:tr>
        <w:trPr>
          <w:trHeight w:val="107"/>
        </w:trPr>
        <w:tc>
          <w:tcPr>
            <w:tcW w:w="3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3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-5911215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-5911215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-5911215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-5911215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-5911215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-5911215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-5911215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-5911215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-5911215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-5911215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-5911215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-5911215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-4247515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-4247515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-4247515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-4247515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-4247515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-4247515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-4247515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-4247515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-4247515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-4247515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-4247515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-4247515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-3663950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-3663950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-3663950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-3663950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-3663950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-3663950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-3663950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-3663950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-3663950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-3663950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-3663950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-3663950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-3355340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-3355340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-3355340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-3355340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-3355340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-3355340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-3355340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-3355340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-3355340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-3355340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-3355340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-3355340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-2926715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-2926715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-2926715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-2926715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-2926715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-2926715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-2926715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-2926715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-2926715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-2926715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-2926715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-2926715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-971550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-971550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-971550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-971550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-971550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-971550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-971550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-971550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-971550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-971550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-971550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-971550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-662940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-662940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-662940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-662940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-662940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-662940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-662940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-662940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-662940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-662940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-662940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-662940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tcPr>
          <w:p>
            <w:pPr>
              <w:jc w:val="center"/>
              <w:ind w:left="189"/>
              <w:spacing w:after="0"/>
              <w:rPr>
                <w:sz w:val="20"/>
                <w:szCs w:val="20"/>
                <w:color w:val="auto"/>
              </w:rPr>
            </w:pPr>
            <w:r>
              <w:rPr>
                <w:rFonts w:ascii="Arial" w:cs="Arial" w:eastAsia="Arial" w:hAnsi="Arial"/>
                <w:sz w:val="14"/>
                <w:szCs w:val="14"/>
                <w:b w:val="1"/>
                <w:bCs w:val="1"/>
                <w:color w:val="auto"/>
                <w:w w:val="87"/>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Wynn Las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Non-</w:t>
            </w: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Eliminating</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2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Vegas,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Guarantors</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Entries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ind w:right="1169"/>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320" w:type="dxa"/>
            <w:vAlign w:val="bottom"/>
          </w:tcPr>
          <w:p>
            <w:pPr>
              <w:spacing w:after="0"/>
              <w:rPr>
                <w:sz w:val="24"/>
                <w:szCs w:val="24"/>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41,172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41,630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326,258</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Water rights</w:t>
            </w:r>
          </w:p>
        </w:tc>
        <w:tc>
          <w:tcPr>
            <w:tcW w:w="1320" w:type="dxa"/>
            <w:vAlign w:val="bottom"/>
          </w:tcPr>
          <w:p>
            <w:pPr>
              <w:spacing w:after="0"/>
              <w:rPr>
                <w:sz w:val="18"/>
                <w:szCs w:val="18"/>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18"/>
                <w:szCs w:val="18"/>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(18,282)</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-2329180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-2329180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-2329180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-2329180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-2329180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-2329180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-2329180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-2329180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-2329180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-2329180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-2329180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-2329180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-1129030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-1129030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-1129030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-1129030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-1129030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-1129030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-1129030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-1129030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-1129030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-1129030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-1129030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-1129030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 w:name="page12"/>
    <w:bookmarkEnd w:id="1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2265045</wp:posOffset>
            </wp:positionH>
            <wp:positionV relativeFrom="page">
              <wp:posOffset>88900</wp:posOffset>
            </wp:positionV>
            <wp:extent cx="5072380" cy="107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072380" cy="107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3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390,022</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AND STOCKHOLDERS'</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w:t>
            </w: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340" w:type="dxa"/>
            <w:vAlign w:val="bottom"/>
          </w:tcPr>
          <w:p>
            <w:pPr>
              <w:ind w:left="240"/>
              <w:spacing w:after="0"/>
              <w:rPr>
                <w:sz w:val="20"/>
                <w:szCs w:val="20"/>
                <w:color w:val="auto"/>
              </w:rPr>
            </w:pPr>
            <w:r>
              <w:rPr>
                <w:rFonts w:ascii="Arial" w:cs="Arial" w:eastAsia="Arial" w:hAnsi="Arial"/>
                <w:sz w:val="18"/>
                <w:szCs w:val="18"/>
                <w:color w:val="auto"/>
              </w:rPr>
              <w:t>Accounts and construction payable</w:t>
            </w:r>
          </w:p>
        </w:tc>
        <w:tc>
          <w:tcPr>
            <w:tcW w:w="760" w:type="dxa"/>
            <w:vAlign w:val="bottom"/>
          </w:tcPr>
          <w:p>
            <w:pPr>
              <w:spacing w:after="0"/>
              <w:rPr>
                <w:sz w:val="21"/>
                <w:szCs w:val="21"/>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33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3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40" w:type="dxa"/>
            <w:vAlign w:val="bottom"/>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Preferred stock, par value $0.01;</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9"/>
              </w:rPr>
              <w:t>authorized 40,000,000 shares; zero shares</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34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color w:val="auto"/>
              </w:rPr>
              <w:t>authorized 400,000,000 shares;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w w:val="90"/>
              </w:rPr>
              <w:t>39,403,326 shares issued and outstanding</w:t>
            </w:r>
          </w:p>
        </w:tc>
        <w:tc>
          <w:tcPr>
            <w:tcW w:w="7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412,178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40" w:type="dxa"/>
            <w:vAlign w:val="bottom"/>
          </w:tcPr>
          <w:p>
            <w:pPr>
              <w:ind w:left="240"/>
              <w:spacing w:after="0"/>
              <w:rPr>
                <w:sz w:val="20"/>
                <w:szCs w:val="20"/>
                <w:color w:val="auto"/>
              </w:rPr>
            </w:pPr>
            <w:r>
              <w:rPr>
                <w:rFonts w:ascii="Arial" w:cs="Arial" w:eastAsia="Arial" w:hAnsi="Arial"/>
                <w:sz w:val="18"/>
                <w:szCs w:val="18"/>
                <w:color w:val="auto"/>
              </w:rPr>
              <w:t>Deficit accumulated from inception</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40"/>
              <w:spacing w:after="0"/>
              <w:rPr>
                <w:sz w:val="20"/>
                <w:szCs w:val="20"/>
                <w:color w:val="auto"/>
              </w:rPr>
            </w:pPr>
            <w:r>
              <w:rPr>
                <w:rFonts w:ascii="Arial" w:cs="Arial" w:eastAsia="Arial" w:hAnsi="Arial"/>
                <w:sz w:val="18"/>
                <w:szCs w:val="18"/>
                <w:color w:val="auto"/>
              </w:rPr>
              <w:t>during the development stage</w:t>
            </w:r>
          </w:p>
        </w:tc>
        <w:tc>
          <w:tcPr>
            <w:tcW w:w="76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(26,737)</w:t>
            </w:r>
          </w:p>
        </w:tc>
        <w:tc>
          <w:tcPr>
            <w:tcW w:w="5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5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3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4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385,835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ind w:left="460"/>
              <w:spacing w:after="0"/>
              <w:rPr>
                <w:sz w:val="20"/>
                <w:szCs w:val="20"/>
                <w:color w:val="auto"/>
              </w:rPr>
            </w:pPr>
            <w:r>
              <w:rPr>
                <w:rFonts w:ascii="Arial" w:cs="Arial" w:eastAsia="Arial" w:hAnsi="Arial"/>
                <w:sz w:val="18"/>
                <w:szCs w:val="18"/>
                <w:color w:val="auto"/>
              </w:rPr>
              <w:t>Total liabilities and stockholders'</w:t>
            </w: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460"/>
              <w:spacing w:after="0"/>
              <w:rPr>
                <w:sz w:val="20"/>
                <w:szCs w:val="20"/>
                <w:color w:val="auto"/>
              </w:rPr>
            </w:pPr>
            <w:r>
              <w:rPr>
                <w:rFonts w:ascii="Arial" w:cs="Arial" w:eastAsia="Arial" w:hAnsi="Arial"/>
                <w:sz w:val="18"/>
                <w:szCs w:val="18"/>
                <w:color w:val="auto"/>
              </w:rPr>
              <w:t>equity</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390,022</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-3956050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-3956050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-3956050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-3956050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-3956050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-3956050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-3956050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-3956050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-3956050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-3956050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-3956050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-3956050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-3372485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-3372485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-3372485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-3372485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-3372485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-3372485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-3372485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-3372485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-3372485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-3372485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-3372485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-3372485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-3063875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-3063875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-3063875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-3063875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-3063875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-3063875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-3063875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-3063875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-3063875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-3063875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-3063875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-3063875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-1108710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-1108710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-1108710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-1108710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-1108710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-1108710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-1108710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-1108710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-1108710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-1108710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-1108710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-1108710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-800100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-800100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-800100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-800100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-800100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-800100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-800100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-800100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-800100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-800100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-800100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-800100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5"/>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Wynn Las</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Non-</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Vegas, LLC</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Guarantors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7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99"/>
              </w:rPr>
              <w:t>—  $</w:t>
            </w: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Retail</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6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5,247</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1,381</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Loss from incidental operations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7,809</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06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0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(6,549)</w:t>
            </w:r>
          </w:p>
        </w:tc>
        <w:tc>
          <w:tcPr>
            <w:tcW w:w="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(1,374)</w:t>
            </w:r>
          </w:p>
        </w:tc>
        <w:tc>
          <w:tcPr>
            <w:tcW w:w="1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-3479165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-3479165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-3479165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-3479165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-3479165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-3479165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-3479165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-3479165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-3479165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-3479165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-3479165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-3479165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-2569845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-2569845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-2569845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-2569845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-2569845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-2569845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-2569845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-2569845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-2569845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-2569845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-2569845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-2261235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-2261235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-2261235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-2261235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-2261235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-2261235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-2261235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-2261235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-2261235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-2261235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-2261235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-2261235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-751840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-751840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-751840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-751840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-751840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-751840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-751840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-751840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-751840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-751840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-443230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-443230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-443230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-443230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-443230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-443230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-443230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-443230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-443230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-443230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-443230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420"/>
          </w:cols>
          <w:pgMar w:left="240" w:top="37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43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4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21"/>
                <w:szCs w:val="21"/>
                <w:color w:val="auto"/>
              </w:rPr>
            </w:pPr>
          </w:p>
        </w:tc>
      </w:tr>
      <w:tr>
        <w:trPr>
          <w:trHeight w:val="241"/>
        </w:trPr>
        <w:tc>
          <w:tcPr>
            <w:tcW w:w="3460" w:type="dxa"/>
            <w:vAlign w:val="bottom"/>
          </w:tcPr>
          <w:p>
            <w:pPr>
              <w:ind w:left="240"/>
              <w:spacing w:after="0"/>
              <w:rPr>
                <w:sz w:val="20"/>
                <w:szCs w:val="20"/>
                <w:color w:val="auto"/>
              </w:rPr>
            </w:pPr>
            <w:r>
              <w:rPr>
                <w:rFonts w:ascii="Arial" w:cs="Arial" w:eastAsia="Arial" w:hAnsi="Arial"/>
                <w:sz w:val="18"/>
                <w:szCs w:val="18"/>
                <w:color w:val="auto"/>
              </w:rPr>
              <w:t>Equity in loss from Macau</w:t>
            </w:r>
          </w:p>
        </w:tc>
        <w:tc>
          <w:tcPr>
            <w:tcW w:w="760" w:type="dxa"/>
            <w:vAlign w:val="bottom"/>
          </w:tcPr>
          <w:p>
            <w:pPr>
              <w:spacing w:after="0"/>
              <w:rPr>
                <w:sz w:val="20"/>
                <w:szCs w:val="20"/>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c>
          <w:tcPr>
            <w:tcW w:w="4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34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21"/>
                <w:szCs w:val="21"/>
                <w:color w:val="auto"/>
              </w:rPr>
            </w:pPr>
          </w:p>
        </w:tc>
      </w:tr>
      <w:tr>
        <w:trPr>
          <w:trHeight w:val="118"/>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3460" w:type="dxa"/>
            <w:vAlign w:val="bottom"/>
          </w:tcPr>
          <w:p>
            <w:pPr>
              <w:spacing w:after="0"/>
              <w:rPr>
                <w:sz w:val="20"/>
                <w:szCs w:val="20"/>
                <w:color w:val="auto"/>
              </w:rPr>
            </w:pPr>
            <w:r>
              <w:rPr>
                <w:rFonts w:ascii="Arial" w:cs="Arial" w:eastAsia="Arial" w:hAnsi="Arial"/>
                <w:sz w:val="18"/>
                <w:szCs w:val="18"/>
                <w:color w:val="auto"/>
              </w:rPr>
              <w:t>Minority interest</w:t>
            </w:r>
          </w:p>
        </w:tc>
        <w:tc>
          <w:tcPr>
            <w:tcW w:w="760" w:type="dxa"/>
            <w:vAlign w:val="bottom"/>
          </w:tcPr>
          <w:p>
            <w:pPr>
              <w:spacing w:after="0"/>
              <w:rPr>
                <w:sz w:val="24"/>
                <w:szCs w:val="24"/>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4"/>
                <w:szCs w:val="24"/>
                <w:color w:val="auto"/>
              </w:rPr>
            </w:pPr>
          </w:p>
        </w:tc>
      </w:tr>
      <w:tr>
        <w:trPr>
          <w:trHeight w:val="120"/>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loss accumulated during the development</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stage</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(7,403)</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(8,194)</w:t>
            </w: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34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3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-1674495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-1674495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-1674495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-1674495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-1674495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-1674495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-1674495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-1674495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-1674495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-1674495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-1674495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-1674495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-1365885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-1365885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-1365885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-1365885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-1365885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-1365885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-1365885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-1365885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-1365885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-1365885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-1365885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-1365885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-937260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-937260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-937260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-937260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-937260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-937260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-937260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-937260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-937260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-937260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-937260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-937260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Wynn Las</w:t>
            </w:r>
          </w:p>
        </w:tc>
        <w:tc>
          <w:tcPr>
            <w:tcW w:w="2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Vegas, LLC</w:t>
            </w:r>
          </w:p>
        </w:tc>
        <w:tc>
          <w:tcPr>
            <w:tcW w:w="2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320" w:type="dxa"/>
            <w:vAlign w:val="bottom"/>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(1,872)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Retail</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Loss from incidental operations</w:t>
            </w:r>
          </w:p>
        </w:tc>
        <w:tc>
          <w:tcPr>
            <w:tcW w:w="13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(15,708)</w:t>
            </w:r>
          </w:p>
        </w:tc>
        <w:tc>
          <w:tcPr>
            <w:tcW w:w="2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(22,086)</w:t>
            </w: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13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(3,732)</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(3,063)</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33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accumulated during the</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1320" w:type="dxa"/>
            <w:vAlign w:val="bottom"/>
            <w:shd w:val="clear" w:color="auto" w:fill="CCEEFF"/>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(18,771)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-6188710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-6188710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-6188710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-6188710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-6188710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-6188710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-6188710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-6188710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-6188710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-6188710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-6188710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-6188710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-5280025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-5280025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-5280025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-5280025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-5280025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-5280025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-5280025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-5280025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-5280025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-5280025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-5280025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-5280025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-4971415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-4971415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-4971415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-4971415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-4971415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-4971415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-4971415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-4971415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-4971415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-4971415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-4971415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-4971415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-3462020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-3462020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-3462020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-3462020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-3462020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-3462020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-3462020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-3462020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-3462020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-3462020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-3462020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-3462020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-3152775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-3152775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-3152775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-3152775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-3152775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-3152775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-3152775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-3152775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-3152775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-3152775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-3152775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-3152775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-2724150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-2724150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-2724150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-2724150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-2724150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-2724150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-2724150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-1832610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-1832610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-1832610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-1832610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-1832610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-1832610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-1832610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-1832610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-1832610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-1832610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-1832610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-1832610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-1523365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-1523365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-1523365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-1523365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-1523365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-1523365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-1523365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-1523365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-1523365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-1523365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-1523365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-1523365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-1094740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-1094740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-1094740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-1094740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-1094740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-1094740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-1094740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3" w:name="page14"/>
    <w:bookmarkEnd w:id="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T0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Wynn Las</w:t>
            </w:r>
          </w:p>
        </w:tc>
        <w:tc>
          <w:tcPr>
            <w:tcW w:w="2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Vegas, LLC</w:t>
            </w:r>
          </w:p>
        </w:tc>
        <w:tc>
          <w:tcPr>
            <w:tcW w:w="2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320" w:type="dxa"/>
            <w:vAlign w:val="bottom"/>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(3,304)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Retail</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(3,408)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(3,134)</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Facility closure expenses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from incidental operations</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w:t>
            </w:r>
          </w:p>
        </w:tc>
        <w:tc>
          <w:tcPr>
            <w:tcW w:w="200" w:type="dxa"/>
            <w:vAlign w:val="bottom"/>
            <w:shd w:val="clear" w:color="auto" w:fill="CCEEFF"/>
          </w:tcPr>
          <w:p>
            <w:pPr>
              <w:spacing w:after="0"/>
              <w:rPr>
                <w:sz w:val="24"/>
                <w:szCs w:val="24"/>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(46,194)</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(5,499)</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(54,179)</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3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(3,733)</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20" w:type="dxa"/>
            <w:vAlign w:val="bottom"/>
            <w:shd w:val="clear" w:color="auto" w:fill="CCEEFF"/>
          </w:tcPr>
          <w:p>
            <w:pPr>
              <w:spacing w:after="0"/>
              <w:rPr>
                <w:sz w:val="24"/>
                <w:szCs w:val="24"/>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Net loss accumulated during the</w:t>
            </w: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320" w:type="dxa"/>
            <w:vAlign w:val="bottom"/>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(45,508)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(5,479)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(49,312)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-6048375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-6048375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-6048375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-6048375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-6048375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-6048375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-6048375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-6048375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-6048375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-6048375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-6048375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-6048375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-5139055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-5139055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-5139055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-5139055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-5139055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-5139055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-5139055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-5139055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-5139055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-5139055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-5139055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-5139055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-4830445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-4830445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-4830445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-4830445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-4830445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-4830445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-4830445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-4830445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-4830445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-4830445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-4830445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-4830445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-3166745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-3166745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-3166745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-3166745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-3166745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-3166745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-3166745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-3166745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-3166745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-3166745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-3166745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-3166745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-2858135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-2858135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-2858135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-2858135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-2858135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-2858135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-2858135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-2858135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-2858135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-2858135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-2858135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-2858135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-2429510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-2429510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-2429510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-2429510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-2429510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-2429510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-2429510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-2429510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-2429510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-2429510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-2429510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-2429510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-1537335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-1537335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-1537335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-1537335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-1537335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-1537335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-1537335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-1537335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-1537335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-1537335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-1537335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-1537335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-1228725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-1228725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-1228725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-1228725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-1228725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-1228725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-1228725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-1228725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-1228725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-1228725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-1228725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-1228725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-800100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-800100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-800100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-800100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-800100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-800100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-800100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-800100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-800100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-800100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-800100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-800100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5"/>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Wynn Las</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Non-</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Vegas, LLC</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Guarantors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7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99"/>
              </w:rPr>
              <w:t>—  $</w:t>
            </w: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3,414</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1"/>
                <w:szCs w:val="21"/>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-1729105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-1729105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-1729105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-1729105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-1729105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-1729105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-1729105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-1729105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-1729105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-1729105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-1729105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-1729105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-1129030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-1129030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-1129030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-1129030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-1129030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-1129030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-1129030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-1129030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-1129030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-1129030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-1129030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-1129030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-819785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-819785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-819785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-819785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-819785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-819785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-819785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-819785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-819785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-819785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-819785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-819785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76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24"/>
                <w:szCs w:val="24"/>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(4,540)</w:t>
            </w:r>
          </w:p>
        </w:tc>
        <w:tc>
          <w:tcPr>
            <w:tcW w:w="5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760" w:type="dxa"/>
            <w:vAlign w:val="bottom"/>
          </w:tcPr>
          <w:p>
            <w:pPr>
              <w:spacing w:after="0"/>
              <w:rPr>
                <w:sz w:val="24"/>
                <w:szCs w:val="24"/>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w w:val="93"/>
              </w:rPr>
              <w:t>Net loss accumulated during the development</w:t>
            </w: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stage</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(4,029)</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-2600960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-2600960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-2600960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-2600960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-2600960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-2600960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-2600960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-2600960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-2600960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-2600960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-2600960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-2600960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-2292350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-2292350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-2292350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-2292350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-2292350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-2292350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-2292350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-2292350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-2292350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-2292350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-2292350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-2292350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-2000250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-2000250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-2000250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-2000250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-2000250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-2000250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-2000250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-2000250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-2000250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-2000250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-2000250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-2000250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-1400175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-1400175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-1400175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-1400175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-1400175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-1400175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-1400175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-1400175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-1400175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-1400175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-1400175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-1400175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-1091565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-1091565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-1091565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-1091565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-1091565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-1091565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-1091565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-1091565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-1091565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-1091565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-1091565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-1091565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-800100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-800100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-800100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-800100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-800100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-800100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-800100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-800100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-800100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-800100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-800100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-800100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Wynn Las</w:t>
            </w:r>
          </w:p>
        </w:tc>
        <w:tc>
          <w:tcPr>
            <w:tcW w:w="2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Vegas, LLC</w:t>
            </w:r>
          </w:p>
        </w:tc>
        <w:tc>
          <w:tcPr>
            <w:tcW w:w="20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320" w:type="dxa"/>
            <w:vAlign w:val="bottom"/>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(Gain) / Loss on sale of assets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Facility closure expenses</w:t>
            </w:r>
          </w:p>
        </w:tc>
        <w:tc>
          <w:tcPr>
            <w:tcW w:w="132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3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Net loss accumulated during the</w:t>
            </w: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320" w:type="dxa"/>
            <w:vAlign w:val="bottom"/>
          </w:tcPr>
          <w:p>
            <w:pPr>
              <w:jc w:val="right"/>
              <w:ind w:right="1168"/>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(11,843)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-4436110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-4436110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-4436110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-4436110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-4436110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-4436110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-4436110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-4436110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-4436110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-4436110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-4436110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-4436110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-3836035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-3836035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-3836035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-3836035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-3836035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-3836035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-3836035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-3836035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-3836035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-3836035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-3836035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-3836035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-3526790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-3526790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-3526790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-3526790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-3526790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-3526790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-3526790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-3526790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-3526790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-3526790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-3526790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-3526790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-2309495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-2309495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-2309495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-2309495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-2309495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-2309495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-2309495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-2309495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-2309495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-2309495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-2309495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-2309495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-2000250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-2000250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-2000250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-2000250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-2000250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-2000250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-2000250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-2000250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-2000250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-2000250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-2000250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-2000250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-1708785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-1708785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-1708785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-1708785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-1708785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-1708785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-1708785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-1708785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-1708785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-1708785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-1708785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-1708785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-1108710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-1108710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-1108710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-1108710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-1108710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-1108710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-1108710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-1108710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-1108710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-1108710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-1108710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-1108710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-800100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-800100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-800100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-800100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-800100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-800100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-800100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-800100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-800100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-800100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-800100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-800100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Wynn Resorts,</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Wynn Las</w:t>
            </w: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120" w:type="dxa"/>
            <w:vAlign w:val="bottom"/>
          </w:tcPr>
          <w:p>
            <w:pPr>
              <w:spacing w:after="0"/>
              <w:rPr>
                <w:sz w:val="13"/>
                <w:szCs w:val="13"/>
                <w:color w:val="auto"/>
              </w:rPr>
            </w:pP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131"/>
        </w:trPr>
        <w:tc>
          <w:tcPr>
            <w:tcW w:w="16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Limited</w:t>
            </w:r>
          </w:p>
        </w:tc>
        <w:tc>
          <w:tcPr>
            <w:tcW w:w="12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Guarantors</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Entries</w:t>
            </w:r>
          </w:p>
        </w:tc>
        <w:tc>
          <w:tcPr>
            <w:tcW w:w="12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r>
      <w:tr>
        <w:trPr>
          <w:trHeight w:val="129"/>
        </w:trPr>
        <w:tc>
          <w:tcPr>
            <w:tcW w:w="1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-14605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-108585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-108585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1" w:right="2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3"/>
              </w:rPr>
              <w:t>Net loss accumulated during the development</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stage</w:t>
            </w: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(18,771)</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(4,752)</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accumulated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during the development stage to net cash used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 Loss on sale of fixed assets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(3,731)</w:t>
            </w:r>
          </w:p>
        </w:tc>
        <w:tc>
          <w:tcPr>
            <w:tcW w:w="3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Incidental operations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w w:val="94"/>
              </w:rPr>
              <w:t>Increase (decrease) in cash from changes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(663)</w:t>
            </w:r>
          </w:p>
        </w:tc>
        <w:tc>
          <w:tcPr>
            <w:tcW w:w="3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0"/>
              </w:rPr>
              <w:t>Accounts payable and accrued expenses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5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adjustments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(4,146)</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40" w:type="dxa"/>
            <w:vAlign w:val="bottom"/>
          </w:tcPr>
          <w:p>
            <w:pPr>
              <w:ind w:left="680"/>
              <w:spacing w:after="0"/>
              <w:rPr>
                <w:sz w:val="20"/>
                <w:szCs w:val="20"/>
                <w:color w:val="auto"/>
              </w:rPr>
            </w:pPr>
            <w:r>
              <w:rPr>
                <w:rFonts w:ascii="Arial" w:cs="Arial" w:eastAsia="Arial" w:hAnsi="Arial"/>
                <w:sz w:val="18"/>
                <w:szCs w:val="18"/>
                <w:color w:val="auto"/>
                <w:w w:val="94"/>
              </w:rPr>
              <w:t>Net cash used in operating activities</w:t>
            </w:r>
          </w:p>
        </w:tc>
        <w:tc>
          <w:tcPr>
            <w:tcW w:w="5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(3,353)</w:t>
            </w:r>
          </w:p>
        </w:tc>
        <w:tc>
          <w:tcPr>
            <w:tcW w:w="3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(4,209)</w:t>
            </w:r>
          </w:p>
        </w:tc>
        <w:tc>
          <w:tcPr>
            <w:tcW w:w="3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(2,325)</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w w:val="99"/>
              </w:rPr>
              <w:t>Capital expenditures, net of construction</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payables</w:t>
            </w:r>
          </w:p>
        </w:tc>
        <w:tc>
          <w:tcPr>
            <w:tcW w:w="5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(37,440)</w:t>
            </w: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(37,529)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(586,066)</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(329,570)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915,636</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(3,267)</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Intercompany balances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(2,498)</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(11,292)</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Proceeds from sale of equipment</w:t>
            </w:r>
          </w:p>
        </w:tc>
        <w:tc>
          <w:tcPr>
            <w:tcW w:w="5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5"/>
              </w:rPr>
              <w:t>Net cash used in investing activities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(586,066)</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(5,770)</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(351,697)</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915,636</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(31,272)</w:t>
            </w: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4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contributions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466,197</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(915,637)</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Macau</w:t>
            </w:r>
          </w:p>
        </w:tc>
        <w:tc>
          <w:tcPr>
            <w:tcW w:w="5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financing costs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(6,569)</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459,603</w:t>
            </w: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(915,637)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4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103,697</w:t>
            </w: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5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143,014</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-7232015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-7232015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-7232015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-7232015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-7232015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-7232015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-7232015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-7232015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-7232015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-7232015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-7232015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-7232015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-4847590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-4847590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-4847590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-4847590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-4847590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-4847590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-4847590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-4847590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-4847590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-4847590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-4847590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-4847590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-4538980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-4538980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-4538980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-4538980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-4538980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-4538980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-4538980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-4538980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-4538980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-4538980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-4538980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-4538980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-4230370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-4230370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-4230370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-4230370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-4230370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-4230370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-4230370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-4230370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-4230370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-4230370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-4230370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-4230370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-3046730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-3046730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-3046730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-3046730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-3046730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-3046730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-3046730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-3046730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-3046730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-3046730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-3046730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-3046730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-2738120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-2738120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-2738120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-2738120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-2738120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-2738120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-2738120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-2738120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-2738120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-2738120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-2738120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-2738120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-1828800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-1828800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-1828800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-1828800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-1828800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-1828800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-1828800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-1828800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-1828800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-1828800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-1828800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-1828800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-1400175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-1400175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-1400175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-1400175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-1400175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-1400175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-1400175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-1400175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-1400175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-1400175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-1400175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-1400175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-680085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-680085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-680085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-680085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-680085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-680085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-680085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-680085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-680085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-680085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-680085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-680085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5"/>
              </w:rPr>
              <w:t>Wynn Resorts,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Wynn Las</w:t>
            </w:r>
          </w:p>
        </w:tc>
        <w:tc>
          <w:tcPr>
            <w:tcW w:w="22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Eliminating</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Vegas, LLC</w:t>
            </w:r>
          </w:p>
        </w:tc>
        <w:tc>
          <w:tcPr>
            <w:tcW w:w="22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Guarantors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Entries</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0"/>
              </w:rPr>
              <w:t>Net loss accumulated during the development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stage</w:t>
            </w: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99"/>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(11,843)</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accumulated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88"/>
              </w:rPr>
              <w:t>during the development stage to net cash used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-1274445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-1274445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-1274445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-1274445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-1274445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-1274445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-1274445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-1274445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-1274445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-1274445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-1274445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-1274445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-708660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-708660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-708660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-708660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-708660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-708660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-708660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-708660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-708660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-708660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-708660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-708660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53"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3"/>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(Gain) / Loss on sale of fixed assets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Incidental operations</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Increase (decrease) in cash from changes</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w:t>
            </w: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46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460"/>
              <w:spacing w:after="0"/>
              <w:rPr>
                <w:sz w:val="20"/>
                <w:szCs w:val="20"/>
                <w:color w:val="auto"/>
              </w:rPr>
            </w:pPr>
            <w:r>
              <w:rPr>
                <w:rFonts w:ascii="Arial" w:cs="Arial" w:eastAsia="Arial" w:hAnsi="Arial"/>
                <w:sz w:val="18"/>
                <w:szCs w:val="18"/>
                <w:color w:val="auto"/>
              </w:rPr>
              <w:t>Prepaid expenses and other</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0"/>
              </w:rPr>
              <w:t>Accounts payable and accrued expenses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460" w:type="dxa"/>
            <w:vAlign w:val="bottom"/>
          </w:tcPr>
          <w:p>
            <w:pPr>
              <w:ind w:left="700"/>
              <w:spacing w:after="0"/>
              <w:rPr>
                <w:sz w:val="20"/>
                <w:szCs w:val="20"/>
                <w:color w:val="auto"/>
              </w:rPr>
            </w:pPr>
            <w:r>
              <w:rPr>
                <w:rFonts w:ascii="Arial" w:cs="Arial" w:eastAsia="Arial" w:hAnsi="Arial"/>
                <w:sz w:val="18"/>
                <w:szCs w:val="18"/>
                <w:color w:val="auto"/>
              </w:rPr>
              <w:t>Total adjustments</w:t>
            </w:r>
          </w:p>
        </w:tc>
        <w:tc>
          <w:tcPr>
            <w:tcW w:w="760" w:type="dxa"/>
            <w:vAlign w:val="bottom"/>
          </w:tcPr>
          <w:p>
            <w:pPr>
              <w:spacing w:after="0"/>
              <w:rPr>
                <w:sz w:val="24"/>
                <w:szCs w:val="24"/>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4"/>
              </w:rPr>
              <w:t>Net cash used in operating activities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18"/>
        </w:trPr>
        <w:tc>
          <w:tcPr>
            <w:tcW w:w="34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4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Capital expenditures, net of construction</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payables</w:t>
            </w:r>
          </w:p>
        </w:tc>
        <w:tc>
          <w:tcPr>
            <w:tcW w:w="7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(22,914)</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Intercompany balances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(11,113)</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3460" w:type="dxa"/>
            <w:vAlign w:val="bottom"/>
          </w:tcPr>
          <w:p>
            <w:pPr>
              <w:ind w:left="240"/>
              <w:spacing w:after="0"/>
              <w:rPr>
                <w:sz w:val="20"/>
                <w:szCs w:val="20"/>
                <w:color w:val="auto"/>
              </w:rPr>
            </w:pPr>
            <w:r>
              <w:rPr>
                <w:rFonts w:ascii="Arial" w:cs="Arial" w:eastAsia="Arial" w:hAnsi="Arial"/>
                <w:sz w:val="18"/>
                <w:szCs w:val="18"/>
                <w:color w:val="auto"/>
              </w:rPr>
              <w:t>Proceeds from sale of equipment</w:t>
            </w:r>
          </w:p>
        </w:tc>
        <w:tc>
          <w:tcPr>
            <w:tcW w:w="760" w:type="dxa"/>
            <w:vAlign w:val="bottom"/>
          </w:tcPr>
          <w:p>
            <w:pPr>
              <w:spacing w:after="0"/>
              <w:rPr>
                <w:sz w:val="20"/>
                <w:szCs w:val="20"/>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(33,286)</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0" w:type="dxa"/>
            <w:vAlign w:val="bottom"/>
          </w:tcPr>
          <w:p>
            <w:pPr>
              <w:spacing w:after="0"/>
              <w:rPr>
                <w:sz w:val="1"/>
                <w:szCs w:val="1"/>
                <w:color w:val="auto"/>
              </w:rPr>
            </w:pPr>
          </w:p>
        </w:tc>
      </w:tr>
      <w:tr>
        <w:trPr>
          <w:trHeight w:val="118"/>
        </w:trPr>
        <w:tc>
          <w:tcPr>
            <w:tcW w:w="346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4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contributions</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(10,017)</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Third party fee</w:t>
            </w:r>
          </w:p>
        </w:tc>
        <w:tc>
          <w:tcPr>
            <w:tcW w:w="760" w:type="dxa"/>
            <w:vAlign w:val="bottom"/>
          </w:tcPr>
          <w:p>
            <w:pPr>
              <w:spacing w:after="0"/>
              <w:rPr>
                <w:sz w:val="21"/>
                <w:szCs w:val="21"/>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4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Principal payments of long-term debt</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18"/>
        </w:trPr>
        <w:tc>
          <w:tcPr>
            <w:tcW w:w="3460" w:type="dxa"/>
            <w:vAlign w:val="bottom"/>
            <w:vMerge w:val="restart"/>
          </w:tcPr>
          <w:p>
            <w:pPr>
              <w:ind w:left="460"/>
              <w:spacing w:after="0"/>
              <w:rPr>
                <w:sz w:val="20"/>
                <w:szCs w:val="20"/>
                <w:color w:val="auto"/>
              </w:rPr>
            </w:pPr>
            <w:r>
              <w:rPr>
                <w:rFonts w:ascii="Arial" w:cs="Arial" w:eastAsia="Arial" w:hAnsi="Arial"/>
                <w:sz w:val="18"/>
                <w:szCs w:val="18"/>
                <w:color w:val="auto"/>
              </w:rPr>
              <w:t>Net cash provided by financing</w:t>
            </w: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460"/>
              <w:spacing w:after="0"/>
              <w:rPr>
                <w:sz w:val="20"/>
                <w:szCs w:val="20"/>
                <w:color w:val="auto"/>
              </w:rPr>
            </w:pPr>
            <w:r>
              <w:rPr>
                <w:rFonts w:ascii="Arial" w:cs="Arial" w:eastAsia="Arial" w:hAnsi="Arial"/>
                <w:sz w:val="18"/>
                <w:szCs w:val="18"/>
                <w:color w:val="auto"/>
              </w:rPr>
              <w:t>activities</w:t>
            </w:r>
          </w:p>
        </w:tc>
        <w:tc>
          <w:tcPr>
            <w:tcW w:w="76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(10,017)</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60" w:type="dxa"/>
            <w:vAlign w:val="bottom"/>
          </w:tcPr>
          <w:p>
            <w:pPr>
              <w:ind w:left="240"/>
              <w:spacing w:after="0"/>
              <w:rPr>
                <w:sz w:val="20"/>
                <w:szCs w:val="20"/>
                <w:color w:val="auto"/>
              </w:rPr>
            </w:pPr>
            <w:r>
              <w:rPr>
                <w:rFonts w:ascii="Arial" w:cs="Arial" w:eastAsia="Arial" w:hAnsi="Arial"/>
                <w:sz w:val="18"/>
                <w:szCs w:val="18"/>
                <w:color w:val="auto"/>
              </w:rPr>
              <w:t>Increase (decrease) in cash and cash</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760" w:type="dxa"/>
            <w:vAlign w:val="bottom"/>
          </w:tcPr>
          <w:p>
            <w:pPr>
              <w:spacing w:after="0"/>
              <w:rPr>
                <w:sz w:val="19"/>
                <w:szCs w:val="19"/>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(13,768)</w:t>
            </w: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460" w:type="dxa"/>
            <w:vAlign w:val="bottom"/>
          </w:tcPr>
          <w:p>
            <w:pPr>
              <w:ind w:left="240"/>
              <w:spacing w:after="0"/>
              <w:rPr>
                <w:sz w:val="20"/>
                <w:szCs w:val="20"/>
                <w:color w:val="auto"/>
              </w:rPr>
            </w:pPr>
            <w:r>
              <w:rPr>
                <w:rFonts w:ascii="Arial" w:cs="Arial" w:eastAsia="Arial" w:hAnsi="Arial"/>
                <w:sz w:val="18"/>
                <w:szCs w:val="18"/>
                <w:color w:val="auto"/>
              </w:rPr>
              <w:t>Balance, end of period</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Pr>
          <w:p>
            <w:pPr>
              <w:spacing w:after="0"/>
              <w:rPr>
                <w:sz w:val="24"/>
                <w:szCs w:val="24"/>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50,676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-4950460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-4950460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-4950460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-4950460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-4950460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-4950460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-4950460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-4950460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-4950460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-4950460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-4950460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-4950460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-4641850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-4641850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-4641850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-4641850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-4641850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-4641850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-4641850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-4641850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-4641850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-4641850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-4641850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-4641850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-4333240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-4333240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-4333240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-4333240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-4333240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-4333240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-4333240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-4333240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-4333240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-4333240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-4333240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-4333240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-3166745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-3166745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-3166745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-3166745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-3166745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-3166745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-3166745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-3166745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-3166745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-3166745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-3166745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-3166745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-2858135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-2858135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-2858135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-2858135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-2858135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-2858135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-2858135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-2858135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-2858135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-2858135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-2858135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-2858135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-1965960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-1965960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-1965960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-1965960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-1965960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-1965960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-1965960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-1965960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-1965960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-1965960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-1965960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-1965960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-1537335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-1537335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-1537335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-1537335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-1537335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-1537335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-1537335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-1537335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-1537335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-1537335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-1537335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-1537335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-680085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-680085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-680085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-680085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-680085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-680085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-680085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-680085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-680085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-680085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-680085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-680085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left="212"/>
              <w:spacing w:after="0"/>
              <w:rPr>
                <w:sz w:val="20"/>
                <w:szCs w:val="20"/>
                <w:color w:val="auto"/>
              </w:rPr>
            </w:pPr>
            <w:r>
              <w:rPr>
                <w:rFonts w:ascii="Arial" w:cs="Arial" w:eastAsia="Arial" w:hAnsi="Arial"/>
                <w:sz w:val="14"/>
                <w:szCs w:val="14"/>
                <w:b w:val="1"/>
                <w:bCs w:val="1"/>
                <w:color w:val="auto"/>
                <w:w w:val="85"/>
              </w:rPr>
              <w:t>Wynn Resorts,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Wynn Las</w:t>
            </w:r>
          </w:p>
        </w:tc>
        <w:tc>
          <w:tcPr>
            <w:tcW w:w="1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Limited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Vegas, LLC</w:t>
            </w:r>
          </w:p>
        </w:tc>
        <w:tc>
          <w:tcPr>
            <w:tcW w:w="18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Guarantors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0"/>
              </w:rPr>
              <w:t>Net loss accumulated during the development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stage</w:t>
            </w:r>
          </w:p>
        </w:tc>
        <w:tc>
          <w:tcPr>
            <w:tcW w:w="142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99"/>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(45,508)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(5,479)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4,147</w:t>
            </w: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(49,312)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accumulated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88"/>
              </w:rPr>
              <w:t>during the development stage to net cash used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(3,731)</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Increase (decrease) in cash from changes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-2722245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-2722245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-2722245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-2722245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-2722245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-2722245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-2722245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-2722245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-2722245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-2722245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-2722245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-2722245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-2156460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-2156460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-2156460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-2156460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-2156460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-2156460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-2156460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-2156460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-2156460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-2156460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-2156460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-2156460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2"/>
        </w:trPr>
        <w:tc>
          <w:tcPr>
            <w:tcW w:w="3460" w:type="dxa"/>
            <w:vAlign w:val="bottom"/>
          </w:tcPr>
          <w:p>
            <w:pPr>
              <w:ind w:left="460"/>
              <w:spacing w:after="0"/>
              <w:rPr>
                <w:sz w:val="20"/>
                <w:szCs w:val="20"/>
                <w:color w:val="auto"/>
              </w:rPr>
            </w:pPr>
            <w:r>
              <w:rPr>
                <w:rFonts w:ascii="Arial" w:cs="Arial" w:eastAsia="Arial" w:hAnsi="Arial"/>
                <w:sz w:val="18"/>
                <w:szCs w:val="18"/>
                <w:color w:val="auto"/>
                <w:w w:val="90"/>
              </w:rPr>
              <w:t>Accounts payable and accrued expenses</w:t>
            </w:r>
          </w:p>
        </w:tc>
        <w:tc>
          <w:tcPr>
            <w:tcW w:w="520" w:type="dxa"/>
            <w:vAlign w:val="bottom"/>
          </w:tcPr>
          <w:p>
            <w:pPr>
              <w:spacing w:after="0"/>
              <w:rPr>
                <w:sz w:val="19"/>
                <w:szCs w:val="19"/>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(6,165)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9"/>
        </w:trPr>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Minority interest</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460" w:type="dxa"/>
            <w:vAlign w:val="bottom"/>
          </w:tcPr>
          <w:p>
            <w:pPr>
              <w:ind w:left="700"/>
              <w:spacing w:after="0"/>
              <w:rPr>
                <w:sz w:val="20"/>
                <w:szCs w:val="20"/>
                <w:color w:val="auto"/>
              </w:rPr>
            </w:pPr>
            <w:r>
              <w:rPr>
                <w:rFonts w:ascii="Arial" w:cs="Arial" w:eastAsia="Arial" w:hAnsi="Arial"/>
                <w:sz w:val="18"/>
                <w:szCs w:val="18"/>
                <w:color w:val="auto"/>
              </w:rPr>
              <w:t>Total adjustments</w:t>
            </w:r>
          </w:p>
        </w:tc>
        <w:tc>
          <w:tcPr>
            <w:tcW w:w="520" w:type="dxa"/>
            <w:vAlign w:val="bottom"/>
          </w:tcPr>
          <w:p>
            <w:pPr>
              <w:spacing w:after="0"/>
              <w:rPr>
                <w:sz w:val="24"/>
                <w:szCs w:val="2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(2,173)</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30,590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(4,146)</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4"/>
              </w:rPr>
              <w:t>Net cash used in operating activities</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(14,918)</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(20,953)</w:t>
            </w:r>
          </w:p>
        </w:tc>
        <w:tc>
          <w:tcPr>
            <w:tcW w:w="0" w:type="dxa"/>
            <w:vAlign w:val="bottom"/>
          </w:tcPr>
          <w:p>
            <w:pPr>
              <w:spacing w:after="0"/>
              <w:rPr>
                <w:sz w:val="1"/>
                <w:szCs w:val="1"/>
                <w:color w:val="auto"/>
              </w:rPr>
            </w:pPr>
          </w:p>
        </w:tc>
      </w:tr>
      <w:tr>
        <w:trPr>
          <w:trHeight w:val="118"/>
        </w:trPr>
        <w:tc>
          <w:tcPr>
            <w:tcW w:w="34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Acquisition of Desert Inn Resort and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Casino, net of cash acquired</w:t>
            </w:r>
          </w:p>
        </w:tc>
        <w:tc>
          <w:tcPr>
            <w:tcW w:w="5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(270,718)</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08"/>
        </w:trPr>
        <w:tc>
          <w:tcPr>
            <w:tcW w:w="3460" w:type="dxa"/>
            <w:vAlign w:val="bottom"/>
          </w:tcPr>
          <w:p>
            <w:pPr>
              <w:ind w:left="240"/>
              <w:spacing w:after="0"/>
              <w:rPr>
                <w:sz w:val="20"/>
                <w:szCs w:val="20"/>
                <w:color w:val="auto"/>
              </w:rPr>
            </w:pPr>
            <w:r>
              <w:rPr>
                <w:rFonts w:ascii="Arial" w:cs="Arial" w:eastAsia="Arial" w:hAnsi="Arial"/>
                <w:sz w:val="18"/>
                <w:szCs w:val="18"/>
                <w:color w:val="auto"/>
                <w:w w:val="99"/>
              </w:rPr>
              <w:t>Capital expenditures, net of construction</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color w:val="auto"/>
              </w:rPr>
              <w:t>payables</w:t>
            </w:r>
          </w:p>
        </w:tc>
        <w:tc>
          <w:tcPr>
            <w:tcW w:w="520" w:type="dxa"/>
            <w:vAlign w:val="bottom"/>
          </w:tcPr>
          <w:p>
            <w:pPr>
              <w:spacing w:after="0"/>
              <w:rPr>
                <w:sz w:val="19"/>
                <w:szCs w:val="19"/>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(110,791)</w:t>
            </w: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(12,918)</w:t>
            </w:r>
          </w:p>
        </w:tc>
        <w:tc>
          <w:tcPr>
            <w:tcW w:w="36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(123,717)</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 in subsidiaries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(586,066)</w:t>
            </w:r>
          </w:p>
        </w:tc>
        <w:tc>
          <w:tcPr>
            <w:tcW w:w="2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(329,570)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915,636</w:t>
            </w:r>
          </w:p>
        </w:tc>
        <w:tc>
          <w:tcPr>
            <w:tcW w:w="1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(4,519)</w:t>
            </w:r>
          </w:p>
        </w:tc>
        <w:tc>
          <w:tcPr>
            <w:tcW w:w="3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Intercompany balances</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3460" w:type="dxa"/>
            <w:vAlign w:val="bottom"/>
          </w:tcPr>
          <w:p>
            <w:pPr>
              <w:ind w:left="240"/>
              <w:spacing w:after="0"/>
              <w:rPr>
                <w:sz w:val="20"/>
                <w:szCs w:val="20"/>
                <w:color w:val="auto"/>
              </w:rPr>
            </w:pPr>
            <w:r>
              <w:rPr>
                <w:rFonts w:ascii="Arial" w:cs="Arial" w:eastAsia="Arial" w:hAnsi="Arial"/>
                <w:sz w:val="18"/>
                <w:szCs w:val="18"/>
                <w:color w:val="auto"/>
              </w:rPr>
              <w:t>Proceeds from sale of equipment</w:t>
            </w:r>
          </w:p>
        </w:tc>
        <w:tc>
          <w:tcPr>
            <w:tcW w:w="520" w:type="dxa"/>
            <w:vAlign w:val="bottom"/>
          </w:tcPr>
          <w:p>
            <w:pPr>
              <w:spacing w:after="0"/>
              <w:rPr>
                <w:sz w:val="20"/>
                <w:szCs w:val="20"/>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5"/>
              </w:rPr>
              <w:t>Net cash used in investing activities</w:t>
            </w:r>
          </w:p>
        </w:tc>
        <w:tc>
          <w:tcPr>
            <w:tcW w:w="5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(586,066)</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(4,527)</w:t>
            </w: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(710,386)</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(4,327)</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915,654</w:t>
            </w:r>
          </w:p>
        </w:tc>
        <w:tc>
          <w:tcPr>
            <w:tcW w:w="1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(389,652)</w:t>
            </w:r>
          </w:p>
        </w:tc>
        <w:tc>
          <w:tcPr>
            <w:tcW w:w="0" w:type="dxa"/>
            <w:vAlign w:val="bottom"/>
          </w:tcPr>
          <w:p>
            <w:pPr>
              <w:spacing w:after="0"/>
              <w:rPr>
                <w:sz w:val="1"/>
                <w:szCs w:val="1"/>
                <w:color w:val="auto"/>
              </w:rPr>
            </w:pPr>
          </w:p>
        </w:tc>
      </w:tr>
      <w:tr>
        <w:trPr>
          <w:trHeight w:val="118"/>
        </w:trPr>
        <w:tc>
          <w:tcPr>
            <w:tcW w:w="346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contributions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967,710</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(915,655)</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Equity distributions</w:t>
            </w:r>
          </w:p>
        </w:tc>
        <w:tc>
          <w:tcPr>
            <w:tcW w:w="52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(110,482)</w:t>
            </w: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Third party fee</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Macau</w:t>
            </w:r>
          </w:p>
        </w:tc>
        <w:tc>
          <w:tcPr>
            <w:tcW w:w="52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5"/>
              </w:rPr>
              <w:t>Proceeds from issuance of long-term debt</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40"/>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(125,076)</w:t>
            </w: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(125,076)</w:t>
            </w: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financing costs</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(8,034)</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08"/>
        </w:trPr>
        <w:tc>
          <w:tcPr>
            <w:tcW w:w="3460" w:type="dxa"/>
            <w:vAlign w:val="bottom"/>
          </w:tcPr>
          <w:p>
            <w:pPr>
              <w:ind w:left="240"/>
              <w:spacing w:after="0"/>
              <w:rPr>
                <w:sz w:val="20"/>
                <w:szCs w:val="20"/>
                <w:color w:val="auto"/>
              </w:rPr>
            </w:pPr>
            <w:r>
              <w:rPr>
                <w:rFonts w:ascii="Arial" w:cs="Arial" w:eastAsia="Arial" w:hAnsi="Arial"/>
                <w:sz w:val="18"/>
                <w:szCs w:val="18"/>
                <w:color w:val="auto"/>
                <w:w w:val="99"/>
              </w:rPr>
              <w:t>Proceeds from issuance of related party</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color w:val="auto"/>
              </w:rPr>
              <w:t>loan</w:t>
            </w:r>
          </w:p>
        </w:tc>
        <w:tc>
          <w:tcPr>
            <w:tcW w:w="520" w:type="dxa"/>
            <w:vAlign w:val="bottom"/>
          </w:tcPr>
          <w:p>
            <w:pPr>
              <w:spacing w:after="0"/>
              <w:rPr>
                <w:sz w:val="19"/>
                <w:szCs w:val="19"/>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Principal payments of related party loan</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3460" w:type="dxa"/>
            <w:vAlign w:val="bottom"/>
            <w:vMerge w:val="restart"/>
          </w:tcPr>
          <w:p>
            <w:pPr>
              <w:ind w:left="700"/>
              <w:spacing w:after="0"/>
              <w:rPr>
                <w:sz w:val="20"/>
                <w:szCs w:val="20"/>
                <w:color w:val="auto"/>
              </w:rPr>
            </w:pPr>
            <w:r>
              <w:rPr>
                <w:rFonts w:ascii="Arial" w:cs="Arial" w:eastAsia="Arial" w:hAnsi="Arial"/>
                <w:sz w:val="18"/>
                <w:szCs w:val="18"/>
                <w:color w:val="auto"/>
              </w:rPr>
              <w:t>Net cash provided by financing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70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(915,655)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4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60" w:type="dxa"/>
            <w:vAlign w:val="bottom"/>
          </w:tcPr>
          <w:p>
            <w:pPr>
              <w:ind w:left="240"/>
              <w:spacing w:after="0"/>
              <w:rPr>
                <w:sz w:val="20"/>
                <w:szCs w:val="20"/>
                <w:color w:val="auto"/>
              </w:rPr>
            </w:pPr>
            <w:r>
              <w:rPr>
                <w:rFonts w:ascii="Arial" w:cs="Arial" w:eastAsia="Arial" w:hAnsi="Arial"/>
                <w:sz w:val="18"/>
                <w:szCs w:val="18"/>
                <w:color w:val="auto"/>
              </w:rPr>
              <w:t>Increase (decrease) in cash and cash</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520" w:type="dxa"/>
            <w:vAlign w:val="bottom"/>
          </w:tcPr>
          <w:p>
            <w:pPr>
              <w:spacing w:after="0"/>
              <w:rPr>
                <w:sz w:val="19"/>
                <w:szCs w:val="19"/>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beginning of period</w:t>
            </w:r>
          </w:p>
        </w:tc>
        <w:tc>
          <w:tcPr>
            <w:tcW w:w="5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460" w:type="dxa"/>
            <w:vAlign w:val="bottom"/>
          </w:tcPr>
          <w:p>
            <w:pPr>
              <w:ind w:left="240"/>
              <w:spacing w:after="0"/>
              <w:rPr>
                <w:sz w:val="20"/>
                <w:szCs w:val="20"/>
                <w:color w:val="auto"/>
              </w:rPr>
            </w:pPr>
            <w:r>
              <w:rPr>
                <w:rFonts w:ascii="Arial" w:cs="Arial" w:eastAsia="Arial" w:hAnsi="Arial"/>
                <w:sz w:val="18"/>
                <w:szCs w:val="18"/>
                <w:color w:val="auto"/>
              </w:rPr>
              <w:t>Balance, end of period</w:t>
            </w: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110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143,014</w:t>
            </w:r>
          </w:p>
        </w:tc>
        <w:tc>
          <w:tcPr>
            <w:tcW w:w="1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167,608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-6583680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-6583680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-6583680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-6583680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-6583680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-6583680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-6583680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-6583680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-6583680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-6583680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-6583680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-6583680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-6274435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-6274435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-6274435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-6274435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-6274435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-6274435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-6274435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-6274435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-6274435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-6274435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-6274435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-6274435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-5965825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-5965825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-5965825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-5965825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-5965825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-5965825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-5965825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-5965825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-5965825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-5965825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-5965825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-5965825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-4370705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-4370705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-4370705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-4370705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-4370705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-4370705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-4370705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-4370705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-4370705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-4370705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-4370705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-4370705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-4062095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-4062095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-4062095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-4062095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-4062095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-4062095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-4062095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-4062095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-4062095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-4062095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-4062095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-4062095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-2124075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-2124075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-2124075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-2124075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-2124075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-2124075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-2124075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-2124075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-2124075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-2124075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-2124075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-2124075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-1695450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-1695450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-1695450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-1695450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-1695450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-1695450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-1695450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-1695450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-1695450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-1695450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-1695450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-1695450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-837565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-837565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-837565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-837565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-837565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-837565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-837565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-837565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-837565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-837565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-837565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-837565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OF OPERATIONS (unaudited)</w:t>
      </w:r>
    </w:p>
    <w:p>
      <w:pPr>
        <w:spacing w:after="0" w:line="219"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condensed consolidated financial statements and the notes thereto included in this report. Certain statements in this "Management's Discussion and Analysis of Financial Condition and Results of Operations" are forward-looking statements. See "Forward-Looking Statements" below.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such as statements relating to business development activities, as well as other capital spending, financing sources, the effects of regulation (including gaming and tax regulations), expectations concerning future operations, margins, profitability and competition. Such forward-looking information involves important risks and uncertainties that could significantly affect anticipated results in the future and, accordingly, such results may differ from those expressed in any forward-looking statements made by or on behalf of the Company. These risks and uncertainties include, but are not limited to, those relating to competition, new development and construction activities, dependence on existing management, leverage and debt service (including sensitivity to fluctuations in interest rates), levels of casino spending and vacationing, general domestic or international economic conditions, pending or future legal proceedings, changes in federal or state tax laws or the administration of such laws, changes in gaming laws or regulations (including the legalization of gaming in certain jurisdictions) and application for licenses and approvals under applicable jurisdictional laws and regulations (including gaming laws and regulations). Further information on potential factors which could affect our financial condition, results of operations and business are included in our filings with the Securities and Exchange Commission. Readers are cautioned not to place undue reliance on any forward-looking statements, which speak only as of the date thereof. We undertake no obligation to publicly release any revisions to such forward-looking statements to reflect events or circumstances after the date hereof.</w:t>
      </w:r>
    </w:p>
    <w:p>
      <w:pPr>
        <w:sectPr>
          <w:pgSz w:w="11900" w:h="16838" w:orient="portrait"/>
          <w:cols w:equalWidth="0" w:num="1">
            <w:col w:w="11420"/>
          </w:cols>
          <w:pgMar w:left="240" w:top="131" w:right="239" w:bottom="0" w:gutter="0" w:footer="0" w:header="0"/>
        </w:sectPr>
      </w:pPr>
    </w:p>
    <w:bookmarkStart w:id="18" w:name="page19"/>
    <w:bookmarkEnd w:id="18"/>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September 2002, Wynn Resorts, Limited ("Wynn Resorts") an entity formed in June 2002, became the parent entity of Valvino Lamore, LLC ("Valvino") when all of the members of Valvino contributed 100% of the membership interests in Valvino (210,834 shares) to Wynn Resorts in exchange for 40,000,000 shares of Wynn Resorts common stock. Hereafter, all references to the "Company" refer to Wynn Resorts and its subsidiaries or Valvino and its subsidiaries, as its predecessor company.</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June 2000, the Company acquired the Desert Inn Resort &amp; Casino assets from Starwood Hotels &amp; Resorts Worldwide, Inc. and ceased its operations after approximately ten weeks. The Company has demolished some of the buildings constituting the former Desert Inn Resort &amp; Casino hotel in anticipation of the construction of a new resort casino/hotel project named "Le Rêve". The remaining structures have been and will continue to be utilized as offices at least through the completion of Le Rêve. Since the Company ceased operating the Desert Inn Resort &amp; Casino, our efforts have been devoted principally to the development activities described below with respect to Le Rêve and Wynn Resorts (Macau) S.A.'s ("Wynn Macau") opportunity in the Macau Special Administrative Region of the People's Republic of China ("Macau"). In addition, the financial position and operating results of World Travel, LLC and Las Vegas Jet, LLC which comprise principally the ownership and operation of a corporate aircraft, are included in the Company's financial statements. Moreover, we continue to operate an art gallery displaying works from The Wynn Collection, which consists of artwork from the personal art collection of Stephen A. and Elaine Wynn. Until summer 2002, we also operated the golf course located on the site of the former Desert Inn Resort &amp; Casino. The Company does not expect that its historical operating results will be indicative of future operating results.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60" w:firstLine="341"/>
        <w:spacing w:after="0" w:line="259" w:lineRule="auto"/>
        <w:rPr>
          <w:sz w:val="20"/>
          <w:szCs w:val="20"/>
          <w:color w:val="auto"/>
        </w:rPr>
      </w:pPr>
      <w:r>
        <w:rPr>
          <w:rFonts w:ascii="Arial" w:cs="Arial" w:eastAsia="Arial" w:hAnsi="Arial"/>
          <w:sz w:val="18"/>
          <w:szCs w:val="18"/>
          <w:color w:val="auto"/>
        </w:rPr>
        <w:t>At September 30, 2002, the Company's principal assets included the site of the former Desert Inn Resort &amp; Casino and equity interests in the Company's various subsidiaries, including a majority interest in Wynn Macau, a foreign subsidiary that has entered into a concession agreement with the government of Macau permitting it to conduct gaming operations in Macau.</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Development and Construction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activities have included arranging the design, construction and financing of Le Rêve and applying for certain permits, licenses and approvals necessary for the development and operation of Le Rêve. We plan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 Construction of Le Rêve began with groundbreaking in October 2002. The Company is subject to a number of uncertainties relating to the development of the Le Rêve project, including, but not limited to, the timing of the construction, changes in the guaranteed maximum price contract due to delays or certain other issues and completion guarantees. Construction projects of this nature entail significant risks, and the anticipated costs and construction schedule are based upon budgets, conceptual design documents and schedule estimates. As construction progresses, there is always a possibility that delays and construction change orders may occur.</w:t>
      </w:r>
    </w:p>
    <w:p>
      <w:pPr>
        <w:spacing w:after="0" w:line="172"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have also spent considerable time preparing and presenting to the Macau government a proposal, which ultimately resulted in obtaining a concession to engage in gaming activities in Macau. On June 24, 2002, Wynn Macau entered into a 20-year concession agreement with the government of Macau granting Wynn Macau the right to construct and operate one or more casinos in Macau. The concession agreement obligates Wynn Macau to invest no less than a total of 4 billion patacas (approximately US $500 million at the October 25, 2002 exchange rate of approximately eight Macau patacas to one U.S. dollar) in Macau-related projects by June 26, 2009 and to commence operations of its first permanent casino resort in Macau no later than December 2006. As of September 30, 2002, Wynn Macau, the entity which will own and operate the Company's Macau operations, was majority-owned by the Company through a series of wholly-owned and partially owned domestic and foreign subsidiaries, none of which is a guarantor of the second mortgage notes or the other debt facilities related to Le Rêve.</w:t>
      </w:r>
    </w:p>
    <w:p>
      <w:pPr>
        <w:spacing w:after="0" w:line="172"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is customary for a development stage company the Company has not commenced principal operations and therefore revenues are not significant. Consequently, the Company has incurred losses in each period from inception to September 30, 2002. Management expects these losses to continue until planned principal operations have commenced.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consolidated financial statements of the Company were prepared in conformity with accounting principles generally accepted in the United States of America.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September 30, 2002,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59"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ectPr>
          <w:pgSz w:w="11900" w:h="16892" w:orient="portrait"/>
          <w:cols w:equalWidth="0" w:num="1">
            <w:col w:w="11420"/>
          </w:cols>
          <w:pgMar w:left="240" w:top="125" w:right="239" w:bottom="0" w:gutter="0" w:footer="0" w:header="0"/>
        </w:sectPr>
      </w:pPr>
    </w:p>
    <w:bookmarkStart w:id="19" w:name="page20"/>
    <w:bookmarkEnd w:id="19"/>
    <w:p>
      <w:pPr>
        <w:ind w:left="1080" w:right="1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6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impact on the Company's consolidated financial position or results of operations.</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 does not expect the adoption of SFAS No. 143 to have a material impact on the Company's consolidated financial position or results of operations.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Among other things, this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 material impact on its consolidated financial position or results of operations.</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 material impact 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three months ended September 30, 2002 compared to the three months ended September 30, 2001</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development operations resulted in a net loss for the three months ended September 30, 2002, of approximately $8.2 million, a 81% increase over the net loss for the comparable three months ended September 30, 2001, of approximately $4.5 million.</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Total revenues for the three months ended September 30, 2002, decreased by approximately $43,000, or 17%, compared with the three months ended September 30, 2001. The Company sold its original aircraft in February 2002 and purchased a new aircraft concurrent with the acquisition of World Travel, LLC and Las Vegas Jet, LLC. The new aircraft is not licensed for charter services; consequently, charter revenues have decreased considerably. Offsetting the decrease in aircraft revenues are revenues from the art gallery and the related retail shop, which were opened in November 2001.</w:t>
      </w:r>
    </w:p>
    <w:p>
      <w:pPr>
        <w:spacing w:after="0" w:line="16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Total expenses for the three months ended September 30, 2002 increased approximately $3.6 million, or 68%, as compared to the same period in 2001 primarily due to approximately a $3.1 million increase in pre-opening costs and approximately a $500,000 increase in depreciation expense.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 Depreciation expenses increased primarily due to the addition of the new aircraft discussed above.</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Other income—net for the three months ended September 30, 2002 decreased approximately $154,000, or 30%, from the three months ended September 30, 2001, primarily as a result of an approximate $321,000 increase in interest expenses from 2001 to 2002 offset by a $167,000 increase in interest income in the same periods. Despite lower interest rates during three months ended September 30, 2002 as compared to the comparable period in 2001, the substantial cash increases from capital contributions increased the interest income overall. Increased outstanding debt resulting from the aircraft purchase in May 2002 increased the interest expense.</w:t>
      </w:r>
    </w:p>
    <w:p>
      <w:pPr>
        <w:sectPr>
          <w:pgSz w:w="11900" w:h="16838" w:orient="portrait"/>
          <w:cols w:equalWidth="0" w:num="1">
            <w:col w:w="11400"/>
          </w:cols>
          <w:pgMar w:left="240" w:top="145"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Results of operations for the nine months ended September 30, 2002 compared to the nine months ended September 30, 2001</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Company's development operations resulted in a net loss for the nine months ended September 30, 2002, of approximately $21.0 million, a 64% increase over the net loss of approximately $12.8 million for the comparable nine months ended September 30, 2001.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nine months ended September 30, 2002, were nearly consistent with the nine months ended September 30, 2001. The Company sold its original aircraft in February 2002 and purchased a new aircraft concurrent with the acquisition of World Travel, LLC and Las Vegas Jet, LLC. The new aircraft is not licensed for charter services; consequently, charter revenues have decreased considerably. Offsetting the decrease in aircraft revenues are revenues from the art gallery and the retail shop, which were opened in November 2001.</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Total expenses for the nine months ended September 30, 2002 increased approximately $7.3 million, or 46%, as compared to the same period in 2001 primarily due to approximately a $6.4 million increase in pre-opening costs and approximately $900,000 of increased depreciation expense.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 In addition, depreciation expenses increased primarily due to the addition of the new aircraft in May 2002.</w:t>
      </w:r>
    </w:p>
    <w:p>
      <w:pPr>
        <w:spacing w:after="0" w:line="170"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Other income—net for the nine months ended September 30, 2002 decreased approximately $1.3 million from the nine months ended September 30, 2001, primarily as a result of an approximate $586,000 million decrease in interest income from 2002 to 2001, along with an approximately $760,000 increase in interest expenses. Lower interest income is attributable mainly to lower interest rates during the nine months ended September 30, 2002 as compared to the comparable period in 2001, while increased outstanding debt resulting from the aircraft purchase in May 2002 increased the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or the amount of disposable income available to individuals would not have a material effect on our results of operations, a material decline in the strength of the U.S. economy or the amount of disposable income available to individuals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Since Valvino's (Wynn Resorts' predecessor) inception on April 21, 2000, there have been a number of transactions that have had a significant impact on the Company's liquidity. Our operations have required substantial capital investment for the acquisition of the land on which Le Rêve will be located and development of the project.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Capital Contributions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approximately $220.7 million. On June 15, 2000, Mr. Wynn loaned Valvino $100 million at an interest rate of 7.875% per year.</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in June of 2002, Valvino closed the golf course at the site. Since then, Valvino has been engaged primarily in the development of Le Rêve.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On October 3, 2000, Aruze USA, Inc.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discussed above was</w:t>
      </w:r>
    </w:p>
    <w:p>
      <w:pPr>
        <w:sectPr>
          <w:pgSz w:w="11900" w:h="16838" w:orient="portrait"/>
          <w:cols w:equalWidth="0" w:num="1">
            <w:col w:w="11400"/>
          </w:cols>
          <w:pgMar w:left="240" w:top="131" w:right="259" w:bottom="0" w:gutter="0" w:footer="0" w:header="0"/>
        </w:sectPr>
      </w:pPr>
    </w:p>
    <w:bookmarkStart w:id="21" w:name="page22"/>
    <w:bookmarkEnd w:id="21"/>
    <w:p>
      <w:pPr>
        <w:ind w:right="780"/>
        <w:spacing w:after="0" w:line="268" w:lineRule="auto"/>
        <w:rPr>
          <w:sz w:val="20"/>
          <w:szCs w:val="20"/>
          <w:color w:val="auto"/>
        </w:rPr>
      </w:pPr>
      <w:r>
        <w:rPr>
          <w:rFonts w:ascii="Arial" w:cs="Arial" w:eastAsia="Arial" w:hAnsi="Arial"/>
          <w:sz w:val="18"/>
          <w:szCs w:val="18"/>
          <w:color w:val="auto"/>
        </w:rPr>
        <w:t>repaid in full. The remaining approximately $32.3 million balance of Mr. Wynn's loan, including accrued interest, was converted to equity as a member contribution.</w:t>
      </w:r>
    </w:p>
    <w:p>
      <w:pPr>
        <w:spacing w:after="0" w:line="186"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finders'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20" w:hanging="532"/>
        <w:spacing w:after="0" w:line="287"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Mr. Wynn's right to be reimbursed for approximately $825,000 advanced to Wynn Macau and an additional $8.6 million in cash. Mr. Wynn's 90% interest in Wynn Macau, the principal asset of which was a provisional license to negotiate a concession agreement with the Macau government, had no historical cost basis. This interest was valued at approximately $56 million by the parties to the negotiation of Mr. Wynn's contribution of his interest.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 resulting 47.5% ownership interest in Valvino, after these contributions, reflects the fair value of his investment in Wynn Macau relative to the fair value of the contributions from Aruze USA and Baron Asset Fund;</w:t>
      </w:r>
    </w:p>
    <w:p>
      <w:pPr>
        <w:spacing w:after="0" w:line="203"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Funds: (1) approximately 3.6% of the membership interests in Valvino for the Baron Asset Fund Series, and (2) approximately 1.3% of the membership interests in Valvino for the Baron Growth Fund Series. Neither Mr. Wynn nor Aruze USA increased their relative ownership interests as a result of the April 2002 capital contributions.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 September 24, 2002, all the members of Valvino contributed 100% of the membership interests in Valvino totaling 210,834 shares to the Company in a tax-free exchange for 40,000,000 shares of the Company's common stock, making Valvino and its subsidiaries a wholly-owned subsidiary of the Company.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 financial position and results of operations of Kevyn, LLC are combined with the financial position and results of operations of the Company for all periods presented.</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Accordingly, the assets and liabilities of these entities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w:t>
      </w:r>
    </w:p>
    <w:p>
      <w:pPr>
        <w:spacing w:after="0" w:line="186"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In connection with the anticipated equity and concurrent debt offerings, approximately $6.6 million of legal and professional fees were capitalized as of September 30, 2002. Upon closing the equity and debt financing transactions, these costs are allocated to each transaction. Cost associated with the equity offering will be reclassified to reduce additional paid-in capital, while costs of the debt borrowings will be amortized over the lives of the respective debt instruments using the effective-interest method.</w:t>
      </w:r>
    </w:p>
    <w:p>
      <w:pPr>
        <w:spacing w:after="0" w:line="197" w:lineRule="exact"/>
        <w:rPr>
          <w:sz w:val="20"/>
          <w:szCs w:val="20"/>
          <w:color w:val="auto"/>
        </w:rPr>
      </w:pPr>
    </w:p>
    <w:p>
      <w:pPr>
        <w:ind w:right="500" w:firstLine="341"/>
        <w:spacing w:after="0" w:line="332" w:lineRule="auto"/>
        <w:rPr>
          <w:sz w:val="20"/>
          <w:szCs w:val="20"/>
          <w:color w:val="auto"/>
        </w:rPr>
      </w:pPr>
      <w:r>
        <w:rPr>
          <w:rFonts w:ascii="Arial" w:cs="Arial" w:eastAsia="Arial" w:hAnsi="Arial"/>
          <w:sz w:val="16"/>
          <w:szCs w:val="16"/>
          <w:color w:val="auto"/>
        </w:rPr>
        <w:t>At September 30, 2002, the Company had approximately $167.6 million of cash and cash equivalents, excluding cash restricted to collateralize certain construction insurance claims and sales tax deposits. Cash equivalents are comprised of investments in overnight money market funds.</w:t>
      </w:r>
    </w:p>
    <w:p>
      <w:pPr>
        <w:sectPr>
          <w:pgSz w:w="11900" w:h="16838" w:orient="portrait"/>
          <w:cols w:equalWidth="0" w:num="1">
            <w:col w:w="11420"/>
          </w:cols>
          <w:pgMar w:left="240" w:top="131" w:right="239" w:bottom="53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535"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October 25, 2002, Wynn Resorts completed its initial public offering of 34,615,000 shares of its common stock at a price of $13 per share.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the same price the shares were offered to the public. Total proceeds of approximately $450 million were reduced by underwriting discounts and commissions of approximately $19.5 million for net proceeds to the Company (prior to expenses) of approximately $430.5 million, which will be used to finance construction of Le Rêve.</w:t>
      </w:r>
    </w:p>
    <w:p>
      <w:pPr>
        <w:spacing w:after="0" w:line="198" w:lineRule="exact"/>
        <w:rPr>
          <w:sz w:val="20"/>
          <w:szCs w:val="20"/>
          <w:color w:val="auto"/>
        </w:rPr>
      </w:pPr>
    </w:p>
    <w:p>
      <w:pPr>
        <w:jc w:val="both"/>
        <w:ind w:right="320" w:firstLine="351"/>
        <w:spacing w:after="0" w:line="303" w:lineRule="auto"/>
        <w:rPr>
          <w:sz w:val="20"/>
          <w:szCs w:val="20"/>
          <w:color w:val="auto"/>
        </w:rPr>
      </w:pPr>
      <w:r>
        <w:rPr>
          <w:rFonts w:ascii="Arial" w:cs="Arial" w:eastAsia="Arial" w:hAnsi="Arial"/>
          <w:sz w:val="15"/>
          <w:szCs w:val="15"/>
          <w:color w:val="auto"/>
        </w:rPr>
        <w:t>Concurrent with the initial public offering, two wholly-owned subsidiaries of the Company (Wynn Las Vegas, LLC and Wynn Las Vegas Capital Corp.) issued $370 million aggregate principal amount of 12% second mortgage notes (the "Notes") maturing November 1, 2010 with semi-annual interest payments beginning in May 2003. In addition, Wynn Las Vegas, LLC entered into a $750 million senior secured revolving credit facility (the "Revolver"), and a</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$250 million delay draw senior secured term loan facility (the "Term Loan", and together with the Revolver, the "Credit Facilities"). Wynn Las Vegas, LLC also entered into a $188.5 million FF&amp;E facility (the FF&amp;E Facility") for additional construction and furniture, fixtures and equipment financing for Le Rêve.</w:t>
      </w:r>
    </w:p>
    <w:p>
      <w:pPr>
        <w:spacing w:after="0" w:line="14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Wynn Resorts has fully and unconditionally guaranteed the payment in full of the Credit Facilities, the FF&amp;E Facility and the second mortgage notes on an unsecured basis, but will not be subject to the restrictive covenants in its subsidiaries' debt facilities. Wynn Resorts' domestic and foreign subsidiaries related to the Macau opportunity are not guarantors and will not be subject to the covenants in the Notes or the Credit Facilities. In addition, a $30.0 million liquidity reserve account has been established and a special purpose subsidiary of Wynn Las Vegas, LLC has been capitalized with $50 million of the equity proceeds and provides a completion guarantee in favor of the lenders under the Credit Facilities and the Notes to secure completion of Le Rêve. After completion of Le Rêve, any remaining amounts will be released to the Company.</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November 2002, the Company withdrew $38.0 million against the FF&amp;E Facility to repay the note payable secured by the aircraft acquired in connection with the acquisition of World Travel, LLC. The unused portion of the draw will be used for construction of Le Rêve.</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With respect to the various financing sources with the exception of the FF&amp;E Facility, which may be drawn at any time, the Company is required to utilize the proceeds in a specific sequence. The equity proceeds must be used prior to the proceeds from the Notes. Both must be utilized before the Credit Facilities are drawn, and the Term Loan must be utilized prior to the Revolver. In addition, a substantial portion of the Company's expenditures are subject to review by a disbursement agent appointed by the lenders under the Credit Facilities and the lenders under the FF&amp;E Facility.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 to market risk is interest rate risk associated with the Revolver, the Term Loan facility and the FF&amp;E Facility, each of which bear interest based on floating rates. We will attempt to manage interest rate risk by managing the mix of long-term fixed rate borrowings and variable rate borrowings. We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Foreign Currency Risks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are not affected by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60" w:firstLine="348"/>
        <w:spacing w:after="0" w:line="305" w:lineRule="auto"/>
        <w:rPr>
          <w:sz w:val="20"/>
          <w:szCs w:val="20"/>
          <w:color w:val="auto"/>
        </w:rPr>
      </w:pPr>
      <w:r>
        <w:rPr>
          <w:rFonts w:ascii="Arial" w:cs="Arial" w:eastAsia="Arial" w:hAnsi="Arial"/>
          <w:sz w:val="15"/>
          <w:szCs w:val="15"/>
          <w:color w:val="auto"/>
        </w:rPr>
        <w:t>The Company's Chief Executive Officer and Chief Financial Officer, have evaluated the effectiveness of the Company's disclosure controls and procedures (as such term is defined in Rules 13a-14(c) and 15d-14(c) under the Securities Exchange Act of 1934, as amended (the "Exchange Act")), as of a date within</w:t>
      </w:r>
    </w:p>
    <w:p>
      <w:pPr>
        <w:ind w:right="160"/>
        <w:spacing w:after="0" w:line="302" w:lineRule="auto"/>
        <w:rPr>
          <w:sz w:val="20"/>
          <w:szCs w:val="20"/>
          <w:color w:val="auto"/>
        </w:rPr>
      </w:pPr>
      <w:r>
        <w:rPr>
          <w:rFonts w:ascii="Arial" w:cs="Arial" w:eastAsia="Arial" w:hAnsi="Arial"/>
          <w:sz w:val="16"/>
          <w:szCs w:val="16"/>
          <w:color w:val="auto"/>
        </w:rPr>
        <w:t>90 days prior to the filing date of this quarterly report (the "Evaluation Date"). Based on such evaluation, such officers have concluded that, as of the Evaluation Date, the Company's disclosure controls and procedures are effective in alerting them on a timely basis to material information relating to the Company (including its consolidated subsidiaries) required to be included in the Company's periodic filings under the Exchange Act.</w:t>
      </w:r>
    </w:p>
    <w:p>
      <w:pPr>
        <w:sectPr>
          <w:pgSz w:w="11900" w:h="16838" w:orient="portrait"/>
          <w:cols w:equalWidth="0" w:num="1">
            <w:col w:w="11420"/>
          </w:cols>
          <w:pgMar w:left="240" w:top="131"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Internal Controls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Since the Evaluation Date, there have not been any significant changes in the Company's internal controls or in other factors that could significantly affect such controls.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Limited and our subsidiaries are defendants in various lawsuits relating to routine matters incidental to our business. As with all litigation, no assurance can be provided as to the outcome of the following matters and litigation inherently involves significant costs.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Valvino Lamore, LLC, a wholly-owned subsidiary of Wynn Resorts, Limited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Valvino has filed counterclaims seeking damages based upon a number of legal theories, including abuse of process.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which now own the golf course land and several of the residential lots, have been substituted into the original action as defendants and counterclaimants.</w:t>
      </w:r>
    </w:p>
    <w:p>
      <w:pPr>
        <w:spacing w:after="0" w:line="17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public records to warn all persons that the title to certain property is in litigation and that the effect of such litigation will be binding on the owner of the property.</w:t>
      </w:r>
    </w:p>
    <w:p>
      <w:pPr>
        <w:spacing w:after="0" w:line="24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Discovery in this case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more fully described in Part I of this Quarterly Report, several significant events have taken place subsequent to September 30, 2002. Some of these items are briefly described below.</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On October 25, 2002, Wynn Resorts, Limited completed an initial public offering of 34,615,000 shares of its common stock providing approximately $430.5 million in net proceeds. A 3,219,173 share over-allotment option exercised by the underwriters to the initial public offering provided approximately another $38.9 million.</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Concurrent with the initial public offering, Wynn Las Vegas, LLC and Wynn Las Vegas Capital Corp., two wholly-owned subsidiaries of Wynn Resorts, Limited, issued $370.0 million in 12% second mortgage notes due 2010, and entered into agreements for a revolving credit facility, a term loan facility and a FF&amp;E facility. The second mortgage notes provided approximately $343.3 million in net proceeds and the credit facilities made another $1,188.5 million available for anticipated construction costs in completing Le Rêve. Wynn Resorts, Limited and several subsidiaries guarantee the second mortgage notes and the credit facilities, which contain several affirmative and negative covenants required to be maintained. In November 2002, Wynn Resorts, Limited withdrew</w:t>
      </w:r>
    </w:p>
    <w:p>
      <w:pPr>
        <w:sectPr>
          <w:pgSz w:w="11900" w:h="16838" w:orient="portrait"/>
          <w:cols w:equalWidth="0" w:num="1">
            <w:col w:w="11420"/>
          </w:cols>
          <w:pgMar w:left="240" w:top="131" w:right="239" w:bottom="0" w:gutter="0" w:footer="0" w:header="0"/>
        </w:sectPr>
      </w:pPr>
    </w:p>
    <w:bookmarkStart w:id="24" w:name="page25"/>
    <w:bookmarkEnd w:id="24"/>
    <w:p>
      <w:pPr>
        <w:ind w:right="340"/>
        <w:spacing w:after="0" w:line="268" w:lineRule="auto"/>
        <w:rPr>
          <w:sz w:val="20"/>
          <w:szCs w:val="20"/>
          <w:color w:val="auto"/>
        </w:rPr>
      </w:pPr>
      <w:r>
        <w:rPr>
          <w:rFonts w:ascii="Arial" w:cs="Arial" w:eastAsia="Arial" w:hAnsi="Arial"/>
          <w:sz w:val="18"/>
          <w:szCs w:val="18"/>
          <w:color w:val="auto"/>
        </w:rPr>
        <w:t>approximately $38.0 million under the FF&amp;E facility to repay the note payable secured by the aircraft acquired in the World Travel, LLC acquisition and for upcoming Le Rêve construction.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Shortly after closing the financing transactions above, Wynn Resorts, Limited broke ground for the construction of Le Rêve.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45"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3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3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87375"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5873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81280</wp:posOffset>
            </wp:positionV>
            <wp:extent cx="645287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280" w:space="720"/>
            <w:col w:w="5340"/>
          </w:cols>
          <w:pgMar w:left="240" w:top="131" w:right="319" w:bottom="0" w:gutter="0" w:footer="0" w:header="0"/>
          <w:type w:val="continuous"/>
        </w:sectPr>
      </w:pPr>
    </w:p>
    <w:p>
      <w:pPr>
        <w:spacing w:after="0" w:line="22"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Incorporation of the Registrant.(4)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 as amended.(6)</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2002 Stock Incentive Plan.(1)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Agreement between Wynn Design &amp; Development, LLC and Butler/Ashworth Architects, Inc.(4)</w:t>
      </w:r>
    </w:p>
    <w:p>
      <w:pPr>
        <w:spacing w:after="0" w:line="9" w:lineRule="exact"/>
        <w:rPr>
          <w:sz w:val="20"/>
          <w:szCs w:val="20"/>
          <w:color w:val="auto"/>
        </w:rPr>
      </w:pPr>
    </w:p>
    <w:p>
      <w:pPr>
        <w:ind w:left="1260" w:right="540" w:hanging="644"/>
        <w:spacing w:after="0" w:line="250" w:lineRule="auto"/>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Agreement for Guaranteed Maximum Price Construction Services Change Order, dated as of August 12, 2002, between Marnell Corrao Associates, Inc. and Wynn Las Vegas, LLC.(2)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320" w:hanging="644"/>
        <w:spacing w:after="0" w:line="261" w:lineRule="auto"/>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Art Rental and Licensing Agreement, dated August 19, 2002, by and between Stephen A. Wynn and Wynn Resorts Holdings, LLC.(4)</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260" w:right="100" w:hanging="644"/>
        <w:spacing w:after="0" w:line="254" w:lineRule="auto"/>
        <w:tabs>
          <w:tab w:leader="none" w:pos="1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Amended and Restated Art Rental and Licensing Agreement, dated September 18, 2002, by and between Stephen A. Wynn and Wynn Resorts Holdings, LLC.(4)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Employment Agreement, dated as of September 6, 2002, by and between Wynn Resorts, Limited and Marc H. Rubinstein.(3)</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Employment Agreement, dated as of September 9, 2002, by and between Resorts, Limited and John Strzemp.(3)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Employment Agreement, dated as of September 18, 2002, by and between Wynn Design &amp; Development, LLC and Kenneth R. Wynn.(4)</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Employment Agreement, dated as of September 26, 2002, by and between Wynn Design &amp; Development, LLC and DeRuyter O. Butler.(4)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1260" w:right="180" w:hanging="732"/>
        <w:spacing w:after="0" w:line="250" w:lineRule="auto"/>
        <w:tabs>
          <w:tab w:leader="none" w:pos="12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 on behalf of the Baron Asset Fund Series, Baron Asset Fund on behalf of the Baron Growth Fund Series, Kenneth R. Wynn Family Trust dated February 20, 1985, Valvino Lamore, LLC and Wynn Resorts, Limited.(4)</w:t>
      </w:r>
    </w:p>
    <w:p>
      <w:pPr>
        <w:spacing w:after="0" w:line="1" w:lineRule="exact"/>
        <w:rPr>
          <w:sz w:val="20"/>
          <w:szCs w:val="20"/>
          <w:color w:val="auto"/>
        </w:rPr>
      </w:pPr>
    </w:p>
    <w:p>
      <w:pPr>
        <w:ind w:left="1260" w:right="260" w:hanging="725"/>
        <w:spacing w:after="0" w:line="250" w:lineRule="auto"/>
        <w:tabs>
          <w:tab w:leader="none" w:pos="12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Deed of Trust, Assignment of Rents and Leases, Security Agreement and Fixture Filing, dated as of July 2, 2002, made by Valvino Lamore, LLC in favor of Deutsche Bank Trust Company Americas, as administrative agent.(1)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200" w:hanging="732"/>
        <w:spacing w:after="0" w:line="250" w:lineRule="auto"/>
        <w:tabs>
          <w:tab w:leader="none" w:pos="12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Deed of Trust, Assignment of Rents and Leases, Security Agreement and Fixture Filing, dated as of July 2, 2002, made by Wynn Las Vegas, LLC in favor of Deutsche Bank Trust Company Americas, as administrative agent.(1)</w:t>
      </w:r>
    </w:p>
    <w:p>
      <w:pPr>
        <w:spacing w:after="0" w:line="1" w:lineRule="exact"/>
        <w:rPr>
          <w:sz w:val="20"/>
          <w:szCs w:val="20"/>
          <w:color w:val="auto"/>
        </w:rPr>
      </w:pPr>
    </w:p>
    <w:p>
      <w:pPr>
        <w:ind w:left="1260" w:right="100" w:hanging="732"/>
        <w:spacing w:after="0" w:line="250" w:lineRule="auto"/>
        <w:tabs>
          <w:tab w:leader="none" w:pos="12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Deed of Trust, Assignment of Rents and Leases, Security Agreement and Fixture Filing, dated as of July 2, 2002, made by Palo, LLC in favor of Deutsche Bank Trust Company Americas, as administrative agent.(1)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440" w:hanging="732"/>
        <w:spacing w:after="0" w:line="250" w:lineRule="auto"/>
        <w:tabs>
          <w:tab w:leader="none" w:pos="12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Deed of Trust, Assignment of Rents and Leases, Security Agreement and Fixture Filing, dated as of July 2, 2002, made by Wynn Resorts Holdings, LLC in favor of Deutsche Bank Trust Company Americas, as administrative agent.(1)</w:t>
      </w:r>
    </w:p>
    <w:p>
      <w:pPr>
        <w:spacing w:after="0" w:line="1"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18, 2002.</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1 to the Form S-1 filed by the Registrant on August 20, 2002 (File No. 333-90600).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3 to the Form S-1 filed by the Registrant on September 18, 2002 (File No. 333-90600).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7 to the Form S-1 filed by the Registrant on October 23, 2002 (File No. 333-90600).</w:t>
      </w:r>
    </w:p>
    <w:p>
      <w:pPr>
        <w:spacing w:after="0" w:line="252"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Current Bylaws of the Registrant, initially filed as Fourth Amended and Restated Bylaws with Amendment No. 8 to the Form S-1 filed by the Registrant on October 24, 2002, filed (in accordance with Item 601 of Regulation S-K) as amended by the Registrant on October 22, 2002.</w:t>
      </w:r>
    </w:p>
    <w:p>
      <w:pPr>
        <w:spacing w:after="0" w:line="368"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did not file any reports on Form 8-K during the three months ended September 30, 2002.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31" w:right="319" w:bottom="0" w:gutter="0" w:footer="0" w:header="0"/>
          <w:type w:val="continuous"/>
        </w:sectPr>
      </w:pPr>
    </w:p>
    <w:bookmarkStart w:id="25" w:name="page26"/>
    <w:bookmarkEnd w:id="25"/>
    <w:p>
      <w:pPr>
        <w:ind w:left="59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December 9, 2002</w:t>
      </w:r>
      <w:r>
        <w:rPr>
          <w:sz w:val="20"/>
          <w:szCs w:val="20"/>
          <w:color w:val="auto"/>
        </w:rPr>
        <w:tab/>
      </w:r>
      <w:r>
        <w:rPr>
          <w:rFonts w:ascii="Arial" w:cs="Arial" w:eastAsia="Arial" w:hAnsi="Arial"/>
          <w:sz w:val="16"/>
          <w:szCs w:val="16"/>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23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252" w:lineRule="exact"/>
        <w:rPr>
          <w:rFonts w:ascii="Arial" w:cs="Arial" w:eastAsia="Arial" w:hAnsi="Arial"/>
          <w:sz w:val="18"/>
          <w:szCs w:val="18"/>
          <w:color w:val="auto"/>
        </w:rPr>
      </w:pPr>
    </w:p>
    <w:p>
      <w:pPr>
        <w:ind w:left="540" w:right="220" w:hanging="532"/>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7" w:lineRule="exact"/>
        <w:rPr>
          <w:rFonts w:ascii="Arial" w:cs="Arial" w:eastAsia="Arial" w:hAnsi="Arial"/>
          <w:sz w:val="18"/>
          <w:szCs w:val="18"/>
          <w:color w:val="auto"/>
        </w:rPr>
      </w:pPr>
    </w:p>
    <w:p>
      <w:pPr>
        <w:ind w:left="540" w:right="18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30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December 9, 2002</w:t>
      </w:r>
      <w:r>
        <w:rPr>
          <w:sz w:val="20"/>
          <w:szCs w:val="20"/>
          <w:color w:val="auto"/>
        </w:rPr>
        <w:tab/>
      </w:r>
      <w:r>
        <w:rPr>
          <w:rFonts w:ascii="Arial" w:cs="Arial" w:eastAsia="Arial" w:hAnsi="Arial"/>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ectPr>
          <w:pgSz w:w="11900" w:h="16838" w:orient="portrait"/>
          <w:cols w:equalWidth="0" w:num="1">
            <w:col w:w="11400"/>
          </w:cols>
          <w:pgMar w:left="240" w:top="131" w:right="25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I, John Strzemp, certify that:</w:t>
      </w:r>
    </w:p>
    <w:p>
      <w:pPr>
        <w:spacing w:after="0" w:line="23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252" w:lineRule="exact"/>
        <w:rPr>
          <w:rFonts w:ascii="Arial" w:cs="Arial" w:eastAsia="Arial" w:hAnsi="Arial"/>
          <w:sz w:val="18"/>
          <w:szCs w:val="18"/>
          <w:color w:val="auto"/>
        </w:rPr>
      </w:pPr>
    </w:p>
    <w:p>
      <w:pPr>
        <w:ind w:left="540" w:right="22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7" w:lineRule="exact"/>
        <w:rPr>
          <w:rFonts w:ascii="Arial" w:cs="Arial" w:eastAsia="Arial" w:hAnsi="Arial"/>
          <w:sz w:val="18"/>
          <w:szCs w:val="18"/>
          <w:color w:val="auto"/>
        </w:rPr>
      </w:pPr>
    </w:p>
    <w:p>
      <w:pPr>
        <w:ind w:left="540" w:right="18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300" w:hanging="532"/>
        <w:spacing w:after="0" w:line="332"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December 9, 2002</w:t>
      </w:r>
      <w:r>
        <w:rPr>
          <w:sz w:val="20"/>
          <w:szCs w:val="20"/>
          <w:color w:val="auto"/>
        </w:rPr>
        <w:tab/>
      </w:r>
      <w:r>
        <w:rPr>
          <w:rFonts w:ascii="Arial" w:cs="Arial" w:eastAsia="Arial" w:hAnsi="Arial"/>
          <w:sz w:val="16"/>
          <w:szCs w:val="16"/>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INDEX</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I—FINANCIAL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MANAGEMENT'S DISCUSSION AND ANALYSIS OF FINANCIAL CONDITION AND RESULTS OF OPERATIONS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 Quantitative and Qualitative Disclosure About Market Risk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 Controls and Procedures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PART II—OTHER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 Legal Proceedings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5. Other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6. Exhibits and Reports on Form 8-K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w:t>
        </w:r>
      </w:hyperlink>
    </w:p>
    <w:p>
      <w:pPr>
        <w:sectPr>
          <w:pgSz w:w="11900" w:h="16838" w:orient="portrait"/>
          <w:cols w:equalWidth="0" w:num="1">
            <w:col w:w="11400"/>
          </w:cols>
          <w:pgMar w:left="240" w:top="131" w:right="259" w:bottom="276" w:gutter="0" w:footer="0" w:header="0"/>
        </w:sectPr>
      </w:pPr>
    </w:p>
    <w:bookmarkStart w:id="27" w:name="page28"/>
    <w:bookmarkEnd w:id="27"/>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Arial" w:cs="Arial" w:eastAsia="Arial" w:hAnsi="Arial"/>
          <w:sz w:val="24"/>
          <w:szCs w:val="24"/>
          <w:b w:val="1"/>
          <w:bCs w:val="1"/>
          <w:color w:val="auto"/>
        </w:rPr>
        <w:t>THIRD AMENDED AND RESTATED BYLAWS</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24"/>
          <w:szCs w:val="24"/>
          <w:b w:val="1"/>
          <w:bCs w:val="1"/>
          <w:color w:val="auto"/>
        </w:rPr>
        <w:t>EFFECTIVE AS OF</w:t>
      </w:r>
    </w:p>
    <w:p>
      <w:pPr>
        <w:spacing w:after="0" w:line="8" w:lineRule="exact"/>
        <w:rPr>
          <w:sz w:val="20"/>
          <w:szCs w:val="20"/>
          <w:color w:val="auto"/>
        </w:rPr>
      </w:pPr>
    </w:p>
    <w:p>
      <w:pPr>
        <w:ind w:left="4480"/>
        <w:spacing w:after="0"/>
        <w:rPr>
          <w:sz w:val="20"/>
          <w:szCs w:val="20"/>
          <w:color w:val="auto"/>
        </w:rPr>
      </w:pPr>
      <w:r>
        <w:rPr>
          <w:rFonts w:ascii="Arial" w:cs="Arial" w:eastAsia="Arial" w:hAnsi="Arial"/>
          <w:sz w:val="24"/>
          <w:szCs w:val="24"/>
          <w:b w:val="1"/>
          <w:bCs w:val="1"/>
          <w:color w:val="auto"/>
        </w:rPr>
        <w:t>SEPTEMBER 23, 2002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21,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Page</w:t>
            </w:r>
          </w:p>
        </w:tc>
      </w:tr>
      <w:tr>
        <w:trPr>
          <w:trHeight w:val="105"/>
        </w:trPr>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5"/>
        </w:trPr>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432"/>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OFFICES</w:t>
            </w:r>
          </w:p>
        </w:tc>
        <w:tc>
          <w:tcPr>
            <w:tcW w:w="84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1.1</w:t>
            </w:r>
          </w:p>
        </w:tc>
        <w:tc>
          <w:tcPr>
            <w:tcW w:w="8440" w:type="dxa"/>
            <w:vAlign w:val="bottom"/>
          </w:tcPr>
          <w:p>
            <w:pPr>
              <w:ind w:left="100"/>
              <w:spacing w:after="0"/>
              <w:rPr>
                <w:sz w:val="20"/>
                <w:szCs w:val="20"/>
                <w:color w:val="auto"/>
              </w:rPr>
            </w:pPr>
            <w:r>
              <w:rPr>
                <w:rFonts w:ascii="Arial" w:cs="Arial" w:eastAsia="Arial" w:hAnsi="Arial"/>
                <w:sz w:val="18"/>
                <w:szCs w:val="18"/>
                <w:color w:val="auto"/>
              </w:rPr>
              <w:t>Principal Office.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1.2</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Offices.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431"/>
        </w:trPr>
        <w:tc>
          <w:tcPr>
            <w:tcW w:w="1080" w:type="dxa"/>
            <w:vAlign w:val="bottom"/>
          </w:tcPr>
          <w:p>
            <w:pPr>
              <w:spacing w:after="0"/>
              <w:rPr>
                <w:sz w:val="20"/>
                <w:szCs w:val="20"/>
                <w:color w:val="auto"/>
              </w:rPr>
            </w:pPr>
            <w:r>
              <w:rPr>
                <w:rFonts w:ascii="Arial" w:cs="Arial" w:eastAsia="Arial" w:hAnsi="Arial"/>
                <w:sz w:val="18"/>
                <w:szCs w:val="18"/>
                <w:color w:val="auto"/>
              </w:rPr>
              <w:t>ARTICLE II</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7"/>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2.1</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Annual Meeting.</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2.2</w:t>
            </w:r>
          </w:p>
        </w:tc>
        <w:tc>
          <w:tcPr>
            <w:tcW w:w="84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2.3</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Place of Meetings.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2.4</w:t>
            </w:r>
          </w:p>
        </w:tc>
        <w:tc>
          <w:tcPr>
            <w:tcW w:w="8440" w:type="dxa"/>
            <w:vAlign w:val="bottom"/>
          </w:tcPr>
          <w:p>
            <w:pPr>
              <w:ind w:left="100"/>
              <w:spacing w:after="0"/>
              <w:rPr>
                <w:sz w:val="20"/>
                <w:szCs w:val="20"/>
                <w:color w:val="auto"/>
              </w:rPr>
            </w:pPr>
            <w:r>
              <w:rPr>
                <w:rFonts w:ascii="Arial" w:cs="Arial" w:eastAsia="Arial" w:hAnsi="Arial"/>
                <w:sz w:val="18"/>
                <w:szCs w:val="18"/>
                <w:color w:val="auto"/>
              </w:rPr>
              <w:t>Notice of Meetings; Waiver of Notice.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2.5</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Determination of Stockholders of Record.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2.6</w:t>
            </w:r>
          </w:p>
        </w:tc>
        <w:tc>
          <w:tcPr>
            <w:tcW w:w="8440" w:type="dxa"/>
            <w:vAlign w:val="bottom"/>
          </w:tcPr>
          <w:p>
            <w:pPr>
              <w:ind w:left="100"/>
              <w:spacing w:after="0"/>
              <w:rPr>
                <w:sz w:val="20"/>
                <w:szCs w:val="20"/>
                <w:color w:val="auto"/>
              </w:rPr>
            </w:pPr>
            <w:r>
              <w:rPr>
                <w:rFonts w:ascii="Arial" w:cs="Arial" w:eastAsia="Arial" w:hAnsi="Arial"/>
                <w:sz w:val="18"/>
                <w:szCs w:val="18"/>
                <w:color w:val="auto"/>
              </w:rPr>
              <w:t>Quorum; Adjourned Meetings.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2.7</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Voting.</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2.8</w:t>
            </w:r>
          </w:p>
        </w:tc>
        <w:tc>
          <w:tcPr>
            <w:tcW w:w="8440" w:type="dxa"/>
            <w:vAlign w:val="bottom"/>
          </w:tcPr>
          <w:p>
            <w:pPr>
              <w:ind w:left="100"/>
              <w:spacing w:after="0"/>
              <w:rPr>
                <w:sz w:val="20"/>
                <w:szCs w:val="20"/>
                <w:color w:val="auto"/>
              </w:rPr>
            </w:pPr>
            <w:r>
              <w:rPr>
                <w:rFonts w:ascii="Arial" w:cs="Arial" w:eastAsia="Arial" w:hAnsi="Arial"/>
                <w:sz w:val="18"/>
                <w:szCs w:val="18"/>
                <w:color w:val="auto"/>
              </w:rPr>
              <w:t>Proxies.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2.9</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Action Without A Meeting.</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2.10</w:t>
            </w:r>
          </w:p>
        </w:tc>
        <w:tc>
          <w:tcPr>
            <w:tcW w:w="844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2.11</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Absentees' Consent to Meetings.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2.12</w:t>
            </w:r>
          </w:p>
        </w:tc>
        <w:tc>
          <w:tcPr>
            <w:tcW w:w="8440" w:type="dxa"/>
            <w:vAlign w:val="bottom"/>
          </w:tcPr>
          <w:p>
            <w:pPr>
              <w:ind w:left="100"/>
              <w:spacing w:after="0"/>
              <w:rPr>
                <w:sz w:val="20"/>
                <w:szCs w:val="20"/>
                <w:color w:val="auto"/>
              </w:rPr>
            </w:pPr>
            <w:r>
              <w:rPr>
                <w:rFonts w:ascii="Arial" w:cs="Arial" w:eastAsia="Arial" w:hAnsi="Arial"/>
                <w:sz w:val="18"/>
                <w:szCs w:val="18"/>
                <w:color w:val="auto"/>
              </w:rPr>
              <w:t>Director Nominations.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2.13</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 Notice of Stockholder Proposals and Director Nominations by Stockholders.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31"/>
        </w:trPr>
        <w:tc>
          <w:tcPr>
            <w:tcW w:w="1080" w:type="dxa"/>
            <w:vAlign w:val="bottom"/>
          </w:tcPr>
          <w:p>
            <w:pPr>
              <w:spacing w:after="0"/>
              <w:rPr>
                <w:sz w:val="20"/>
                <w:szCs w:val="20"/>
                <w:color w:val="auto"/>
              </w:rPr>
            </w:pPr>
            <w:r>
              <w:rPr>
                <w:rFonts w:ascii="Arial" w:cs="Arial" w:eastAsia="Arial" w:hAnsi="Arial"/>
                <w:sz w:val="18"/>
                <w:szCs w:val="18"/>
                <w:color w:val="auto"/>
              </w:rPr>
              <w:t>ARTICLE III</w:t>
            </w:r>
          </w:p>
        </w:tc>
        <w:tc>
          <w:tcPr>
            <w:tcW w:w="132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84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7"/>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Powers; Performance of Duties.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3.2</w:t>
            </w:r>
          </w:p>
        </w:tc>
        <w:tc>
          <w:tcPr>
            <w:tcW w:w="8440" w:type="dxa"/>
            <w:vAlign w:val="bottom"/>
          </w:tcPr>
          <w:p>
            <w:pPr>
              <w:ind w:left="100"/>
              <w:spacing w:after="0"/>
              <w:rPr>
                <w:sz w:val="20"/>
                <w:szCs w:val="20"/>
                <w:color w:val="auto"/>
              </w:rPr>
            </w:pPr>
            <w:r>
              <w:rPr>
                <w:rFonts w:ascii="Arial" w:cs="Arial" w:eastAsia="Arial" w:hAnsi="Arial"/>
                <w:sz w:val="18"/>
                <w:szCs w:val="18"/>
                <w:color w:val="auto"/>
              </w:rPr>
              <w:t>Number, Tenure, and Qualifications.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3.3</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Chairman of the Board.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3.4</w:t>
            </w:r>
          </w:p>
        </w:tc>
        <w:tc>
          <w:tcPr>
            <w:tcW w:w="8440" w:type="dxa"/>
            <w:vAlign w:val="bottom"/>
          </w:tcPr>
          <w:p>
            <w:pPr>
              <w:ind w:left="100"/>
              <w:spacing w:after="0"/>
              <w:rPr>
                <w:sz w:val="20"/>
                <w:szCs w:val="20"/>
                <w:color w:val="auto"/>
              </w:rPr>
            </w:pPr>
            <w:r>
              <w:rPr>
                <w:rFonts w:ascii="Arial" w:cs="Arial" w:eastAsia="Arial" w:hAnsi="Arial"/>
                <w:sz w:val="18"/>
                <w:szCs w:val="18"/>
                <w:color w:val="auto"/>
              </w:rPr>
              <w:t>Vice-Chairman of the Board.</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3.5</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Classification and Elections.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3.6</w:t>
            </w:r>
          </w:p>
        </w:tc>
        <w:tc>
          <w:tcPr>
            <w:tcW w:w="8440" w:type="dxa"/>
            <w:vAlign w:val="bottom"/>
          </w:tcPr>
          <w:p>
            <w:pPr>
              <w:ind w:left="100"/>
              <w:spacing w:after="0"/>
              <w:rPr>
                <w:sz w:val="20"/>
                <w:szCs w:val="20"/>
                <w:color w:val="auto"/>
              </w:rPr>
            </w:pPr>
            <w:r>
              <w:rPr>
                <w:rFonts w:ascii="Arial" w:cs="Arial" w:eastAsia="Arial" w:hAnsi="Arial"/>
                <w:sz w:val="18"/>
                <w:szCs w:val="18"/>
                <w:color w:val="auto"/>
              </w:rPr>
              <w:t>Removal and Resignation of Directors.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3.7</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Vacancies; Newly Created Directorships.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3.8</w:t>
            </w:r>
          </w:p>
        </w:tc>
        <w:tc>
          <w:tcPr>
            <w:tcW w:w="8440" w:type="dxa"/>
            <w:vAlign w:val="bottom"/>
          </w:tcPr>
          <w:p>
            <w:pPr>
              <w:ind w:left="100"/>
              <w:spacing w:after="0"/>
              <w:rPr>
                <w:sz w:val="20"/>
                <w:szCs w:val="20"/>
                <w:color w:val="auto"/>
              </w:rPr>
            </w:pPr>
            <w:r>
              <w:rPr>
                <w:rFonts w:ascii="Arial" w:cs="Arial" w:eastAsia="Arial" w:hAnsi="Arial"/>
                <w:sz w:val="18"/>
                <w:szCs w:val="18"/>
                <w:color w:val="auto"/>
              </w:rPr>
              <w:t>Annual and Regular Meetings.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3.9</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Special Meetings.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3.10</w:t>
            </w:r>
          </w:p>
        </w:tc>
        <w:tc>
          <w:tcPr>
            <w:tcW w:w="844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3.11</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 of Meetings.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3.12</w:t>
            </w:r>
          </w:p>
        </w:tc>
        <w:tc>
          <w:tcPr>
            <w:tcW w:w="8440" w:type="dxa"/>
            <w:vAlign w:val="bottom"/>
          </w:tcPr>
          <w:p>
            <w:pPr>
              <w:ind w:left="100"/>
              <w:spacing w:after="0"/>
              <w:rPr>
                <w:sz w:val="20"/>
                <w:szCs w:val="20"/>
                <w:color w:val="auto"/>
              </w:rPr>
            </w:pPr>
            <w:r>
              <w:rPr>
                <w:rFonts w:ascii="Arial" w:cs="Arial" w:eastAsia="Arial" w:hAnsi="Arial"/>
                <w:sz w:val="18"/>
                <w:szCs w:val="18"/>
                <w:color w:val="auto"/>
              </w:rPr>
              <w:t>Quorum; Adjourned Meetings.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3.13</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Manner of Acting.</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3.14</w:t>
            </w:r>
          </w:p>
        </w:tc>
        <w:tc>
          <w:tcPr>
            <w:tcW w:w="8440" w:type="dxa"/>
            <w:vAlign w:val="bottom"/>
          </w:tcPr>
          <w:p>
            <w:pPr>
              <w:ind w:left="100"/>
              <w:spacing w:after="0"/>
              <w:rPr>
                <w:sz w:val="20"/>
                <w:szCs w:val="20"/>
                <w:color w:val="auto"/>
              </w:rPr>
            </w:pPr>
            <w:r>
              <w:rPr>
                <w:rFonts w:ascii="Arial" w:cs="Arial" w:eastAsia="Arial" w:hAnsi="Arial"/>
                <w:sz w:val="18"/>
                <w:szCs w:val="18"/>
                <w:color w:val="auto"/>
              </w:rPr>
              <w:t>Super-majority Approval</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3.15</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Telephonic Meetings.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3.16</w:t>
            </w:r>
          </w:p>
        </w:tc>
        <w:tc>
          <w:tcPr>
            <w:tcW w:w="844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3.17</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Powers and Duties.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3.18</w:t>
            </w:r>
          </w:p>
        </w:tc>
        <w:tc>
          <w:tcPr>
            <w:tcW w:w="84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3.19</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Organization.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431"/>
        </w:trPr>
        <w:tc>
          <w:tcPr>
            <w:tcW w:w="1080" w:type="dxa"/>
            <w:vAlign w:val="bottom"/>
          </w:tcPr>
          <w:p>
            <w:pPr>
              <w:spacing w:after="0"/>
              <w:rPr>
                <w:sz w:val="20"/>
                <w:szCs w:val="20"/>
                <w:color w:val="auto"/>
              </w:rPr>
            </w:pPr>
            <w:r>
              <w:rPr>
                <w:rFonts w:ascii="Arial" w:cs="Arial" w:eastAsia="Arial" w:hAnsi="Arial"/>
                <w:sz w:val="18"/>
                <w:szCs w:val="18"/>
                <w:color w:val="auto"/>
              </w:rPr>
              <w:t>ARTICLE IV</w:t>
            </w:r>
          </w:p>
        </w:tc>
        <w:tc>
          <w:tcPr>
            <w:tcW w:w="1320" w:type="dxa"/>
            <w:vAlign w:val="bottom"/>
          </w:tcPr>
          <w:p>
            <w:pPr>
              <w:ind w:left="240"/>
              <w:spacing w:after="0"/>
              <w:rPr>
                <w:sz w:val="20"/>
                <w:szCs w:val="20"/>
                <w:color w:val="auto"/>
              </w:rPr>
            </w:pPr>
            <w:r>
              <w:rPr>
                <w:rFonts w:ascii="Arial" w:cs="Arial" w:eastAsia="Arial" w:hAnsi="Arial"/>
                <w:sz w:val="18"/>
                <w:szCs w:val="18"/>
                <w:color w:val="auto"/>
              </w:rPr>
              <w:t>OFFICERS</w:t>
            </w:r>
          </w:p>
        </w:tc>
        <w:tc>
          <w:tcPr>
            <w:tcW w:w="84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7"/>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4.1</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4.2</w:t>
            </w:r>
          </w:p>
        </w:tc>
        <w:tc>
          <w:tcPr>
            <w:tcW w:w="8440" w:type="dxa"/>
            <w:vAlign w:val="bottom"/>
          </w:tcPr>
          <w:p>
            <w:pPr>
              <w:ind w:left="100"/>
              <w:spacing w:after="0"/>
              <w:rPr>
                <w:sz w:val="20"/>
                <w:szCs w:val="20"/>
                <w:color w:val="auto"/>
              </w:rPr>
            </w:pPr>
            <w:r>
              <w:rPr>
                <w:rFonts w:ascii="Arial" w:cs="Arial" w:eastAsia="Arial" w:hAnsi="Arial"/>
                <w:sz w:val="18"/>
                <w:szCs w:val="18"/>
                <w:color w:val="auto"/>
              </w:rPr>
              <w:t>Removal; Resignation.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4.3</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Vacancies.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4.4</w:t>
            </w:r>
          </w:p>
        </w:tc>
        <w:tc>
          <w:tcPr>
            <w:tcW w:w="84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4.5</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4.6</w:t>
            </w:r>
          </w:p>
        </w:tc>
        <w:tc>
          <w:tcPr>
            <w:tcW w:w="8440" w:type="dxa"/>
            <w:vAlign w:val="bottom"/>
          </w:tcPr>
          <w:p>
            <w:pPr>
              <w:ind w:left="100"/>
              <w:spacing w:after="0"/>
              <w:rPr>
                <w:sz w:val="20"/>
                <w:szCs w:val="20"/>
                <w:color w:val="auto"/>
              </w:rPr>
            </w:pPr>
            <w:r>
              <w:rPr>
                <w:rFonts w:ascii="Arial" w:cs="Arial" w:eastAsia="Arial" w:hAnsi="Arial"/>
                <w:sz w:val="18"/>
                <w:szCs w:val="18"/>
                <w:color w:val="auto"/>
              </w:rPr>
              <w:t>Vice Presidents.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4.7</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Secretary.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400" w:type="dxa"/>
            <w:vAlign w:val="bottom"/>
            <w:gridSpan w:val="2"/>
          </w:tcPr>
          <w:p>
            <w:pPr>
              <w:ind w:left="800"/>
              <w:spacing w:after="0"/>
              <w:rPr>
                <w:sz w:val="20"/>
                <w:szCs w:val="20"/>
                <w:color w:val="auto"/>
              </w:rPr>
            </w:pPr>
            <w:r>
              <w:rPr>
                <w:rFonts w:ascii="Arial" w:cs="Arial" w:eastAsia="Arial" w:hAnsi="Arial"/>
                <w:sz w:val="18"/>
                <w:szCs w:val="18"/>
                <w:color w:val="auto"/>
              </w:rPr>
              <w:t>Section 4.8</w:t>
            </w:r>
          </w:p>
        </w:tc>
        <w:tc>
          <w:tcPr>
            <w:tcW w:w="8440" w:type="dxa"/>
            <w:vAlign w:val="bottom"/>
          </w:tcPr>
          <w:p>
            <w:pPr>
              <w:ind w:left="100"/>
              <w:spacing w:after="0"/>
              <w:rPr>
                <w:sz w:val="20"/>
                <w:szCs w:val="20"/>
                <w:color w:val="auto"/>
              </w:rPr>
            </w:pPr>
            <w:r>
              <w:rPr>
                <w:rFonts w:ascii="Arial" w:cs="Arial" w:eastAsia="Arial" w:hAnsi="Arial"/>
                <w:sz w:val="18"/>
                <w:szCs w:val="18"/>
                <w:color w:val="auto"/>
              </w:rPr>
              <w:t>Assistant Secretaries.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4.9</w:t>
            </w: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-7078980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-7078980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1"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4.10</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Assistant Treasurers.</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4.11</w:t>
            </w:r>
          </w:p>
        </w:tc>
        <w:tc>
          <w:tcPr>
            <w:tcW w:w="6780" w:type="dxa"/>
            <w:vAlign w:val="bottom"/>
          </w:tcPr>
          <w:p>
            <w:pPr>
              <w:ind w:left="420"/>
              <w:spacing w:after="0"/>
              <w:rPr>
                <w:sz w:val="20"/>
                <w:szCs w:val="20"/>
                <w:color w:val="auto"/>
              </w:rPr>
            </w:pPr>
            <w:r>
              <w:rPr>
                <w:rFonts w:ascii="Arial" w:cs="Arial" w:eastAsia="Arial" w:hAnsi="Arial"/>
                <w:sz w:val="18"/>
                <w:szCs w:val="18"/>
                <w:color w:val="auto"/>
              </w:rPr>
              <w:t>Execution of Negotiable Instruments, Deeds and Contracts.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12</w:t>
            </w:r>
          </w:p>
        </w:tc>
      </w:tr>
      <w:tr>
        <w:trPr>
          <w:trHeight w:val="432"/>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STOCK</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5.1</w:t>
            </w:r>
          </w:p>
        </w:tc>
        <w:tc>
          <w:tcPr>
            <w:tcW w:w="6780" w:type="dxa"/>
            <w:vAlign w:val="bottom"/>
          </w:tcPr>
          <w:p>
            <w:pPr>
              <w:ind w:left="420"/>
              <w:spacing w:after="0"/>
              <w:rPr>
                <w:sz w:val="20"/>
                <w:szCs w:val="20"/>
                <w:color w:val="auto"/>
              </w:rPr>
            </w:pPr>
            <w:r>
              <w:rPr>
                <w:rFonts w:ascii="Arial" w:cs="Arial" w:eastAsia="Arial" w:hAnsi="Arial"/>
                <w:sz w:val="18"/>
                <w:szCs w:val="18"/>
                <w:color w:val="auto"/>
              </w:rPr>
              <w:t>Issuance.</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13</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5.2</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Certificates and Uncertified Shares.</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5.3</w:t>
            </w:r>
          </w:p>
        </w:tc>
        <w:tc>
          <w:tcPr>
            <w:tcW w:w="6780" w:type="dxa"/>
            <w:vAlign w:val="bottom"/>
          </w:tcPr>
          <w:p>
            <w:pPr>
              <w:ind w:left="420"/>
              <w:spacing w:after="0"/>
              <w:rPr>
                <w:sz w:val="20"/>
                <w:szCs w:val="20"/>
                <w:color w:val="auto"/>
              </w:rPr>
            </w:pPr>
            <w:r>
              <w:rPr>
                <w:rFonts w:ascii="Arial" w:cs="Arial" w:eastAsia="Arial" w:hAnsi="Arial"/>
                <w:sz w:val="18"/>
                <w:szCs w:val="18"/>
                <w:color w:val="auto"/>
              </w:rPr>
              <w:t>Surrendered; Lost or Destroyed Certificates.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13</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5.4</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Replacement Certificate.</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5.5</w:t>
            </w:r>
          </w:p>
        </w:tc>
        <w:tc>
          <w:tcPr>
            <w:tcW w:w="6780" w:type="dxa"/>
            <w:vAlign w:val="bottom"/>
          </w:tcPr>
          <w:p>
            <w:pPr>
              <w:ind w:left="420"/>
              <w:spacing w:after="0"/>
              <w:rPr>
                <w:sz w:val="20"/>
                <w:szCs w:val="20"/>
                <w:color w:val="auto"/>
              </w:rPr>
            </w:pPr>
            <w:r>
              <w:rPr>
                <w:rFonts w:ascii="Arial" w:cs="Arial" w:eastAsia="Arial" w:hAnsi="Arial"/>
                <w:sz w:val="18"/>
                <w:szCs w:val="18"/>
                <w:color w:val="auto"/>
              </w:rPr>
              <w:t>Transfer of Shares.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5.6</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Agent; Registrars.</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5.7</w:t>
            </w:r>
          </w:p>
        </w:tc>
        <w:tc>
          <w:tcPr>
            <w:tcW w:w="678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5.8</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Nevada Control Share Law</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431"/>
        </w:trPr>
        <w:tc>
          <w:tcPr>
            <w:tcW w:w="1160" w:type="dxa"/>
            <w:vAlign w:val="bottom"/>
          </w:tcPr>
          <w:p>
            <w:pPr>
              <w:spacing w:after="0"/>
              <w:rPr>
                <w:sz w:val="20"/>
                <w:szCs w:val="20"/>
                <w:color w:val="auto"/>
              </w:rPr>
            </w:pPr>
            <w:r>
              <w:rPr>
                <w:rFonts w:ascii="Arial" w:cs="Arial" w:eastAsia="Arial" w:hAnsi="Arial"/>
                <w:sz w:val="18"/>
                <w:szCs w:val="18"/>
                <w:color w:val="auto"/>
              </w:rPr>
              <w:t>ARTICLE VI</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DISTRIBUTIONS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433"/>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RECORDS; REPORTS; SEAL; AND FINANCIAL MATTERS</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7.1</w:t>
            </w:r>
          </w:p>
        </w:tc>
        <w:tc>
          <w:tcPr>
            <w:tcW w:w="6780" w:type="dxa"/>
            <w:vAlign w:val="bottom"/>
          </w:tcPr>
          <w:p>
            <w:pPr>
              <w:ind w:left="420"/>
              <w:spacing w:after="0"/>
              <w:rPr>
                <w:sz w:val="20"/>
                <w:szCs w:val="20"/>
                <w:color w:val="auto"/>
              </w:rPr>
            </w:pPr>
            <w:r>
              <w:rPr>
                <w:rFonts w:ascii="Arial" w:cs="Arial" w:eastAsia="Arial" w:hAnsi="Arial"/>
                <w:sz w:val="18"/>
                <w:szCs w:val="18"/>
                <w:color w:val="auto"/>
              </w:rPr>
              <w:t>Records.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7.2</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Seal.</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7.3</w:t>
            </w:r>
          </w:p>
        </w:tc>
        <w:tc>
          <w:tcPr>
            <w:tcW w:w="6780" w:type="dxa"/>
            <w:vAlign w:val="bottom"/>
          </w:tcPr>
          <w:p>
            <w:pPr>
              <w:ind w:left="420"/>
              <w:spacing w:after="0"/>
              <w:rPr>
                <w:sz w:val="20"/>
                <w:szCs w:val="20"/>
                <w:color w:val="auto"/>
              </w:rPr>
            </w:pPr>
            <w:r>
              <w:rPr>
                <w:rFonts w:ascii="Arial" w:cs="Arial" w:eastAsia="Arial" w:hAnsi="Arial"/>
                <w:sz w:val="18"/>
                <w:szCs w:val="18"/>
                <w:color w:val="auto"/>
              </w:rPr>
              <w:t>Fiscal Year-End.</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432"/>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INDEMNIFICATION</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r>
      <w:tr>
        <w:trPr>
          <w:trHeight w:val="216"/>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8.1</w:t>
            </w:r>
          </w:p>
        </w:tc>
        <w:tc>
          <w:tcPr>
            <w:tcW w:w="6780" w:type="dxa"/>
            <w:vAlign w:val="bottom"/>
          </w:tcPr>
          <w:p>
            <w:pPr>
              <w:ind w:left="420"/>
              <w:spacing w:after="0"/>
              <w:rPr>
                <w:sz w:val="20"/>
                <w:szCs w:val="20"/>
                <w:color w:val="auto"/>
              </w:rPr>
            </w:pPr>
            <w:r>
              <w:rPr>
                <w:rFonts w:ascii="Arial" w:cs="Arial" w:eastAsia="Arial" w:hAnsi="Arial"/>
                <w:sz w:val="18"/>
                <w:szCs w:val="18"/>
                <w:color w:val="auto"/>
              </w:rPr>
              <w:t>Indemnification and Insurance.</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216"/>
        </w:trPr>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Section 8.2</w:t>
            </w: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r>
      <w:tr>
        <w:trPr>
          <w:trHeight w:val="431"/>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CHANGES IN NEVADA LAW</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17</w:t>
            </w:r>
          </w:p>
        </w:tc>
      </w:tr>
      <w:tr>
        <w:trPr>
          <w:trHeight w:val="433"/>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ARTICLE X</w:t>
            </w:r>
          </w:p>
        </w:tc>
        <w:tc>
          <w:tcPr>
            <w:tcW w:w="7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AMENDMENT OR REPEAL</w:t>
            </w:r>
          </w:p>
        </w:tc>
        <w:tc>
          <w:tcPr>
            <w:tcW w:w="2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r>
      <w:tr>
        <w:trPr>
          <w:trHeight w:val="222"/>
        </w:trPr>
        <w:tc>
          <w:tcPr>
            <w:tcW w:w="2080" w:type="dxa"/>
            <w:vAlign w:val="bottom"/>
            <w:gridSpan w:val="2"/>
          </w:tcPr>
          <w:p>
            <w:pPr>
              <w:ind w:left="800"/>
              <w:spacing w:after="0"/>
              <w:rPr>
                <w:sz w:val="20"/>
                <w:szCs w:val="20"/>
                <w:color w:val="auto"/>
              </w:rPr>
            </w:pPr>
            <w:r>
              <w:rPr>
                <w:rFonts w:ascii="Arial" w:cs="Arial" w:eastAsia="Arial" w:hAnsi="Arial"/>
                <w:sz w:val="18"/>
                <w:szCs w:val="18"/>
                <w:color w:val="auto"/>
              </w:rPr>
              <w:t>Section 10.1</w:t>
            </w:r>
          </w:p>
        </w:tc>
        <w:tc>
          <w:tcPr>
            <w:tcW w:w="6780" w:type="dxa"/>
            <w:vAlign w:val="bottom"/>
          </w:tcPr>
          <w:p>
            <w:pPr>
              <w:ind w:left="420"/>
              <w:spacing w:after="0"/>
              <w:rPr>
                <w:sz w:val="20"/>
                <w:szCs w:val="20"/>
                <w:color w:val="auto"/>
              </w:rPr>
            </w:pPr>
            <w:r>
              <w:rPr>
                <w:rFonts w:ascii="Arial" w:cs="Arial" w:eastAsia="Arial" w:hAnsi="Arial"/>
                <w:sz w:val="18"/>
                <w:szCs w:val="18"/>
                <w:color w:val="auto"/>
              </w:rPr>
              <w:t>Amendment of Bylaws.</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17</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3" w:lineRule="exact"/>
        <w:rPr>
          <w:sz w:val="20"/>
          <w:szCs w:val="20"/>
          <w:color w:val="auto"/>
        </w:rPr>
      </w:pPr>
    </w:p>
    <w:p>
      <w:pPr>
        <w:jc w:val="both"/>
        <w:ind w:right="20" w:firstLine="351"/>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Principal Office</w:t>
      </w:r>
      <w:r>
        <w:rPr>
          <w:rFonts w:ascii="Arial" w:cs="Arial" w:eastAsia="Arial" w:hAnsi="Arial"/>
          <w:sz w:val="18"/>
          <w:szCs w:val="18"/>
          <w:color w:val="auto"/>
        </w:rPr>
        <w:t>.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3145 Las Vegas Boulevard South, Las Vegas, Nevada 89109.</w:t>
      </w:r>
    </w:p>
    <w:p>
      <w:pPr>
        <w:spacing w:after="0" w:line="180"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Offices</w:t>
      </w:r>
      <w:r>
        <w:rPr>
          <w:rFonts w:ascii="Arial" w:cs="Arial" w:eastAsia="Arial" w:hAnsi="Arial"/>
          <w:sz w:val="18"/>
          <w:szCs w:val="18"/>
          <w:color w:val="auto"/>
        </w:rPr>
        <w:t>. Other offices and places of business either within or without the State of Nevada may be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as the business of the Corporation may require. The street address of the Corporation's resident agent is the registered office of the Corporation in Nevada.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Annual Meeting</w:t>
      </w:r>
      <w:r>
        <w:rPr>
          <w:rFonts w:ascii="Arial" w:cs="Arial" w:eastAsia="Arial" w:hAnsi="Arial"/>
          <w:sz w:val="18"/>
          <w:szCs w:val="18"/>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left="540" w:right="300" w:firstLine="359"/>
        <w:spacing w:after="0" w:line="298" w:lineRule="auto"/>
        <w:tabs>
          <w:tab w:leader="none" w:pos="11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the rights of the holders of preferred stock, if any, special meetings of the stockholders may be called only by the chairman of the board, if any, or the chief executive officer, if any, or, if there be no chairman of the board and no chief executive officer, by the president, and shall be called by the secretary upon the written request of at least a majority of the authorized number of directors. Such request shall state the purpose or purposes of the meeting. Stockholders shall have no right to request or call a special meeting.</w:t>
      </w:r>
    </w:p>
    <w:p>
      <w:pPr>
        <w:spacing w:after="0" w:line="166" w:lineRule="exact"/>
        <w:rPr>
          <w:rFonts w:ascii="Arial" w:cs="Arial" w:eastAsia="Arial" w:hAnsi="Arial"/>
          <w:sz w:val="16"/>
          <w:szCs w:val="16"/>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Place of Meetings</w:t>
      </w:r>
      <w:r>
        <w:rPr>
          <w:rFonts w:ascii="Arial" w:cs="Arial" w:eastAsia="Arial" w:hAnsi="Arial"/>
          <w:sz w:val="18"/>
          <w:szCs w:val="18"/>
          <w:color w:val="auto"/>
        </w:rPr>
        <w:t>. Any meeting of the stockholders of the Corporation may be held at the Corporation's registered office in the State of Nevada or at such other place in or out of the State of Nevada and United States as may be designated in the notice of meeting. A waiver of notice signed by all stockholders entitled to vote may designate any place for the holding of such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Notice of Meetings; Waiver of Notice</w:t>
      </w:r>
      <w:r>
        <w:rPr>
          <w:rFonts w:ascii="Arial" w:cs="Arial" w:eastAsia="Arial" w:hAnsi="Arial"/>
          <w:sz w:val="18"/>
          <w:szCs w:val="18"/>
          <w:color w:val="auto"/>
        </w:rPr>
        <w:t>.</w:t>
      </w:r>
    </w:p>
    <w:p>
      <w:pPr>
        <w:spacing w:after="0" w:line="225" w:lineRule="exact"/>
        <w:rPr>
          <w:sz w:val="20"/>
          <w:szCs w:val="20"/>
          <w:color w:val="auto"/>
        </w:rPr>
      </w:pPr>
    </w:p>
    <w:p>
      <w:pPr>
        <w:ind w:left="540" w:right="60" w:firstLine="359"/>
        <w:spacing w:after="0" w:line="294" w:lineRule="auto"/>
        <w:tabs>
          <w:tab w:leader="none" w:pos="112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president, chief executive officer, if any, a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and the purpose or purposes for which the meeting is called. The notice shall contain or be accompanied by such additional information as may be required by </w:t>
      </w:r>
      <w:r>
        <w:rPr>
          <w:rFonts w:ascii="Arial" w:cs="Arial" w:eastAsia="Arial" w:hAnsi="Arial"/>
          <w:sz w:val="16"/>
          <w:szCs w:val="16"/>
          <w:i w:val="1"/>
          <w:iCs w:val="1"/>
          <w:color w:val="auto"/>
        </w:rPr>
        <w:t>Nevada Revised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Statutes </w:t>
      </w:r>
      <w:r>
        <w:rPr>
          <w:rFonts w:ascii="Arial" w:cs="Arial" w:eastAsia="Arial" w:hAnsi="Arial"/>
          <w:sz w:val="16"/>
          <w:szCs w:val="16"/>
          <w:color w:val="auto"/>
        </w:rPr>
        <w:t>("</w:t>
      </w:r>
      <w:r>
        <w:rPr>
          <w:rFonts w:ascii="Arial" w:cs="Arial" w:eastAsia="Arial" w:hAnsi="Arial"/>
          <w:sz w:val="16"/>
          <w:szCs w:val="16"/>
          <w:b w:val="1"/>
          <w:bCs w:val="1"/>
          <w:color w:val="auto"/>
        </w:rPr>
        <w:t>NRS</w:t>
      </w:r>
      <w:r>
        <w:rPr>
          <w:rFonts w:ascii="Arial" w:cs="Arial" w:eastAsia="Arial" w:hAnsi="Arial"/>
          <w:sz w:val="16"/>
          <w:szCs w:val="16"/>
          <w:color w:val="auto"/>
        </w:rPr>
        <w:t>"), including, without limitation, NRS 78.379, 92A.120 or 92A.410.</w:t>
      </w:r>
    </w:p>
    <w:p>
      <w:pPr>
        <w:sectPr>
          <w:pgSz w:w="11900" w:h="16838" w:orient="portrait"/>
          <w:cols w:equalWidth="0" w:num="1">
            <w:col w:w="11420"/>
          </w:cols>
          <w:pgMar w:left="240" w:top="275" w:right="239" w:bottom="0" w:gutter="0" w:footer="0" w:header="0"/>
        </w:sectPr>
      </w:pPr>
    </w:p>
    <w:bookmarkStart w:id="29" w:name="page30"/>
    <w:bookmarkEnd w:id="29"/>
    <w:p>
      <w:pPr>
        <w:jc w:val="both"/>
        <w:ind w:left="180" w:firstLine="359"/>
        <w:spacing w:after="0" w:line="29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an annual meeting, subject to Section 2.13 below,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109220</wp:posOffset>
            </wp:positionV>
            <wp:extent cx="7250430" cy="215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or may be entitled to assert dissenters' rights under NRS 92A.300 to 92A.500, inclusive, and be accompanied by a copy of those sections.</w:t>
      </w:r>
    </w:p>
    <w:p>
      <w:pPr>
        <w:spacing w:after="0" w:line="248" w:lineRule="exact"/>
        <w:rPr>
          <w:sz w:val="20"/>
          <w:szCs w:val="20"/>
          <w:color w:val="auto"/>
        </w:rPr>
      </w:pPr>
    </w:p>
    <w:p>
      <w:pPr>
        <w:jc w:val="both"/>
        <w:ind w:left="180" w:firstLine="359"/>
        <w:spacing w:after="0" w:line="298"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copy of the notice shall be personally delivered or mailed postage prepaid to each stockholder of record entitled to vote at the meeting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w:t>
      </w:r>
    </w:p>
    <w:p>
      <w:pPr>
        <w:spacing w:after="0" w:line="166" w:lineRule="exact"/>
        <w:rPr>
          <w:rFonts w:ascii="Arial" w:cs="Arial" w:eastAsia="Arial" w:hAnsi="Arial"/>
          <w:sz w:val="16"/>
          <w:szCs w:val="16"/>
          <w:color w:val="auto"/>
        </w:rPr>
      </w:pPr>
    </w:p>
    <w:p>
      <w:pPr>
        <w:ind w:left="180" w:right="20" w:firstLine="359"/>
        <w:spacing w:after="0" w:line="259" w:lineRule="auto"/>
        <w:tabs>
          <w:tab w:leader="none" w:pos="7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194" w:lineRule="exact"/>
        <w:rPr>
          <w:rFonts w:ascii="Arial" w:cs="Arial" w:eastAsia="Arial" w:hAnsi="Arial"/>
          <w:sz w:val="18"/>
          <w:szCs w:val="18"/>
          <w:color w:val="auto"/>
        </w:rPr>
      </w:pPr>
    </w:p>
    <w:p>
      <w:pPr>
        <w:ind w:left="180" w:right="140" w:firstLine="359"/>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stockholder may waive notice of any meeting by a signed writing, either before or after the meeting. Such waiver of notice shall be deemed the equivalent of the giving of such notice.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Determination of Stockholders of Record</w:t>
      </w:r>
      <w:r>
        <w:rPr>
          <w:rFonts w:ascii="Arial" w:cs="Arial" w:eastAsia="Arial" w:hAnsi="Arial"/>
          <w:sz w:val="18"/>
          <w:szCs w:val="18"/>
          <w:color w:val="auto"/>
        </w:rPr>
        <w:t>.</w:t>
      </w:r>
    </w:p>
    <w:p>
      <w:pPr>
        <w:spacing w:after="0" w:line="225" w:lineRule="exact"/>
        <w:rPr>
          <w:sz w:val="20"/>
          <w:szCs w:val="20"/>
          <w:color w:val="auto"/>
        </w:rPr>
      </w:pPr>
    </w:p>
    <w:p>
      <w:pPr>
        <w:ind w:left="180" w:right="280" w:firstLine="359"/>
        <w:spacing w:after="0" w:line="284" w:lineRule="auto"/>
        <w:tabs>
          <w:tab w:leader="none" w:pos="7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and to vote at any meeting of stockholders or any adjournment thereof,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w:t>
      </w:r>
    </w:p>
    <w:p>
      <w:pPr>
        <w:spacing w:after="0" w:line="1" w:lineRule="exact"/>
        <w:rPr>
          <w:rFonts w:ascii="Arial" w:cs="Arial" w:eastAsia="Arial" w:hAnsi="Arial"/>
          <w:sz w:val="16"/>
          <w:szCs w:val="16"/>
          <w:color w:val="auto"/>
        </w:rPr>
      </w:pPr>
    </w:p>
    <w:p>
      <w:pPr>
        <w:ind w:left="520" w:hanging="33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nor less than ten (10) days before the date of such meeting, if applicable.</w:t>
      </w:r>
    </w:p>
    <w:p>
      <w:pPr>
        <w:spacing w:after="0" w:line="218" w:lineRule="exact"/>
        <w:rPr>
          <w:rFonts w:ascii="Arial" w:cs="Arial" w:eastAsia="Arial" w:hAnsi="Arial"/>
          <w:sz w:val="18"/>
          <w:szCs w:val="18"/>
          <w:color w:val="auto"/>
        </w:rPr>
      </w:pPr>
    </w:p>
    <w:p>
      <w:pPr>
        <w:ind w:left="180" w:right="40" w:firstLine="359"/>
        <w:spacing w:after="0" w:line="291" w:lineRule="auto"/>
        <w:tabs>
          <w:tab w:leader="none" w:pos="7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of Directors may fix a new record date for the adjourned meeting and must fix a new record date if the meeting is adjourned to a date more than 60 days later than the date set for the original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Quorum; Adjourned Meetings</w:t>
      </w:r>
      <w:r>
        <w:rPr>
          <w:rFonts w:ascii="Arial" w:cs="Arial" w:eastAsia="Arial" w:hAnsi="Arial"/>
          <w:sz w:val="18"/>
          <w:szCs w:val="18"/>
          <w:color w:val="auto"/>
        </w:rPr>
        <w:t>.</w:t>
      </w:r>
    </w:p>
    <w:p>
      <w:pPr>
        <w:spacing w:after="0" w:line="225" w:lineRule="exact"/>
        <w:rPr>
          <w:sz w:val="20"/>
          <w:szCs w:val="20"/>
          <w:color w:val="auto"/>
        </w:rPr>
      </w:pPr>
    </w:p>
    <w:p>
      <w:pPr>
        <w:ind w:left="180" w:right="260" w:firstLine="359"/>
        <w:spacing w:after="0" w:line="294" w:lineRule="auto"/>
        <w:tabs>
          <w:tab w:leader="none" w:pos="7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69" w:lineRule="exact"/>
        <w:rPr>
          <w:rFonts w:ascii="Arial" w:cs="Arial" w:eastAsia="Arial" w:hAnsi="Arial"/>
          <w:sz w:val="16"/>
          <w:szCs w:val="16"/>
          <w:color w:val="auto"/>
        </w:rPr>
      </w:pPr>
    </w:p>
    <w:p>
      <w:pPr>
        <w:ind w:left="180" w:right="140" w:firstLine="359"/>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line="256" w:lineRule="auto"/>
        <w:rPr>
          <w:sz w:val="20"/>
          <w:szCs w:val="20"/>
          <w:color w:val="auto"/>
        </w:rPr>
      </w:pPr>
      <w:r>
        <w:rPr>
          <w:rFonts w:ascii="Arial" w:cs="Arial" w:eastAsia="Arial" w:hAnsi="Arial"/>
          <w:sz w:val="18"/>
          <w:szCs w:val="18"/>
          <w:color w:val="auto"/>
        </w:rPr>
        <w:t>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180" w:firstLine="359"/>
        <w:spacing w:after="0" w:line="256" w:lineRule="auto"/>
        <w:tabs>
          <w:tab w:leader="none" w:pos="7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provided in the NRS, in the Articles of Incorporation, or in the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97" w:lineRule="exact"/>
        <w:rPr>
          <w:rFonts w:ascii="Arial" w:cs="Arial" w:eastAsia="Arial" w:hAnsi="Arial"/>
          <w:sz w:val="18"/>
          <w:szCs w:val="18"/>
          <w:color w:val="auto"/>
        </w:rPr>
      </w:pPr>
    </w:p>
    <w:p>
      <w:pPr>
        <w:ind w:left="180" w:right="40" w:firstLine="359"/>
        <w:spacing w:after="0" w:line="289"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cast votes carried by such shares even though the shares do not stand of record in the name of the receiver; provided, that the order of a court of competent jurisdiction which appoints the receiver contains the authority to cast votes carried by such shares. If shares stand of record in the name of a minor, votes may be cast by the duly appointed guardian of the estate of such minor only if such guardian has provided the Corporation with written proof of such appointment.</w:t>
      </w:r>
    </w:p>
    <w:p>
      <w:pPr>
        <w:sectPr>
          <w:pgSz w:w="11900" w:h="16838" w:orient="portrait"/>
          <w:cols w:equalWidth="0" w:num="1">
            <w:col w:w="11060"/>
          </w:cols>
          <w:pgMar w:left="600" w:top="131" w:right="239" w:bottom="0" w:gutter="0" w:footer="0" w:header="0"/>
        </w:sectPr>
      </w:pPr>
    </w:p>
    <w:bookmarkStart w:id="30" w:name="page31"/>
    <w:bookmarkEnd w:id="30"/>
    <w:p>
      <w:pPr>
        <w:ind w:left="540" w:firstLine="359"/>
        <w:spacing w:after="0" w:line="291" w:lineRule="auto"/>
        <w:tabs>
          <w:tab w:leader="none" w:pos="11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president, chief executive officer, if any,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74" w:lineRule="exact"/>
        <w:rPr>
          <w:rFonts w:ascii="Arial" w:cs="Arial" w:eastAsia="Arial" w:hAnsi="Arial"/>
          <w:sz w:val="16"/>
          <w:szCs w:val="16"/>
          <w:color w:val="auto"/>
        </w:rPr>
      </w:pPr>
    </w:p>
    <w:p>
      <w:pPr>
        <w:ind w:left="540" w:right="240" w:firstLine="359"/>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by it; and such shares shall not be counted in determining the total number of outstanding shares entitled to vote.</w:t>
      </w:r>
    </w:p>
    <w:p>
      <w:pPr>
        <w:spacing w:after="0" w:line="194" w:lineRule="exact"/>
        <w:rPr>
          <w:rFonts w:ascii="Arial" w:cs="Arial" w:eastAsia="Arial" w:hAnsi="Arial"/>
          <w:sz w:val="18"/>
          <w:szCs w:val="18"/>
          <w:color w:val="auto"/>
        </w:rPr>
      </w:pPr>
    </w:p>
    <w:p>
      <w:pPr>
        <w:jc w:val="both"/>
        <w:ind w:left="540" w:right="120" w:firstLine="359"/>
        <w:spacing w:after="0" w:line="256"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7" w:lineRule="exact"/>
        <w:rPr>
          <w:rFonts w:ascii="Arial" w:cs="Arial" w:eastAsia="Arial" w:hAnsi="Arial"/>
          <w:sz w:val="18"/>
          <w:szCs w:val="18"/>
          <w:color w:val="auto"/>
        </w:rPr>
      </w:pPr>
    </w:p>
    <w:p>
      <w:pPr>
        <w:ind w:left="540" w:right="40" w:firstLine="359"/>
        <w:spacing w:after="0" w:line="332" w:lineRule="auto"/>
        <w:tabs>
          <w:tab w:leader="none" w:pos="11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or more persons, whether fiduciaries, members of a partnership, joint tenants, tenants in common, husband and wife as community property, tenants by the entirety, voting trustees or otherwise and shares held by two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more persons (including proxy holders) having the same fiduciary relationship in respect to the same shares, votes may be cast in the following manner:</w:t>
      </w:r>
    </w:p>
    <w:p>
      <w:pPr>
        <w:spacing w:after="0" w:line="248" w:lineRule="exact"/>
        <w:rPr>
          <w:sz w:val="20"/>
          <w:szCs w:val="20"/>
          <w:color w:val="auto"/>
        </w:rPr>
      </w:pPr>
    </w:p>
    <w:p>
      <w:pPr>
        <w:ind w:left="1640" w:hanging="200"/>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225" w:lineRule="exact"/>
        <w:rPr>
          <w:rFonts w:ascii="Arial" w:cs="Arial" w:eastAsia="Arial" w:hAnsi="Arial"/>
          <w:sz w:val="18"/>
          <w:szCs w:val="18"/>
          <w:color w:val="auto"/>
        </w:rPr>
      </w:pPr>
    </w:p>
    <w:p>
      <w:pPr>
        <w:ind w:left="1700" w:hanging="260"/>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 cast proportionately, as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split.</w:t>
      </w:r>
    </w:p>
    <w:p>
      <w:pPr>
        <w:spacing w:after="0" w:line="219" w:lineRule="exact"/>
        <w:rPr>
          <w:sz w:val="20"/>
          <w:szCs w:val="20"/>
          <w:color w:val="auto"/>
        </w:rPr>
      </w:pPr>
    </w:p>
    <w:p>
      <w:pPr>
        <w:ind w:left="540" w:right="20" w:firstLine="359"/>
        <w:spacing w:after="0" w:line="25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98" w:lineRule="exact"/>
        <w:rPr>
          <w:rFonts w:ascii="Arial" w:cs="Arial" w:eastAsia="Arial" w:hAnsi="Arial"/>
          <w:sz w:val="18"/>
          <w:szCs w:val="18"/>
          <w:color w:val="auto"/>
        </w:rPr>
      </w:pP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quorum is present, directors shall be elected by a plurality of the votes cast.</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Proxies</w:t>
      </w:r>
      <w:r>
        <w:rPr>
          <w:rFonts w:ascii="Arial" w:cs="Arial" w:eastAsia="Arial" w:hAnsi="Arial"/>
          <w:sz w:val="18"/>
          <w:szCs w:val="18"/>
          <w:color w:val="auto"/>
        </w:rPr>
        <w:t>.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94"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No Action Without A Meeting</w:t>
      </w:r>
      <w:r>
        <w:rPr>
          <w:rFonts w:ascii="Arial" w:cs="Arial" w:eastAsia="Arial" w:hAnsi="Arial"/>
          <w:sz w:val="18"/>
          <w:szCs w:val="18"/>
          <w:color w:val="auto"/>
        </w:rPr>
        <w:t>. No action shall be taken by the stockholders except at an annual or special meeting of stockholders called and noticed in the manner required by these Bylaws. Prior to the completion of the initial public offering of the Corporation, the stockholders may take action by written consent. After the completion of the initial public offering of the Corporation, the stockholders may not in any circumstance take action by written consent.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Organization</w:t>
      </w:r>
      <w:r>
        <w:rPr>
          <w:rFonts w:ascii="Arial" w:cs="Arial" w:eastAsia="Arial" w:hAnsi="Arial"/>
          <w:sz w:val="18"/>
          <w:szCs w:val="18"/>
          <w:color w:val="auto"/>
        </w:rPr>
        <w:t>.</w:t>
      </w:r>
    </w:p>
    <w:p>
      <w:pPr>
        <w:spacing w:after="0" w:line="225" w:lineRule="exact"/>
        <w:rPr>
          <w:sz w:val="20"/>
          <w:szCs w:val="20"/>
          <w:color w:val="auto"/>
        </w:rPr>
      </w:pPr>
    </w:p>
    <w:p>
      <w:pPr>
        <w:ind w:left="540" w:right="20" w:firstLine="359"/>
        <w:spacing w:after="0" w:line="286" w:lineRule="auto"/>
        <w:tabs>
          <w:tab w:leader="none" w:pos="11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Meetings of stockholders shall be presided over by the chairman of the board, or, in the absence of the chairman, by the vice-chairman of the board, or in the absence of the vice-chairman, the president, or, in the absence of the president, by the chief executive officer, if any,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181" w:lineRule="exact"/>
        <w:rPr>
          <w:rFonts w:ascii="Arial" w:cs="Arial" w:eastAsia="Arial" w:hAnsi="Arial"/>
          <w:sz w:val="16"/>
          <w:szCs w:val="16"/>
          <w:color w:val="auto"/>
        </w:rPr>
      </w:pPr>
    </w:p>
    <w:p>
      <w:pPr>
        <w:jc w:val="both"/>
        <w:ind w:left="540" w:right="40" w:firstLine="359"/>
        <w:spacing w:after="0" w:line="259"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made by the inspector(s); and (v) certify the determination of the number of shares represented at the meeting and the count of all votes and ballots.</w:t>
      </w:r>
    </w:p>
    <w:p>
      <w:pPr>
        <w:sectPr>
          <w:pgSz w:w="11900" w:h="16838" w:orient="portrait"/>
          <w:cols w:equalWidth="0" w:num="1">
            <w:col w:w="11420"/>
          </w:cols>
          <w:pgMar w:left="240" w:top="131" w:right="239" w:bottom="0" w:gutter="0" w:footer="0" w:header="0"/>
          <w:type w:val="continuous"/>
        </w:sectPr>
      </w:pPr>
    </w:p>
    <w:bookmarkStart w:id="31" w:name="page32"/>
    <w:bookmarkEnd w:id="31"/>
    <w:p>
      <w:pPr>
        <w:ind w:right="60" w:firstLine="351"/>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Absentees' Consent to Meetings</w:t>
      </w:r>
      <w:r>
        <w:rPr>
          <w:rFonts w:ascii="Arial" w:cs="Arial" w:eastAsia="Arial" w:hAnsi="Arial"/>
          <w:sz w:val="16"/>
          <w:szCs w:val="16"/>
          <w:color w:val="auto"/>
        </w:rPr>
        <w:t>. Transactions of any meeting of the stockholders are as valid as though had at a meeting duly held after regular call and notice if a quorum is represented, either in person or by proxy, and if, either before or after the meeting, each of the persons entitled to vote, not represented in person or by proxy (and those who, although present, either object at the beginning of the meeting to the transaction of any business because the meeting has not been lawfully called or convened or expressly object at the meeting to the consideration of matters not included in the notice which are legally or by the terms of these Bylaws required to be included therein), signs a written waiver of notice and/or consent to the holding of the meeting or an approval of the minutes thereof. All such waivers, consents, and approvals shall be filed with the corporate records and made a part of the minutes of the meeting.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properly included in the notice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8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Director Nominations</w:t>
      </w:r>
      <w:r>
        <w:rPr>
          <w:rFonts w:ascii="Arial" w:cs="Arial" w:eastAsia="Arial" w:hAnsi="Arial"/>
          <w:sz w:val="16"/>
          <w:szCs w:val="16"/>
          <w:color w:val="auto"/>
        </w:rPr>
        <w:t>. Subject to the rights, if any, of the holders of preferred stock to nominate and elect directors, nominations of persons for election to the Board of Directors of the Corporation may be made by the Board of Directors, by a committee appointed by the Board of Directors, or by any stockholder of record entitled to vote in the election of directors who complies with the notice procedures set forth in Section 2.13 below.</w:t>
      </w:r>
    </w:p>
    <w:p>
      <w:pPr>
        <w:spacing w:after="0" w:line="161"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Advance Notice of Stockholder Proposals and Director Nominations by Stockholders</w:t>
      </w:r>
      <w:r>
        <w:rPr>
          <w:rFonts w:ascii="Arial" w:cs="Arial" w:eastAsia="Arial" w:hAnsi="Arial"/>
          <w:sz w:val="16"/>
          <w:szCs w:val="16"/>
          <w:color w:val="auto"/>
        </w:rPr>
        <w:t xml:space="preserve">. At any annual or special meeting of stockholders, proposals by stockholders and persons nominated for election as directors by stockholders shall be considered only if advance notice thereof has been timely given by the stockholder as provided herein and such proposals or nominations are otherwise proper for consideration under applicable law, the Articles of Incorporation and these Bylaws. Notice of any proposal to be presented by any stockholder or of the name of any person to be nominated by any stockholder for election as a director of the Corporation at any meeting of stockholders shall be delivered to the secretary of the Corporation at its principal office not less than sixty (60) nor more than ninety (90) days prior to the day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date of the meeting is first publicly announced or disclosed (in a public filing or otherwise) less than seventy (70) days prior to the day of the meeting, such advance notice shall be given not more than ten</w:t>
      </w:r>
    </w:p>
    <w:p>
      <w:pPr>
        <w:ind w:right="20" w:firstLine="8"/>
        <w:spacing w:after="0" w:line="288" w:lineRule="auto"/>
        <w:tabs>
          <w:tab w:leader="none" w:pos="3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days after such date is first so announced or disclosed. Public notice shall be deemed to have been given more than seventy (70) days in advance of the annual meeting if the Corporation shall have previously disclosed, in these Bylaws or otherwise, that the annual meeting in each year is to be held on a determinable date, unless and until the Board of Directors determines to hold the meeting on a different date. For purposes of this Section, public disclosure of the date of a forthcoming meeting may be made by the Corporation not only by giving formal notice of the meeting, but also by notice to a national securities exchange, the Nasdaq National Market or the Nasdaq SmallCap Market (if a corporation's common stock is then listed on such exchange or quoted on either such Nasdaq market), by filing a report under Section 13 or 15(d) of the Securities Exchange Act of 1934, as amended (the "</w:t>
      </w:r>
      <w:r>
        <w:rPr>
          <w:rFonts w:ascii="Arial" w:cs="Arial" w:eastAsia="Arial" w:hAnsi="Arial"/>
          <w:sz w:val="16"/>
          <w:szCs w:val="16"/>
          <w:b w:val="1"/>
          <w:bCs w:val="1"/>
          <w:color w:val="auto"/>
        </w:rPr>
        <w:t>Act</w:t>
      </w:r>
      <w:r>
        <w:rPr>
          <w:rFonts w:ascii="Arial" w:cs="Arial" w:eastAsia="Arial" w:hAnsi="Arial"/>
          <w:sz w:val="16"/>
          <w:szCs w:val="16"/>
          <w:color w:val="auto"/>
        </w:rPr>
        <w:t>") (if the Corporation is then subject thereto), by mailing to stockholders, or by a general press release.</w:t>
      </w:r>
    </w:p>
    <w:p>
      <w:pPr>
        <w:spacing w:after="0" w:line="17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of such stockholder in the proposal (other than as a stockholder). Any stockholder desiring to nominate any person for election as a director of the Corporation shall deliver with such notice a statement, in writing, setting forth (a) the name of the person to be nominated; (b) the number and class of all shares of each class of stock of the Corporation beneficially owned by such person; (c) the information regarding such person required by paragraphs (a), (e) and (f) of Item 401 of Regulation S-K adopted by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the corresponding provisions of any regulation subsequently adopted by the SEC applicable to the Corporation), and any other information regarding such person which would be required to be included in a proxy statement filed pursuant to the proxy rules of the SEC, had such nominee been nominated, or intended to be nominated by the Board of Directors; (d) such person's signed consent to serve as a director of the Corporation if elected and to file an application for licensing or finding of suitability if the Nevada Gaming Commission or other gaming authority shall so require or the Board of Directors deems it necessary or advisable; (e) such stockholder's name and address and the number and class of all shares of each class of stock of the Corporation beneficially owned by such stockholder; (f) a representation that such stockholder is a holder of record of stock of the Corporation entitled to vote at such meeting and intends to appear in person or by proxy at the meeting to nominate the person or persons specified in the notice; and (g) a description of all arrangements or understandings between the stockholder and each nominee and any other person or persons (naming such person or persons) pursuant to which the nominations are to be made by the stockholder. As used herein, shares "</w:t>
      </w:r>
      <w:r>
        <w:rPr>
          <w:rFonts w:ascii="Arial" w:cs="Arial" w:eastAsia="Arial" w:hAnsi="Arial"/>
          <w:sz w:val="16"/>
          <w:szCs w:val="16"/>
          <w:b w:val="1"/>
          <w:bCs w:val="1"/>
          <w:color w:val="auto"/>
        </w:rPr>
        <w:t>beneficially owned</w:t>
      </w:r>
      <w:r>
        <w:rPr>
          <w:rFonts w:ascii="Arial" w:cs="Arial" w:eastAsia="Arial" w:hAnsi="Arial"/>
          <w:sz w:val="16"/>
          <w:szCs w:val="16"/>
          <w:color w:val="auto"/>
        </w:rPr>
        <w:t>" shall mean all shares as to which such person, together with such person's affiliates and associates (as defined in Rule 12b-2 under the Act), may be deemed to beneficially own pursuant to Rules 13d-3 and 13d-5 under the Act, as well as all shares as to which such person, together with such person's affiliates and associates, has a right to become the beneficial owner pursuant to any agreement or understanding, whereupon the exercise of warrants, options or rights to convert or exchange (whether such rights are exercisable immediately or only after the passage of time or the occurrence of conditions). The person presiding at the meeting shall determine whether such notice has been duly given and shall direct that proposals and nominees not be considered if such notice has not been duly given. Notwithstanding anything in these Bylaws to the contrary, no business shall be conducted at a meeting except in accordance with the procedures set forth in this Section. Notwithstanding the foregoing provisions hereof, a stockholder shall also comply with all applicable requirements of the Act, and the rules and regulations thereunder with respect to the matters set forth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 DIRECTORS</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Powers; Performance of Duties</w:t>
      </w:r>
      <w:r>
        <w:rPr>
          <w:rFonts w:ascii="Arial" w:cs="Arial" w:eastAsia="Arial" w:hAnsi="Arial"/>
          <w:sz w:val="18"/>
          <w:szCs w:val="18"/>
          <w:color w:val="auto"/>
        </w:rPr>
        <w:t>. The business and affairs of the Corporation shall be managed by or under the direction of the Board of Directors, except as otherwise provided in Chapter 78 of the NRS or the Articles of Incorporation.</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Number, Tenure, and Qualifications</w:t>
      </w:r>
      <w:r>
        <w:rPr>
          <w:rFonts w:ascii="Arial" w:cs="Arial" w:eastAsia="Arial" w:hAnsi="Arial"/>
          <w:sz w:val="16"/>
          <w:szCs w:val="16"/>
          <w:color w:val="auto"/>
        </w:rPr>
        <w:t>. The Board of Directors of the Corporation shall consist of at least one (1) individual(s) and not more than thirteen (13) individuals. The number of directors within the foregoing fixed minimum and maximum may be established and changed from time to time by resolution adopted by the Board of Directors of the Corporation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shall be restrictive upon the right of the Board of Directors to fill vacancies or upon the right of the stockholders to remove directors as is hereinafter provided.</w:t>
      </w:r>
    </w:p>
    <w:p>
      <w:pPr>
        <w:sectPr>
          <w:pgSz w:w="11900" w:h="16838" w:orient="portrait"/>
          <w:cols w:equalWidth="0" w:num="1">
            <w:col w:w="11420"/>
          </w:cols>
          <w:pgMar w:left="240" w:top="131" w:right="239" w:bottom="45"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5" w:gutter="0" w:footer="0" w:header="0"/>
          <w:type w:val="continuous"/>
        </w:sectPr>
      </w:pPr>
    </w:p>
    <w:bookmarkStart w:id="32" w:name="page33"/>
    <w:bookmarkEnd w:id="32"/>
    <w:p>
      <w:pPr>
        <w:ind w:firstLine="351"/>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Chairman of the Board</w:t>
      </w:r>
      <w:r>
        <w:rPr>
          <w:rFonts w:ascii="Arial" w:cs="Arial" w:eastAsia="Arial" w:hAnsi="Arial"/>
          <w:sz w:val="16"/>
          <w:szCs w:val="16"/>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i w:val="1"/>
          <w:iCs w:val="1"/>
          <w:color w:val="auto"/>
        </w:rPr>
        <w:t>Vice-Chairman of the Board</w:t>
      </w:r>
      <w:r>
        <w:rPr>
          <w:rFonts w:ascii="Arial" w:cs="Arial" w:eastAsia="Arial" w:hAnsi="Arial"/>
          <w:sz w:val="16"/>
          <w:szCs w:val="16"/>
          <w:color w:val="auto"/>
        </w:rPr>
        <w:t>. The Board of Directors shall elect a vice-chairman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may be provided by law.</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Classification and Elections</w:t>
      </w:r>
      <w:r>
        <w:rPr>
          <w:rFonts w:ascii="Arial" w:cs="Arial" w:eastAsia="Arial" w:hAnsi="Arial"/>
          <w:sz w:val="16"/>
          <w:szCs w:val="16"/>
          <w:color w:val="auto"/>
        </w:rPr>
        <w:t>.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 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81" w:lineRule="exact"/>
        <w:rPr>
          <w:sz w:val="20"/>
          <w:szCs w:val="20"/>
          <w:color w:val="auto"/>
        </w:rPr>
      </w:pPr>
    </w:p>
    <w:p>
      <w:pPr>
        <w:ind w:right="20" w:firstLine="351"/>
        <w:spacing w:after="0" w:line="27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i w:val="1"/>
          <w:iCs w:val="1"/>
          <w:color w:val="auto"/>
        </w:rPr>
        <w:t>Removal and Resignation of Directors</w:t>
      </w:r>
      <w:r>
        <w:rPr>
          <w:rFonts w:ascii="Arial" w:cs="Arial" w:eastAsia="Arial" w:hAnsi="Arial"/>
          <w:sz w:val="16"/>
          <w:szCs w:val="16"/>
          <w:color w:val="auto"/>
        </w:rPr>
        <w:t>. Subject to any rights of the holders of preferred stock and except as otherwise provided in the NRS, any director may be removed from office with or without cause by the affirmative vote of the holders of not less than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declared incompetent by an order of a court of competent jurisdiction, convicted of a felony or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w:t>
      </w:r>
    </w:p>
    <w:p>
      <w:pPr>
        <w:spacing w:after="0" w:line="18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Vacancies; Newly Created Directorships</w:t>
      </w:r>
      <w:r>
        <w:rPr>
          <w:rFonts w:ascii="Arial" w:cs="Arial" w:eastAsia="Arial" w:hAnsi="Arial"/>
          <w:sz w:val="18"/>
          <w:szCs w:val="18"/>
          <w:color w:val="auto"/>
        </w:rPr>
        <w:t>. Subject to any rights of the holders of preferred stock,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Annual and Regular Meetings</w:t>
      </w:r>
      <w:r>
        <w:rPr>
          <w:rFonts w:ascii="Arial" w:cs="Arial" w:eastAsia="Arial" w:hAnsi="Arial"/>
          <w:sz w:val="16"/>
          <w:szCs w:val="16"/>
          <w:color w:val="auto"/>
        </w:rPr>
        <w:t>. Immediately following the adjournment of, and at the same place as, the annual or any special meeting of the stockholders at which directors are elected,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i w:val="1"/>
          <w:iCs w:val="1"/>
          <w:color w:val="auto"/>
        </w:rPr>
        <w:t>Special Meetings</w:t>
      </w:r>
      <w:r>
        <w:rPr>
          <w:rFonts w:ascii="Arial" w:cs="Arial" w:eastAsia="Arial" w:hAnsi="Arial"/>
          <w:sz w:val="16"/>
          <w:szCs w:val="16"/>
          <w:color w:val="auto"/>
        </w:rPr>
        <w:t>. Except as otherwise required by law, and subject to any rights of the holders of preferred stock, special meetings of the Board of Directors may be called only by the chairman of the board, if any, or if there be no chairman of the board, by any of the chief executive officer, if any, the president, or the secretary, and shall be called by the chairman of the board, if any, the president, the chief executive officer, if any, or the secretary upon the request of at least a majority of the authorized number of directors. If the chairman of the board, or if there be no chairman of the board, each of the president, chief executive officer, if any, and secretary, refuses or neglects to call such special meeting, a special meeting may be called by a written request signed by at least a majority of the authorized number of directors.</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Place of Meetings</w:t>
      </w:r>
      <w:r>
        <w:rPr>
          <w:rFonts w:ascii="Arial" w:cs="Arial" w:eastAsia="Arial" w:hAnsi="Arial"/>
          <w:sz w:val="18"/>
          <w:szCs w:val="18"/>
          <w:color w:val="auto"/>
        </w:rPr>
        <w:t>.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Notice of Meetings</w:t>
      </w:r>
      <w:r>
        <w:rPr>
          <w:rFonts w:ascii="Arial" w:cs="Arial" w:eastAsia="Arial" w:hAnsi="Arial"/>
          <w:sz w:val="16"/>
          <w:szCs w:val="16"/>
          <w:color w:val="auto"/>
        </w:rPr>
        <w:t>. Except as otherwise provided in Section 3.8 above, there shall be delivered to each director at the address appearing for him or her on the records of the Corporation, at least twenty-four (24) hours before the time of such meeting, a copy of a written notice of any meeting (a) by delivery of such notice personally, (b) by mailing such notice postage prepaid, (c) by facsimile, (d) by overnight courier, (e) by telegram, or (f) by electronic transmission or electronic writing, including, but not limited to, email.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facsimile, by electronic transmission or electronic writing, including, but not limited to, email, the notice shall be deemed delivered upon sender's receipt of confirmation of the successful transmission. If sent via overnight courier, the notice shall be deemed delivered the business day following the delivery of such notice to the courier.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Quorum; Adjourned Meetings</w:t>
      </w:r>
      <w:r>
        <w:rPr>
          <w:rFonts w:ascii="Arial" w:cs="Arial" w:eastAsia="Arial" w:hAnsi="Arial"/>
          <w:sz w:val="18"/>
          <w:szCs w:val="18"/>
          <w:color w:val="auto"/>
        </w:rPr>
        <w: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A majority of the directors in office, at a meeting duly assembled, is necessary to constitute a quorum for the transaction of business.</w:t>
      </w:r>
    </w:p>
    <w:p>
      <w:pPr>
        <w:sectPr>
          <w:pgSz w:w="11900" w:h="16838" w:orient="portrait"/>
          <w:cols w:equalWidth="0" w:num="1">
            <w:col w:w="11420"/>
          </w:cols>
          <w:pgMar w:left="240" w:top="590" w:right="239" w:bottom="0" w:gutter="0" w:footer="0" w:header="0"/>
        </w:sectPr>
      </w:pPr>
    </w:p>
    <w:bookmarkStart w:id="33" w:name="page34"/>
    <w:bookmarkEnd w:id="33"/>
    <w:p>
      <w:pPr>
        <w:jc w:val="both"/>
        <w:ind w:left="540" w:right="480" w:firstLine="359"/>
        <w:spacing w:after="0" w:line="259" w:lineRule="auto"/>
        <w:tabs>
          <w:tab w:leader="none" w:pos="11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Manner of Acting</w:t>
      </w:r>
      <w:r>
        <w:rPr>
          <w:rFonts w:ascii="Arial" w:cs="Arial" w:eastAsia="Arial" w:hAnsi="Arial"/>
          <w:sz w:val="18"/>
          <w:szCs w:val="18"/>
          <w:color w:val="auto"/>
        </w:rPr>
        <w:t>. Except as provided in Section 3.14 below, the affirmative vote of a majority of the directors present at a meeting at which a quorum is present is the act of the Board of Directors.</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Super-majority Approval</w:t>
      </w:r>
      <w:r>
        <w:rPr>
          <w:rFonts w:ascii="Arial" w:cs="Arial" w:eastAsia="Arial" w:hAnsi="Arial"/>
          <w:sz w:val="18"/>
          <w:szCs w:val="18"/>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 is the act of the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225"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i w:val="1"/>
          <w:iCs w:val="1"/>
          <w:color w:val="auto"/>
        </w:rPr>
        <w:t>Telephonic Meetings</w:t>
      </w:r>
      <w:r>
        <w:rPr>
          <w:rFonts w:ascii="Arial" w:cs="Arial" w:eastAsia="Arial" w:hAnsi="Arial"/>
          <w:sz w:val="16"/>
          <w:szCs w:val="16"/>
          <w:color w:val="auto"/>
        </w:rPr>
        <w:t>. Members of the Board of Directors or of any committee designated by the Board of Directors may participate in a meeting of the Board of Directors or such committee by means of a telephone conference or video or similar method of communication by which all persons participating in such meeting can hear each other. Participation in a meeting pursuant to this Section 3.15 constitutes presence in person at the meeting.</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i w:val="1"/>
          <w:iCs w:val="1"/>
          <w:color w:val="auto"/>
        </w:rPr>
        <w:t>Powers and Duties</w:t>
      </w:r>
      <w:r>
        <w:rPr>
          <w:rFonts w:ascii="Arial" w:cs="Arial" w:eastAsia="Arial" w:hAnsi="Arial"/>
          <w:sz w:val="18"/>
          <w:szCs w:val="18"/>
          <w:color w:val="auto"/>
        </w:rPr>
        <w:t>.</w:t>
      </w:r>
    </w:p>
    <w:p>
      <w:pPr>
        <w:spacing w:after="0" w:line="225" w:lineRule="exact"/>
        <w:rPr>
          <w:sz w:val="20"/>
          <w:szCs w:val="20"/>
          <w:color w:val="auto"/>
        </w:rPr>
      </w:pPr>
    </w:p>
    <w:p>
      <w:pPr>
        <w:ind w:left="540" w:right="60" w:firstLine="359"/>
        <w:spacing w:after="0" w:line="256" w:lineRule="auto"/>
        <w:tabs>
          <w:tab w:leader="none" w:pos="11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restricted by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197" w:lineRule="exact"/>
        <w:rPr>
          <w:rFonts w:ascii="Arial" w:cs="Arial" w:eastAsia="Arial" w:hAnsi="Arial"/>
          <w:sz w:val="18"/>
          <w:szCs w:val="18"/>
          <w:color w:val="auto"/>
        </w:rPr>
      </w:pPr>
    </w:p>
    <w:p>
      <w:pPr>
        <w:ind w:left="540" w:right="60" w:firstLine="359"/>
        <w:spacing w:after="0" w:line="256"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in its discretion, or the officer of the Corporation presiding at a meeting of stockholders, in his discretion, may (i) require that any votes cast at such meeting shall be 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197" w:lineRule="exact"/>
        <w:rPr>
          <w:rFonts w:ascii="Arial" w:cs="Arial" w:eastAsia="Arial" w:hAnsi="Arial"/>
          <w:sz w:val="18"/>
          <w:szCs w:val="18"/>
          <w:color w:val="auto"/>
        </w:rPr>
      </w:pPr>
    </w:p>
    <w:p>
      <w:pPr>
        <w:ind w:left="540" w:firstLine="359"/>
        <w:spacing w:after="0" w:line="288" w:lineRule="auto"/>
        <w:tabs>
          <w:tab w:leader="none" w:pos="11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7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i w:val="1"/>
          <w:iCs w:val="1"/>
          <w:color w:val="auto"/>
        </w:rPr>
        <w:t>Compensation</w:t>
      </w:r>
      <w:r>
        <w:rPr>
          <w:rFonts w:ascii="Arial" w:cs="Arial" w:eastAsia="Arial" w:hAnsi="Arial"/>
          <w:sz w:val="18"/>
          <w:szCs w:val="18"/>
          <w:color w:val="auto"/>
        </w:rPr>
        <w:t>. The Board of Directors, without regard to personal interest, may establish the compensation of directors for services in any capacity. If the Board of Directors establishes the compensation of directors pursuant to this subsection, such compensation is presumed to be fair to the Corporation unless proven unfair by a preponderance of the evidence.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i w:val="1"/>
          <w:iCs w:val="1"/>
          <w:color w:val="auto"/>
        </w:rPr>
        <w:t>Organization</w:t>
      </w:r>
      <w:r>
        <w:rPr>
          <w:rFonts w:ascii="Arial" w:cs="Arial" w:eastAsia="Arial" w:hAnsi="Arial"/>
          <w:sz w:val="18"/>
          <w:szCs w:val="18"/>
          <w:color w:val="auto"/>
        </w:rPr>
        <w:t>. Meetings of the Board of Directors shall be presided over by the chairman of the board, or in the absence of the chairman of the board by the vice-chairman, or in 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ectPr>
          <w:pgSz w:w="11900" w:h="16838" w:orient="portrait"/>
          <w:cols w:equalWidth="0" w:num="1">
            <w:col w:w="11420"/>
          </w:cols>
          <w:pgMar w:left="240" w:top="131" w:right="239" w:bottom="128" w:gutter="0" w:footer="0" w:header="0"/>
        </w:sectPr>
      </w:pPr>
    </w:p>
    <w:bookmarkStart w:id="34" w:name="page35"/>
    <w:bookmarkEnd w:id="34"/>
    <w:p>
      <w:pPr>
        <w:ind w:right="180" w:firstLine="35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Election</w:t>
      </w:r>
      <w:r>
        <w:rPr>
          <w:rFonts w:ascii="Arial" w:cs="Arial" w:eastAsia="Arial" w:hAnsi="Arial"/>
          <w:sz w:val="18"/>
          <w:szCs w:val="18"/>
          <w:color w:val="auto"/>
        </w:rPr>
        <w:t>. The Board of Directors, at its annual meeting, shall elect and appoint a president, a secretary and a treasurer. Said officers shall serve until the next succeeding annual meeting of the Board of Directors and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Vacancies</w:t>
      </w:r>
      <w:r>
        <w:rPr>
          <w:rFonts w:ascii="Arial" w:cs="Arial" w:eastAsia="Arial" w:hAnsi="Arial"/>
          <w:sz w:val="18"/>
          <w:szCs w:val="18"/>
          <w:color w:val="auto"/>
        </w:rPr>
        <w:t>. Any vacancy in any office because of death, resignation, removal or otherwise may be filled by the Board of Directors for the unexpired portion of the term of such office.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Chief Executive Officer</w:t>
      </w:r>
      <w:r>
        <w:rPr>
          <w:rFonts w:ascii="Arial" w:cs="Arial" w:eastAsia="Arial" w:hAnsi="Arial"/>
          <w:sz w:val="16"/>
          <w:szCs w:val="16"/>
          <w:color w:val="auto"/>
        </w:rPr>
        <w:t>. The Board of Directors may elect a chief executive officer who, subject to the supervision and control of the Board of Directors, shall have the ultimate responsibility for the management and control of the business and affairs of the Corporation, and shall perform such other duties and have such other powers which are delegated to him or her by the Board of Directors, these Bylaws or as may be provided by law.</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President</w:t>
      </w:r>
      <w:r>
        <w:rPr>
          <w:rFonts w:ascii="Arial" w:cs="Arial" w:eastAsia="Arial" w:hAnsi="Arial"/>
          <w:sz w:val="16"/>
          <w:szCs w:val="16"/>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if any, these Bylaws or as may be provided by law.</w:t>
      </w:r>
    </w:p>
    <w:p>
      <w:pPr>
        <w:spacing w:after="0" w:line="16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Vice Presidents</w:t>
      </w:r>
      <w:r>
        <w:rPr>
          <w:rFonts w:ascii="Arial" w:cs="Arial" w:eastAsia="Arial" w:hAnsi="Arial"/>
          <w:sz w:val="18"/>
          <w:szCs w:val="18"/>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may be provided by law.</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Secretary</w:t>
      </w:r>
      <w:r>
        <w:rPr>
          <w:rFonts w:ascii="Arial" w:cs="Arial" w:eastAsia="Arial" w:hAnsi="Arial"/>
          <w:sz w:val="16"/>
          <w:szCs w:val="16"/>
          <w:color w:val="auto"/>
        </w:rPr>
        <w:t>. The secretary shall attend all meetings of the stockholders, the Board of Directors and any committees, and shall keep, or cause to be kept, the minutes of proceeds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custodian of the corporate seal, the records of the Corporation, the stock certificate books, transfer books and stock ledgers, and such other books and papers as the Board of Directors or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may be provided by law.</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Assistant Secretaries</w:t>
      </w:r>
      <w:r>
        <w:rPr>
          <w:rFonts w:ascii="Arial" w:cs="Arial" w:eastAsia="Arial" w:hAnsi="Arial"/>
          <w:sz w:val="18"/>
          <w:szCs w:val="18"/>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may be provided by law.</w:t>
      </w:r>
    </w:p>
    <w:p>
      <w:pPr>
        <w:spacing w:after="0" w:line="19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Treasurer</w:t>
      </w:r>
      <w:r>
        <w:rPr>
          <w:rFonts w:ascii="Arial" w:cs="Arial" w:eastAsia="Arial" w:hAnsi="Arial"/>
          <w:sz w:val="16"/>
          <w:szCs w:val="16"/>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may be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Assistant Treasurers</w:t>
      </w:r>
      <w:r>
        <w:rPr>
          <w:rFonts w:ascii="Arial" w:cs="Arial" w:eastAsia="Arial" w:hAnsi="Arial"/>
          <w:sz w:val="16"/>
          <w:szCs w:val="16"/>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may be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7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Execution of Negotiable Instruments, Deeds and Contracts</w:t>
      </w:r>
      <w:r>
        <w:rPr>
          <w:rFonts w:ascii="Arial" w:cs="Arial" w:eastAsia="Arial" w:hAnsi="Arial"/>
          <w:sz w:val="16"/>
          <w:szCs w:val="16"/>
          <w:color w:val="auto"/>
        </w:rPr>
        <w:t>. All checks, drafts, notes, bonds, bills of exchange, and orders for the payment 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ectPr>
          <w:pgSz w:w="11900" w:h="16838" w:orient="portrait"/>
          <w:cols w:equalWidth="0" w:num="1">
            <w:col w:w="11400"/>
          </w:cols>
          <w:pgMar w:left="240" w:top="131" w:right="259" w:bottom="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Issuance</w:t>
      </w:r>
      <w:r>
        <w:rPr>
          <w:rFonts w:ascii="Arial" w:cs="Arial" w:eastAsia="Arial" w:hAnsi="Arial"/>
          <w:sz w:val="18"/>
          <w:szCs w:val="18"/>
          <w:color w:val="auto"/>
        </w:rPr>
        <w:t>.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Stock Certificates and Uncertified Shares</w:t>
      </w:r>
      <w:r>
        <w:rPr>
          <w:rFonts w:ascii="Arial" w:cs="Arial" w:eastAsia="Arial" w:hAnsi="Arial"/>
          <w:sz w:val="16"/>
          <w:szCs w:val="16"/>
          <w:color w:val="auto"/>
        </w:rPr>
        <w:t xml:space="preserve">. Every holder of stock in the Corporation shall be entitled to have a certificate signed by or in the name of the Corporation by the president, the chief executive officer, if any, or a vice president, and by the secretary or an assistant secretary, of the Corporation (or any other two officers or agents so authorized by the Board of Directors), certifying the number of shares of stock owned by him, her or it in the Corporation;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Board of Directors may authorize the issuance of uncertificated shares of some or all of any or all classes or series of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Any such issuance of uncertificated shares shall have no effect on existing certificates for shares until such certificates are surrendered to the Corporation, or on the respective rights and obligations of the stockholders.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78"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Within a reasonable time after the issuance or transfer of uncertificated shares, the Corporation shall send to the registered owner thereof a written statement certifying the number of shares owned by him, her or it in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52"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Surrendered; Lost or Destroyed Certificates</w:t>
      </w:r>
      <w:r>
        <w:rPr>
          <w:rFonts w:ascii="Arial" w:cs="Arial" w:eastAsia="Arial" w:hAnsi="Arial"/>
          <w:sz w:val="16"/>
          <w:szCs w:val="16"/>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Replacement Certificate</w:t>
      </w:r>
      <w:r>
        <w:rPr>
          <w:rFonts w:ascii="Arial" w:cs="Arial" w:eastAsia="Arial" w:hAnsi="Arial"/>
          <w:sz w:val="16"/>
          <w:szCs w:val="16"/>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72"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i w:val="1"/>
          <w:iCs w:val="1"/>
          <w:color w:val="auto"/>
        </w:rPr>
        <w:t>Transfer of Shares</w:t>
      </w:r>
      <w:r>
        <w:rPr>
          <w:rFonts w:ascii="Arial" w:cs="Arial" w:eastAsia="Arial" w:hAnsi="Arial"/>
          <w:sz w:val="15"/>
          <w:szCs w:val="15"/>
          <w:color w:val="auto"/>
        </w:rPr>
        <w:t>.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4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Transfer Agent; Registrars</w:t>
      </w:r>
      <w:r>
        <w:rPr>
          <w:rFonts w:ascii="Arial" w:cs="Arial" w:eastAsia="Arial" w:hAnsi="Arial"/>
          <w:sz w:val="16"/>
          <w:szCs w:val="16"/>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Miscellaneous</w:t>
      </w:r>
      <w:r>
        <w:rPr>
          <w:rFonts w:ascii="Arial" w:cs="Arial" w:eastAsia="Arial" w:hAnsi="Arial"/>
          <w:sz w:val="18"/>
          <w:szCs w:val="18"/>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Nevada Control Share Law</w:t>
      </w:r>
      <w:r>
        <w:rPr>
          <w:rFonts w:ascii="Arial" w:cs="Arial" w:eastAsia="Arial" w:hAnsi="Arial"/>
          <w:sz w:val="18"/>
          <w:szCs w:val="18"/>
          <w:color w:val="auto"/>
        </w:rPr>
        <w:t>. The provisions of NRS 78.378 to NRS 78.3793, inclusive, do not, and shall not, apply to any acquisition of a controlling interest in the Corporation pursuant to the Buy-Sell Agreement dated as of June 13, 2002, as amended, by and among Stephen A. Wynn, Kazuo Okada, Aruze USA, Inc., and Aruze Corp.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ectPr>
          <w:pgSz w:w="11900" w:h="16838" w:orient="portrait"/>
          <w:cols w:equalWidth="0" w:num="1">
            <w:col w:w="11420"/>
          </w:cols>
          <w:pgMar w:left="240" w:top="131" w:right="239" w:bottom="0" w:gutter="0" w:footer="0" w:header="0"/>
        </w:sectPr>
      </w:pPr>
    </w:p>
    <w:bookmarkStart w:id="36" w:name="page37"/>
    <w:bookmarkEnd w:id="36"/>
    <w:p>
      <w:pPr>
        <w:ind w:right="180" w:firstLine="351"/>
        <w:spacing w:after="0" w:line="306" w:lineRule="auto"/>
        <w:rPr>
          <w:sz w:val="20"/>
          <w:szCs w:val="20"/>
          <w:color w:val="auto"/>
        </w:rPr>
      </w:pPr>
      <w:r>
        <w:rPr>
          <w:rFonts w:ascii="Arial" w:cs="Arial" w:eastAsia="Arial" w:hAnsi="Arial"/>
          <w:sz w:val="16"/>
          <w:szCs w:val="16"/>
          <w:color w:val="auto"/>
        </w:rPr>
        <w:t>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2.5 above, prior to the distribution for the purpose of determining stockholders entitled to receive any distribution.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RECORDS; REPORTS; SEAL; AND FINANCIAL MATTERS</w:t>
      </w:r>
    </w:p>
    <w:p>
      <w:pPr>
        <w:spacing w:after="0" w:line="21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Records</w:t>
      </w:r>
      <w:r>
        <w:rPr>
          <w:rFonts w:ascii="Arial" w:cs="Arial" w:eastAsia="Arial" w:hAnsi="Arial"/>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Corporate Seal</w:t>
      </w:r>
      <w:r>
        <w:rPr>
          <w:rFonts w:ascii="Arial" w:cs="Arial" w:eastAsia="Arial" w:hAnsi="Arial"/>
          <w:sz w:val="18"/>
          <w:szCs w:val="18"/>
          <w:color w:val="auto"/>
        </w:rPr>
        <w:t>. The Board of Directors may, by resolution, authorize a seal, and the seal may be used by causing it, or a facsimile, to be impressed or affixed or reproduced or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Except when otherwise specifically provided herein, any officer of the Corporation shall have the authority to affix the seal to any document requiring it.</w:t>
      </w:r>
    </w:p>
    <w:p>
      <w:pPr>
        <w:spacing w:after="0" w:line="24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Fiscal Year-End</w:t>
      </w:r>
      <w:r>
        <w:rPr>
          <w:rFonts w:ascii="Arial" w:cs="Arial" w:eastAsia="Arial" w:hAnsi="Arial"/>
          <w:sz w:val="18"/>
          <w:szCs w:val="18"/>
          <w:color w:val="auto"/>
        </w:rPr>
        <w:t>. The fiscal year-end of the Corporation shall be such date as may be fixed from time to time by resolution of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left="1140" w:hanging="241"/>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Indemnification of Directors and Officers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1080" w:firstLine="360"/>
        <w:spacing w:after="0" w:line="304" w:lineRule="auto"/>
        <w:tabs>
          <w:tab w:leader="none" w:pos="1641" w:val="left"/>
        </w:tabs>
        <w:numPr>
          <w:ilvl w:val="2"/>
          <w:numId w:val="28"/>
        </w:numPr>
        <w:rPr>
          <w:rFonts w:ascii="Arial" w:cs="Arial" w:eastAsia="Arial" w:hAnsi="Arial"/>
          <w:sz w:val="15"/>
          <w:szCs w:val="15"/>
          <w:color w:val="auto"/>
        </w:rPr>
      </w:pPr>
      <w:r>
        <w:rPr>
          <w:rFonts w:ascii="Arial" w:cs="Arial" w:eastAsia="Arial" w:hAnsi="Arial"/>
          <w:sz w:val="15"/>
          <w:szCs w:val="15"/>
          <w:color w:val="auto"/>
        </w:rPr>
        <w:t>For purposes of this Article, (A) "</w:t>
      </w:r>
      <w:r>
        <w:rPr>
          <w:rFonts w:ascii="Arial" w:cs="Arial" w:eastAsia="Arial" w:hAnsi="Arial"/>
          <w:sz w:val="15"/>
          <w:szCs w:val="15"/>
          <w:b w:val="1"/>
          <w:bCs w:val="1"/>
          <w:color w:val="auto"/>
        </w:rPr>
        <w:t>Indemnitee</w:t>
      </w:r>
      <w:r>
        <w:rPr>
          <w:rFonts w:ascii="Arial" w:cs="Arial" w:eastAsia="Arial" w:hAnsi="Arial"/>
          <w:sz w:val="15"/>
          <w:szCs w:val="15"/>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and</w:t>
      </w:r>
    </w:p>
    <w:p>
      <w:pPr>
        <w:ind w:left="1080" w:right="320" w:firstLine="8"/>
        <w:spacing w:after="0" w:line="261" w:lineRule="auto"/>
        <w:tabs>
          <w:tab w:leader="none" w:pos="13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91" w:lineRule="exact"/>
        <w:rPr>
          <w:rFonts w:ascii="Arial" w:cs="Arial" w:eastAsia="Arial" w:hAnsi="Arial"/>
          <w:sz w:val="18"/>
          <w:szCs w:val="18"/>
          <w:color w:val="auto"/>
        </w:rPr>
      </w:pPr>
    </w:p>
    <w:p>
      <w:pPr>
        <w:ind w:left="1080" w:firstLine="360"/>
        <w:spacing w:after="0" w:line="284" w:lineRule="auto"/>
        <w:tabs>
          <w:tab w:leader="none" w:pos="1690"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officer incurred in his or her capacity as a stockholder, including, but not limited to, in connection with such person being deemed an Unsuitable Person (as defined in Article VII of the Articles of Incorporation).</w:t>
      </w:r>
    </w:p>
    <w:p>
      <w:pPr>
        <w:spacing w:after="0" w:line="186" w:lineRule="exact"/>
        <w:rPr>
          <w:sz w:val="20"/>
          <w:szCs w:val="20"/>
          <w:color w:val="auto"/>
        </w:rPr>
      </w:pPr>
    </w:p>
    <w:p>
      <w:pPr>
        <w:ind w:left="1080" w:right="120" w:firstLine="360"/>
        <w:spacing w:after="0" w:line="323" w:lineRule="auto"/>
        <w:tabs>
          <w:tab w:leader="none" w:pos="1738"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51" w:lineRule="exact"/>
        <w:rPr>
          <w:rFonts w:ascii="Arial" w:cs="Arial" w:eastAsia="Arial" w:hAnsi="Arial"/>
          <w:sz w:val="15"/>
          <w:szCs w:val="15"/>
          <w:color w:val="auto"/>
        </w:rPr>
      </w:pPr>
    </w:p>
    <w:p>
      <w:pPr>
        <w:ind w:left="1080" w:firstLine="360"/>
        <w:spacing w:after="0" w:line="314" w:lineRule="auto"/>
        <w:tabs>
          <w:tab w:leader="none" w:pos="172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expenses of Indemnitees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ectPr>
          <w:pgSz w:w="11900" w:h="16838" w:orient="portrait"/>
          <w:cols w:equalWidth="0" w:num="1">
            <w:col w:w="11400"/>
          </w:cols>
          <w:pgMar w:left="240" w:top="131" w:right="259" w:bottom="0" w:gutter="0" w:footer="0" w:header="0"/>
        </w:sectPr>
      </w:pPr>
    </w:p>
    <w:bookmarkStart w:id="37" w:name="page38"/>
    <w:bookmarkEnd w:id="37"/>
    <w:p>
      <w:pPr>
        <w:ind w:left="540" w:right="280" w:firstLine="359"/>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Indemnification of Employees and Other Persons</w:t>
      </w:r>
      <w:r>
        <w:rPr>
          <w:rFonts w:ascii="Arial" w:cs="Arial" w:eastAsia="Arial" w:hAnsi="Arial"/>
          <w:sz w:val="18"/>
          <w:szCs w:val="18"/>
          <w:color w:val="auto"/>
        </w:rPr>
        <w:t>. The Corporation may, by action of its Board of Directors and to the extent provided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indemnify employees and other persons as though they were Indemnitees.</w:t>
      </w:r>
    </w:p>
    <w:p>
      <w:pPr>
        <w:spacing w:after="0" w:line="185" w:lineRule="exact"/>
        <w:rPr>
          <w:rFonts w:ascii="Arial" w:cs="Arial" w:eastAsia="Arial" w:hAnsi="Arial"/>
          <w:sz w:val="18"/>
          <w:szCs w:val="18"/>
          <w:color w:val="auto"/>
        </w:rPr>
      </w:pPr>
    </w:p>
    <w:p>
      <w:pPr>
        <w:jc w:val="both"/>
        <w:ind w:left="540" w:right="280" w:firstLine="359"/>
        <w:spacing w:after="0" w:line="259" w:lineRule="auto"/>
        <w:tabs>
          <w:tab w:leader="none" w:pos="113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Non-Exclusivity of Rights</w:t>
      </w:r>
      <w:r>
        <w:rPr>
          <w:rFonts w:ascii="Arial" w:cs="Arial" w:eastAsia="Arial" w:hAnsi="Arial"/>
          <w:sz w:val="18"/>
          <w:szCs w:val="18"/>
          <w:color w:val="auto"/>
        </w:rPr>
        <w:t>. The rights to indemnification provided in this Article shall not be exclusive of any other rights that any person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hereafter acquire under any statute, provision of the Articles of Incorporation or these Bylaws, agreement, vote of stockholders or directors, or otherwise.</w:t>
      </w:r>
    </w:p>
    <w:p>
      <w:pPr>
        <w:spacing w:after="0" w:line="194" w:lineRule="exact"/>
        <w:rPr>
          <w:rFonts w:ascii="Arial" w:cs="Arial" w:eastAsia="Arial" w:hAnsi="Arial"/>
          <w:sz w:val="18"/>
          <w:szCs w:val="18"/>
          <w:color w:val="auto"/>
        </w:rPr>
      </w:pPr>
    </w:p>
    <w:p>
      <w:pPr>
        <w:ind w:left="540" w:right="260" w:firstLine="359"/>
        <w:spacing w:after="0" w:line="256"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Corporation may purchase and maintain insurance or make other financial arrangements on behalf of any Indemnitee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97" w:lineRule="exact"/>
        <w:rPr>
          <w:rFonts w:ascii="Arial" w:cs="Arial" w:eastAsia="Arial" w:hAnsi="Arial"/>
          <w:sz w:val="18"/>
          <w:szCs w:val="18"/>
          <w:color w:val="auto"/>
        </w:rPr>
      </w:pPr>
    </w:p>
    <w:p>
      <w:pPr>
        <w:ind w:left="540" w:firstLine="359"/>
        <w:spacing w:after="0" w:line="254" w:lineRule="auto"/>
        <w:tabs>
          <w:tab w:leader="none" w:pos="113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Other Financial Arrangements</w:t>
      </w:r>
      <w:r>
        <w:rPr>
          <w:rFonts w:ascii="Arial" w:cs="Arial" w:eastAsia="Arial" w:hAnsi="Arial"/>
          <w:sz w:val="18"/>
          <w:szCs w:val="18"/>
          <w:color w:val="auto"/>
        </w:rPr>
        <w:t>. The other financial arrangements which may be made by the Corporation may include the following (i) the</w:t>
      </w:r>
      <w:r>
        <w:rPr>
          <w:rFonts w:ascii="Arial" w:cs="Arial" w:eastAsia="Arial" w:hAnsi="Arial"/>
          <w:sz w:val="18"/>
          <w:szCs w:val="18"/>
          <w:i w:val="1"/>
          <w:iCs w:val="1"/>
          <w:color w:val="auto"/>
        </w:rPr>
        <w:t xml:space="preserve"> </w:t>
      </w:r>
      <w:r>
        <w:rPr>
          <w:rFonts w:ascii="Arial" w:cs="Arial" w:eastAsia="Arial" w:hAnsi="Arial"/>
          <w:sz w:val="18"/>
          <w:szCs w:val="18"/>
          <w:color w:val="auto"/>
        </w:rPr>
        <w:t>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98" w:lineRule="exact"/>
        <w:rPr>
          <w:rFonts w:ascii="Arial" w:cs="Arial" w:eastAsia="Arial" w:hAnsi="Arial"/>
          <w:sz w:val="18"/>
          <w:szCs w:val="18"/>
          <w:color w:val="auto"/>
        </w:rPr>
      </w:pPr>
    </w:p>
    <w:p>
      <w:pPr>
        <w:jc w:val="both"/>
        <w:ind w:left="540" w:right="140" w:firstLine="359"/>
        <w:spacing w:after="0" w:line="255" w:lineRule="auto"/>
        <w:tabs>
          <w:tab w:leader="none" w:pos="111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Other Matters Relating to Insurance or Financial Arrangements</w:t>
      </w:r>
      <w:r>
        <w:rPr>
          <w:rFonts w:ascii="Arial" w:cs="Arial" w:eastAsia="Arial" w:hAnsi="Arial"/>
          <w:sz w:val="18"/>
          <w:szCs w:val="18"/>
          <w:color w:val="auto"/>
        </w:rPr>
        <w:t>. Any insurance or other financial arrangement made on behalf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and the choice of the person to provide the insurance or other financial arrangement is conclusive; and (ii) the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color w:val="auto"/>
        </w:rPr>
        <w:t>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Amendment</w:t>
      </w:r>
      <w:r>
        <w:rPr>
          <w:rFonts w:ascii="Arial" w:cs="Arial" w:eastAsia="Arial" w:hAnsi="Arial"/>
          <w:sz w:val="16"/>
          <w:szCs w:val="16"/>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below), no repeal or amendment of these Bylaws shall affect any or all of this Article VIII so as to limit or reduce the indemnification in any manner unless adopted by (a) the unanimous vote of the directors of the Corporation then serving, or (b) by the stockholders as set forth in Article X hereof; provided that no such amendment shall have a retroactive effect inconsistent with the preceding sentence.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NEVADA LAW</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References in these Bylaws to Nevada law or the NRS or to any provision thereof shall be to such law as it existed on the 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VIII hereof, the rights to limited liability, to indemnification and to the advancement of expenses provided in the Articles of Incorporation and/or these Bylaws shall continue as theretofore to the extent permitted by law; and (b)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REPEAL</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Amendment of Bylaws</w:t>
      </w:r>
      <w:r>
        <w:rPr>
          <w:rFonts w:ascii="Arial" w:cs="Arial" w:eastAsia="Arial" w:hAnsi="Arial"/>
          <w:sz w:val="18"/>
          <w:szCs w:val="18"/>
          <w:color w:val="auto"/>
        </w:rPr>
        <w:t>.</w:t>
      </w:r>
    </w:p>
    <w:p>
      <w:pPr>
        <w:spacing w:after="0" w:line="225" w:lineRule="exact"/>
        <w:rPr>
          <w:sz w:val="20"/>
          <w:szCs w:val="20"/>
          <w:color w:val="auto"/>
        </w:rPr>
      </w:pPr>
    </w:p>
    <w:p>
      <w:pPr>
        <w:ind w:left="540" w:right="80" w:firstLine="359"/>
        <w:spacing w:after="0" w:line="268" w:lineRule="auto"/>
        <w:tabs>
          <w:tab w:leader="none" w:pos="113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In furtherance and not in limitation of the powers conferred by statute, the Board of Directors of the Corporation is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adopt, repeal, alter, amend and rescind these Bylaws.</w:t>
      </w:r>
    </w:p>
    <w:p>
      <w:pPr>
        <w:spacing w:after="0" w:line="185" w:lineRule="exact"/>
        <w:rPr>
          <w:rFonts w:ascii="Arial" w:cs="Arial" w:eastAsia="Arial" w:hAnsi="Arial"/>
          <w:sz w:val="18"/>
          <w:szCs w:val="18"/>
          <w:color w:val="auto"/>
        </w:rPr>
      </w:pPr>
    </w:p>
    <w:p>
      <w:pPr>
        <w:ind w:left="540" w:right="60" w:firstLine="359"/>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Stockholders</w:t>
      </w:r>
      <w:r>
        <w:rPr>
          <w:rFonts w:ascii="Arial" w:cs="Arial" w:eastAsia="Arial" w:hAnsi="Arial"/>
          <w:sz w:val="18"/>
          <w:szCs w:val="18"/>
          <w:color w:val="auto"/>
        </w:rPr>
        <w:t>. Notwithstanding Section 10.1(a) above, these Bylaws may be rescinded, altered, amended or repealed in any respect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at least sixty-six and two-thirds percent (66?%) of the outstanding voting power of the Corporation, voting together as a single class.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00"/>
          </w:cols>
          <w:pgMar w:left="240" w:top="131" w:right="259" w:bottom="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THIRD AMENDED AND RESTATED BYLAWS EFFECTIVE AS OF SEPTEMBER 23, 2002</w:t>
        </w:r>
      </w:hyperlink>
    </w:p>
    <w:p>
      <w:pPr>
        <w:sectPr>
          <w:pgSz w:w="11900" w:h="16838" w:orient="portrait"/>
          <w:cols w:equalWidth="0" w:num="1">
            <w:col w:w="11400"/>
          </w:cols>
          <w:pgMar w:left="240" w:top="131" w:right="259" w:bottom="0" w:gutter="0" w:footer="0" w:header="0"/>
          <w:type w:val="continuous"/>
        </w:sectPr>
      </w:pPr>
    </w:p>
    <w:bookmarkStart w:id="38" w:name="page39"/>
    <w:bookmarkEnd w:id="38"/>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19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Stephen A. Wynn is the Chief Executive Officer of Wynn Resorts, Limited (the "Company").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Company's Form 10-Q for the quarterly period ended September 30, 2002 accompanying this Certification, in the form filed with the Securities and Exchange Commission (the "Report") fully complies with the requirements of Section 13(a) of the Securities Exchange Act of 1934 (the "Exchange Act");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99.1</w:t>
        </w:r>
      </w:hyperlink>
    </w:p>
    <w:p>
      <w:pPr>
        <w:sectPr>
          <w:pgSz w:w="11900" w:h="16838" w:orient="portrait"/>
          <w:cols w:equalWidth="0" w:num="1">
            <w:col w:w="11400"/>
          </w:cols>
          <w:pgMar w:left="240" w:top="361" w:right="259" w:bottom="1440" w:gutter="0" w:footer="0" w:header="0"/>
        </w:sectPr>
      </w:pPr>
    </w:p>
    <w:bookmarkStart w:id="39" w:name="page40"/>
    <w:bookmarkEnd w:id="39"/>
    <w:p>
      <w:pPr>
        <w:spacing w:after="0"/>
        <w:rPr>
          <w:rFonts w:ascii="Arial" w:cs="Arial" w:eastAsia="Arial" w:hAnsi="Arial"/>
          <w:sz w:val="22"/>
          <w:szCs w:val="22"/>
          <w:color w:val="0000EE"/>
        </w:rPr>
      </w:pPr>
      <w:hyperlink w:anchor="page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19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John Strzemp is the Chief Financial Officer of Wynn Resorts, Limited (the "Company").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Company's Form 10-Q for the quarterly period ended September 30, 2002 accompanying this Certification, in the form filed with the Securities and Exchange Commission (the "Report") fully complies with the requirements of Section 13(a) of the Securities Exchange Act of 1934 (the "Exchange Act");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December 9, 2002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 99.2</w:t>
        </w:r>
      </w:hyperlink>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9"/>
    </w:lvl>
  </w:abstractNum>
  <w:abstractNum w:abstractNumId="3">
    <w:nsid w:val="7C83E458"/>
    <w:multiLevelType w:val="hybridMultilevel"/>
    <w:lvl w:ilvl="0">
      <w:lvlJc w:val="left"/>
      <w:lvlText w:val="%1."/>
      <w:numFmt w:val="decimal"/>
      <w:start w:val="1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lvl w:ilvl="1">
      <w:lvlJc w:val="left"/>
      <w:lvlText w:val="(%2)"/>
      <w:numFmt w:val="lowerLetter"/>
      <w:start w:val="2"/>
    </w:lvl>
  </w:abstractNum>
  <w:abstractNum w:abstractNumId="9">
    <w:nsid w:val="721DA317"/>
    <w:multiLevelType w:val="hybridMultilevel"/>
    <w:lvl w:ilvl="0">
      <w:lvlJc w:val="left"/>
      <w:lvlText w:val="%1."/>
      <w:numFmt w:val="decimal"/>
      <w:start w:val="1"/>
    </w:lvl>
    <w:lvl w:ilvl="1">
      <w:lvlJc w:val="left"/>
      <w:lvlText w:val="%2)"/>
      <w:numFmt w:val="lowerLetter"/>
      <w:start w:val="1"/>
    </w:lvl>
  </w:abstractNum>
  <w:abstractNum w:abstractNumId="10">
    <w:nsid w:val="2443A858"/>
    <w:multiLevelType w:val="hybridMultilevel"/>
    <w:lvl w:ilvl="0">
      <w:lvlJc w:val="left"/>
      <w:lvlText w:val="%1."/>
      <w:numFmt w:val="decimal"/>
      <w:start w:val="1"/>
    </w:lvl>
    <w:lvl w:ilvl="1">
      <w:lvlJc w:val="left"/>
      <w:lvlText w:val="%2)"/>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2"/>
    </w:lvl>
  </w:abstractNum>
  <w:abstractNum w:abstractNumId="14">
    <w:nsid w:val="8EDBDAB"/>
    <w:multiLevelType w:val="hybridMultilevel"/>
    <w:lvl w:ilvl="0">
      <w:lvlJc w:val="left"/>
      <w:lvlText w:val="(%1)"/>
      <w:numFmt w:val="lowerLetter"/>
      <w:start w:val="3"/>
    </w:lvl>
  </w:abstractNum>
  <w:abstractNum w:abstractNumId="15">
    <w:nsid w:val="79838CB2"/>
    <w:multiLevelType w:val="hybridMultilevel"/>
    <w:lvl w:ilvl="0">
      <w:lvlJc w:val="left"/>
      <w:lvlText w:val="%1"/>
      <w:numFmt w:val="decimal"/>
      <w:start w:val="1"/>
    </w:lvl>
    <w:lvl w:ilvl="1">
      <w:lvlJc w:val="left"/>
      <w:lvlText w:val="(%2)"/>
      <w:numFmt w:val="lowerLetter"/>
      <w:start w:val="1"/>
    </w:lvl>
  </w:abstractNum>
  <w:abstractNum w:abstractNumId="16">
    <w:nsid w:val="4353D0CD"/>
    <w:multiLevelType w:val="hybridMultilevel"/>
    <w:lvl w:ilvl="0">
      <w:lvlJc w:val="left"/>
      <w:lvlText w:val="(%1)"/>
      <w:numFmt w:val="decimal"/>
      <w:start w:val="60"/>
    </w:lvl>
    <w:lvl w:ilvl="1">
      <w:lvlJc w:val="left"/>
      <w:lvlText w:val="(%2)"/>
      <w:numFmt w:val="lowerLetter"/>
      <w:start w:val="2"/>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3"/>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lowerLetter"/>
      <w:start w:val="7"/>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10"/>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28">
    <w:nsid w:val="737B8DD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29">
    <w:nsid w:val="6CEAF087"/>
    <w:multiLevelType w:val="hybridMultilevel"/>
    <w:lvl w:ilvl="0">
      <w:lvlJc w:val="left"/>
      <w:lvlText w:val="(%1)"/>
      <w:numFmt w:val="lowerRoman"/>
      <w:start w:val="3"/>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lvl w:ilvl="1">
      <w:lvlJc w:val="left"/>
      <w:lvlText w:val="(%2)"/>
      <w:numFmt w:val="upperLetter"/>
      <w:start w:val="1"/>
    </w:lvl>
  </w:abstractNum>
  <w:abstractNum w:abstractNumId="33">
    <w:nsid w:val="614FD4A1"/>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2019-12-15T06:41:20Z</dcterms:created>
  <dcterms:modified xsi:type="dcterms:W3CDTF">2019-12-15T06:41:20Z</dcterms:modified>
</cp:coreProperties>
</file>