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7"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Report (Date of earliest event reported): September 17, 2004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420"/>
            <w:col w:w="2520" w:space="100"/>
            <w:col w:w="3899"/>
          </w:cols>
          <w:pgMar w:left="240" w:top="250" w:right="1440" w:bottom="1440" w:gutter="0" w:footer="0" w:header="0"/>
          <w:type w:val="continuous"/>
        </w:sectPr>
      </w:pPr>
    </w:p>
    <w:p>
      <w:pPr>
        <w:spacing w:after="0" w:line="1"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64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250"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50" w:right="1440" w:bottom="1440" w:gutter="0" w:footer="0" w:header="0"/>
          <w:type w:val="continuous"/>
        </w:sectPr>
      </w:pPr>
    </w:p>
    <w:p>
      <w:pPr>
        <w:spacing w:after="0" w:line="224"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420" w:right="2739" w:hanging="420"/>
        <w:spacing w:after="0" w:line="235" w:lineRule="auto"/>
        <w:rPr>
          <w:sz w:val="20"/>
          <w:szCs w:val="20"/>
          <w:color w:val="auto"/>
        </w:rPr>
      </w:pPr>
      <w:r>
        <w:rPr>
          <w:rFonts w:ascii="Courier New" w:cs="Courier New" w:eastAsia="Courier New" w:hAnsi="Courier New"/>
          <w:sz w:val="18"/>
          <w:szCs w:val="18"/>
          <w:color w:val="auto"/>
        </w:rPr>
        <w:t>|_| Written communication pursuant to Rule 425 under the Securities Act (17 CFR 230.425)</w:t>
      </w:r>
    </w:p>
    <w:p>
      <w:pPr>
        <w:spacing w:after="0" w:line="208" w:lineRule="exact"/>
        <w:rPr>
          <w:sz w:val="24"/>
          <w:szCs w:val="24"/>
          <w:color w:val="auto"/>
        </w:rPr>
      </w:pPr>
    </w:p>
    <w:p>
      <w:pPr>
        <w:ind w:left="420" w:right="2839" w:hanging="420"/>
        <w:spacing w:after="0" w:line="235" w:lineRule="auto"/>
        <w:rPr>
          <w:sz w:val="20"/>
          <w:szCs w:val="20"/>
          <w:color w:val="auto"/>
        </w:rPr>
      </w:pPr>
      <w:r>
        <w:rPr>
          <w:rFonts w:ascii="Courier New" w:cs="Courier New" w:eastAsia="Courier New" w:hAnsi="Courier New"/>
          <w:sz w:val="18"/>
          <w:szCs w:val="18"/>
          <w:color w:val="auto"/>
        </w:rPr>
        <w:t>|_| Soliciting material pursuant to Rule 14a-12 under the Exchange Act (17 CFR 240.14a-12)</w:t>
      </w:r>
    </w:p>
    <w:p>
      <w:pPr>
        <w:spacing w:after="0" w:line="208" w:lineRule="exact"/>
        <w:rPr>
          <w:sz w:val="24"/>
          <w:szCs w:val="24"/>
          <w:color w:val="auto"/>
        </w:rPr>
      </w:pPr>
    </w:p>
    <w:p>
      <w:pPr>
        <w:ind w:left="420" w:right="2739" w:hanging="420"/>
        <w:spacing w:after="0" w:line="235" w:lineRule="auto"/>
        <w:rPr>
          <w:sz w:val="20"/>
          <w:szCs w:val="20"/>
          <w:color w:val="auto"/>
        </w:rPr>
      </w:pPr>
      <w:r>
        <w:rPr>
          <w:rFonts w:ascii="Courier New" w:cs="Courier New" w:eastAsia="Courier New" w:hAnsi="Courier New"/>
          <w:sz w:val="18"/>
          <w:szCs w:val="18"/>
          <w:color w:val="auto"/>
        </w:rPr>
        <w:t>|_| Pre-commencement communications pursuant to Rule 14d-2(b) under the Exchange Act (17 CFR 240.14d-2(b))</w:t>
      </w:r>
    </w:p>
    <w:p>
      <w:pPr>
        <w:spacing w:after="0" w:line="208" w:lineRule="exact"/>
        <w:rPr>
          <w:sz w:val="24"/>
          <w:szCs w:val="24"/>
          <w:color w:val="auto"/>
        </w:rPr>
      </w:pPr>
    </w:p>
    <w:p>
      <w:pPr>
        <w:ind w:left="420" w:right="2619" w:hanging="420"/>
        <w:spacing w:after="0" w:line="235" w:lineRule="auto"/>
        <w:rPr>
          <w:sz w:val="20"/>
          <w:szCs w:val="20"/>
          <w:color w:val="auto"/>
        </w:rPr>
      </w:pPr>
      <w:r>
        <w:rPr>
          <w:rFonts w:ascii="Courier New" w:cs="Courier New" w:eastAsia="Courier New" w:hAnsi="Courier New"/>
          <w:sz w:val="18"/>
          <w:szCs w:val="18"/>
          <w:color w:val="auto"/>
        </w:rPr>
        <w:t>|_| Pre-commencements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September 17, 2004, John Strzemp, Executive Vice President and Chief Financial Officer of the Company, entered into a Rule 10b5-1 trading plan to sell up to 70,000 shares of the Company's common stock concurrent with the vesting of 189,723 shares of the Company's common stock which Mr. Strzemp received pursuant to Restricted Stock Agreement dated as December 11, 2002 by and between the Company and Mr. Strzemp. Mr. Strzemp has advised the Company that the proceeds from the sale of the shares will be used primarily to pay tax withholding obligations resulting from the vesting of the 189,723 shares of common stock and brokerage commissions associated with the sale.</w:t>
      </w: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trading plan is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ectPr>
          <w:pgSz w:w="11900" w:h="16838" w:orient="portrait"/>
          <w:cols w:equalWidth="0" w:num="1">
            <w:col w:w="10219"/>
          </w:cols>
          <w:pgMar w:left="240" w:top="25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 October</w:t>
      </w:r>
      <w:r>
        <w:rPr>
          <w:sz w:val="20"/>
          <w:szCs w:val="20"/>
          <w:color w:val="auto"/>
        </w:rPr>
        <w:tab/>
      </w:r>
      <w:r>
        <w:rPr>
          <w:rFonts w:ascii="Courier New" w:cs="Courier New" w:eastAsia="Courier New" w:hAnsi="Courier New"/>
          <w:sz w:val="16"/>
          <w:szCs w:val="16"/>
          <w:color w:val="auto"/>
        </w:rPr>
        <w:t>20, 2004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John Strzemp</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John Strzemp</w:t>
      </w:r>
    </w:p>
    <w:p>
      <w:pPr>
        <w:ind w:left="464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2019-12-12T02:49:39Z</dcterms:created>
  <dcterms:modified xsi:type="dcterms:W3CDTF">2019-12-12T02:49:39Z</dcterms:modified>
</cp:coreProperties>
</file>