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w:t>
      </w: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 as Amended</w:t>
      </w:r>
    </w:p>
    <w:p>
      <w:pPr>
        <w:spacing w:after="0" w:line="128" w:lineRule="exact"/>
        <w:rPr>
          <w:sz w:val="24"/>
          <w:szCs w:val="24"/>
          <w:color w:val="auto"/>
        </w:rPr>
      </w:pPr>
    </w:p>
    <w:p>
      <w:pPr>
        <w:ind w:left="2700"/>
        <w:spacing w:after="0"/>
        <w:rPr>
          <w:sz w:val="20"/>
          <w:szCs w:val="20"/>
          <w:color w:val="auto"/>
        </w:rPr>
      </w:pPr>
      <w:r>
        <w:rPr>
          <w:rFonts w:ascii="Arial" w:cs="Arial" w:eastAsia="Arial" w:hAnsi="Arial"/>
          <w:sz w:val="22"/>
          <w:szCs w:val="22"/>
          <w:b w:val="1"/>
          <w:bCs w:val="1"/>
          <w:color w:val="auto"/>
        </w:rPr>
        <w:t>Date of Report (Date of earliest event reported): October 11,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4080" w:type="dxa"/>
            <w:vAlign w:val="bottom"/>
          </w:tcPr>
          <w:p>
            <w:pPr>
              <w:jc w:val="center"/>
              <w:ind w:right="2482"/>
              <w:spacing w:after="0"/>
              <w:rPr>
                <w:sz w:val="20"/>
                <w:szCs w:val="20"/>
                <w:color w:val="auto"/>
              </w:rPr>
            </w:pPr>
            <w:r>
              <w:rPr>
                <w:rFonts w:ascii="Arial" w:cs="Arial" w:eastAsia="Arial" w:hAnsi="Arial"/>
                <w:sz w:val="18"/>
                <w:szCs w:val="18"/>
                <w:b w:val="1"/>
                <w:bCs w:val="1"/>
                <w:color w:val="auto"/>
                <w:w w:val="87"/>
              </w:rPr>
              <w:t>Nevada</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000-50028</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46-0484987</w:t>
            </w:r>
          </w:p>
        </w:tc>
      </w:tr>
      <w:tr>
        <w:trPr>
          <w:trHeight w:val="149"/>
        </w:trPr>
        <w:tc>
          <w:tcPr>
            <w:tcW w:w="4080" w:type="dxa"/>
            <w:vAlign w:val="bottom"/>
          </w:tcPr>
          <w:p>
            <w:pPr>
              <w:jc w:val="center"/>
              <w:ind w:right="246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3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080" w:type="dxa"/>
            <w:vAlign w:val="bottom"/>
          </w:tcPr>
          <w:p>
            <w:pPr>
              <w:jc w:val="center"/>
              <w:ind w:right="2462"/>
              <w:spacing w:after="0"/>
              <w:rPr>
                <w:sz w:val="20"/>
                <w:szCs w:val="20"/>
                <w:color w:val="auto"/>
              </w:rPr>
            </w:pPr>
            <w:r>
              <w:rPr>
                <w:rFonts w:ascii="Arial" w:cs="Arial" w:eastAsia="Arial" w:hAnsi="Arial"/>
                <w:sz w:val="14"/>
                <w:szCs w:val="14"/>
                <w:b w:val="1"/>
                <w:bCs w:val="1"/>
                <w:color w:val="auto"/>
                <w:w w:val="87"/>
              </w:rPr>
              <w:t>of incorporation</w:t>
            </w:r>
          </w:p>
        </w:tc>
        <w:tc>
          <w:tcPr>
            <w:tcW w:w="238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080" w:type="dxa"/>
            <w:vAlign w:val="bottom"/>
          </w:tcPr>
          <w:p>
            <w:pPr>
              <w:jc w:val="center"/>
              <w:ind w:left="1162"/>
              <w:spacing w:after="0"/>
              <w:rPr>
                <w:sz w:val="20"/>
                <w:szCs w:val="20"/>
                <w:color w:val="auto"/>
              </w:rPr>
            </w:pPr>
            <w:r>
              <w:rPr>
                <w:rFonts w:ascii="Arial" w:cs="Arial" w:eastAsia="Arial" w:hAnsi="Arial"/>
                <w:sz w:val="18"/>
                <w:szCs w:val="18"/>
                <w:b w:val="1"/>
                <w:bCs w:val="1"/>
                <w:color w:val="auto"/>
                <w:w w:val="86"/>
              </w:rPr>
              <w:t>3131 Las Vegas Boulevard South</w:t>
            </w:r>
          </w:p>
        </w:tc>
        <w:tc>
          <w:tcPr>
            <w:tcW w:w="2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080" w:type="dxa"/>
            <w:vAlign w:val="bottom"/>
          </w:tcPr>
          <w:p>
            <w:pPr>
              <w:jc w:val="center"/>
              <w:ind w:left="1162"/>
              <w:spacing w:after="0"/>
              <w:rPr>
                <w:sz w:val="20"/>
                <w:szCs w:val="20"/>
                <w:color w:val="auto"/>
              </w:rPr>
            </w:pPr>
            <w:r>
              <w:rPr>
                <w:rFonts w:ascii="Arial" w:cs="Arial" w:eastAsia="Arial" w:hAnsi="Arial"/>
                <w:sz w:val="18"/>
                <w:szCs w:val="18"/>
                <w:b w:val="1"/>
                <w:bCs w:val="1"/>
                <w:color w:val="auto"/>
                <w:w w:val="85"/>
              </w:rPr>
              <w:t>Las Vegas, Nevada</w:t>
            </w:r>
          </w:p>
        </w:tc>
        <w:tc>
          <w:tcPr>
            <w:tcW w:w="2380" w:type="dxa"/>
            <w:vAlign w:val="bottom"/>
          </w:tcPr>
          <w:p>
            <w:pPr>
              <w:spacing w:after="0"/>
              <w:rPr>
                <w:sz w:val="20"/>
                <w:szCs w:val="20"/>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89109</w:t>
            </w:r>
          </w:p>
        </w:tc>
      </w:tr>
      <w:tr>
        <w:trPr>
          <w:trHeight w:val="174"/>
        </w:trPr>
        <w:tc>
          <w:tcPr>
            <w:tcW w:w="4080" w:type="dxa"/>
            <w:vAlign w:val="bottom"/>
          </w:tcPr>
          <w:p>
            <w:pPr>
              <w:jc w:val="center"/>
              <w:ind w:left="116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38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October 11, 2013, Wynn Macau, Limited (“WML”), an indirect subsidiary of Wynn Resorts, Limited (the “Registrant”) with its ordinary shares listed on The Stock Exchange of Hong Kong Limited (the “HKSE”), filed with the HKSE, as required by HKSE listing rules, an announcement that WML has entered into a purchase agreement with certain Initial Purchasers, as defined in the purchase agreement, in connection with the issuance by WML of $600 million aggregate principal amount of 5.25% senior notes due 2021, which issuance is expected to occur on October 16, 2013 (the “Pricing Announcement”). The Registrant owns approximately 72.3% of WML’s ordinary shares. The Pricing Announcement and a copy of the associated press release are furnished herewith as Exhibits 99.1 and 99.2, respectively. The information in this Form 8-K and the exhibits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ind w:left="140"/>
        <w:spacing w:after="0"/>
        <w:tabs>
          <w:tab w:leader="none" w:pos="7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91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93" w:lineRule="exact"/>
        <w:rPr>
          <w:sz w:val="20"/>
          <w:szCs w:val="20"/>
          <w:color w:val="auto"/>
        </w:rPr>
      </w:pPr>
    </w:p>
    <w:p>
      <w:pPr>
        <w:ind w:left="80"/>
        <w:spacing w:after="0"/>
        <w:tabs>
          <w:tab w:leader="none" w:pos="7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Pricing Announcement of Wynn Macau, Limited, dated October 11, 2013.</w:t>
      </w:r>
    </w:p>
    <w:p>
      <w:pPr>
        <w:spacing w:after="0" w:line="117" w:lineRule="exact"/>
        <w:rPr>
          <w:sz w:val="20"/>
          <w:szCs w:val="20"/>
          <w:color w:val="auto"/>
        </w:rPr>
      </w:pPr>
    </w:p>
    <w:p>
      <w:pPr>
        <w:ind w:left="80"/>
        <w:spacing w:after="0"/>
        <w:tabs>
          <w:tab w:leader="none" w:pos="7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Press Release of Wynn Resorts, Limited, dated October 10, 2013.</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40" w:type="dxa"/>
            <w:vAlign w:val="bottom"/>
          </w:tcPr>
          <w:p>
            <w:pPr>
              <w:spacing w:after="0"/>
              <w:rPr>
                <w:sz w:val="19"/>
                <w:szCs w:val="19"/>
                <w:color w:val="auto"/>
              </w:rPr>
            </w:pPr>
          </w:p>
        </w:tc>
        <w:tc>
          <w:tcPr>
            <w:tcW w:w="7680" w:type="dxa"/>
            <w:vAlign w:val="bottom"/>
            <w:gridSpan w:val="2"/>
          </w:tcPr>
          <w:p>
            <w:pPr>
              <w:ind w:left="2080"/>
              <w:spacing w:after="0"/>
              <w:rPr>
                <w:sz w:val="20"/>
                <w:szCs w:val="20"/>
                <w:color w:val="auto"/>
              </w:rPr>
            </w:pPr>
            <w:r>
              <w:rPr>
                <w:rFonts w:ascii="Arial" w:cs="Arial" w:eastAsia="Arial" w:hAnsi="Arial"/>
                <w:sz w:val="18"/>
                <w:szCs w:val="18"/>
                <w:b w:val="1"/>
                <w:bCs w:val="1"/>
                <w:color w:val="auto"/>
              </w:rPr>
              <w:t>WYNN RESORTS, LIMITED</w:t>
            </w: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Date: October 11, 2013</w:t>
            </w:r>
          </w:p>
        </w:tc>
        <w:tc>
          <w:tcPr>
            <w:tcW w:w="2660" w:type="dxa"/>
            <w:vAlign w:val="bottom"/>
          </w:tcPr>
          <w:p>
            <w:pPr>
              <w:ind w:left="20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 Maddox</w:t>
            </w:r>
          </w:p>
        </w:tc>
      </w:tr>
      <w:tr>
        <w:trPr>
          <w:trHeight w:val="217"/>
        </w:trPr>
        <w:tc>
          <w:tcPr>
            <w:tcW w:w="3740" w:type="dxa"/>
            <w:vAlign w:val="bottom"/>
          </w:tcPr>
          <w:p>
            <w:pPr>
              <w:spacing w:after="0"/>
              <w:rPr>
                <w:sz w:val="18"/>
                <w:szCs w:val="18"/>
                <w:color w:val="auto"/>
              </w:rPr>
            </w:pPr>
          </w:p>
        </w:tc>
        <w:tc>
          <w:tcPr>
            <w:tcW w:w="2660" w:type="dxa"/>
            <w:vAlign w:val="bottom"/>
          </w:tcPr>
          <w:p>
            <w:pPr>
              <w:ind w:left="208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Matt Maddox</w:t>
            </w:r>
          </w:p>
        </w:tc>
      </w:tr>
      <w:tr>
        <w:trPr>
          <w:trHeight w:val="222"/>
        </w:trPr>
        <w:tc>
          <w:tcPr>
            <w:tcW w:w="3740" w:type="dxa"/>
            <w:vAlign w:val="bottom"/>
          </w:tcPr>
          <w:p>
            <w:pPr>
              <w:spacing w:after="0"/>
              <w:rPr>
                <w:sz w:val="19"/>
                <w:szCs w:val="19"/>
                <w:color w:val="auto"/>
              </w:rPr>
            </w:pPr>
          </w:p>
        </w:tc>
        <w:tc>
          <w:tcPr>
            <w:tcW w:w="2660" w:type="dxa"/>
            <w:vAlign w:val="bottom"/>
          </w:tcPr>
          <w:p>
            <w:pPr>
              <w:ind w:left="20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ectPr>
          <w:pgSz w:w="11900" w:h="16838" w:orient="portrait"/>
          <w:cols w:equalWidth="0" w:num="1">
            <w:col w:w="11420"/>
          </w:cols>
          <w:pgMar w:left="240" w:top="274" w:right="23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ind w:left="8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146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93" w:lineRule="exact"/>
        <w:rPr>
          <w:sz w:val="20"/>
          <w:szCs w:val="20"/>
          <w:color w:val="auto"/>
        </w:rPr>
      </w:pPr>
    </w:p>
    <w:p>
      <w:pPr>
        <w:ind w:left="80"/>
        <w:spacing w:after="0"/>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Pricing Announcement of Wynn Macau, Limited, dated October 11, 2013.</w:t>
      </w:r>
    </w:p>
    <w:p>
      <w:pPr>
        <w:spacing w:after="0" w:line="117" w:lineRule="exact"/>
        <w:rPr>
          <w:sz w:val="20"/>
          <w:szCs w:val="20"/>
          <w:color w:val="auto"/>
        </w:rPr>
      </w:pPr>
    </w:p>
    <w:p>
      <w:pPr>
        <w:ind w:left="80"/>
        <w:spacing w:after="0"/>
        <w:tabs>
          <w:tab w:leader="none" w:pos="86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Press Release of Wynn Resorts, Limited, dated October 10, 2013.</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14605</wp:posOffset>
            </wp:positionV>
            <wp:extent cx="5274310" cy="74612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74310" cy="7461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FFFFFF"/>
              </w:rPr>
              <w:t>Exhibit 99.1</w:t>
            </w:r>
          </w:p>
        </w:tc>
        <w:tc>
          <w:tcPr>
            <w:tcW w:w="0" w:type="dxa"/>
            <w:vAlign w:val="bottom"/>
          </w:tcPr>
          <w:p>
            <w:pPr>
              <w:spacing w:after="0"/>
              <w:rPr>
                <w:sz w:val="1"/>
                <w:szCs w:val="1"/>
                <w:color w:val="auto"/>
              </w:rPr>
            </w:pPr>
          </w:p>
        </w:tc>
      </w:tr>
      <w:tr>
        <w:trPr>
          <w:trHeight w:val="41"/>
        </w:trPr>
        <w:tc>
          <w:tcPr>
            <w:tcW w:w="11420" w:type="dxa"/>
            <w:vAlign w:val="bottom"/>
            <w:gridSpan w:val="4"/>
          </w:tcPr>
          <w:p>
            <w:pPr>
              <w:spacing w:after="0"/>
              <w:rPr>
                <w:sz w:val="20"/>
                <w:szCs w:val="20"/>
                <w:color w:val="auto"/>
              </w:rPr>
            </w:pPr>
            <w:r>
              <w:rPr>
                <w:rFonts w:ascii="Arial" w:cs="Arial" w:eastAsia="Arial" w:hAnsi="Arial"/>
                <w:sz w:val="3"/>
                <w:szCs w:val="3"/>
                <w:color w:val="FFFFFF"/>
              </w:rPr>
              <w:t>Hong Kong Exchanges and Clearing Limited and The Stock Exchange of Hong Kong Limited take no responsibility for the contents of this announcement, make no representation as to its accuracy or</w:t>
            </w:r>
          </w:p>
        </w:tc>
        <w:tc>
          <w:tcPr>
            <w:tcW w:w="0" w:type="dxa"/>
            <w:vAlign w:val="bottom"/>
          </w:tcPr>
          <w:p>
            <w:pPr>
              <w:spacing w:after="0"/>
              <w:rPr>
                <w:sz w:val="1"/>
                <w:szCs w:val="1"/>
                <w:color w:val="auto"/>
              </w:rPr>
            </w:pPr>
          </w:p>
        </w:tc>
      </w:tr>
      <w:tr>
        <w:trPr>
          <w:trHeight w:val="41"/>
        </w:trPr>
        <w:tc>
          <w:tcPr>
            <w:tcW w:w="10180" w:type="dxa"/>
            <w:vAlign w:val="bottom"/>
            <w:gridSpan w:val="3"/>
          </w:tcPr>
          <w:p>
            <w:pPr>
              <w:spacing w:after="0"/>
              <w:rPr>
                <w:sz w:val="20"/>
                <w:szCs w:val="20"/>
                <w:color w:val="auto"/>
              </w:rPr>
            </w:pPr>
            <w:r>
              <w:rPr>
                <w:rFonts w:ascii="Arial" w:cs="Arial" w:eastAsia="Arial" w:hAnsi="Arial"/>
                <w:sz w:val="3"/>
                <w:szCs w:val="3"/>
                <w:color w:val="FFFFFF"/>
              </w:rPr>
              <w:t>completeness and expressly disclaim any liability whatsoever for any loss howsoever arising from or in reliance upon the whole or any part of the contents of this announcement.</w:t>
            </w: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4"/>
          </w:tcPr>
          <w:p>
            <w:pPr>
              <w:spacing w:after="0"/>
              <w:rPr>
                <w:sz w:val="20"/>
                <w:szCs w:val="20"/>
                <w:color w:val="auto"/>
              </w:rPr>
            </w:pPr>
            <w:r>
              <w:rPr>
                <w:rFonts w:ascii="Arial" w:cs="Arial" w:eastAsia="Arial" w:hAnsi="Arial"/>
                <w:sz w:val="3"/>
                <w:szCs w:val="3"/>
                <w:color w:val="FFFFFF"/>
              </w:rPr>
              <w:t>This announcement is for informational purposes only and is not an offer to sell or the solicitation of an offer to buy securities in the United States or in any other jurisdiction in which such offer, solicitation or</w:t>
            </w:r>
          </w:p>
        </w:tc>
        <w:tc>
          <w:tcPr>
            <w:tcW w:w="0" w:type="dxa"/>
            <w:vAlign w:val="bottom"/>
          </w:tcPr>
          <w:p>
            <w:pPr>
              <w:spacing w:after="0"/>
              <w:rPr>
                <w:sz w:val="1"/>
                <w:szCs w:val="1"/>
                <w:color w:val="auto"/>
              </w:rPr>
            </w:pPr>
          </w:p>
        </w:tc>
      </w:tr>
      <w:tr>
        <w:trPr>
          <w:trHeight w:val="41"/>
        </w:trPr>
        <w:tc>
          <w:tcPr>
            <w:tcW w:w="8260" w:type="dxa"/>
            <w:vAlign w:val="bottom"/>
            <w:gridSpan w:val="2"/>
          </w:tcPr>
          <w:p>
            <w:pPr>
              <w:spacing w:after="0"/>
              <w:rPr>
                <w:sz w:val="20"/>
                <w:szCs w:val="20"/>
                <w:color w:val="auto"/>
              </w:rPr>
            </w:pPr>
            <w:r>
              <w:rPr>
                <w:rFonts w:ascii="Arial" w:cs="Arial" w:eastAsia="Arial" w:hAnsi="Arial"/>
                <w:sz w:val="3"/>
                <w:szCs w:val="3"/>
                <w:color w:val="FFFFFF"/>
              </w:rPr>
              <w:t>sale would be unlawful prior to registration or qualification under the securities laws of any such juri diction.</w:t>
            </w:r>
          </w:p>
        </w:tc>
        <w:tc>
          <w:tcPr>
            <w:tcW w:w="3160" w:type="dxa"/>
            <w:vAlign w:val="bottom"/>
            <w:gridSpan w:val="2"/>
            <w:vMerge w:val="restart"/>
          </w:tcPr>
          <w:p>
            <w:pPr>
              <w:jc w:val="right"/>
              <w:ind w:right="32"/>
              <w:spacing w:after="0" w:line="81" w:lineRule="exact"/>
              <w:rPr>
                <w:sz w:val="20"/>
                <w:szCs w:val="20"/>
                <w:color w:val="auto"/>
              </w:rPr>
            </w:pPr>
            <w:r>
              <w:rPr>
                <w:rFonts w:ascii="Arial" w:cs="Arial" w:eastAsia="Arial" w:hAnsi="Arial"/>
                <w:sz w:val="9"/>
                <w:szCs w:val="9"/>
                <w:color w:val="FFFFFF"/>
              </w:rPr>
              <w:t>may be taken into or distributed in the United States.</w:t>
            </w:r>
          </w:p>
        </w:tc>
        <w:tc>
          <w:tcPr>
            <w:tcW w:w="0" w:type="dxa"/>
            <w:vAlign w:val="bottom"/>
          </w:tcPr>
          <w:p>
            <w:pPr>
              <w:spacing w:after="0"/>
              <w:rPr>
                <w:sz w:val="1"/>
                <w:szCs w:val="1"/>
                <w:color w:val="auto"/>
              </w:rPr>
            </w:pPr>
          </w:p>
        </w:tc>
      </w:tr>
      <w:tr>
        <w:trPr>
          <w:trHeight w:val="41"/>
        </w:trPr>
        <w:tc>
          <w:tcPr>
            <w:tcW w:w="8260" w:type="dxa"/>
            <w:vAlign w:val="bottom"/>
            <w:gridSpan w:val="2"/>
          </w:tcPr>
          <w:p>
            <w:pPr>
              <w:spacing w:after="0"/>
              <w:rPr>
                <w:sz w:val="20"/>
                <w:szCs w:val="20"/>
                <w:color w:val="auto"/>
              </w:rPr>
            </w:pPr>
            <w:r>
              <w:rPr>
                <w:rFonts w:ascii="Arial" w:cs="Arial" w:eastAsia="Arial" w:hAnsi="Arial"/>
                <w:sz w:val="3"/>
                <w:szCs w:val="3"/>
                <w:color w:val="FFFFFF"/>
              </w:rPr>
              <w:t>Neither this announcement nor anything herein forms the basis for any contract or commitment whatsoever. Neither this announcement nor any copy</w:t>
            </w:r>
          </w:p>
        </w:tc>
        <w:tc>
          <w:tcPr>
            <w:tcW w:w="31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660" w:type="dxa"/>
            <w:vAlign w:val="bottom"/>
          </w:tcPr>
          <w:p>
            <w:pPr>
              <w:spacing w:after="0"/>
              <w:rPr>
                <w:sz w:val="20"/>
                <w:szCs w:val="20"/>
                <w:color w:val="auto"/>
              </w:rPr>
            </w:pPr>
            <w:r>
              <w:rPr>
                <w:rFonts w:ascii="Arial" w:cs="Arial" w:eastAsia="Arial" w:hAnsi="Arial"/>
                <w:sz w:val="3"/>
                <w:szCs w:val="3"/>
                <w:color w:val="FFFFFF"/>
              </w:rPr>
              <w:t>The securities referred to herein have not been and will not be</w:t>
            </w:r>
          </w:p>
        </w:tc>
        <w:tc>
          <w:tcPr>
            <w:tcW w:w="7760" w:type="dxa"/>
            <w:vAlign w:val="bottom"/>
            <w:gridSpan w:val="3"/>
          </w:tcPr>
          <w:p>
            <w:pPr>
              <w:jc w:val="right"/>
              <w:ind w:right="32"/>
              <w:spacing w:after="0"/>
              <w:rPr>
                <w:sz w:val="20"/>
                <w:szCs w:val="20"/>
                <w:color w:val="auto"/>
              </w:rPr>
            </w:pPr>
            <w:r>
              <w:rPr>
                <w:rFonts w:ascii="Arial" w:cs="Arial" w:eastAsia="Arial" w:hAnsi="Arial"/>
                <w:sz w:val="3"/>
                <w:szCs w:val="3"/>
                <w:color w:val="FFFFFF"/>
              </w:rPr>
              <w:t>under the United States Securities Act of 1933, as amended, and may not be hereoffered or sold in the United States absent registration or an</w:t>
            </w:r>
          </w:p>
        </w:tc>
        <w:tc>
          <w:tcPr>
            <w:tcW w:w="0" w:type="dxa"/>
            <w:vAlign w:val="bottom"/>
          </w:tcPr>
          <w:p>
            <w:pPr>
              <w:spacing w:after="0"/>
              <w:rPr>
                <w:sz w:val="1"/>
                <w:szCs w:val="1"/>
                <w:color w:val="auto"/>
              </w:rPr>
            </w:pPr>
          </w:p>
        </w:tc>
      </w:tr>
      <w:tr>
        <w:trPr>
          <w:trHeight w:val="41"/>
        </w:trPr>
        <w:tc>
          <w:tcPr>
            <w:tcW w:w="8260" w:type="dxa"/>
            <w:vAlign w:val="bottom"/>
            <w:gridSpan w:val="2"/>
          </w:tcPr>
          <w:p>
            <w:pPr>
              <w:spacing w:after="0"/>
              <w:rPr>
                <w:sz w:val="20"/>
                <w:szCs w:val="20"/>
                <w:color w:val="auto"/>
              </w:rPr>
            </w:pPr>
            <w:r>
              <w:rPr>
                <w:rFonts w:ascii="Arial" w:cs="Arial" w:eastAsia="Arial" w:hAnsi="Arial"/>
                <w:sz w:val="3"/>
                <w:szCs w:val="3"/>
                <w:color w:val="FFFFFF"/>
              </w:rPr>
              <w:t>applicable exemption from registration. No public offer of securitiesregisteredto be made by the Company in the United States.</w:t>
            </w:r>
          </w:p>
        </w:tc>
        <w:tc>
          <w:tcPr>
            <w:tcW w:w="19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3660" w:type="dxa"/>
            <w:vAlign w:val="bottom"/>
          </w:tcPr>
          <w:p>
            <w:pPr>
              <w:spacing w:after="0"/>
              <w:rPr>
                <w:sz w:val="20"/>
                <w:szCs w:val="20"/>
                <w:color w:val="auto"/>
              </w:rPr>
            </w:pPr>
            <w:r>
              <w:rPr>
                <w:rFonts w:ascii="Arial" w:cs="Arial" w:eastAsia="Arial" w:hAnsi="Arial"/>
                <w:sz w:val="3"/>
                <w:szCs w:val="3"/>
                <w:color w:val="FFFFFF"/>
              </w:rPr>
              <w:t>[Graphic Appears Here]</w:t>
            </w:r>
          </w:p>
        </w:tc>
        <w:tc>
          <w:tcPr>
            <w:tcW w:w="4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vertAlign w:val="superscript"/>
        </w:rPr>
        <w:t>( tock</w:t>
      </w:r>
    </w:p>
    <w:p>
      <w:pPr>
        <w:spacing w:after="0" w:line="211" w:lineRule="auto"/>
        <w:rPr>
          <w:sz w:val="20"/>
          <w:szCs w:val="20"/>
          <w:color w:val="auto"/>
        </w:rPr>
      </w:pPr>
      <w:r>
        <w:rPr>
          <w:rFonts w:ascii="Arial" w:cs="Arial" w:eastAsia="Arial" w:hAnsi="Arial"/>
          <w:sz w:val="4"/>
          <w:szCs w:val="4"/>
          <w:color w:val="FFFFFF"/>
          <w:vertAlign w:val="subscript"/>
        </w:rPr>
        <w:t>ISSUE</w:t>
      </w:r>
      <w:r>
        <w:rPr>
          <w:rFonts w:ascii="Arial" w:cs="Arial" w:eastAsia="Arial" w:hAnsi="Arial"/>
          <w:sz w:val="2"/>
          <w:szCs w:val="2"/>
          <w:color w:val="FFFFFF"/>
        </w:rPr>
        <w:t>incorporatedCode: 1128)inthe Cayman Islands with limited liability)</w:t>
      </w:r>
    </w:p>
    <w:p>
      <w:pPr>
        <w:ind w:left="420"/>
        <w:spacing w:after="0"/>
        <w:rPr>
          <w:sz w:val="20"/>
          <w:szCs w:val="20"/>
          <w:color w:val="auto"/>
        </w:rPr>
      </w:pPr>
      <w:r>
        <w:rPr>
          <w:rFonts w:ascii="Arial" w:cs="Arial" w:eastAsia="Arial" w:hAnsi="Arial"/>
          <w:sz w:val="3"/>
          <w:szCs w:val="3"/>
          <w:color w:val="FFFFFF"/>
        </w:rPr>
        <w:t>OF US$600 MILLION 5.250% SENIOR NOTES DUE 2021 AND DISCLOSURE PURSUANT TO RULE 13.18 OF THE LISTING RULES</w:t>
      </w:r>
    </w:p>
    <w:p>
      <w:pPr>
        <w:spacing w:after="0" w:line="194" w:lineRule="auto"/>
        <w:rPr>
          <w:sz w:val="20"/>
          <w:szCs w:val="20"/>
          <w:color w:val="auto"/>
        </w:rPr>
      </w:pPr>
      <w:r>
        <w:rPr>
          <w:rFonts w:ascii="Arial" w:cs="Arial" w:eastAsia="Arial" w:hAnsi="Arial"/>
          <w:sz w:val="3"/>
          <w:szCs w:val="3"/>
          <w:color w:val="FFFFFF"/>
        </w:rPr>
        <w:t>The Company is pleased to</w:t>
      </w:r>
      <w:r>
        <w:rPr>
          <w:rFonts w:ascii="Arial" w:cs="Arial" w:eastAsia="Arial" w:hAnsi="Arial"/>
          <w:sz w:val="5"/>
          <w:szCs w:val="5"/>
          <w:color w:val="FFFFFF"/>
          <w:vertAlign w:val="subscript"/>
        </w:rPr>
        <w:t>Paribas</w:t>
      </w:r>
      <w:r>
        <w:rPr>
          <w:rFonts w:ascii="Arial" w:cs="Arial" w:eastAsia="Arial" w:hAnsi="Arial"/>
          <w:sz w:val="3"/>
          <w:szCs w:val="3"/>
          <w:color w:val="FFFFFF"/>
        </w:rPr>
        <w:t>nnounce that on 10 October 2013 (Las Vegas time), the Company entered into the Purchase Agreement with J.P. Morgan Securities LLC, Deutsche Bank AG, Singapore Branch,</w:t>
      </w:r>
    </w:p>
    <w:p>
      <w:pPr>
        <w:spacing w:after="0"/>
        <w:tabs>
          <w:tab w:leader="none" w:pos="1840" w:val="left"/>
        </w:tabs>
        <w:rPr>
          <w:sz w:val="20"/>
          <w:szCs w:val="20"/>
          <w:color w:val="auto"/>
        </w:rPr>
      </w:pPr>
      <w:r>
        <w:rPr>
          <w:rFonts w:ascii="Arial" w:cs="Arial" w:eastAsia="Arial" w:hAnsi="Arial"/>
          <w:sz w:val="2"/>
          <w:szCs w:val="2"/>
          <w:color w:val="FFFFFF"/>
        </w:rPr>
        <w:t>BOCI Asia Lim</w:t>
      </w:r>
      <w:r>
        <w:rPr>
          <w:rFonts w:ascii="Arial" w:cs="Arial" w:eastAsia="Arial" w:hAnsi="Arial"/>
          <w:sz w:val="4"/>
          <w:szCs w:val="4"/>
          <w:color w:val="FFFFFF"/>
          <w:vertAlign w:val="superscript"/>
        </w:rPr>
        <w:t>with</w:t>
      </w:r>
      <w:r>
        <w:rPr>
          <w:rFonts w:ascii="Arial" w:cs="Arial" w:eastAsia="Arial" w:hAnsi="Arial"/>
          <w:sz w:val="2"/>
          <w:szCs w:val="2"/>
          <w:color w:val="FFFFFF"/>
        </w:rPr>
        <w:t>ed, BNP</w:t>
      </w:r>
      <w:r>
        <w:rPr>
          <w:sz w:val="20"/>
          <w:szCs w:val="20"/>
          <w:color w:val="auto"/>
        </w:rPr>
        <w:tab/>
      </w:r>
      <w:r>
        <w:rPr>
          <w:rFonts w:ascii="Arial" w:cs="Arial" w:eastAsia="Arial" w:hAnsi="Arial"/>
          <w:sz w:val="3"/>
          <w:szCs w:val="3"/>
          <w:color w:val="FFFFFF"/>
        </w:rPr>
        <w:t>Securities Corp., DBS Bank Ltd., Industrial and Commercial Bank of China (Asia) Limited, Merrill Lynch, Pierce, Fenner &amp; Smith Incorporated and Scotia Capital (USA) Inc.</w:t>
      </w:r>
    </w:p>
    <w:p>
      <w:pPr>
        <w:spacing w:after="0"/>
        <w:tabs>
          <w:tab w:leader="none" w:pos="1020" w:val="left"/>
        </w:tabs>
        <w:rPr>
          <w:sz w:val="20"/>
          <w:szCs w:val="20"/>
          <w:color w:val="auto"/>
        </w:rPr>
      </w:pPr>
      <w:r>
        <w:rPr>
          <w:rFonts w:ascii="Arial" w:cs="Arial" w:eastAsia="Arial" w:hAnsi="Arial"/>
          <w:sz w:val="3"/>
          <w:szCs w:val="3"/>
          <w:color w:val="FFFFFF"/>
        </w:rPr>
        <w:t>in connection</w:t>
      </w:r>
      <w:r>
        <w:rPr>
          <w:sz w:val="20"/>
          <w:szCs w:val="20"/>
          <w:color w:val="auto"/>
        </w:rPr>
        <w:tab/>
      </w:r>
      <w:r>
        <w:rPr>
          <w:rFonts w:ascii="Arial" w:cs="Arial" w:eastAsia="Arial" w:hAnsi="Arial"/>
          <w:sz w:val="3"/>
          <w:szCs w:val="3"/>
          <w:color w:val="FFFFFF"/>
        </w:rPr>
        <w:t>the issue of US$600 million 5.250% senior notes due 2021.</w:t>
      </w:r>
    </w:p>
    <w:p>
      <w:pPr>
        <w:spacing w:after="0" w:line="6" w:lineRule="exact"/>
        <w:rPr>
          <w:sz w:val="20"/>
          <w:szCs w:val="20"/>
          <w:color w:val="auto"/>
        </w:rPr>
      </w:pPr>
    </w:p>
    <w:p>
      <w:pPr>
        <w:ind w:right="140"/>
        <w:spacing w:after="0"/>
        <w:rPr>
          <w:sz w:val="20"/>
          <w:szCs w:val="20"/>
          <w:color w:val="auto"/>
        </w:rPr>
      </w:pPr>
      <w:r>
        <w:rPr>
          <w:rFonts w:ascii="Arial" w:cs="Arial" w:eastAsia="Arial" w:hAnsi="Arial"/>
          <w:sz w:val="7"/>
          <w:szCs w:val="7"/>
          <w:color w:val="FFFFFF"/>
        </w:rPr>
        <w:t>The net proceeds from the offering of the Notes will be approximately US$591.5 million after deducting the discounts and commissions of the Initial Purchasers and estimated offering expenses payable by the Company. The Company intends to use the net proceeds from the offering for working capital requirements and general corporate purposes.</w:t>
      </w:r>
    </w:p>
    <w:p>
      <w:pPr>
        <w:spacing w:after="0" w:line="1" w:lineRule="exact"/>
        <w:rPr>
          <w:sz w:val="20"/>
          <w:szCs w:val="20"/>
          <w:color w:val="auto"/>
        </w:rPr>
      </w:pPr>
    </w:p>
    <w:p>
      <w:pPr>
        <w:ind w:right="440"/>
        <w:spacing w:after="0"/>
        <w:rPr>
          <w:sz w:val="20"/>
          <w:szCs w:val="20"/>
          <w:color w:val="auto"/>
        </w:rPr>
      </w:pPr>
      <w:r>
        <w:rPr>
          <w:rFonts w:ascii="Arial" w:cs="Arial" w:eastAsia="Arial" w:hAnsi="Arial"/>
          <w:sz w:val="7"/>
          <w:szCs w:val="7"/>
          <w:color w:val="FFFFFF"/>
        </w:rPr>
        <w:t>The Company proposes to seek a listing of the Notes on the Stock Exchange and has received an eligibility letter from the Stock Exchange for the listing of the Notes. Admission of the Notes to the Stock Exchange and quotation of any Notes on the Stock Exchange is not to be taken as an indication of the merits of the Company or the Notes.</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FFFFFF"/>
        </w:rPr>
        <w:t>1* For identification purposes only.</w:t>
      </w:r>
    </w:p>
    <w:p>
      <w:pPr>
        <w:sectPr>
          <w:pgSz w:w="11900" w:h="16838" w:orient="portrait"/>
          <w:cols w:equalWidth="0" w:num="1">
            <w:col w:w="11420"/>
          </w:cols>
          <w:pgMar w:left="240" w:top="125"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552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7555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gridSpan w:val="2"/>
          </w:tcPr>
          <w:p>
            <w:pPr>
              <w:spacing w:after="0"/>
              <w:rPr>
                <w:sz w:val="20"/>
                <w:szCs w:val="20"/>
                <w:color w:val="auto"/>
              </w:rPr>
            </w:pPr>
            <w:r>
              <w:rPr>
                <w:rFonts w:ascii="Arial" w:cs="Arial" w:eastAsia="Arial" w:hAnsi="Arial"/>
                <w:sz w:val="14"/>
                <w:szCs w:val="14"/>
                <w:color w:val="FFFFFF"/>
              </w:rPr>
              <w:t>Although none of the Company’s controlling</w:t>
            </w:r>
          </w:p>
        </w:tc>
        <w:tc>
          <w:tcPr>
            <w:tcW w:w="8580" w:type="dxa"/>
            <w:vAlign w:val="bottom"/>
            <w:gridSpan w:val="3"/>
          </w:tcPr>
          <w:p>
            <w:pPr>
              <w:ind w:left="360"/>
              <w:spacing w:after="0"/>
              <w:rPr>
                <w:sz w:val="20"/>
                <w:szCs w:val="20"/>
                <w:color w:val="auto"/>
              </w:rPr>
            </w:pPr>
            <w:r>
              <w:rPr>
                <w:rFonts w:ascii="Arial" w:cs="Arial" w:eastAsia="Arial" w:hAnsi="Arial"/>
                <w:sz w:val="14"/>
                <w:szCs w:val="14"/>
                <w:color w:val="FFFFFF"/>
                <w:w w:val="88"/>
              </w:rPr>
              <w:t>(as defined in the Listing Rules), including WRL, are parties to the Purchase Agreement or the Indenture, the Indenture will contain a change of control</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provision that would, if triggered, give rise to shareholdersrightfavor of the holders of the Notes to require the Company to repurchase the Notes. Certain circumstances that will constitute a change of control are</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described in this announcement. The disclosure relating to the right in favor of the holders of the Notes to require the Company to repurchase the Notes is made pursuant to Rule 13.18 of the Listing Rules.</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As the conditions precedent   completion of the Purchase Agreement may or may not be satisfied and the Purchase Agreement may be terminated upon the occurrence of certain events, shareholders of the</w:t>
            </w:r>
          </w:p>
        </w:tc>
        <w:tc>
          <w:tcPr>
            <w:tcW w:w="0" w:type="dxa"/>
            <w:vAlign w:val="bottom"/>
          </w:tcPr>
          <w:p>
            <w:pPr>
              <w:spacing w:after="0"/>
              <w:rPr>
                <w:sz w:val="1"/>
                <w:szCs w:val="1"/>
                <w:color w:val="auto"/>
              </w:rPr>
            </w:pPr>
          </w:p>
        </w:tc>
      </w:tr>
      <w:tr>
        <w:trPr>
          <w:trHeight w:val="41"/>
        </w:trPr>
        <w:tc>
          <w:tcPr>
            <w:tcW w:w="8400" w:type="dxa"/>
            <w:vAlign w:val="bottom"/>
            <w:gridSpan w:val="3"/>
          </w:tcPr>
          <w:p>
            <w:pPr>
              <w:spacing w:after="0"/>
              <w:rPr>
                <w:sz w:val="20"/>
                <w:szCs w:val="20"/>
                <w:color w:val="auto"/>
              </w:rPr>
            </w:pPr>
            <w:r>
              <w:rPr>
                <w:rFonts w:ascii="Arial" w:cs="Arial" w:eastAsia="Arial" w:hAnsi="Arial"/>
                <w:sz w:val="3"/>
                <w:szCs w:val="3"/>
                <w:color w:val="FFFFFF"/>
              </w:rPr>
              <w:t>Company and prospective investors are advised to exercise caution when dealing in the securities of the Company.</w:t>
            </w:r>
          </w:p>
        </w:tc>
        <w:tc>
          <w:tcPr>
            <w:tcW w:w="13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The Company conduc ed an offering of the Notes to Professional Investors on 10 October 2013 (Las Vegas time). J.P. Morgan Securities LLC and Deutsche Bank AG, Singapore Branch acted as the Joint Global</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Coordinators and Joint Book-Running Managers and BOCI Asia Limited acted as the Asian Lead Coordinator and Bookrunner of the offering of the Notes. The Company is pleased to announce that on</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10 October 2013 ( as Vegas time), the Company entered into the Purchase Agreement with J.P. Morgan Securities LLC, Deutsche Bank AG, Singapore Branch, BOCI Asia Limited, BNP Paribas Securities</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Corp., DBS Bank Ltd., Industrial and Commercial Bank of China (Asia) Limited, Merrill Lynch, Pierce, Fenner &amp; Smith Incorporated and Scotia Capital (USA) Inc. in connection with the Notes Issue.</w:t>
            </w:r>
          </w:p>
        </w:tc>
        <w:tc>
          <w:tcPr>
            <w:tcW w:w="0" w:type="dxa"/>
            <w:vAlign w:val="bottom"/>
          </w:tcPr>
          <w:p>
            <w:pPr>
              <w:spacing w:after="0"/>
              <w:rPr>
                <w:sz w:val="1"/>
                <w:szCs w:val="1"/>
                <w:color w:val="auto"/>
              </w:rPr>
            </w:pPr>
          </w:p>
        </w:tc>
      </w:tr>
      <w:tr>
        <w:trPr>
          <w:trHeight w:val="41"/>
        </w:trPr>
        <w:tc>
          <w:tcPr>
            <w:tcW w:w="2820" w:type="dxa"/>
            <w:vAlign w:val="bottom"/>
            <w:gridSpan w:val="2"/>
          </w:tcPr>
          <w:p>
            <w:pPr>
              <w:spacing w:after="0"/>
              <w:rPr>
                <w:sz w:val="20"/>
                <w:szCs w:val="20"/>
                <w:color w:val="auto"/>
              </w:rPr>
            </w:pPr>
            <w:r>
              <w:rPr>
                <w:rFonts w:ascii="Arial" w:cs="Arial" w:eastAsia="Arial" w:hAnsi="Arial"/>
                <w:sz w:val="3"/>
                <w:szCs w:val="3"/>
                <w:color w:val="FFFFFF"/>
              </w:rPr>
              <w:t>THE PURCHASE AGREEMENT</w:t>
            </w:r>
          </w:p>
        </w:tc>
        <w:tc>
          <w:tcPr>
            <w:tcW w:w="55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20" w:type="dxa"/>
            <w:vAlign w:val="bottom"/>
            <w:gridSpan w:val="2"/>
          </w:tcPr>
          <w:p>
            <w:pPr>
              <w:spacing w:after="0"/>
              <w:rPr>
                <w:sz w:val="20"/>
                <w:szCs w:val="20"/>
                <w:color w:val="auto"/>
              </w:rPr>
            </w:pPr>
            <w:r>
              <w:rPr>
                <w:rFonts w:ascii="Arial" w:cs="Arial" w:eastAsia="Arial" w:hAnsi="Arial"/>
                <w:sz w:val="3"/>
                <w:szCs w:val="3"/>
                <w:color w:val="FFFFFF"/>
              </w:rPr>
              <w:t>Date : 10 October 2013</w:t>
            </w:r>
          </w:p>
        </w:tc>
        <w:tc>
          <w:tcPr>
            <w:tcW w:w="55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20" w:type="dxa"/>
            <w:vAlign w:val="bottom"/>
            <w:gridSpan w:val="2"/>
          </w:tcPr>
          <w:p>
            <w:pPr>
              <w:spacing w:after="0"/>
              <w:rPr>
                <w:sz w:val="20"/>
                <w:szCs w:val="20"/>
                <w:color w:val="auto"/>
              </w:rPr>
            </w:pPr>
            <w:r>
              <w:rPr>
                <w:rFonts w:ascii="Arial" w:cs="Arial" w:eastAsia="Arial" w:hAnsi="Arial"/>
                <w:sz w:val="3"/>
                <w:szCs w:val="3"/>
                <w:color w:val="FFFFFF"/>
              </w:rPr>
              <w:t>Parties : (1) the Company; and</w:t>
            </w:r>
          </w:p>
        </w:tc>
        <w:tc>
          <w:tcPr>
            <w:tcW w:w="55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0" w:type="dxa"/>
            <w:vAlign w:val="bottom"/>
          </w:tcPr>
          <w:p>
            <w:pPr>
              <w:spacing w:after="0"/>
              <w:rPr>
                <w:sz w:val="20"/>
                <w:szCs w:val="20"/>
                <w:color w:val="auto"/>
              </w:rPr>
            </w:pPr>
            <w:r>
              <w:rPr>
                <w:rFonts w:ascii="Arial" w:cs="Arial" w:eastAsia="Arial" w:hAnsi="Arial"/>
                <w:sz w:val="3"/>
                <w:szCs w:val="3"/>
                <w:color w:val="FFFFFF"/>
              </w:rPr>
              <w:t>(2)</w:t>
            </w:r>
          </w:p>
        </w:tc>
        <w:tc>
          <w:tcPr>
            <w:tcW w:w="2640" w:type="dxa"/>
            <w:vAlign w:val="bottom"/>
          </w:tcPr>
          <w:p>
            <w:pPr>
              <w:ind w:left="280"/>
              <w:spacing w:after="0"/>
              <w:rPr>
                <w:sz w:val="20"/>
                <w:szCs w:val="20"/>
                <w:color w:val="auto"/>
              </w:rPr>
            </w:pPr>
            <w:r>
              <w:rPr>
                <w:rFonts w:ascii="Arial" w:cs="Arial" w:eastAsia="Arial" w:hAnsi="Arial"/>
                <w:sz w:val="3"/>
                <w:szCs w:val="3"/>
                <w:color w:val="FFFFFF"/>
              </w:rPr>
              <w:t>the Initial Purchasers.</w:t>
            </w:r>
          </w:p>
        </w:tc>
        <w:tc>
          <w:tcPr>
            <w:tcW w:w="5580" w:type="dxa"/>
            <w:vAlign w:val="bottom"/>
          </w:tcPr>
          <w:p>
            <w:pPr>
              <w:spacing w:after="0"/>
              <w:rPr>
                <w:sz w:val="3"/>
                <w:szCs w:val="3"/>
                <w:color w:val="auto"/>
              </w:rPr>
            </w:pPr>
          </w:p>
        </w:tc>
        <w:tc>
          <w:tcPr>
            <w:tcW w:w="3000" w:type="dxa"/>
            <w:vAlign w:val="bottom"/>
            <w:gridSpan w:val="2"/>
            <w:vMerge w:val="restart"/>
          </w:tcPr>
          <w:p>
            <w:pPr>
              <w:ind w:left="100"/>
              <w:spacing w:after="0" w:line="95" w:lineRule="exact"/>
              <w:rPr>
                <w:sz w:val="20"/>
                <w:szCs w:val="20"/>
                <w:color w:val="auto"/>
              </w:rPr>
            </w:pPr>
            <w:r>
              <w:rPr>
                <w:rFonts w:ascii="Arial" w:cs="Arial" w:eastAsia="Arial" w:hAnsi="Arial"/>
                <w:sz w:val="10"/>
                <w:szCs w:val="10"/>
                <w:color w:val="FFFFFF"/>
              </w:rPr>
              <w:t>Rule 144A under the Securities Act and outside the</w:t>
            </w:r>
          </w:p>
        </w:tc>
        <w:tc>
          <w:tcPr>
            <w:tcW w:w="0" w:type="dxa"/>
            <w:vAlign w:val="bottom"/>
          </w:tcPr>
          <w:p>
            <w:pPr>
              <w:spacing w:after="0"/>
              <w:rPr>
                <w:sz w:val="1"/>
                <w:szCs w:val="1"/>
                <w:color w:val="auto"/>
              </w:rPr>
            </w:pPr>
          </w:p>
        </w:tc>
      </w:tr>
      <w:tr>
        <w:trPr>
          <w:trHeight w:val="54"/>
        </w:trPr>
        <w:tc>
          <w:tcPr>
            <w:tcW w:w="8400" w:type="dxa"/>
            <w:vAlign w:val="bottom"/>
            <w:gridSpan w:val="3"/>
          </w:tcPr>
          <w:p>
            <w:pPr>
              <w:spacing w:after="0" w:line="54" w:lineRule="exact"/>
              <w:rPr>
                <w:sz w:val="20"/>
                <w:szCs w:val="20"/>
                <w:color w:val="auto"/>
              </w:rPr>
            </w:pPr>
            <w:r>
              <w:rPr>
                <w:rFonts w:ascii="Arial" w:cs="Arial" w:eastAsia="Arial" w:hAnsi="Arial"/>
                <w:sz w:val="6"/>
                <w:szCs w:val="6"/>
                <w:color w:val="FFFFFF"/>
              </w:rPr>
              <w:t>The Notes have not been and will not be registered under the Securities Act, and may be offered and sold only to qualified institutional buyers in reliance</w:t>
            </w:r>
          </w:p>
        </w:tc>
        <w:tc>
          <w:tcPr>
            <w:tcW w:w="30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8400" w:type="dxa"/>
            <w:vAlign w:val="bottom"/>
            <w:gridSpan w:val="3"/>
          </w:tcPr>
          <w:p>
            <w:pPr>
              <w:spacing w:after="0"/>
              <w:rPr>
                <w:sz w:val="20"/>
                <w:szCs w:val="20"/>
                <w:color w:val="auto"/>
              </w:rPr>
            </w:pPr>
            <w:r>
              <w:rPr>
                <w:rFonts w:ascii="Arial" w:cs="Arial" w:eastAsia="Arial" w:hAnsi="Arial"/>
                <w:sz w:val="3"/>
                <w:szCs w:val="3"/>
                <w:color w:val="FFFFFF"/>
              </w:rPr>
              <w:t>United States to non-U.S. persons (as defined in Regulation  under the Securities Act) in compliance with Regulation S under the Securities Act or to</w:t>
            </w:r>
          </w:p>
        </w:tc>
        <w:tc>
          <w:tcPr>
            <w:tcW w:w="1340" w:type="dxa"/>
            <w:vAlign w:val="bottom"/>
          </w:tcPr>
          <w:p>
            <w:pPr>
              <w:ind w:left="1000"/>
              <w:spacing w:after="0"/>
              <w:rPr>
                <w:sz w:val="20"/>
                <w:szCs w:val="20"/>
                <w:color w:val="auto"/>
              </w:rPr>
            </w:pPr>
            <w:r>
              <w:rPr>
                <w:rFonts w:ascii="Arial" w:cs="Arial" w:eastAsia="Arial" w:hAnsi="Arial"/>
                <w:sz w:val="3"/>
                <w:szCs w:val="3"/>
                <w:color w:val="FFFFFF"/>
              </w:rPr>
              <w:t>as</w:t>
            </w:r>
          </w:p>
        </w:tc>
        <w:tc>
          <w:tcPr>
            <w:tcW w:w="1660" w:type="dxa"/>
            <w:vAlign w:val="bottom"/>
          </w:tcPr>
          <w:p>
            <w:pPr>
              <w:ind w:left="240"/>
              <w:spacing w:after="0"/>
              <w:rPr>
                <w:sz w:val="20"/>
                <w:szCs w:val="20"/>
                <w:color w:val="auto"/>
              </w:rPr>
            </w:pPr>
            <w:r>
              <w:rPr>
                <w:rFonts w:ascii="Arial" w:cs="Arial" w:eastAsia="Arial" w:hAnsi="Arial"/>
                <w:sz w:val="3"/>
                <w:szCs w:val="3"/>
                <w:color w:val="FFFFFF"/>
              </w:rPr>
              <w:t>in Part 1 of Schedule 1 to</w:t>
            </w:r>
          </w:p>
        </w:tc>
        <w:tc>
          <w:tcPr>
            <w:tcW w:w="0" w:type="dxa"/>
            <w:vAlign w:val="bottom"/>
          </w:tcPr>
          <w:p>
            <w:pPr>
              <w:spacing w:after="0"/>
              <w:rPr>
                <w:sz w:val="1"/>
                <w:szCs w:val="1"/>
                <w:color w:val="auto"/>
              </w:rPr>
            </w:pPr>
          </w:p>
        </w:tc>
      </w:tr>
      <w:tr>
        <w:trPr>
          <w:trHeight w:val="41"/>
        </w:trPr>
        <w:tc>
          <w:tcPr>
            <w:tcW w:w="180" w:type="dxa"/>
            <w:vAlign w:val="bottom"/>
          </w:tcPr>
          <w:p>
            <w:pPr>
              <w:spacing w:after="0"/>
              <w:rPr>
                <w:sz w:val="3"/>
                <w:szCs w:val="3"/>
                <w:color w:val="auto"/>
              </w:rPr>
            </w:pPr>
          </w:p>
        </w:tc>
        <w:tc>
          <w:tcPr>
            <w:tcW w:w="11220" w:type="dxa"/>
            <w:vAlign w:val="bottom"/>
            <w:gridSpan w:val="4"/>
          </w:tcPr>
          <w:p>
            <w:pPr>
              <w:ind w:left="20"/>
              <w:spacing w:after="0"/>
              <w:rPr>
                <w:sz w:val="20"/>
                <w:szCs w:val="20"/>
                <w:color w:val="auto"/>
              </w:rPr>
            </w:pPr>
            <w:r>
              <w:rPr>
                <w:rFonts w:ascii="Arial" w:cs="Arial" w:eastAsia="Arial" w:hAnsi="Arial"/>
                <w:sz w:val="3"/>
                <w:szCs w:val="3"/>
                <w:color w:val="FFFFFF"/>
              </w:rPr>
              <w:t>SFO (including those prescribed by rules made under Section 397 of the SFO), and in accordance with any other applicable laws. None of the Notesprofessionalwillbeferedinvestorsthe publicdefinedHong Kong and none of</w:t>
            </w:r>
          </w:p>
        </w:tc>
        <w:tc>
          <w:tcPr>
            <w:tcW w:w="0" w:type="dxa"/>
            <w:vAlign w:val="bottom"/>
          </w:tcPr>
          <w:p>
            <w:pPr>
              <w:spacing w:after="0"/>
              <w:rPr>
                <w:sz w:val="1"/>
                <w:szCs w:val="1"/>
                <w:color w:val="auto"/>
              </w:rPr>
            </w:pPr>
          </w:p>
        </w:tc>
      </w:tr>
      <w:tr>
        <w:trPr>
          <w:trHeight w:val="41"/>
        </w:trPr>
        <w:tc>
          <w:tcPr>
            <w:tcW w:w="8400" w:type="dxa"/>
            <w:vAlign w:val="bottom"/>
            <w:gridSpan w:val="3"/>
          </w:tcPr>
          <w:p>
            <w:pPr>
              <w:spacing w:after="0"/>
              <w:rPr>
                <w:sz w:val="20"/>
                <w:szCs w:val="20"/>
                <w:color w:val="auto"/>
              </w:rPr>
            </w:pPr>
            <w:r>
              <w:rPr>
                <w:rFonts w:ascii="Arial" w:cs="Arial" w:eastAsia="Arial" w:hAnsi="Arial"/>
                <w:sz w:val="3"/>
                <w:szCs w:val="3"/>
                <w:color w:val="FFFFFF"/>
              </w:rPr>
              <w:t>the Notes will be placed to any Connected Person of the Company.</w:t>
            </w:r>
          </w:p>
        </w:tc>
        <w:tc>
          <w:tcPr>
            <w:tcW w:w="13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80" w:type="dxa"/>
            <w:vAlign w:val="bottom"/>
          </w:tcPr>
          <w:p>
            <w:pPr>
              <w:spacing w:after="0"/>
              <w:rPr>
                <w:sz w:val="20"/>
                <w:szCs w:val="20"/>
                <w:color w:val="auto"/>
              </w:rPr>
            </w:pPr>
            <w:r>
              <w:rPr>
                <w:rFonts w:ascii="Arial" w:cs="Arial" w:eastAsia="Arial" w:hAnsi="Arial"/>
                <w:sz w:val="14"/>
                <w:szCs w:val="14"/>
                <w:color w:val="FFFFFF"/>
              </w:rPr>
              <w:t>2</w:t>
            </w:r>
          </w:p>
        </w:tc>
        <w:tc>
          <w:tcPr>
            <w:tcW w:w="26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440" w:right="25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552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7555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gridSpan w:val="4"/>
          </w:tcPr>
          <w:p>
            <w:pPr>
              <w:spacing w:after="0"/>
              <w:rPr>
                <w:sz w:val="20"/>
                <w:szCs w:val="20"/>
                <w:color w:val="auto"/>
              </w:rPr>
            </w:pPr>
            <w:r>
              <w:rPr>
                <w:rFonts w:ascii="Arial" w:cs="Arial" w:eastAsia="Arial" w:hAnsi="Arial"/>
                <w:sz w:val="14"/>
                <w:szCs w:val="14"/>
                <w:color w:val="FFFFFF"/>
              </w:rPr>
              <w:t>Principal terms of the Notes</w:t>
            </w:r>
          </w:p>
        </w:tc>
        <w:tc>
          <w:tcPr>
            <w:tcW w:w="6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480" w:type="dxa"/>
            <w:vAlign w:val="bottom"/>
            <w:gridSpan w:val="3"/>
          </w:tcPr>
          <w:p>
            <w:pPr>
              <w:spacing w:after="0"/>
              <w:rPr>
                <w:sz w:val="20"/>
                <w:szCs w:val="20"/>
                <w:color w:val="auto"/>
              </w:rPr>
            </w:pPr>
            <w:r>
              <w:rPr>
                <w:rFonts w:ascii="Arial" w:cs="Arial" w:eastAsia="Arial" w:hAnsi="Arial"/>
                <w:sz w:val="3"/>
                <w:szCs w:val="3"/>
                <w:color w:val="FFFFFF"/>
              </w:rPr>
              <w:t>Issuer : the Company</w:t>
            </w:r>
          </w:p>
        </w:tc>
        <w:tc>
          <w:tcPr>
            <w:tcW w:w="3060" w:type="dxa"/>
            <w:vAlign w:val="bottom"/>
          </w:tcPr>
          <w:p>
            <w:pPr>
              <w:spacing w:after="0"/>
              <w:rPr>
                <w:sz w:val="3"/>
                <w:szCs w:val="3"/>
                <w:color w:val="auto"/>
              </w:rPr>
            </w:pP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40" w:type="dxa"/>
            <w:vAlign w:val="bottom"/>
            <w:gridSpan w:val="4"/>
          </w:tcPr>
          <w:p>
            <w:pPr>
              <w:spacing w:after="0"/>
              <w:rPr>
                <w:sz w:val="20"/>
                <w:szCs w:val="20"/>
                <w:color w:val="auto"/>
              </w:rPr>
            </w:pPr>
            <w:r>
              <w:rPr>
                <w:rFonts w:ascii="Arial" w:cs="Arial" w:eastAsia="Arial" w:hAnsi="Arial"/>
                <w:sz w:val="3"/>
                <w:szCs w:val="3"/>
                <w:color w:val="FFFFFF"/>
              </w:rPr>
              <w:t>Aggregate principal amount : US$600 million</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40" w:type="dxa"/>
            <w:vAlign w:val="bottom"/>
            <w:gridSpan w:val="4"/>
          </w:tcPr>
          <w:p>
            <w:pPr>
              <w:spacing w:after="0"/>
              <w:rPr>
                <w:sz w:val="20"/>
                <w:szCs w:val="20"/>
                <w:color w:val="auto"/>
              </w:rPr>
            </w:pPr>
            <w:r>
              <w:rPr>
                <w:rFonts w:ascii="Arial" w:cs="Arial" w:eastAsia="Arial" w:hAnsi="Arial"/>
                <w:sz w:val="3"/>
                <w:szCs w:val="3"/>
                <w:color w:val="FFFFFF"/>
              </w:rPr>
              <w:t>Offering price : 100% of the principal amount of the Notes</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40" w:type="dxa"/>
            <w:vAlign w:val="bottom"/>
            <w:gridSpan w:val="4"/>
          </w:tcPr>
          <w:p>
            <w:pPr>
              <w:ind w:left="60"/>
              <w:spacing w:after="0"/>
              <w:rPr>
                <w:sz w:val="20"/>
                <w:szCs w:val="20"/>
                <w:color w:val="auto"/>
              </w:rPr>
            </w:pPr>
            <w:r>
              <w:rPr>
                <w:rFonts w:ascii="Arial" w:cs="Arial" w:eastAsia="Arial" w:hAnsi="Arial"/>
                <w:sz w:val="3"/>
                <w:szCs w:val="3"/>
                <w:color w:val="FFFFFF"/>
              </w:rPr>
              <w:t>ssue date : 16 October 2013</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40" w:type="dxa"/>
            <w:vAlign w:val="bottom"/>
            <w:gridSpan w:val="4"/>
          </w:tcPr>
          <w:p>
            <w:pPr>
              <w:spacing w:after="0"/>
              <w:rPr>
                <w:sz w:val="20"/>
                <w:szCs w:val="20"/>
                <w:color w:val="auto"/>
              </w:rPr>
            </w:pPr>
            <w:r>
              <w:rPr>
                <w:rFonts w:ascii="Arial" w:cs="Arial" w:eastAsia="Arial" w:hAnsi="Arial"/>
                <w:sz w:val="3"/>
                <w:szCs w:val="3"/>
                <w:color w:val="FFFFFF"/>
              </w:rPr>
              <w:t>Interest rate : 5.250% per annum payable semi-annually in arrears on 15</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40" w:type="dxa"/>
            <w:vAlign w:val="bottom"/>
            <w:gridSpan w:val="4"/>
          </w:tcPr>
          <w:p>
            <w:pPr>
              <w:spacing w:after="0"/>
              <w:rPr>
                <w:sz w:val="20"/>
                <w:szCs w:val="20"/>
                <w:color w:val="auto"/>
              </w:rPr>
            </w:pPr>
            <w:r>
              <w:rPr>
                <w:rFonts w:ascii="Arial" w:cs="Arial" w:eastAsia="Arial" w:hAnsi="Arial"/>
                <w:sz w:val="3"/>
                <w:szCs w:val="3"/>
                <w:color w:val="FFFFFF"/>
              </w:rPr>
              <w:t>April and 15 October of each year. Interest will accrue from</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60" w:type="dxa"/>
            <w:vAlign w:val="bottom"/>
            <w:gridSpan w:val="2"/>
          </w:tcPr>
          <w:p>
            <w:pPr>
              <w:spacing w:after="0"/>
              <w:rPr>
                <w:sz w:val="20"/>
                <w:szCs w:val="20"/>
                <w:color w:val="auto"/>
              </w:rPr>
            </w:pPr>
            <w:r>
              <w:rPr>
                <w:rFonts w:ascii="Arial" w:cs="Arial" w:eastAsia="Arial" w:hAnsi="Arial"/>
                <w:sz w:val="3"/>
                <w:szCs w:val="3"/>
                <w:color w:val="FFFFFF"/>
              </w:rPr>
              <w:t>16 October 2013</w:t>
            </w:r>
          </w:p>
        </w:tc>
        <w:tc>
          <w:tcPr>
            <w:tcW w:w="5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40" w:type="dxa"/>
            <w:vAlign w:val="bottom"/>
            <w:gridSpan w:val="4"/>
          </w:tcPr>
          <w:p>
            <w:pPr>
              <w:spacing w:after="0"/>
              <w:rPr>
                <w:sz w:val="20"/>
                <w:szCs w:val="20"/>
                <w:color w:val="auto"/>
              </w:rPr>
            </w:pPr>
            <w:r>
              <w:rPr>
                <w:rFonts w:ascii="Arial" w:cs="Arial" w:eastAsia="Arial" w:hAnsi="Arial"/>
                <w:sz w:val="3"/>
                <w:szCs w:val="3"/>
                <w:color w:val="FFFFFF"/>
              </w:rPr>
              <w:t>Maturity date : 15 October 2021, unless earlier redeemed in accordance with</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60" w:type="dxa"/>
            <w:vAlign w:val="bottom"/>
            <w:gridSpan w:val="2"/>
          </w:tcPr>
          <w:p>
            <w:pPr>
              <w:spacing w:after="0"/>
              <w:rPr>
                <w:sz w:val="20"/>
                <w:szCs w:val="20"/>
                <w:color w:val="auto"/>
              </w:rPr>
            </w:pPr>
            <w:r>
              <w:rPr>
                <w:rFonts w:ascii="Arial" w:cs="Arial" w:eastAsia="Arial" w:hAnsi="Arial"/>
                <w:sz w:val="3"/>
                <w:szCs w:val="3"/>
                <w:color w:val="FFFFFF"/>
              </w:rPr>
              <w:t>the terms thereof</w:t>
            </w:r>
          </w:p>
        </w:tc>
        <w:tc>
          <w:tcPr>
            <w:tcW w:w="5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40" w:type="dxa"/>
            <w:vAlign w:val="bottom"/>
            <w:gridSpan w:val="4"/>
          </w:tcPr>
          <w:p>
            <w:pPr>
              <w:spacing w:after="0"/>
              <w:rPr>
                <w:sz w:val="20"/>
                <w:szCs w:val="20"/>
                <w:color w:val="auto"/>
              </w:rPr>
            </w:pPr>
            <w:r>
              <w:rPr>
                <w:rFonts w:ascii="Arial" w:cs="Arial" w:eastAsia="Arial" w:hAnsi="Arial"/>
                <w:sz w:val="3"/>
                <w:szCs w:val="3"/>
                <w:color w:val="FFFFFF"/>
              </w:rPr>
              <w:t>First interest payment due date : 15 April 2014</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80" w:type="dxa"/>
            <w:vAlign w:val="bottom"/>
            <w:gridSpan w:val="3"/>
          </w:tcPr>
          <w:p>
            <w:pPr>
              <w:spacing w:after="0"/>
              <w:rPr>
                <w:sz w:val="20"/>
                <w:szCs w:val="20"/>
                <w:color w:val="auto"/>
              </w:rPr>
            </w:pPr>
            <w:r>
              <w:rPr>
                <w:rFonts w:ascii="Arial" w:cs="Arial" w:eastAsia="Arial" w:hAnsi="Arial"/>
                <w:sz w:val="3"/>
                <w:szCs w:val="3"/>
                <w:color w:val="FFFFFF"/>
              </w:rPr>
              <w:t>Ranking of the Notes</w:t>
            </w:r>
          </w:p>
        </w:tc>
        <w:tc>
          <w:tcPr>
            <w:tcW w:w="3060" w:type="dxa"/>
            <w:vAlign w:val="bottom"/>
          </w:tcPr>
          <w:p>
            <w:pPr>
              <w:spacing w:after="0"/>
              <w:rPr>
                <w:sz w:val="3"/>
                <w:szCs w:val="3"/>
                <w:color w:val="auto"/>
              </w:rPr>
            </w:pP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5"/>
          </w:tcPr>
          <w:p>
            <w:pPr>
              <w:spacing w:after="0"/>
              <w:rPr>
                <w:sz w:val="20"/>
                <w:szCs w:val="20"/>
                <w:color w:val="auto"/>
              </w:rPr>
            </w:pPr>
            <w:r>
              <w:rPr>
                <w:rFonts w:ascii="Arial" w:cs="Arial" w:eastAsia="Arial" w:hAnsi="Arial"/>
                <w:sz w:val="3"/>
                <w:szCs w:val="3"/>
                <w:color w:val="FFFFFF"/>
              </w:rPr>
              <w:t>The Notes will be general unsecured obligations of the Company and will (1) rank equally in right of payment with all of the Company’ existing and future senior uns cured indebtedness, (2) rank senior to all</w:t>
            </w:r>
          </w:p>
        </w:tc>
        <w:tc>
          <w:tcPr>
            <w:tcW w:w="0" w:type="dxa"/>
            <w:vAlign w:val="bottom"/>
          </w:tcPr>
          <w:p>
            <w:pPr>
              <w:spacing w:after="0"/>
              <w:rPr>
                <w:sz w:val="1"/>
                <w:szCs w:val="1"/>
                <w:color w:val="auto"/>
              </w:rPr>
            </w:pPr>
          </w:p>
        </w:tc>
      </w:tr>
      <w:tr>
        <w:trPr>
          <w:trHeight w:val="41"/>
        </w:trPr>
        <w:tc>
          <w:tcPr>
            <w:tcW w:w="960" w:type="dxa"/>
            <w:vAlign w:val="bottom"/>
            <w:gridSpan w:val="2"/>
          </w:tcPr>
          <w:p>
            <w:pPr>
              <w:spacing w:after="0"/>
              <w:rPr>
                <w:sz w:val="20"/>
                <w:szCs w:val="20"/>
                <w:color w:val="auto"/>
              </w:rPr>
            </w:pPr>
            <w:r>
              <w:rPr>
                <w:rFonts w:ascii="Arial" w:cs="Arial" w:eastAsia="Arial" w:hAnsi="Arial"/>
                <w:sz w:val="3"/>
                <w:szCs w:val="3"/>
                <w:color w:val="FFFFFF"/>
              </w:rPr>
              <w:t>of the Company’</w:t>
            </w:r>
          </w:p>
        </w:tc>
        <w:tc>
          <w:tcPr>
            <w:tcW w:w="3580" w:type="dxa"/>
            <w:vAlign w:val="bottom"/>
            <w:gridSpan w:val="2"/>
          </w:tcPr>
          <w:p>
            <w:pPr>
              <w:ind w:left="40"/>
              <w:spacing w:after="0"/>
              <w:rPr>
                <w:sz w:val="20"/>
                <w:szCs w:val="20"/>
                <w:color w:val="auto"/>
              </w:rPr>
            </w:pPr>
            <w:r>
              <w:rPr>
                <w:rFonts w:ascii="Arial" w:cs="Arial" w:eastAsia="Arial" w:hAnsi="Arial"/>
                <w:sz w:val="3"/>
                <w:szCs w:val="3"/>
                <w:color w:val="FFFFFF"/>
              </w:rPr>
              <w:t>future subordinated indebtedness, if any, (3) be effectively</w:t>
            </w:r>
          </w:p>
        </w:tc>
        <w:tc>
          <w:tcPr>
            <w:tcW w:w="6760" w:type="dxa"/>
            <w:vAlign w:val="bottom"/>
          </w:tcPr>
          <w:p>
            <w:pPr>
              <w:ind w:left="380"/>
              <w:spacing w:after="0"/>
              <w:rPr>
                <w:sz w:val="20"/>
                <w:szCs w:val="20"/>
                <w:color w:val="auto"/>
              </w:rPr>
            </w:pPr>
            <w:r>
              <w:rPr>
                <w:rFonts w:ascii="Arial" w:cs="Arial" w:eastAsia="Arial" w:hAnsi="Arial"/>
                <w:sz w:val="3"/>
                <w:szCs w:val="3"/>
                <w:color w:val="FFFFFF"/>
              </w:rPr>
              <w:t>to all of the Company’s future secured indebtedness to the extent of the value of the assets securing such debt, and</w:t>
            </w:r>
          </w:p>
        </w:tc>
        <w:tc>
          <w:tcPr>
            <w:tcW w:w="0" w:type="dxa"/>
            <w:vAlign w:val="bottom"/>
          </w:tcPr>
          <w:p>
            <w:pPr>
              <w:spacing w:after="0"/>
              <w:rPr>
                <w:sz w:val="1"/>
                <w:szCs w:val="1"/>
                <w:color w:val="auto"/>
              </w:rPr>
            </w:pPr>
          </w:p>
        </w:tc>
      </w:tr>
      <w:tr>
        <w:trPr>
          <w:trHeight w:val="41"/>
        </w:trPr>
        <w:tc>
          <w:tcPr>
            <w:tcW w:w="11300" w:type="dxa"/>
            <w:vAlign w:val="bottom"/>
            <w:gridSpan w:val="5"/>
          </w:tcPr>
          <w:p>
            <w:pPr>
              <w:spacing w:after="0"/>
              <w:rPr>
                <w:sz w:val="20"/>
                <w:szCs w:val="20"/>
                <w:color w:val="auto"/>
              </w:rPr>
            </w:pPr>
            <w:r>
              <w:rPr>
                <w:rFonts w:ascii="Arial" w:cs="Arial" w:eastAsia="Arial" w:hAnsi="Arial"/>
                <w:sz w:val="3"/>
                <w:szCs w:val="3"/>
                <w:color w:val="FFFFFF"/>
              </w:rPr>
              <w:t>(4) be structurally subordinated to all existing and future obligations of the Company’subordinatedsubsidiaries, including the Wynn Macau Credit Facilities. As of 30 June 2013, we had secured long-term debt of</w:t>
            </w:r>
          </w:p>
        </w:tc>
        <w:tc>
          <w:tcPr>
            <w:tcW w:w="0" w:type="dxa"/>
            <w:vAlign w:val="bottom"/>
          </w:tcPr>
          <w:p>
            <w:pPr>
              <w:spacing w:after="0"/>
              <w:rPr>
                <w:sz w:val="1"/>
                <w:szCs w:val="1"/>
                <w:color w:val="auto"/>
              </w:rPr>
            </w:pPr>
          </w:p>
        </w:tc>
      </w:tr>
      <w:tr>
        <w:trPr>
          <w:trHeight w:val="41"/>
        </w:trPr>
        <w:tc>
          <w:tcPr>
            <w:tcW w:w="11300" w:type="dxa"/>
            <w:vAlign w:val="bottom"/>
            <w:gridSpan w:val="5"/>
          </w:tcPr>
          <w:p>
            <w:pPr>
              <w:spacing w:after="0"/>
              <w:rPr>
                <w:sz w:val="20"/>
                <w:szCs w:val="20"/>
                <w:color w:val="auto"/>
              </w:rPr>
            </w:pPr>
            <w:r>
              <w:rPr>
                <w:rFonts w:ascii="Arial" w:cs="Arial" w:eastAsia="Arial" w:hAnsi="Arial"/>
                <w:sz w:val="3"/>
                <w:szCs w:val="3"/>
                <w:color w:val="FFFFFF"/>
              </w:rPr>
              <w:t>HK$5,839.5 million (US$752.9 million) under the Wynn Macau Credit Facilities, and we may incur additional secured and/or unsecured indebtedness and other obligations in the future.</w:t>
            </w:r>
          </w:p>
        </w:tc>
        <w:tc>
          <w:tcPr>
            <w:tcW w:w="0" w:type="dxa"/>
            <w:vAlign w:val="bottom"/>
          </w:tcPr>
          <w:p>
            <w:pPr>
              <w:spacing w:after="0"/>
              <w:rPr>
                <w:sz w:val="1"/>
                <w:szCs w:val="1"/>
                <w:color w:val="auto"/>
              </w:rPr>
            </w:pPr>
          </w:p>
        </w:tc>
      </w:tr>
      <w:tr>
        <w:trPr>
          <w:trHeight w:val="41"/>
        </w:trPr>
        <w:tc>
          <w:tcPr>
            <w:tcW w:w="960" w:type="dxa"/>
            <w:vAlign w:val="bottom"/>
            <w:gridSpan w:val="2"/>
          </w:tcPr>
          <w:p>
            <w:pPr>
              <w:spacing w:after="0"/>
              <w:rPr>
                <w:sz w:val="20"/>
                <w:szCs w:val="20"/>
                <w:color w:val="auto"/>
              </w:rPr>
            </w:pPr>
            <w:r>
              <w:rPr>
                <w:rFonts w:ascii="Arial" w:cs="Arial" w:eastAsia="Arial" w:hAnsi="Arial"/>
                <w:sz w:val="3"/>
                <w:szCs w:val="3"/>
                <w:color w:val="FFFFFF"/>
              </w:rPr>
              <w:t>Ev nts of default</w:t>
            </w:r>
          </w:p>
        </w:tc>
        <w:tc>
          <w:tcPr>
            <w:tcW w:w="5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540" w:type="dxa"/>
            <w:vAlign w:val="bottom"/>
            <w:gridSpan w:val="4"/>
          </w:tcPr>
          <w:p>
            <w:pPr>
              <w:spacing w:after="0"/>
              <w:rPr>
                <w:sz w:val="20"/>
                <w:szCs w:val="20"/>
                <w:color w:val="auto"/>
              </w:rPr>
            </w:pPr>
            <w:r>
              <w:rPr>
                <w:rFonts w:ascii="Arial" w:cs="Arial" w:eastAsia="Arial" w:hAnsi="Arial"/>
                <w:sz w:val="3"/>
                <w:szCs w:val="3"/>
                <w:color w:val="FFFFFF"/>
              </w:rPr>
              <w:t>The events of default under the Notes include, among others:</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0" w:type="dxa"/>
            <w:vAlign w:val="bottom"/>
          </w:tcPr>
          <w:p>
            <w:pPr>
              <w:ind w:left="60"/>
              <w:spacing w:after="0"/>
              <w:rPr>
                <w:sz w:val="20"/>
                <w:szCs w:val="20"/>
                <w:color w:val="auto"/>
              </w:rPr>
            </w:pPr>
            <w:r>
              <w:rPr>
                <w:rFonts w:ascii="Arial" w:cs="Arial" w:eastAsia="Arial" w:hAnsi="Arial"/>
                <w:sz w:val="3"/>
                <w:szCs w:val="3"/>
                <w:color w:val="FFFFFF"/>
              </w:rPr>
              <w:t>1)</w:t>
            </w:r>
          </w:p>
        </w:tc>
        <w:tc>
          <w:tcPr>
            <w:tcW w:w="4160" w:type="dxa"/>
            <w:vAlign w:val="bottom"/>
            <w:gridSpan w:val="3"/>
          </w:tcPr>
          <w:p>
            <w:pPr>
              <w:ind w:left="220"/>
              <w:spacing w:after="0"/>
              <w:rPr>
                <w:sz w:val="20"/>
                <w:szCs w:val="20"/>
                <w:color w:val="auto"/>
              </w:rPr>
            </w:pPr>
            <w:r>
              <w:rPr>
                <w:rFonts w:ascii="Arial" w:cs="Arial" w:eastAsia="Arial" w:hAnsi="Arial"/>
                <w:sz w:val="3"/>
                <w:szCs w:val="3"/>
                <w:color w:val="FFFFFF"/>
              </w:rPr>
              <w:t>for 30 days in the payment when due of interest   the Notes;</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5"/>
          </w:tcPr>
          <w:p>
            <w:pPr>
              <w:ind w:left="60"/>
              <w:spacing w:after="0"/>
              <w:rPr>
                <w:sz w:val="20"/>
                <w:szCs w:val="20"/>
                <w:color w:val="auto"/>
              </w:rPr>
            </w:pPr>
            <w:r>
              <w:rPr>
                <w:rFonts w:ascii="Arial" w:cs="Arial" w:eastAsia="Arial" w:hAnsi="Arial"/>
                <w:sz w:val="3"/>
                <w:szCs w:val="3"/>
                <w:color w:val="FFFFFF"/>
              </w:rPr>
              <w:t>2) default in the payment when due (at maturity, upon redemption, repurchase or otherwise) of the principal of, or premium, if any,   the Notes;</w:t>
            </w:r>
          </w:p>
        </w:tc>
        <w:tc>
          <w:tcPr>
            <w:tcW w:w="0" w:type="dxa"/>
            <w:vAlign w:val="bottom"/>
          </w:tcPr>
          <w:p>
            <w:pPr>
              <w:spacing w:after="0"/>
              <w:rPr>
                <w:sz w:val="1"/>
                <w:szCs w:val="1"/>
                <w:color w:val="auto"/>
              </w:rPr>
            </w:pPr>
          </w:p>
        </w:tc>
      </w:tr>
      <w:tr>
        <w:trPr>
          <w:trHeight w:val="41"/>
        </w:trPr>
        <w:tc>
          <w:tcPr>
            <w:tcW w:w="11300" w:type="dxa"/>
            <w:vAlign w:val="bottom"/>
            <w:gridSpan w:val="5"/>
          </w:tcPr>
          <w:p>
            <w:pPr>
              <w:spacing w:after="0"/>
              <w:rPr>
                <w:sz w:val="20"/>
                <w:szCs w:val="20"/>
                <w:color w:val="auto"/>
              </w:rPr>
            </w:pPr>
            <w:r>
              <w:rPr>
                <w:rFonts w:ascii="Arial" w:cs="Arial" w:eastAsia="Arial" w:hAnsi="Arial"/>
                <w:sz w:val="3"/>
                <w:szCs w:val="3"/>
                <w:color w:val="FFFFFF"/>
              </w:rPr>
              <w:t>(3) failure by the Company to comply with any payment obligations relating to the repurchase by the Company of the Notes at the option of the holders of the Notes upon certain change in control events as</w:t>
            </w:r>
          </w:p>
        </w:tc>
        <w:tc>
          <w:tcPr>
            <w:tcW w:w="0" w:type="dxa"/>
            <w:vAlign w:val="bottom"/>
          </w:tcPr>
          <w:p>
            <w:pPr>
              <w:spacing w:after="0"/>
              <w:rPr>
                <w:sz w:val="1"/>
                <w:szCs w:val="1"/>
                <w:color w:val="auto"/>
              </w:rPr>
            </w:pPr>
          </w:p>
        </w:tc>
      </w:tr>
      <w:tr>
        <w:trPr>
          <w:trHeight w:val="41"/>
        </w:trPr>
        <w:tc>
          <w:tcPr>
            <w:tcW w:w="1480" w:type="dxa"/>
            <w:vAlign w:val="bottom"/>
            <w:gridSpan w:val="3"/>
          </w:tcPr>
          <w:p>
            <w:pPr>
              <w:spacing w:after="0"/>
              <w:rPr>
                <w:sz w:val="20"/>
                <w:szCs w:val="20"/>
                <w:color w:val="auto"/>
              </w:rPr>
            </w:pPr>
            <w:r>
              <w:rPr>
                <w:rFonts w:ascii="Arial" w:cs="Arial" w:eastAsia="Arial" w:hAnsi="Arial"/>
                <w:sz w:val="3"/>
                <w:szCs w:val="3"/>
                <w:color w:val="FFFFFF"/>
              </w:rPr>
              <w:t>described in the Indenture;</w:t>
            </w:r>
          </w:p>
        </w:tc>
        <w:tc>
          <w:tcPr>
            <w:tcW w:w="9820" w:type="dxa"/>
            <w:vAlign w:val="bottom"/>
            <w:gridSpan w:val="2"/>
            <w:vMerge w:val="restart"/>
          </w:tcPr>
          <w:p>
            <w:pPr>
              <w:ind w:left="40"/>
              <w:spacing w:after="0"/>
              <w:rPr>
                <w:sz w:val="20"/>
                <w:szCs w:val="20"/>
                <w:color w:val="auto"/>
              </w:rPr>
            </w:pPr>
            <w:r>
              <w:rPr>
                <w:rFonts w:ascii="Arial" w:cs="Arial" w:eastAsia="Arial" w:hAnsi="Arial"/>
                <w:sz w:val="3"/>
                <w:szCs w:val="3"/>
                <w:color w:val="FFFFFF"/>
              </w:rPr>
              <w:t>to comply with the covenants relating to merger, consolidation or sale of assets;</w:t>
            </w:r>
          </w:p>
        </w:tc>
        <w:tc>
          <w:tcPr>
            <w:tcW w:w="0" w:type="dxa"/>
            <w:vAlign w:val="bottom"/>
          </w:tcPr>
          <w:p>
            <w:pPr>
              <w:spacing w:after="0"/>
              <w:rPr>
                <w:sz w:val="1"/>
                <w:szCs w:val="1"/>
                <w:color w:val="auto"/>
              </w:rPr>
            </w:pPr>
          </w:p>
        </w:tc>
      </w:tr>
      <w:tr>
        <w:trPr>
          <w:trHeight w:val="0"/>
        </w:trPr>
        <w:tc>
          <w:tcPr>
            <w:tcW w:w="380" w:type="dxa"/>
            <w:vAlign w:val="bottom"/>
          </w:tcPr>
          <w:p>
            <w:pPr>
              <w:ind w:left="60"/>
              <w:spacing w:after="0" w:line="80" w:lineRule="exact"/>
              <w:rPr>
                <w:sz w:val="20"/>
                <w:szCs w:val="20"/>
                <w:color w:val="auto"/>
              </w:rPr>
            </w:pPr>
            <w:r>
              <w:rPr>
                <w:rFonts w:ascii="Arial" w:cs="Arial" w:eastAsia="Arial" w:hAnsi="Arial"/>
                <w:sz w:val="9"/>
                <w:szCs w:val="9"/>
                <w:color w:val="FFFFFF"/>
              </w:rPr>
              <w:t>4)</w:t>
            </w: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3"/>
          <w:szCs w:val="3"/>
          <w:color w:val="FFFFFF"/>
        </w:rPr>
        <w:t>(5) failure by the Company for 60 days after receipt of written notice from the Trustee or the holders of at least 25% in aggregate principal amount of the Notes then outstanding voting as a single class to comply with any of the other obligations in the Indenture not identified in clauses (1), (2), (3) or (4) above;</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FFFFFF"/>
        </w:rPr>
        <w:t>3</w:t>
      </w:r>
    </w:p>
    <w:p>
      <w:pPr>
        <w:sectPr>
          <w:pgSz w:w="11900" w:h="16838" w:orient="portrait"/>
          <w:cols w:equalWidth="0" w:num="1">
            <w:col w:w="11400"/>
          </w:cols>
          <w:pgMar w:left="240" w:top="1440" w:right="25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552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7555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gridSpan w:val="5"/>
          </w:tcPr>
          <w:p>
            <w:pPr>
              <w:spacing w:after="0"/>
              <w:rPr>
                <w:sz w:val="20"/>
                <w:szCs w:val="20"/>
                <w:color w:val="auto"/>
              </w:rPr>
            </w:pPr>
            <w:r>
              <w:rPr>
                <w:rFonts w:ascii="Arial" w:cs="Arial" w:eastAsia="Arial" w:hAnsi="Arial"/>
                <w:sz w:val="14"/>
                <w:szCs w:val="14"/>
                <w:color w:val="FFFFFF"/>
                <w:w w:val="89"/>
              </w:rPr>
              <w:t>(6) default under any mortgage, indenture or instrument under which there may be issued or by which there may be secured or evidenced any Indebtedness for money</w:t>
            </w:r>
          </w:p>
        </w:tc>
        <w:tc>
          <w:tcPr>
            <w:tcW w:w="2020" w:type="dxa"/>
            <w:vAlign w:val="bottom"/>
          </w:tcPr>
          <w:p>
            <w:pPr>
              <w:ind w:left="300"/>
              <w:spacing w:after="0"/>
              <w:rPr>
                <w:sz w:val="20"/>
                <w:szCs w:val="20"/>
                <w:color w:val="auto"/>
              </w:rPr>
            </w:pPr>
            <w:r>
              <w:rPr>
                <w:rFonts w:ascii="Arial" w:cs="Arial" w:eastAsia="Arial" w:hAnsi="Arial"/>
                <w:sz w:val="14"/>
                <w:szCs w:val="14"/>
                <w:color w:val="FFFFFF"/>
                <w:w w:val="95"/>
              </w:rPr>
              <w:t>by the Company or any of its</w:t>
            </w:r>
          </w:p>
        </w:tc>
        <w:tc>
          <w:tcPr>
            <w:tcW w:w="0" w:type="dxa"/>
            <w:vAlign w:val="bottom"/>
          </w:tcPr>
          <w:p>
            <w:pPr>
              <w:spacing w:after="0"/>
              <w:rPr>
                <w:sz w:val="1"/>
                <w:szCs w:val="1"/>
                <w:color w:val="auto"/>
              </w:rPr>
            </w:pPr>
          </w:p>
        </w:tc>
      </w:tr>
      <w:tr>
        <w:trPr>
          <w:trHeight w:val="41"/>
        </w:trPr>
        <w:tc>
          <w:tcPr>
            <w:tcW w:w="11280" w:type="dxa"/>
            <w:vAlign w:val="bottom"/>
            <w:gridSpan w:val="6"/>
          </w:tcPr>
          <w:p>
            <w:pPr>
              <w:spacing w:after="0"/>
              <w:rPr>
                <w:sz w:val="20"/>
                <w:szCs w:val="20"/>
                <w:color w:val="auto"/>
              </w:rPr>
            </w:pPr>
            <w:r>
              <w:rPr>
                <w:rFonts w:ascii="Arial" w:cs="Arial" w:eastAsia="Arial" w:hAnsi="Arial"/>
                <w:sz w:val="3"/>
                <w:szCs w:val="3"/>
                <w:color w:val="FFFFFF"/>
              </w:rPr>
              <w:t>subsidiaries (or the payment of which is guaranteed by the Company or any of its subsidiaries), whether such indebtedness or guarantee existed on the date of the Indenture,borrowedis created after the date of the</w:t>
            </w:r>
          </w:p>
        </w:tc>
        <w:tc>
          <w:tcPr>
            <w:tcW w:w="0" w:type="dxa"/>
            <w:vAlign w:val="bottom"/>
          </w:tcPr>
          <w:p>
            <w:pPr>
              <w:spacing w:after="0"/>
              <w:rPr>
                <w:sz w:val="1"/>
                <w:szCs w:val="1"/>
                <w:color w:val="auto"/>
              </w:rPr>
            </w:pPr>
          </w:p>
        </w:tc>
      </w:tr>
      <w:tr>
        <w:trPr>
          <w:trHeight w:val="41"/>
        </w:trPr>
        <w:tc>
          <w:tcPr>
            <w:tcW w:w="6540" w:type="dxa"/>
            <w:vAlign w:val="bottom"/>
            <w:gridSpan w:val="3"/>
          </w:tcPr>
          <w:p>
            <w:pPr>
              <w:spacing w:after="0"/>
              <w:rPr>
                <w:sz w:val="20"/>
                <w:szCs w:val="20"/>
                <w:color w:val="auto"/>
              </w:rPr>
            </w:pPr>
            <w:r>
              <w:rPr>
                <w:rFonts w:ascii="Arial" w:cs="Arial" w:eastAsia="Arial" w:hAnsi="Arial"/>
                <w:sz w:val="3"/>
                <w:szCs w:val="3"/>
                <w:color w:val="FFFFFF"/>
              </w:rPr>
              <w:t>Indenture, if that default results in the acceleration of such Indebtedness prior to its express maturity, and, in each case,</w:t>
            </w:r>
          </w:p>
        </w:tc>
        <w:tc>
          <w:tcPr>
            <w:tcW w:w="4740" w:type="dxa"/>
            <w:vAlign w:val="bottom"/>
            <w:gridSpan w:val="3"/>
          </w:tcPr>
          <w:p>
            <w:pPr>
              <w:ind w:left="120"/>
              <w:spacing w:after="0"/>
              <w:rPr>
                <w:sz w:val="20"/>
                <w:szCs w:val="20"/>
                <w:color w:val="auto"/>
              </w:rPr>
            </w:pPr>
            <w:r>
              <w:rPr>
                <w:rFonts w:ascii="Arial" w:cs="Arial" w:eastAsia="Arial" w:hAnsi="Arial"/>
                <w:sz w:val="3"/>
                <w:szCs w:val="3"/>
                <w:color w:val="FFFFFF"/>
              </w:rPr>
              <w:t>principal amount of any such Indebtedness, together with the principal amount of any</w:t>
            </w:r>
          </w:p>
        </w:tc>
        <w:tc>
          <w:tcPr>
            <w:tcW w:w="0" w:type="dxa"/>
            <w:vAlign w:val="bottom"/>
          </w:tcPr>
          <w:p>
            <w:pPr>
              <w:spacing w:after="0"/>
              <w:rPr>
                <w:sz w:val="1"/>
                <w:szCs w:val="1"/>
                <w:color w:val="auto"/>
              </w:rPr>
            </w:pPr>
          </w:p>
        </w:tc>
      </w:tr>
      <w:tr>
        <w:trPr>
          <w:trHeight w:val="41"/>
        </w:trPr>
        <w:tc>
          <w:tcPr>
            <w:tcW w:w="11280" w:type="dxa"/>
            <w:vAlign w:val="bottom"/>
            <w:gridSpan w:val="6"/>
          </w:tcPr>
          <w:p>
            <w:pPr>
              <w:spacing w:after="0"/>
              <w:rPr>
                <w:sz w:val="20"/>
                <w:szCs w:val="20"/>
                <w:color w:val="auto"/>
              </w:rPr>
            </w:pPr>
            <w:r>
              <w:rPr>
                <w:rFonts w:ascii="Arial" w:cs="Arial" w:eastAsia="Arial" w:hAnsi="Arial"/>
                <w:sz w:val="3"/>
                <w:szCs w:val="3"/>
                <w:color w:val="FFFFFF"/>
              </w:rPr>
              <w:t>other such Indebtedness the maturity of which has been so accelerated, aggregates US$50.0 million (or the equivalent thereof) or more, if such acceleration is not annulled within 30 days after written notice as</w:t>
            </w:r>
          </w:p>
        </w:tc>
        <w:tc>
          <w:tcPr>
            <w:tcW w:w="0" w:type="dxa"/>
            <w:vAlign w:val="bottom"/>
          </w:tcPr>
          <w:p>
            <w:pPr>
              <w:spacing w:after="0"/>
              <w:rPr>
                <w:sz w:val="1"/>
                <w:szCs w:val="1"/>
                <w:color w:val="auto"/>
              </w:rPr>
            </w:pPr>
          </w:p>
        </w:tc>
      </w:tr>
      <w:tr>
        <w:trPr>
          <w:trHeight w:val="41"/>
        </w:trPr>
        <w:tc>
          <w:tcPr>
            <w:tcW w:w="1580" w:type="dxa"/>
            <w:vAlign w:val="bottom"/>
            <w:gridSpan w:val="2"/>
          </w:tcPr>
          <w:p>
            <w:pPr>
              <w:spacing w:after="0"/>
              <w:rPr>
                <w:sz w:val="20"/>
                <w:szCs w:val="20"/>
                <w:color w:val="auto"/>
              </w:rPr>
            </w:pPr>
            <w:r>
              <w:rPr>
                <w:rFonts w:ascii="Arial" w:cs="Arial" w:eastAsia="Arial" w:hAnsi="Arial"/>
                <w:sz w:val="3"/>
                <w:szCs w:val="3"/>
                <w:color w:val="FFFFFF"/>
              </w:rPr>
              <w:t>provided in the Indenture;</w:t>
            </w:r>
          </w:p>
        </w:tc>
        <w:tc>
          <w:tcPr>
            <w:tcW w:w="4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40" w:type="dxa"/>
            <w:vAlign w:val="bottom"/>
          </w:tcPr>
          <w:p>
            <w:pPr>
              <w:spacing w:after="0"/>
              <w:rPr>
                <w:sz w:val="20"/>
                <w:szCs w:val="20"/>
                <w:color w:val="auto"/>
              </w:rPr>
            </w:pPr>
            <w:r>
              <w:rPr>
                <w:rFonts w:ascii="Arial" w:cs="Arial" w:eastAsia="Arial" w:hAnsi="Arial"/>
                <w:sz w:val="3"/>
                <w:szCs w:val="3"/>
                <w:color w:val="FFFFFF"/>
              </w:rPr>
              <w:t>(7) failure by</w:t>
            </w:r>
          </w:p>
        </w:tc>
        <w:tc>
          <w:tcPr>
            <w:tcW w:w="10440" w:type="dxa"/>
            <w:vAlign w:val="bottom"/>
            <w:gridSpan w:val="5"/>
          </w:tcPr>
          <w:p>
            <w:pPr>
              <w:ind w:left="120"/>
              <w:spacing w:after="0"/>
              <w:rPr>
                <w:sz w:val="20"/>
                <w:szCs w:val="20"/>
                <w:color w:val="auto"/>
              </w:rPr>
            </w:pPr>
            <w:r>
              <w:rPr>
                <w:rFonts w:ascii="Arial" w:cs="Arial" w:eastAsia="Arial" w:hAnsi="Arial"/>
                <w:sz w:val="3"/>
                <w:szCs w:val="3"/>
                <w:color w:val="FFFFFF"/>
              </w:rPr>
              <w:t>Company or any Significant Subsidiary to pay final non-appealable judgments rendered against the Company or any Significant Subsidiary aggregating in excess of US$50.0 million (or the</w:t>
            </w:r>
          </w:p>
        </w:tc>
        <w:tc>
          <w:tcPr>
            <w:tcW w:w="0" w:type="dxa"/>
            <w:vAlign w:val="bottom"/>
          </w:tcPr>
          <w:p>
            <w:pPr>
              <w:spacing w:after="0"/>
              <w:rPr>
                <w:sz w:val="1"/>
                <w:szCs w:val="1"/>
                <w:color w:val="auto"/>
              </w:rPr>
            </w:pPr>
          </w:p>
        </w:tc>
      </w:tr>
      <w:tr>
        <w:trPr>
          <w:trHeight w:val="41"/>
        </w:trPr>
        <w:tc>
          <w:tcPr>
            <w:tcW w:w="6540" w:type="dxa"/>
            <w:vAlign w:val="bottom"/>
            <w:gridSpan w:val="3"/>
          </w:tcPr>
          <w:p>
            <w:pPr>
              <w:spacing w:after="0"/>
              <w:rPr>
                <w:sz w:val="20"/>
                <w:szCs w:val="20"/>
                <w:color w:val="auto"/>
              </w:rPr>
            </w:pPr>
            <w:r>
              <w:rPr>
                <w:rFonts w:ascii="Arial" w:cs="Arial" w:eastAsia="Arial" w:hAnsi="Arial"/>
                <w:sz w:val="3"/>
                <w:szCs w:val="3"/>
                <w:color w:val="FFFFFF"/>
              </w:rPr>
              <w:t>equivalent thereof), which judgments are not paid, bonded, discharged or stayed for a period of 60 days; or</w:t>
            </w:r>
          </w:p>
        </w:tc>
        <w:tc>
          <w:tcPr>
            <w:tcW w:w="5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540" w:type="dxa"/>
            <w:vAlign w:val="bottom"/>
            <w:gridSpan w:val="3"/>
          </w:tcPr>
          <w:p>
            <w:pPr>
              <w:spacing w:after="0"/>
              <w:rPr>
                <w:sz w:val="20"/>
                <w:szCs w:val="20"/>
                <w:color w:val="auto"/>
              </w:rPr>
            </w:pPr>
            <w:r>
              <w:rPr>
                <w:rFonts w:ascii="Arial" w:cs="Arial" w:eastAsia="Arial" w:hAnsi="Arial"/>
                <w:sz w:val="3"/>
                <w:szCs w:val="3"/>
                <w:color w:val="FFFFFF"/>
              </w:rPr>
              <w:t>(8) c rtain events of bankruptcy or nsolvency described in the Indenture.</w:t>
            </w:r>
          </w:p>
        </w:tc>
        <w:tc>
          <w:tcPr>
            <w:tcW w:w="520" w:type="dxa"/>
            <w:vAlign w:val="bottom"/>
          </w:tcPr>
          <w:p>
            <w:pPr>
              <w:spacing w:after="0"/>
              <w:rPr>
                <w:sz w:val="3"/>
                <w:szCs w:val="3"/>
                <w:color w:val="auto"/>
              </w:rPr>
            </w:pPr>
          </w:p>
        </w:tc>
        <w:tc>
          <w:tcPr>
            <w:tcW w:w="4220" w:type="dxa"/>
            <w:vAlign w:val="bottom"/>
            <w:gridSpan w:val="2"/>
            <w:vMerge w:val="restart"/>
          </w:tcPr>
          <w:p>
            <w:pPr>
              <w:ind w:left="140"/>
              <w:spacing w:after="0" w:line="81" w:lineRule="exact"/>
              <w:rPr>
                <w:sz w:val="20"/>
                <w:szCs w:val="20"/>
                <w:color w:val="auto"/>
              </w:rPr>
            </w:pPr>
            <w:r>
              <w:rPr>
                <w:rFonts w:ascii="Arial" w:cs="Arial" w:eastAsia="Arial" w:hAnsi="Arial"/>
                <w:sz w:val="9"/>
                <w:szCs w:val="9"/>
                <w:color w:val="FFFFFF"/>
              </w:rPr>
              <w:t>payable immediately without further action or notice. If any other event of</w:t>
            </w:r>
          </w:p>
        </w:tc>
        <w:tc>
          <w:tcPr>
            <w:tcW w:w="0" w:type="dxa"/>
            <w:vAlign w:val="bottom"/>
          </w:tcPr>
          <w:p>
            <w:pPr>
              <w:spacing w:after="0"/>
              <w:rPr>
                <w:sz w:val="1"/>
                <w:szCs w:val="1"/>
                <w:color w:val="auto"/>
              </w:rPr>
            </w:pPr>
          </w:p>
        </w:tc>
      </w:tr>
      <w:tr>
        <w:trPr>
          <w:trHeight w:val="41"/>
        </w:trPr>
        <w:tc>
          <w:tcPr>
            <w:tcW w:w="7060" w:type="dxa"/>
            <w:vAlign w:val="bottom"/>
            <w:gridSpan w:val="4"/>
          </w:tcPr>
          <w:p>
            <w:pPr>
              <w:spacing w:after="0"/>
              <w:rPr>
                <w:sz w:val="20"/>
                <w:szCs w:val="20"/>
                <w:color w:val="auto"/>
              </w:rPr>
            </w:pPr>
            <w:r>
              <w:rPr>
                <w:rFonts w:ascii="Arial" w:cs="Arial" w:eastAsia="Arial" w:hAnsi="Arial"/>
                <w:sz w:val="3"/>
                <w:szCs w:val="3"/>
                <w:color w:val="FFFFFF"/>
              </w:rPr>
              <w:t>In the case of an event of default arising from certain events of bankruptcy or insolvency, all outstanding Notes will become due</w:t>
            </w:r>
          </w:p>
        </w:tc>
        <w:tc>
          <w:tcPr>
            <w:tcW w:w="4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6"/>
          </w:tcPr>
          <w:p>
            <w:pPr>
              <w:spacing w:after="0"/>
              <w:rPr>
                <w:sz w:val="20"/>
                <w:szCs w:val="20"/>
                <w:color w:val="auto"/>
              </w:rPr>
            </w:pPr>
            <w:r>
              <w:rPr>
                <w:rFonts w:ascii="Arial" w:cs="Arial" w:eastAsia="Arial" w:hAnsi="Arial"/>
                <w:sz w:val="3"/>
                <w:szCs w:val="3"/>
                <w:color w:val="FFFFFF"/>
              </w:rPr>
              <w:t>default occurs and is continuing, the Trustee or the holders of at least 25% in aggregate principal amount of the Notes then outstanding may declare all the Notes to be due and payable immediately.</w:t>
            </w:r>
          </w:p>
        </w:tc>
        <w:tc>
          <w:tcPr>
            <w:tcW w:w="0" w:type="dxa"/>
            <w:vAlign w:val="bottom"/>
          </w:tcPr>
          <w:p>
            <w:pPr>
              <w:spacing w:after="0"/>
              <w:rPr>
                <w:sz w:val="1"/>
                <w:szCs w:val="1"/>
                <w:color w:val="auto"/>
              </w:rPr>
            </w:pPr>
          </w:p>
        </w:tc>
      </w:tr>
      <w:tr>
        <w:trPr>
          <w:trHeight w:val="41"/>
        </w:trPr>
        <w:tc>
          <w:tcPr>
            <w:tcW w:w="840" w:type="dxa"/>
            <w:vAlign w:val="bottom"/>
          </w:tcPr>
          <w:p>
            <w:pPr>
              <w:spacing w:after="0"/>
              <w:rPr>
                <w:sz w:val="20"/>
                <w:szCs w:val="20"/>
                <w:color w:val="auto"/>
              </w:rPr>
            </w:pPr>
            <w:r>
              <w:rPr>
                <w:rFonts w:ascii="Arial" w:cs="Arial" w:eastAsia="Arial" w:hAnsi="Arial"/>
                <w:sz w:val="3"/>
                <w:szCs w:val="3"/>
                <w:color w:val="FFFFFF"/>
              </w:rPr>
              <w:t>Covenants</w:t>
            </w:r>
          </w:p>
        </w:tc>
        <w:tc>
          <w:tcPr>
            <w:tcW w:w="740" w:type="dxa"/>
            <w:vAlign w:val="bottom"/>
          </w:tcPr>
          <w:p>
            <w:pPr>
              <w:spacing w:after="0"/>
              <w:rPr>
                <w:sz w:val="3"/>
                <w:szCs w:val="3"/>
                <w:color w:val="auto"/>
              </w:rPr>
            </w:pPr>
          </w:p>
        </w:tc>
        <w:tc>
          <w:tcPr>
            <w:tcW w:w="4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260" w:type="dxa"/>
            <w:vAlign w:val="bottom"/>
            <w:gridSpan w:val="5"/>
          </w:tcPr>
          <w:p>
            <w:pPr>
              <w:spacing w:after="0"/>
              <w:rPr>
                <w:sz w:val="20"/>
                <w:szCs w:val="20"/>
                <w:color w:val="auto"/>
              </w:rPr>
            </w:pPr>
            <w:r>
              <w:rPr>
                <w:rFonts w:ascii="Arial" w:cs="Arial" w:eastAsia="Arial" w:hAnsi="Arial"/>
                <w:sz w:val="3"/>
                <w:szCs w:val="3"/>
                <w:color w:val="FFFFFF"/>
              </w:rPr>
              <w:t>The Notes and the Indenture will limit the Company’s ability and the ability of certain subsidiaries of the Company to, among other things:</w:t>
            </w: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540" w:type="dxa"/>
            <w:vAlign w:val="bottom"/>
            <w:gridSpan w:val="3"/>
          </w:tcPr>
          <w:p>
            <w:pPr>
              <w:ind w:left="60"/>
              <w:spacing w:after="0"/>
              <w:rPr>
                <w:sz w:val="20"/>
                <w:szCs w:val="20"/>
                <w:color w:val="auto"/>
              </w:rPr>
            </w:pPr>
            <w:r>
              <w:rPr>
                <w:rFonts w:ascii="Arial" w:cs="Arial" w:eastAsia="Arial" w:hAnsi="Arial"/>
                <w:sz w:val="3"/>
                <w:szCs w:val="3"/>
                <w:color w:val="FFFFFF"/>
              </w:rPr>
              <w:t>1) effect  consolidation or merger;</w:t>
            </w:r>
          </w:p>
        </w:tc>
        <w:tc>
          <w:tcPr>
            <w:tcW w:w="5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80" w:type="dxa"/>
            <w:vAlign w:val="bottom"/>
            <w:gridSpan w:val="2"/>
          </w:tcPr>
          <w:p>
            <w:pPr>
              <w:spacing w:after="0"/>
              <w:rPr>
                <w:sz w:val="20"/>
                <w:szCs w:val="20"/>
                <w:color w:val="auto"/>
              </w:rPr>
            </w:pPr>
            <w:r>
              <w:rPr>
                <w:rFonts w:ascii="Arial" w:cs="Arial" w:eastAsia="Arial" w:hAnsi="Arial"/>
                <w:sz w:val="3"/>
                <w:szCs w:val="3"/>
                <w:color w:val="FFFFFF"/>
              </w:rPr>
              <w:t>(2) sell, assign, transfer,</w:t>
            </w:r>
          </w:p>
        </w:tc>
        <w:tc>
          <w:tcPr>
            <w:tcW w:w="9700" w:type="dxa"/>
            <w:vAlign w:val="bottom"/>
            <w:gridSpan w:val="4"/>
          </w:tcPr>
          <w:p>
            <w:pPr>
              <w:ind w:left="180"/>
              <w:spacing w:after="0"/>
              <w:rPr>
                <w:sz w:val="20"/>
                <w:szCs w:val="20"/>
                <w:color w:val="auto"/>
              </w:rPr>
            </w:pPr>
            <w:r>
              <w:rPr>
                <w:rFonts w:ascii="Arial" w:cs="Arial" w:eastAsia="Arial" w:hAnsi="Arial"/>
                <w:sz w:val="3"/>
                <w:szCs w:val="3"/>
                <w:color w:val="FFFFFF"/>
              </w:rPr>
              <w:t>or otherwise dispose of all or substantially all of its properties or assets (but for the avoidance of doubt, a pledge of an asset or property shall not be considered as a sale,</w:t>
            </w:r>
          </w:p>
        </w:tc>
        <w:tc>
          <w:tcPr>
            <w:tcW w:w="0" w:type="dxa"/>
            <w:vAlign w:val="bottom"/>
          </w:tcPr>
          <w:p>
            <w:pPr>
              <w:spacing w:after="0"/>
              <w:rPr>
                <w:sz w:val="1"/>
                <w:szCs w:val="1"/>
                <w:color w:val="auto"/>
              </w:rPr>
            </w:pPr>
          </w:p>
        </w:tc>
      </w:tr>
      <w:tr>
        <w:trPr>
          <w:trHeight w:val="41"/>
        </w:trPr>
        <w:tc>
          <w:tcPr>
            <w:tcW w:w="6540" w:type="dxa"/>
            <w:vAlign w:val="bottom"/>
            <w:gridSpan w:val="3"/>
          </w:tcPr>
          <w:p>
            <w:pPr>
              <w:spacing w:after="0"/>
              <w:rPr>
                <w:sz w:val="20"/>
                <w:szCs w:val="20"/>
                <w:color w:val="auto"/>
              </w:rPr>
            </w:pPr>
            <w:r>
              <w:rPr>
                <w:rFonts w:ascii="Arial" w:cs="Arial" w:eastAsia="Arial" w:hAnsi="Arial"/>
                <w:sz w:val="3"/>
                <w:szCs w:val="3"/>
                <w:color w:val="FFFFFF"/>
              </w:rPr>
              <w:t>assignment, transfer, conveyance or disposal of such asset or property); and</w:t>
            </w:r>
          </w:p>
        </w:tc>
        <w:tc>
          <w:tcPr>
            <w:tcW w:w="5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540" w:type="dxa"/>
            <w:vAlign w:val="bottom"/>
            <w:gridSpan w:val="3"/>
          </w:tcPr>
          <w:p>
            <w:pPr>
              <w:spacing w:after="0"/>
              <w:rPr>
                <w:sz w:val="20"/>
                <w:szCs w:val="20"/>
                <w:color w:val="auto"/>
              </w:rPr>
            </w:pPr>
            <w:r>
              <w:rPr>
                <w:rFonts w:ascii="Arial" w:cs="Arial" w:eastAsia="Arial" w:hAnsi="Arial"/>
                <w:sz w:val="3"/>
                <w:szCs w:val="3"/>
                <w:color w:val="FFFFFF"/>
              </w:rPr>
              <w:t>(3) lease all or substantially all of its properties or assets to any other person or entity.</w:t>
            </w:r>
          </w:p>
        </w:tc>
        <w:tc>
          <w:tcPr>
            <w:tcW w:w="5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840" w:type="dxa"/>
            <w:vAlign w:val="bottom"/>
          </w:tcPr>
          <w:p>
            <w:pPr>
              <w:spacing w:after="0"/>
              <w:rPr>
                <w:sz w:val="20"/>
                <w:szCs w:val="20"/>
                <w:color w:val="auto"/>
              </w:rPr>
            </w:pPr>
            <w:r>
              <w:rPr>
                <w:rFonts w:ascii="Arial" w:cs="Arial" w:eastAsia="Arial" w:hAnsi="Arial"/>
                <w:sz w:val="14"/>
                <w:szCs w:val="14"/>
                <w:color w:val="FFFFFF"/>
              </w:rPr>
              <w:t>4</w:t>
            </w:r>
          </w:p>
        </w:tc>
        <w:tc>
          <w:tcPr>
            <w:tcW w:w="7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1440" w:right="37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552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7555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20"/>
                <w:szCs w:val="20"/>
                <w:color w:val="auto"/>
              </w:rPr>
            </w:pPr>
            <w:r>
              <w:rPr>
                <w:rFonts w:ascii="Arial" w:cs="Arial" w:eastAsia="Arial" w:hAnsi="Arial"/>
                <w:sz w:val="14"/>
                <w:szCs w:val="14"/>
                <w:color w:val="FFFFFF"/>
              </w:rPr>
              <w:t>Redemption</w:t>
            </w:r>
          </w:p>
        </w:tc>
        <w:tc>
          <w:tcPr>
            <w:tcW w:w="5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000" w:type="dxa"/>
            <w:vAlign w:val="bottom"/>
            <w:gridSpan w:val="2"/>
          </w:tcPr>
          <w:p>
            <w:pPr>
              <w:spacing w:after="0"/>
              <w:rPr>
                <w:sz w:val="20"/>
                <w:szCs w:val="20"/>
                <w:color w:val="auto"/>
              </w:rPr>
            </w:pPr>
            <w:r>
              <w:rPr>
                <w:rFonts w:ascii="Arial" w:cs="Arial" w:eastAsia="Arial" w:hAnsi="Arial"/>
                <w:sz w:val="3"/>
                <w:szCs w:val="3"/>
                <w:color w:val="FFFFFF"/>
              </w:rPr>
              <w:t>Optional Redemption</w:t>
            </w:r>
          </w:p>
        </w:tc>
        <w:tc>
          <w:tcPr>
            <w:tcW w:w="0" w:type="dxa"/>
            <w:vAlign w:val="bottom"/>
          </w:tcPr>
          <w:p>
            <w:pPr>
              <w:spacing w:after="0"/>
              <w:rPr>
                <w:sz w:val="1"/>
                <w:szCs w:val="1"/>
                <w:color w:val="auto"/>
              </w:rPr>
            </w:pPr>
          </w:p>
        </w:tc>
      </w:tr>
      <w:tr>
        <w:trPr>
          <w:trHeight w:val="41"/>
        </w:trPr>
        <w:tc>
          <w:tcPr>
            <w:tcW w:w="6000" w:type="dxa"/>
            <w:vAlign w:val="bottom"/>
            <w:gridSpan w:val="2"/>
          </w:tcPr>
          <w:p>
            <w:pPr>
              <w:spacing w:after="0"/>
              <w:rPr>
                <w:sz w:val="20"/>
                <w:szCs w:val="20"/>
                <w:color w:val="auto"/>
              </w:rPr>
            </w:pPr>
            <w:r>
              <w:rPr>
                <w:rFonts w:ascii="Arial" w:cs="Arial" w:eastAsia="Arial" w:hAnsi="Arial"/>
                <w:sz w:val="3"/>
                <w:szCs w:val="3"/>
                <w:color w:val="FFFFFF"/>
              </w:rPr>
              <w:t>At any time, the Company may at its option redeem the Notes, in whole or in part prior to their stated maturity.</w:t>
            </w:r>
          </w:p>
        </w:tc>
        <w:tc>
          <w:tcPr>
            <w:tcW w:w="0" w:type="dxa"/>
            <w:vAlign w:val="bottom"/>
          </w:tcPr>
          <w:p>
            <w:pPr>
              <w:spacing w:after="0"/>
              <w:rPr>
                <w:sz w:val="1"/>
                <w:szCs w:val="1"/>
                <w:color w:val="auto"/>
              </w:rPr>
            </w:pPr>
          </w:p>
        </w:tc>
      </w:tr>
      <w:tr>
        <w:trPr>
          <w:trHeight w:val="41"/>
        </w:trPr>
        <w:tc>
          <w:tcPr>
            <w:tcW w:w="6000" w:type="dxa"/>
            <w:vAlign w:val="bottom"/>
            <w:gridSpan w:val="2"/>
          </w:tcPr>
          <w:p>
            <w:pPr>
              <w:spacing w:after="0"/>
              <w:rPr>
                <w:sz w:val="20"/>
                <w:szCs w:val="20"/>
                <w:color w:val="auto"/>
              </w:rPr>
            </w:pPr>
            <w:r>
              <w:rPr>
                <w:rFonts w:ascii="Arial" w:cs="Arial" w:eastAsia="Arial" w:hAnsi="Arial"/>
                <w:sz w:val="3"/>
                <w:szCs w:val="3"/>
                <w:color w:val="FFFFFF"/>
              </w:rPr>
              <w:t>Period Redemption Price</w:t>
            </w:r>
          </w:p>
        </w:tc>
        <w:tc>
          <w:tcPr>
            <w:tcW w:w="0" w:type="dxa"/>
            <w:vAlign w:val="bottom"/>
          </w:tcPr>
          <w:p>
            <w:pPr>
              <w:spacing w:after="0"/>
              <w:rPr>
                <w:sz w:val="1"/>
                <w:szCs w:val="1"/>
                <w:color w:val="auto"/>
              </w:rPr>
            </w:pPr>
          </w:p>
        </w:tc>
      </w:tr>
      <w:tr>
        <w:trPr>
          <w:trHeight w:val="41"/>
        </w:trPr>
        <w:tc>
          <w:tcPr>
            <w:tcW w:w="6000" w:type="dxa"/>
            <w:vAlign w:val="bottom"/>
            <w:gridSpan w:val="2"/>
          </w:tcPr>
          <w:p>
            <w:pPr>
              <w:spacing w:after="0"/>
              <w:rPr>
                <w:sz w:val="20"/>
                <w:szCs w:val="20"/>
                <w:color w:val="auto"/>
              </w:rPr>
            </w:pPr>
            <w:r>
              <w:rPr>
                <w:rFonts w:ascii="Arial" w:cs="Arial" w:eastAsia="Arial" w:hAnsi="Arial"/>
                <w:sz w:val="3"/>
                <w:szCs w:val="3"/>
                <w:color w:val="FFFFFF"/>
              </w:rPr>
              <w:t>on or before equal to the greater of: (a) 100% of the principal amount of the Notes</w:t>
            </w:r>
          </w:p>
        </w:tc>
        <w:tc>
          <w:tcPr>
            <w:tcW w:w="0" w:type="dxa"/>
            <w:vAlign w:val="bottom"/>
          </w:tcPr>
          <w:p>
            <w:pPr>
              <w:spacing w:after="0"/>
              <w:rPr>
                <w:sz w:val="1"/>
                <w:szCs w:val="1"/>
                <w:color w:val="auto"/>
              </w:rPr>
            </w:pPr>
          </w:p>
        </w:tc>
      </w:tr>
      <w:tr>
        <w:trPr>
          <w:trHeight w:val="41"/>
        </w:trPr>
        <w:tc>
          <w:tcPr>
            <w:tcW w:w="6000" w:type="dxa"/>
            <w:vAlign w:val="bottom"/>
            <w:gridSpan w:val="2"/>
          </w:tcPr>
          <w:p>
            <w:pPr>
              <w:spacing w:after="0"/>
              <w:rPr>
                <w:sz w:val="20"/>
                <w:szCs w:val="20"/>
                <w:color w:val="auto"/>
              </w:rPr>
            </w:pPr>
            <w:r>
              <w:rPr>
                <w:rFonts w:ascii="Arial" w:cs="Arial" w:eastAsia="Arial" w:hAnsi="Arial"/>
                <w:sz w:val="3"/>
                <w:szCs w:val="3"/>
                <w:color w:val="FFFFFF"/>
              </w:rPr>
              <w:t>14 October 2016 to be redeemed; or (b)  “make-whole” amount as determined by an</w:t>
            </w:r>
          </w:p>
        </w:tc>
        <w:tc>
          <w:tcPr>
            <w:tcW w:w="0" w:type="dxa"/>
            <w:vAlign w:val="bottom"/>
          </w:tcPr>
          <w:p>
            <w:pPr>
              <w:spacing w:after="0"/>
              <w:rPr>
                <w:sz w:val="1"/>
                <w:szCs w:val="1"/>
                <w:color w:val="auto"/>
              </w:rPr>
            </w:pPr>
          </w:p>
        </w:tc>
      </w:tr>
      <w:tr>
        <w:trPr>
          <w:trHeight w:val="41"/>
        </w:trPr>
        <w:tc>
          <w:tcPr>
            <w:tcW w:w="1000" w:type="dxa"/>
            <w:vAlign w:val="bottom"/>
          </w:tcPr>
          <w:p>
            <w:pPr>
              <w:spacing w:after="0"/>
              <w:rPr>
                <w:sz w:val="20"/>
                <w:szCs w:val="20"/>
                <w:color w:val="auto"/>
              </w:rPr>
            </w:pPr>
            <w:r>
              <w:rPr>
                <w:rFonts w:ascii="Arial" w:cs="Arial" w:eastAsia="Arial" w:hAnsi="Arial"/>
                <w:sz w:val="3"/>
                <w:szCs w:val="3"/>
                <w:color w:val="FFFFFF"/>
              </w:rPr>
              <w:t>independent</w:t>
            </w:r>
          </w:p>
        </w:tc>
        <w:tc>
          <w:tcPr>
            <w:tcW w:w="5000" w:type="dxa"/>
            <w:vAlign w:val="bottom"/>
          </w:tcPr>
          <w:p>
            <w:pPr>
              <w:jc w:val="right"/>
              <w:ind w:right="2344"/>
              <w:spacing w:after="0"/>
              <w:rPr>
                <w:sz w:val="20"/>
                <w:szCs w:val="20"/>
                <w:color w:val="auto"/>
              </w:rPr>
            </w:pPr>
            <w:r>
              <w:rPr>
                <w:rFonts w:ascii="Arial" w:cs="Arial" w:eastAsia="Arial" w:hAnsi="Arial"/>
                <w:sz w:val="3"/>
                <w:szCs w:val="3"/>
                <w:color w:val="FFFFFF"/>
              </w:rPr>
              <w:t>banker in accordance with the terms of the</w:t>
            </w:r>
          </w:p>
        </w:tc>
        <w:tc>
          <w:tcPr>
            <w:tcW w:w="0" w:type="dxa"/>
            <w:vAlign w:val="bottom"/>
          </w:tcPr>
          <w:p>
            <w:pPr>
              <w:spacing w:after="0"/>
              <w:rPr>
                <w:sz w:val="1"/>
                <w:szCs w:val="1"/>
                <w:color w:val="auto"/>
              </w:rPr>
            </w:pPr>
          </w:p>
        </w:tc>
      </w:tr>
      <w:tr>
        <w:trPr>
          <w:trHeight w:val="41"/>
        </w:trPr>
        <w:tc>
          <w:tcPr>
            <w:tcW w:w="6000" w:type="dxa"/>
            <w:vAlign w:val="bottom"/>
            <w:gridSpan w:val="2"/>
          </w:tcPr>
          <w:p>
            <w:pPr>
              <w:spacing w:after="0"/>
              <w:rPr>
                <w:sz w:val="20"/>
                <w:szCs w:val="20"/>
                <w:color w:val="auto"/>
              </w:rPr>
            </w:pPr>
            <w:r>
              <w:rPr>
                <w:rFonts w:ascii="Arial" w:cs="Arial" w:eastAsia="Arial" w:hAnsi="Arial"/>
                <w:sz w:val="3"/>
                <w:szCs w:val="3"/>
                <w:color w:val="FFFFFF"/>
              </w:rPr>
              <w:t>Indenture, andinvestment case, plus accrued and unpaid interest to the date</w:t>
            </w:r>
          </w:p>
        </w:tc>
        <w:tc>
          <w:tcPr>
            <w:tcW w:w="0" w:type="dxa"/>
            <w:vAlign w:val="bottom"/>
          </w:tcPr>
          <w:p>
            <w:pPr>
              <w:spacing w:after="0"/>
              <w:rPr>
                <w:sz w:val="1"/>
                <w:szCs w:val="1"/>
                <w:color w:val="auto"/>
              </w:rPr>
            </w:pPr>
          </w:p>
        </w:tc>
      </w:tr>
      <w:tr>
        <w:trPr>
          <w:trHeight w:val="41"/>
        </w:trPr>
        <w:tc>
          <w:tcPr>
            <w:tcW w:w="6000" w:type="dxa"/>
            <w:vAlign w:val="bottom"/>
            <w:gridSpan w:val="2"/>
          </w:tcPr>
          <w:p>
            <w:pPr>
              <w:ind w:left="80"/>
              <w:spacing w:after="0"/>
              <w:rPr>
                <w:sz w:val="20"/>
                <w:szCs w:val="20"/>
                <w:color w:val="auto"/>
              </w:rPr>
            </w:pPr>
            <w:r>
              <w:rPr>
                <w:rFonts w:ascii="Arial" w:cs="Arial" w:eastAsia="Arial" w:hAnsi="Arial"/>
                <w:sz w:val="3"/>
                <w:szCs w:val="3"/>
                <w:color w:val="FFFFFF"/>
              </w:rPr>
              <w:t>f redemption on eitherNotes to be redeemed.</w:t>
            </w:r>
          </w:p>
        </w:tc>
        <w:tc>
          <w:tcPr>
            <w:tcW w:w="0" w:type="dxa"/>
            <w:vAlign w:val="bottom"/>
          </w:tcPr>
          <w:p>
            <w:pPr>
              <w:spacing w:after="0"/>
              <w:rPr>
                <w:sz w:val="1"/>
                <w:szCs w:val="1"/>
                <w:color w:val="auto"/>
              </w:rPr>
            </w:pPr>
          </w:p>
        </w:tc>
      </w:tr>
      <w:tr>
        <w:trPr>
          <w:trHeight w:val="41"/>
        </w:trPr>
        <w:tc>
          <w:tcPr>
            <w:tcW w:w="6000" w:type="dxa"/>
            <w:vAlign w:val="bottom"/>
            <w:gridSpan w:val="2"/>
          </w:tcPr>
          <w:p>
            <w:pPr>
              <w:spacing w:after="0"/>
              <w:rPr>
                <w:sz w:val="20"/>
                <w:szCs w:val="20"/>
                <w:color w:val="auto"/>
              </w:rPr>
            </w:pPr>
            <w:r>
              <w:rPr>
                <w:rFonts w:ascii="Arial" w:cs="Arial" w:eastAsia="Arial" w:hAnsi="Arial"/>
                <w:sz w:val="3"/>
                <w:szCs w:val="3"/>
                <w:color w:val="FFFFFF"/>
              </w:rPr>
              <w:t>on or after at the prices indicated below (expressed as a percentage of the principal</w:t>
            </w:r>
          </w:p>
        </w:tc>
        <w:tc>
          <w:tcPr>
            <w:tcW w:w="0" w:type="dxa"/>
            <w:vAlign w:val="bottom"/>
          </w:tcPr>
          <w:p>
            <w:pPr>
              <w:spacing w:after="0"/>
              <w:rPr>
                <w:sz w:val="1"/>
                <w:szCs w:val="1"/>
                <w:color w:val="auto"/>
              </w:rPr>
            </w:pPr>
          </w:p>
        </w:tc>
      </w:tr>
      <w:tr>
        <w:trPr>
          <w:trHeight w:val="41"/>
        </w:trPr>
        <w:tc>
          <w:tcPr>
            <w:tcW w:w="6000" w:type="dxa"/>
            <w:vAlign w:val="bottom"/>
            <w:gridSpan w:val="2"/>
          </w:tcPr>
          <w:p>
            <w:pPr>
              <w:spacing w:after="0"/>
              <w:rPr>
                <w:sz w:val="20"/>
                <w:szCs w:val="20"/>
                <w:color w:val="auto"/>
              </w:rPr>
            </w:pPr>
            <w:r>
              <w:rPr>
                <w:rFonts w:ascii="Arial" w:cs="Arial" w:eastAsia="Arial" w:hAnsi="Arial"/>
                <w:sz w:val="3"/>
                <w:szCs w:val="3"/>
                <w:color w:val="FFFFFF"/>
              </w:rPr>
              <w:t>15 October 2016 amount), plus accrued and unpaid interest, if any, to the date of</w:t>
            </w:r>
          </w:p>
        </w:tc>
        <w:tc>
          <w:tcPr>
            <w:tcW w:w="0" w:type="dxa"/>
            <w:vAlign w:val="bottom"/>
          </w:tcPr>
          <w:p>
            <w:pPr>
              <w:spacing w:after="0"/>
              <w:rPr>
                <w:sz w:val="1"/>
                <w:szCs w:val="1"/>
                <w:color w:val="auto"/>
              </w:rPr>
            </w:pPr>
          </w:p>
        </w:tc>
      </w:tr>
      <w:tr>
        <w:trPr>
          <w:trHeight w:val="41"/>
        </w:trPr>
        <w:tc>
          <w:tcPr>
            <w:tcW w:w="6000" w:type="dxa"/>
            <w:vAlign w:val="bottom"/>
            <w:gridSpan w:val="2"/>
          </w:tcPr>
          <w:p>
            <w:pPr>
              <w:spacing w:after="0"/>
              <w:rPr>
                <w:sz w:val="20"/>
                <w:szCs w:val="20"/>
                <w:color w:val="auto"/>
              </w:rPr>
            </w:pPr>
            <w:r>
              <w:rPr>
                <w:rFonts w:ascii="Arial" w:cs="Arial" w:eastAsia="Arial" w:hAnsi="Arial"/>
                <w:sz w:val="3"/>
                <w:szCs w:val="3"/>
                <w:color w:val="FFFFFF"/>
              </w:rPr>
              <w:t>redemption on the Notes to be redeemed:</w:t>
            </w:r>
          </w:p>
        </w:tc>
        <w:tc>
          <w:tcPr>
            <w:tcW w:w="0" w:type="dxa"/>
            <w:vAlign w:val="bottom"/>
          </w:tcPr>
          <w:p>
            <w:pPr>
              <w:spacing w:after="0"/>
              <w:rPr>
                <w:sz w:val="1"/>
                <w:szCs w:val="1"/>
                <w:color w:val="auto"/>
              </w:rPr>
            </w:pPr>
          </w:p>
        </w:tc>
      </w:tr>
      <w:tr>
        <w:trPr>
          <w:trHeight w:val="41"/>
        </w:trPr>
        <w:tc>
          <w:tcPr>
            <w:tcW w:w="1000" w:type="dxa"/>
            <w:vAlign w:val="bottom"/>
          </w:tcPr>
          <w:p>
            <w:pPr>
              <w:spacing w:after="0"/>
              <w:rPr>
                <w:sz w:val="20"/>
                <w:szCs w:val="20"/>
                <w:color w:val="auto"/>
              </w:rPr>
            </w:pPr>
            <w:r>
              <w:rPr>
                <w:rFonts w:ascii="Arial" w:cs="Arial" w:eastAsia="Arial" w:hAnsi="Arial"/>
                <w:sz w:val="3"/>
                <w:szCs w:val="3"/>
                <w:color w:val="FFFFFF"/>
              </w:rPr>
              <w:t>On or after Price</w:t>
            </w:r>
          </w:p>
        </w:tc>
        <w:tc>
          <w:tcPr>
            <w:tcW w:w="5000" w:type="dxa"/>
            <w:vAlign w:val="bottom"/>
            <w:vMerge w:val="restart"/>
          </w:tcPr>
          <w:p>
            <w:pPr>
              <w:jc w:val="right"/>
              <w:ind w:right="4464"/>
              <w:spacing w:after="0" w:line="81" w:lineRule="exact"/>
              <w:rPr>
                <w:sz w:val="20"/>
                <w:szCs w:val="20"/>
                <w:color w:val="auto"/>
              </w:rPr>
            </w:pPr>
            <w:r>
              <w:rPr>
                <w:rFonts w:ascii="Arial" w:cs="Arial" w:eastAsia="Arial" w:hAnsi="Arial"/>
                <w:sz w:val="9"/>
                <w:szCs w:val="9"/>
                <w:color w:val="FFFFFF"/>
              </w:rPr>
              <w:t>3 938%</w:t>
            </w:r>
          </w:p>
        </w:tc>
        <w:tc>
          <w:tcPr>
            <w:tcW w:w="0" w:type="dxa"/>
            <w:vAlign w:val="bottom"/>
          </w:tcPr>
          <w:p>
            <w:pPr>
              <w:spacing w:after="0"/>
              <w:rPr>
                <w:sz w:val="1"/>
                <w:szCs w:val="1"/>
                <w:color w:val="auto"/>
              </w:rPr>
            </w:pPr>
          </w:p>
        </w:tc>
      </w:tr>
      <w:tr>
        <w:trPr>
          <w:trHeight w:val="41"/>
        </w:trPr>
        <w:tc>
          <w:tcPr>
            <w:tcW w:w="1000" w:type="dxa"/>
            <w:vAlign w:val="bottom"/>
          </w:tcPr>
          <w:p>
            <w:pPr>
              <w:ind w:left="840"/>
              <w:spacing w:after="0"/>
              <w:rPr>
                <w:sz w:val="20"/>
                <w:szCs w:val="20"/>
                <w:color w:val="auto"/>
              </w:rPr>
            </w:pPr>
            <w:r>
              <w:rPr>
                <w:rFonts w:ascii="Arial" w:cs="Arial" w:eastAsia="Arial" w:hAnsi="Arial"/>
                <w:sz w:val="3"/>
                <w:szCs w:val="3"/>
                <w:color w:val="FFFFFF"/>
              </w:rPr>
              <w:t>6</w:t>
            </w:r>
          </w:p>
        </w:tc>
        <w:tc>
          <w:tcPr>
            <w:tcW w:w="50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1000" w:type="dxa"/>
            <w:vAlign w:val="bottom"/>
          </w:tcPr>
          <w:p>
            <w:pPr>
              <w:ind w:left="840"/>
              <w:spacing w:after="0" w:line="80" w:lineRule="exact"/>
              <w:rPr>
                <w:sz w:val="20"/>
                <w:szCs w:val="20"/>
                <w:color w:val="auto"/>
              </w:rPr>
            </w:pPr>
            <w:r>
              <w:rPr>
                <w:rFonts w:ascii="Arial" w:cs="Arial" w:eastAsia="Arial" w:hAnsi="Arial"/>
                <w:sz w:val="9"/>
                <w:szCs w:val="9"/>
                <w:color w:val="FFFFFF"/>
              </w:rPr>
              <w:t>7</w:t>
            </w:r>
          </w:p>
        </w:tc>
        <w:tc>
          <w:tcPr>
            <w:tcW w:w="5000" w:type="dxa"/>
            <w:vAlign w:val="bottom"/>
          </w:tcPr>
          <w:p>
            <w:pPr>
              <w:jc w:val="right"/>
              <w:ind w:right="4464"/>
              <w:spacing w:after="0" w:line="80" w:lineRule="exact"/>
              <w:rPr>
                <w:sz w:val="20"/>
                <w:szCs w:val="20"/>
                <w:color w:val="auto"/>
              </w:rPr>
            </w:pPr>
            <w:r>
              <w:rPr>
                <w:rFonts w:ascii="Arial" w:cs="Arial" w:eastAsia="Arial" w:hAnsi="Arial"/>
                <w:sz w:val="9"/>
                <w:szCs w:val="9"/>
                <w:color w:val="FFFFFF"/>
              </w:rPr>
              <w:t>2 625%</w:t>
            </w:r>
          </w:p>
        </w:tc>
        <w:tc>
          <w:tcPr>
            <w:tcW w:w="0" w:type="dxa"/>
            <w:vAlign w:val="bottom"/>
          </w:tcPr>
          <w:p>
            <w:pPr>
              <w:spacing w:after="0" w:line="20" w:lineRule="exact"/>
              <w:rPr>
                <w:sz w:val="1"/>
                <w:szCs w:val="1"/>
                <w:color w:val="auto"/>
              </w:rPr>
            </w:pPr>
          </w:p>
        </w:tc>
      </w:tr>
    </w:tbl>
    <w:p>
      <w:pPr>
        <w:jc w:val="center"/>
        <w:ind w:right="9020"/>
        <w:spacing w:after="0"/>
        <w:rPr>
          <w:sz w:val="20"/>
          <w:szCs w:val="20"/>
          <w:color w:val="auto"/>
        </w:rPr>
      </w:pPr>
      <w:r>
        <w:rPr>
          <w:rFonts w:ascii="Arial" w:cs="Arial" w:eastAsia="Arial" w:hAnsi="Arial"/>
          <w:sz w:val="3"/>
          <w:szCs w:val="3"/>
          <w:color w:val="FFFFFF"/>
        </w:rPr>
        <w:t>8 101.313%</w:t>
      </w:r>
    </w:p>
    <w:p>
      <w:pPr>
        <w:spacing w:after="0" w:line="198" w:lineRule="auto"/>
        <w:rPr>
          <w:sz w:val="20"/>
          <w:szCs w:val="20"/>
          <w:color w:val="auto"/>
        </w:rPr>
      </w:pPr>
      <w:r>
        <w:rPr>
          <w:rFonts w:ascii="Arial" w:cs="Arial" w:eastAsia="Arial" w:hAnsi="Arial"/>
          <w:sz w:val="8"/>
          <w:szCs w:val="8"/>
          <w:color w:val="FFFFFF"/>
        </w:rPr>
        <w:t>15 October 2019</w:t>
      </w:r>
    </w:p>
    <w:p>
      <w:pPr>
        <w:spacing w:after="0"/>
        <w:rPr>
          <w:sz w:val="20"/>
          <w:szCs w:val="20"/>
          <w:color w:val="auto"/>
        </w:rPr>
      </w:pPr>
      <w:r>
        <w:rPr>
          <w:rFonts w:ascii="Arial" w:cs="Arial" w:eastAsia="Arial" w:hAnsi="Arial"/>
          <w:sz w:val="3"/>
          <w:szCs w:val="3"/>
          <w:color w:val="FFFFFF"/>
        </w:rPr>
        <w:t>Gaming Redemptionand thereafter 100.000%</w:t>
      </w:r>
    </w:p>
    <w:p>
      <w:pPr>
        <w:spacing w:after="0" w:line="6" w:lineRule="exact"/>
        <w:rPr>
          <w:sz w:val="20"/>
          <w:szCs w:val="20"/>
          <w:color w:val="auto"/>
        </w:rPr>
      </w:pPr>
    </w:p>
    <w:p>
      <w:pPr>
        <w:ind w:right="180"/>
        <w:spacing w:after="0"/>
        <w:rPr>
          <w:sz w:val="20"/>
          <w:szCs w:val="20"/>
          <w:color w:val="auto"/>
        </w:rPr>
      </w:pPr>
      <w:r>
        <w:rPr>
          <w:rFonts w:ascii="Arial" w:cs="Arial" w:eastAsia="Arial" w:hAnsi="Arial"/>
          <w:sz w:val="6"/>
          <w:szCs w:val="6"/>
          <w:color w:val="FFFFFF"/>
        </w:rPr>
        <w:t xml:space="preserve">Subject to certain conditions, if any Gaming Authority requires a holder or beneficial owner of Notes to be licensed, qualified or found suitable under any applicable Gaming Law and the holder or beneficial </w:t>
      </w:r>
      <w:r>
        <w:rPr>
          <w:rFonts w:ascii="Arial" w:cs="Arial" w:eastAsia="Arial" w:hAnsi="Arial"/>
          <w:sz w:val="7"/>
          <w:szCs w:val="7"/>
          <w:color w:val="FFFFFF"/>
          <w:vertAlign w:val="superscript"/>
        </w:rPr>
        <w:t>owner</w:t>
      </w:r>
      <w:r>
        <w:rPr>
          <w:rFonts w:ascii="Arial" w:cs="Arial" w:eastAsia="Arial" w:hAnsi="Arial"/>
          <w:sz w:val="6"/>
          <w:szCs w:val="6"/>
          <w:color w:val="FFFFFF"/>
        </w:rPr>
        <w:t xml:space="preserve"> fails to apply or become licensed or qualified within the required time period or is found to be unsuitable by any Gaming Authority, the Company will have the right to require the holder or beneficial</w:t>
      </w:r>
    </w:p>
    <w:p>
      <w:pPr>
        <w:ind w:left="380"/>
        <w:spacing w:after="0" w:line="189" w:lineRule="auto"/>
        <w:rPr>
          <w:sz w:val="20"/>
          <w:szCs w:val="20"/>
          <w:color w:val="auto"/>
        </w:rPr>
      </w:pPr>
      <w:r>
        <w:rPr>
          <w:rFonts w:ascii="Arial" w:cs="Arial" w:eastAsia="Arial" w:hAnsi="Arial"/>
          <w:sz w:val="7"/>
          <w:szCs w:val="7"/>
          <w:color w:val="FFFFFF"/>
        </w:rPr>
        <w:t xml:space="preserve">to dispose of its Notes or redeem the Notes at a redemption price equal </w:t>
      </w:r>
      <w:r>
        <w:rPr>
          <w:rFonts w:ascii="Arial" w:cs="Arial" w:eastAsia="Arial" w:hAnsi="Arial"/>
          <w:sz w:val="9"/>
          <w:szCs w:val="9"/>
          <w:color w:val="FFFFFF"/>
          <w:vertAlign w:val="subscript"/>
        </w:rPr>
        <w:t>together</w:t>
      </w:r>
      <w:r>
        <w:rPr>
          <w:rFonts w:ascii="Arial" w:cs="Arial" w:eastAsia="Arial" w:hAnsi="Arial"/>
          <w:sz w:val="7"/>
          <w:szCs w:val="7"/>
          <w:color w:val="FFFFFF"/>
        </w:rPr>
        <w:t>theprice required by applicable law or by order of any Gaming Authority or the lesser of the principal amount of the Notes and</w:t>
      </w:r>
    </w:p>
    <w:p>
      <w:pPr>
        <w:spacing w:after="0"/>
        <w:tabs>
          <w:tab w:leader="none" w:pos="4680" w:val="left"/>
        </w:tabs>
        <w:rPr>
          <w:sz w:val="20"/>
          <w:szCs w:val="20"/>
          <w:color w:val="auto"/>
        </w:rPr>
      </w:pPr>
      <w:r>
        <w:rPr>
          <w:rFonts w:ascii="Arial" w:cs="Arial" w:eastAsia="Arial" w:hAnsi="Arial"/>
          <w:sz w:val="3"/>
          <w:szCs w:val="3"/>
          <w:color w:val="FFFFFF"/>
        </w:rPr>
        <w:t>RedemptionthepricethatfortheTaxholderReasonsorbeneficial owner paid for the Notes, in either case,</w:t>
      </w:r>
      <w:r>
        <w:rPr>
          <w:sz w:val="20"/>
          <w:szCs w:val="20"/>
          <w:color w:val="auto"/>
        </w:rPr>
        <w:tab/>
      </w:r>
      <w:r>
        <w:rPr>
          <w:rFonts w:ascii="Arial" w:cs="Arial" w:eastAsia="Arial" w:hAnsi="Arial"/>
          <w:sz w:val="3"/>
          <w:szCs w:val="3"/>
          <w:color w:val="FFFFFF"/>
        </w:rPr>
        <w:t>with accrued and unpaid interest on the Notes.</w:t>
      </w:r>
    </w:p>
    <w:p>
      <w:pPr>
        <w:spacing w:after="0" w:line="6" w:lineRule="exact"/>
        <w:rPr>
          <w:sz w:val="20"/>
          <w:szCs w:val="20"/>
          <w:color w:val="auto"/>
        </w:rPr>
      </w:pPr>
    </w:p>
    <w:p>
      <w:pPr>
        <w:spacing w:after="0" w:line="209" w:lineRule="auto"/>
        <w:rPr>
          <w:sz w:val="20"/>
          <w:szCs w:val="20"/>
          <w:color w:val="auto"/>
        </w:rPr>
      </w:pPr>
      <w:r>
        <w:rPr>
          <w:rFonts w:ascii="Arial" w:cs="Arial" w:eastAsia="Arial" w:hAnsi="Arial"/>
          <w:sz w:val="12"/>
          <w:szCs w:val="12"/>
          <w:color w:val="FFFFFF"/>
        </w:rPr>
        <w:t>Subject to certain exceptions, the Company may redeem the Notes, as a whole but not in part, at a redemption price equal to 100% of the principal amount thereof, together with accrued and unpaid interest, if any, to the date fixed by the Company for redemption, if the Company would become obligated to pay certain additional amounts as a result of certain changes in specifid tax laws or certain other circumstances. 5</w:t>
      </w:r>
    </w:p>
    <w:p>
      <w:pPr>
        <w:sectPr>
          <w:pgSz w:w="11900" w:h="16838" w:orient="portrait"/>
          <w:cols w:equalWidth="0" w:num="1">
            <w:col w:w="11360"/>
          </w:cols>
          <w:pgMar w:left="240" w:top="1440" w:right="29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552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7555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4"/>
          </w:tcPr>
          <w:p>
            <w:pPr>
              <w:spacing w:after="0"/>
              <w:rPr>
                <w:sz w:val="20"/>
                <w:szCs w:val="20"/>
                <w:color w:val="auto"/>
              </w:rPr>
            </w:pPr>
            <w:r>
              <w:rPr>
                <w:rFonts w:ascii="Arial" w:cs="Arial" w:eastAsia="Arial" w:hAnsi="Arial"/>
                <w:sz w:val="14"/>
                <w:szCs w:val="14"/>
                <w:color w:val="FFFFFF"/>
              </w:rPr>
              <w:t>The right in favor of the holders of the Notes to require the Company to repurchase the Notes</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020" w:type="dxa"/>
            <w:vAlign w:val="bottom"/>
            <w:gridSpan w:val="2"/>
          </w:tcPr>
          <w:p>
            <w:pPr>
              <w:spacing w:after="0"/>
              <w:rPr>
                <w:sz w:val="20"/>
                <w:szCs w:val="20"/>
                <w:color w:val="auto"/>
              </w:rPr>
            </w:pPr>
            <w:r>
              <w:rPr>
                <w:rFonts w:ascii="Arial" w:cs="Arial" w:eastAsia="Arial" w:hAnsi="Arial"/>
                <w:sz w:val="3"/>
                <w:szCs w:val="3"/>
                <w:color w:val="FFFFFF"/>
              </w:rPr>
              <w:t>Although none of the Company’s controlling</w:t>
            </w:r>
          </w:p>
        </w:tc>
        <w:tc>
          <w:tcPr>
            <w:tcW w:w="8400" w:type="dxa"/>
            <w:vAlign w:val="bottom"/>
            <w:gridSpan w:val="3"/>
          </w:tcPr>
          <w:p>
            <w:pPr>
              <w:ind w:left="160"/>
              <w:spacing w:after="0"/>
              <w:rPr>
                <w:sz w:val="20"/>
                <w:szCs w:val="20"/>
                <w:color w:val="auto"/>
              </w:rPr>
            </w:pPr>
            <w:r>
              <w:rPr>
                <w:rFonts w:ascii="Arial" w:cs="Arial" w:eastAsia="Arial" w:hAnsi="Arial"/>
                <w:sz w:val="3"/>
                <w:szCs w:val="3"/>
                <w:color w:val="FFFFFF"/>
              </w:rPr>
              <w:t>(as defined in the Listing Rules), including WRL, are parties to the Purchase Agreement or he Indenture, the Indenture will contain a change of control</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provision that would, if triggered, give rise to shareholdersrightinfavor of the holders of the Notes to require the Company to repurchase the Notes. The circumstances that will constitute a change of control include:</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(1) the consummation of any transaction that results in any party other than Mr. Stephen A. Wynn and his related parties becoming the direct or indirect owner of more than 50% of the outstanding voting stock</w:t>
            </w:r>
          </w:p>
        </w:tc>
        <w:tc>
          <w:tcPr>
            <w:tcW w:w="0" w:type="dxa"/>
            <w:vAlign w:val="bottom"/>
          </w:tcPr>
          <w:p>
            <w:pPr>
              <w:spacing w:after="0"/>
              <w:rPr>
                <w:sz w:val="1"/>
                <w:szCs w:val="1"/>
                <w:color w:val="auto"/>
              </w:rPr>
            </w:pPr>
          </w:p>
        </w:tc>
      </w:tr>
      <w:tr>
        <w:trPr>
          <w:trHeight w:val="41"/>
        </w:trPr>
        <w:tc>
          <w:tcPr>
            <w:tcW w:w="2000" w:type="dxa"/>
            <w:vAlign w:val="bottom"/>
          </w:tcPr>
          <w:p>
            <w:pPr>
              <w:spacing w:after="0"/>
              <w:rPr>
                <w:sz w:val="20"/>
                <w:szCs w:val="20"/>
                <w:color w:val="auto"/>
              </w:rPr>
            </w:pPr>
            <w:r>
              <w:rPr>
                <w:rFonts w:ascii="Arial" w:cs="Arial" w:eastAsia="Arial" w:hAnsi="Arial"/>
                <w:sz w:val="3"/>
                <w:szCs w:val="3"/>
                <w:color w:val="FFFFFF"/>
              </w:rPr>
              <w:t>of WRL;</w:t>
            </w: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5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(2) the first day on which  majority of the members of the board of directors of either the Company or WRL are not directors who were on the board at the date of the Indenture, or directors who were</w:t>
            </w:r>
          </w:p>
        </w:tc>
        <w:tc>
          <w:tcPr>
            <w:tcW w:w="0" w:type="dxa"/>
            <w:vAlign w:val="bottom"/>
          </w:tcPr>
          <w:p>
            <w:pPr>
              <w:spacing w:after="0"/>
              <w:rPr>
                <w:sz w:val="1"/>
                <w:szCs w:val="1"/>
                <w:color w:val="auto"/>
              </w:rPr>
            </w:pPr>
          </w:p>
        </w:tc>
      </w:tr>
      <w:tr>
        <w:trPr>
          <w:trHeight w:val="41"/>
        </w:trPr>
        <w:tc>
          <w:tcPr>
            <w:tcW w:w="2000" w:type="dxa"/>
            <w:vAlign w:val="bottom"/>
          </w:tcPr>
          <w:p>
            <w:pPr>
              <w:spacing w:after="0"/>
              <w:rPr>
                <w:sz w:val="20"/>
                <w:szCs w:val="20"/>
                <w:color w:val="auto"/>
              </w:rPr>
            </w:pPr>
            <w:r>
              <w:rPr>
                <w:rFonts w:ascii="Arial" w:cs="Arial" w:eastAsia="Arial" w:hAnsi="Arial"/>
                <w:sz w:val="3"/>
                <w:szCs w:val="3"/>
                <w:color w:val="FFFFFF"/>
              </w:rPr>
              <w:t>nominated, elected, or appointed by</w:t>
            </w:r>
          </w:p>
        </w:tc>
        <w:tc>
          <w:tcPr>
            <w:tcW w:w="1020" w:type="dxa"/>
            <w:vAlign w:val="bottom"/>
          </w:tcPr>
          <w:p>
            <w:pPr>
              <w:ind w:left="80"/>
              <w:spacing w:after="0"/>
              <w:rPr>
                <w:sz w:val="20"/>
                <w:szCs w:val="20"/>
                <w:color w:val="auto"/>
              </w:rPr>
            </w:pPr>
            <w:r>
              <w:rPr>
                <w:rFonts w:ascii="Arial" w:cs="Arial" w:eastAsia="Arial" w:hAnsi="Arial"/>
                <w:sz w:val="3"/>
                <w:szCs w:val="3"/>
                <w:color w:val="FFFFFF"/>
              </w:rPr>
              <w:t>majority of the</w:t>
            </w:r>
          </w:p>
        </w:tc>
        <w:tc>
          <w:tcPr>
            <w:tcW w:w="340" w:type="dxa"/>
            <w:vAlign w:val="bottom"/>
          </w:tcPr>
          <w:p>
            <w:pPr>
              <w:spacing w:after="0"/>
              <w:rPr>
                <w:sz w:val="3"/>
                <w:szCs w:val="3"/>
                <w:color w:val="auto"/>
              </w:rPr>
            </w:pPr>
          </w:p>
        </w:tc>
        <w:tc>
          <w:tcPr>
            <w:tcW w:w="6580" w:type="dxa"/>
            <w:vAlign w:val="bottom"/>
          </w:tcPr>
          <w:p>
            <w:pPr>
              <w:ind w:left="60"/>
              <w:spacing w:after="0"/>
              <w:rPr>
                <w:sz w:val="20"/>
                <w:szCs w:val="20"/>
                <w:color w:val="auto"/>
              </w:rPr>
            </w:pPr>
            <w:r>
              <w:rPr>
                <w:rFonts w:ascii="Arial" w:cs="Arial" w:eastAsia="Arial" w:hAnsi="Arial"/>
                <w:sz w:val="3"/>
                <w:szCs w:val="3"/>
                <w:color w:val="FFFFFF"/>
              </w:rPr>
              <w:t>who were on the board at the date of the Indenture;</w:t>
            </w: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(3) the first day on which WRL ceases to own, directlydirectorsindirectly, a majority of the outstanding issued share capital (including warrants, options or other rights convertible into share capital) of the Company;</w:t>
            </w:r>
          </w:p>
        </w:tc>
        <w:tc>
          <w:tcPr>
            <w:tcW w:w="0" w:type="dxa"/>
            <w:vAlign w:val="bottom"/>
          </w:tcPr>
          <w:p>
            <w:pPr>
              <w:spacing w:after="0"/>
              <w:rPr>
                <w:sz w:val="1"/>
                <w:szCs w:val="1"/>
                <w:color w:val="auto"/>
              </w:rPr>
            </w:pPr>
          </w:p>
        </w:tc>
      </w:tr>
      <w:tr>
        <w:trPr>
          <w:trHeight w:val="41"/>
        </w:trPr>
        <w:tc>
          <w:tcPr>
            <w:tcW w:w="2000" w:type="dxa"/>
            <w:vAlign w:val="bottom"/>
          </w:tcPr>
          <w:p>
            <w:pPr>
              <w:spacing w:after="0"/>
              <w:rPr>
                <w:sz w:val="20"/>
                <w:szCs w:val="20"/>
                <w:color w:val="auto"/>
              </w:rPr>
            </w:pPr>
            <w:r>
              <w:rPr>
                <w:rFonts w:ascii="Arial" w:cs="Arial" w:eastAsia="Arial" w:hAnsi="Arial"/>
                <w:sz w:val="3"/>
                <w:szCs w:val="3"/>
                <w:color w:val="FFFFFF"/>
              </w:rPr>
              <w:t>and</w:t>
            </w: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580" w:type="dxa"/>
            <w:vAlign w:val="bottom"/>
            <w:vMerge w:val="restart"/>
          </w:tcPr>
          <w:p>
            <w:pPr>
              <w:ind w:left="300"/>
              <w:spacing w:after="0" w:line="81" w:lineRule="exact"/>
              <w:rPr>
                <w:sz w:val="20"/>
                <w:szCs w:val="20"/>
                <w:color w:val="auto"/>
              </w:rPr>
            </w:pPr>
            <w:r>
              <w:rPr>
                <w:rFonts w:ascii="Arial" w:cs="Arial" w:eastAsia="Arial" w:hAnsi="Arial"/>
                <w:sz w:val="9"/>
                <w:szCs w:val="9"/>
                <w:color w:val="FFFFFF"/>
              </w:rPr>
              <w:t>or sells, assigns, conveys, transfers, leases or otherwise disposes of all or substantially all of its assets to any party,</w:t>
            </w:r>
          </w:p>
        </w:tc>
        <w:tc>
          <w:tcPr>
            <w:tcW w:w="1480" w:type="dxa"/>
            <w:vAlign w:val="bottom"/>
            <w:vMerge w:val="restart"/>
          </w:tcPr>
          <w:p>
            <w:pPr>
              <w:ind w:left="80"/>
              <w:spacing w:after="0" w:line="81" w:lineRule="exact"/>
              <w:rPr>
                <w:sz w:val="20"/>
                <w:szCs w:val="20"/>
                <w:color w:val="auto"/>
              </w:rPr>
            </w:pPr>
            <w:r>
              <w:rPr>
                <w:rFonts w:ascii="Arial" w:cs="Arial" w:eastAsia="Arial" w:hAnsi="Arial"/>
                <w:sz w:val="9"/>
                <w:szCs w:val="9"/>
                <w:color w:val="FFFFFF"/>
              </w:rPr>
              <w:t>any party consolidates</w:t>
            </w:r>
          </w:p>
        </w:tc>
        <w:tc>
          <w:tcPr>
            <w:tcW w:w="0" w:type="dxa"/>
            <w:vAlign w:val="bottom"/>
          </w:tcPr>
          <w:p>
            <w:pPr>
              <w:spacing w:after="0"/>
              <w:rPr>
                <w:sz w:val="1"/>
                <w:szCs w:val="1"/>
                <w:color w:val="auto"/>
              </w:rPr>
            </w:pPr>
          </w:p>
        </w:tc>
      </w:tr>
      <w:tr>
        <w:trPr>
          <w:trHeight w:val="41"/>
        </w:trPr>
        <w:tc>
          <w:tcPr>
            <w:tcW w:w="3360" w:type="dxa"/>
            <w:vAlign w:val="bottom"/>
            <w:gridSpan w:val="3"/>
          </w:tcPr>
          <w:p>
            <w:pPr>
              <w:spacing w:after="0"/>
              <w:rPr>
                <w:sz w:val="20"/>
                <w:szCs w:val="20"/>
                <w:color w:val="auto"/>
              </w:rPr>
            </w:pPr>
            <w:r>
              <w:rPr>
                <w:rFonts w:ascii="Arial" w:cs="Arial" w:eastAsia="Arial" w:hAnsi="Arial"/>
                <w:sz w:val="3"/>
                <w:szCs w:val="3"/>
                <w:color w:val="FFFFFF"/>
              </w:rPr>
              <w:t>(4) WRL consolidates with, or merges with or into, any other</w:t>
            </w:r>
          </w:p>
        </w:tc>
        <w:tc>
          <w:tcPr>
            <w:tcW w:w="658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1420" w:type="dxa"/>
            <w:vAlign w:val="bottom"/>
            <w:gridSpan w:val="5"/>
          </w:tcPr>
          <w:p>
            <w:pPr>
              <w:spacing w:after="0" w:line="21" w:lineRule="exact"/>
              <w:rPr>
                <w:sz w:val="20"/>
                <w:szCs w:val="20"/>
                <w:color w:val="auto"/>
              </w:rPr>
            </w:pPr>
            <w:r>
              <w:rPr>
                <w:rFonts w:ascii="Arial" w:cs="Arial" w:eastAsia="Arial" w:hAnsi="Arial"/>
                <w:sz w:val="2"/>
                <w:szCs w:val="2"/>
                <w:color w:val="FFFFFF"/>
              </w:rPr>
              <w:t>any such transaction where the voting stock of WRL outstanding immediately prior to such transaction is converted into or exchanged for voting stock that results in WRL holding a majority of the voting stock</w:t>
            </w:r>
          </w:p>
        </w:tc>
        <w:tc>
          <w:tcPr>
            <w:tcW w:w="0" w:type="dxa"/>
            <w:vAlign w:val="bottom"/>
          </w:tcPr>
          <w:p>
            <w:pPr>
              <w:spacing w:after="0" w:line="20" w:lineRule="exact"/>
              <w:rPr>
                <w:sz w:val="1"/>
                <w:szCs w:val="1"/>
                <w:color w:val="auto"/>
              </w:rPr>
            </w:pPr>
          </w:p>
        </w:tc>
      </w:tr>
      <w:tr>
        <w:trPr>
          <w:trHeight w:val="21"/>
        </w:trPr>
        <w:tc>
          <w:tcPr>
            <w:tcW w:w="2000" w:type="dxa"/>
            <w:vAlign w:val="bottom"/>
          </w:tcPr>
          <w:p>
            <w:pPr>
              <w:spacing w:after="0" w:line="22" w:lineRule="exact"/>
              <w:rPr>
                <w:sz w:val="20"/>
                <w:szCs w:val="20"/>
                <w:color w:val="auto"/>
              </w:rPr>
            </w:pPr>
            <w:r>
              <w:rPr>
                <w:rFonts w:ascii="Arial" w:cs="Arial" w:eastAsia="Arial" w:hAnsi="Arial"/>
                <w:sz w:val="2"/>
                <w:szCs w:val="2"/>
                <w:color w:val="FFFFFF"/>
              </w:rPr>
              <w:t>with, or merges with or into, WRL</w:t>
            </w:r>
          </w:p>
        </w:tc>
        <w:tc>
          <w:tcPr>
            <w:tcW w:w="7940" w:type="dxa"/>
            <w:vAlign w:val="bottom"/>
            <w:gridSpan w:val="3"/>
          </w:tcPr>
          <w:p>
            <w:pPr>
              <w:ind w:left="60"/>
              <w:spacing w:after="0" w:line="22" w:lineRule="exact"/>
              <w:rPr>
                <w:sz w:val="20"/>
                <w:szCs w:val="20"/>
                <w:color w:val="auto"/>
              </w:rPr>
            </w:pPr>
            <w:r>
              <w:rPr>
                <w:rFonts w:ascii="Arial" w:cs="Arial" w:eastAsia="Arial" w:hAnsi="Arial"/>
                <w:sz w:val="2"/>
                <w:szCs w:val="2"/>
                <w:color w:val="FFFFFF"/>
              </w:rPr>
              <w:t>any such event pursuantpartytotransaction in which any of the outstanding voting stock of WRL is converted into or exchanged for cash, securities</w:t>
            </w:r>
          </w:p>
        </w:tc>
        <w:tc>
          <w:tcPr>
            <w:tcW w:w="1480" w:type="dxa"/>
            <w:vAlign w:val="bottom"/>
          </w:tcPr>
          <w:p>
            <w:pPr>
              <w:ind w:left="100"/>
              <w:spacing w:after="0" w:line="22" w:lineRule="exact"/>
              <w:rPr>
                <w:sz w:val="20"/>
                <w:szCs w:val="20"/>
                <w:color w:val="auto"/>
              </w:rPr>
            </w:pPr>
            <w:r>
              <w:rPr>
                <w:rFonts w:ascii="Arial" w:cs="Arial" w:eastAsia="Arial" w:hAnsi="Arial"/>
                <w:sz w:val="2"/>
                <w:szCs w:val="2"/>
                <w:color w:val="FFFFFF"/>
              </w:rPr>
              <w:t>other property, other than</w:t>
            </w: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3"/>
          <w:szCs w:val="3"/>
          <w:color w:val="FFFFFF"/>
        </w:rPr>
        <w:t>ReasonsofthetransfereefortheNotesorsurvivingIssue party.</w:t>
      </w:r>
    </w:p>
    <w:p>
      <w:pPr>
        <w:spacing w:after="0" w:line="6" w:lineRule="exact"/>
        <w:rPr>
          <w:sz w:val="20"/>
          <w:szCs w:val="20"/>
          <w:color w:val="auto"/>
        </w:rPr>
      </w:pPr>
    </w:p>
    <w:p>
      <w:pPr>
        <w:ind w:right="140"/>
        <w:spacing w:after="0" w:line="181" w:lineRule="auto"/>
        <w:rPr>
          <w:sz w:val="20"/>
          <w:szCs w:val="20"/>
          <w:color w:val="auto"/>
        </w:rPr>
      </w:pPr>
      <w:r>
        <w:rPr>
          <w:rFonts w:ascii="Arial" w:cs="Arial" w:eastAsia="Arial" w:hAnsi="Arial"/>
          <w:sz w:val="7"/>
          <w:szCs w:val="7"/>
          <w:color w:val="FFFFFF"/>
        </w:rPr>
        <w:t>The Board believes that the Notes Issue represents a timely opportunity for the Company to supplement the funding of the Group’s business. The Board also believes that the Notes Issue will further strengthen the liquidity position of the Group and provide long-term capital to the Company, and that the Notes Issue will further extend the profile of the Group and improve its ability to access the international debt capital markets to support the growth of the Group in the future.</w:t>
      </w:r>
    </w:p>
    <w:p>
      <w:pPr>
        <w:spacing w:after="0"/>
        <w:rPr>
          <w:sz w:val="20"/>
          <w:szCs w:val="20"/>
          <w:color w:val="auto"/>
        </w:rPr>
      </w:pPr>
      <w:r>
        <w:rPr>
          <w:rFonts w:ascii="Arial" w:cs="Arial" w:eastAsia="Arial" w:hAnsi="Arial"/>
          <w:sz w:val="3"/>
          <w:szCs w:val="3"/>
          <w:color w:val="FFFFFF"/>
        </w:rPr>
        <w:t>Proposed use of proceeds</w:t>
      </w:r>
    </w:p>
    <w:p>
      <w:pPr>
        <w:spacing w:after="0" w:line="6" w:lineRule="exact"/>
        <w:rPr>
          <w:sz w:val="20"/>
          <w:szCs w:val="20"/>
          <w:color w:val="auto"/>
        </w:rPr>
      </w:pPr>
    </w:p>
    <w:p>
      <w:pPr>
        <w:ind w:right="420"/>
        <w:spacing w:after="0"/>
        <w:rPr>
          <w:sz w:val="20"/>
          <w:szCs w:val="20"/>
          <w:color w:val="auto"/>
        </w:rPr>
      </w:pPr>
      <w:r>
        <w:rPr>
          <w:rFonts w:ascii="Arial" w:cs="Arial" w:eastAsia="Arial" w:hAnsi="Arial"/>
          <w:sz w:val="6"/>
          <w:szCs w:val="6"/>
          <w:color w:val="FFFFFF"/>
        </w:rPr>
        <w:t>The Company estimates that the net proceeds from the offering of the Notes will be approximately US$591.5 million after deducting the discounts and commissions of the Initial Purchasers and estimated offering expenses payable by the Company. We intend to use the net proceeds from the offering for working capital requirements and general corporate purposes.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FFFFFF"/>
        </w:rPr>
        <w:t>6</w:t>
      </w:r>
    </w:p>
    <w:p>
      <w:pPr>
        <w:sectPr>
          <w:pgSz w:w="11900" w:h="16838" w:orient="portrait"/>
          <w:cols w:equalWidth="0" w:num="1">
            <w:col w:w="11420"/>
          </w:cols>
          <w:pgMar w:left="240" w:top="1440" w:right="2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552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7555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20"/>
                <w:szCs w:val="20"/>
                <w:color w:val="auto"/>
              </w:rPr>
            </w:pPr>
            <w:r>
              <w:rPr>
                <w:rFonts w:ascii="Arial" w:cs="Arial" w:eastAsia="Arial" w:hAnsi="Arial"/>
                <w:sz w:val="14"/>
                <w:szCs w:val="14"/>
                <w:color w:val="FFFFFF"/>
              </w:rPr>
              <w:t>Listing</w:t>
            </w:r>
          </w:p>
        </w:tc>
        <w:tc>
          <w:tcPr>
            <w:tcW w:w="204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The Company proposes to seek a listing of the Notes on the Stock Exchange and has received an eligibility letter from the Stock Exchange for the listing of the Notes. Admission of the Notes to the Stock</w:t>
            </w: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Exchange and quotation of any Notes on the Stock Exchange is not to be taken as an indication of the merits of the Company or the Notes.</w:t>
            </w:r>
          </w:p>
        </w:tc>
        <w:tc>
          <w:tcPr>
            <w:tcW w:w="0" w:type="dxa"/>
            <w:vAlign w:val="bottom"/>
          </w:tcPr>
          <w:p>
            <w:pPr>
              <w:spacing w:after="0"/>
              <w:rPr>
                <w:sz w:val="1"/>
                <w:szCs w:val="1"/>
                <w:color w:val="auto"/>
              </w:rPr>
            </w:pPr>
          </w:p>
        </w:tc>
      </w:tr>
      <w:tr>
        <w:trPr>
          <w:trHeight w:val="41"/>
        </w:trPr>
        <w:tc>
          <w:tcPr>
            <w:tcW w:w="1580" w:type="dxa"/>
            <w:vAlign w:val="bottom"/>
          </w:tcPr>
          <w:p>
            <w:pPr>
              <w:spacing w:after="0"/>
              <w:rPr>
                <w:sz w:val="20"/>
                <w:szCs w:val="20"/>
                <w:color w:val="auto"/>
              </w:rPr>
            </w:pPr>
            <w:r>
              <w:rPr>
                <w:rFonts w:ascii="Arial" w:cs="Arial" w:eastAsia="Arial" w:hAnsi="Arial"/>
                <w:sz w:val="3"/>
                <w:szCs w:val="3"/>
                <w:color w:val="FFFFFF"/>
              </w:rPr>
              <w:t>Ratings</w:t>
            </w:r>
          </w:p>
        </w:tc>
        <w:tc>
          <w:tcPr>
            <w:tcW w:w="2040" w:type="dxa"/>
            <w:vAlign w:val="bottom"/>
          </w:tcPr>
          <w:p>
            <w:pPr>
              <w:spacing w:after="0"/>
              <w:rPr>
                <w:sz w:val="3"/>
                <w:szCs w:val="3"/>
                <w:color w:val="auto"/>
              </w:rPr>
            </w:pPr>
          </w:p>
        </w:tc>
        <w:tc>
          <w:tcPr>
            <w:tcW w:w="7740" w:type="dxa"/>
            <w:vAlign w:val="bottom"/>
            <w:vMerge w:val="restart"/>
          </w:tcPr>
          <w:p>
            <w:pPr>
              <w:ind w:left="300"/>
              <w:spacing w:after="0" w:line="81" w:lineRule="exact"/>
              <w:rPr>
                <w:sz w:val="20"/>
                <w:szCs w:val="20"/>
                <w:color w:val="auto"/>
              </w:rPr>
            </w:pPr>
            <w:r>
              <w:rPr>
                <w:rFonts w:ascii="Arial" w:cs="Arial" w:eastAsia="Arial" w:hAnsi="Arial"/>
                <w:sz w:val="9"/>
                <w:szCs w:val="9"/>
                <w:color w:val="FFFFFF"/>
              </w:rPr>
              <w:t>Service, Inc. and BB by Standard &amp; Poor’s Rating Services, a division of the McGraw Hill Companies, Inc. A security rating is not a</w:t>
            </w:r>
          </w:p>
        </w:tc>
        <w:tc>
          <w:tcPr>
            <w:tcW w:w="0" w:type="dxa"/>
            <w:vAlign w:val="bottom"/>
          </w:tcPr>
          <w:p>
            <w:pPr>
              <w:spacing w:after="0"/>
              <w:rPr>
                <w:sz w:val="1"/>
                <w:szCs w:val="1"/>
                <w:color w:val="auto"/>
              </w:rPr>
            </w:pPr>
          </w:p>
        </w:tc>
      </w:tr>
      <w:tr>
        <w:trPr>
          <w:trHeight w:val="41"/>
        </w:trPr>
        <w:tc>
          <w:tcPr>
            <w:tcW w:w="3620" w:type="dxa"/>
            <w:vAlign w:val="bottom"/>
            <w:gridSpan w:val="2"/>
          </w:tcPr>
          <w:p>
            <w:pPr>
              <w:spacing w:after="0"/>
              <w:rPr>
                <w:sz w:val="20"/>
                <w:szCs w:val="20"/>
                <w:color w:val="auto"/>
              </w:rPr>
            </w:pPr>
            <w:r>
              <w:rPr>
                <w:rFonts w:ascii="Arial" w:cs="Arial" w:eastAsia="Arial" w:hAnsi="Arial"/>
                <w:sz w:val="3"/>
                <w:szCs w:val="3"/>
                <w:color w:val="FFFFFF"/>
              </w:rPr>
              <w:t>The Notes are expected to receive a rating of Ba2 by Moody’</w:t>
            </w:r>
          </w:p>
        </w:tc>
        <w:tc>
          <w:tcPr>
            <w:tcW w:w="77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recommendation to buy, sell or hold securities and may be subjectInvestorssuspension, reduction or withdrawal at any time by the assigning rating agency.</w:t>
            </w:r>
          </w:p>
        </w:tc>
        <w:tc>
          <w:tcPr>
            <w:tcW w:w="0" w:type="dxa"/>
            <w:vAlign w:val="bottom"/>
          </w:tcPr>
          <w:p>
            <w:pPr>
              <w:spacing w:after="0"/>
              <w:rPr>
                <w:sz w:val="1"/>
                <w:szCs w:val="1"/>
                <w:color w:val="auto"/>
              </w:rPr>
            </w:pPr>
          </w:p>
        </w:tc>
      </w:tr>
      <w:tr>
        <w:trPr>
          <w:trHeight w:val="41"/>
        </w:trPr>
        <w:tc>
          <w:tcPr>
            <w:tcW w:w="1580" w:type="dxa"/>
            <w:vAlign w:val="bottom"/>
          </w:tcPr>
          <w:p>
            <w:pPr>
              <w:spacing w:after="0"/>
              <w:rPr>
                <w:sz w:val="20"/>
                <w:szCs w:val="20"/>
                <w:color w:val="auto"/>
              </w:rPr>
            </w:pPr>
            <w:r>
              <w:rPr>
                <w:rFonts w:ascii="Arial" w:cs="Arial" w:eastAsia="Arial" w:hAnsi="Arial"/>
                <w:sz w:val="3"/>
                <w:szCs w:val="3"/>
                <w:color w:val="FFFFFF"/>
              </w:rPr>
              <w:t>ABOUT THE COMPANY</w:t>
            </w:r>
          </w:p>
        </w:tc>
        <w:tc>
          <w:tcPr>
            <w:tcW w:w="2040" w:type="dxa"/>
            <w:vAlign w:val="bottom"/>
          </w:tcPr>
          <w:p>
            <w:pPr>
              <w:spacing w:after="0"/>
              <w:rPr>
                <w:sz w:val="3"/>
                <w:szCs w:val="3"/>
                <w:color w:val="auto"/>
              </w:rPr>
            </w:pPr>
          </w:p>
        </w:tc>
        <w:tc>
          <w:tcPr>
            <w:tcW w:w="7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The Company, through WRM, is  developer, owner and operator of destination casino resorts   Macau. WRM holds one of the six concessions or subconcessions authorizing it to own and operate casinos in</w:t>
            </w: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Macau, and currently owns and operates “Wynn Macau” and “Encore”. The Group is also constructing an integrated luxury resort in the Cotai area of Macau containing  casino, luxury hotel and other facilities</w:t>
            </w: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and attractions including a spa, restaurants, retail stores, a convention and business center and entertainment venues. The Cotai resort is anticipated to open in the first half of 2016.</w:t>
            </w:r>
          </w:p>
        </w:tc>
        <w:tc>
          <w:tcPr>
            <w:tcW w:w="0" w:type="dxa"/>
            <w:vAlign w:val="bottom"/>
          </w:tcPr>
          <w:p>
            <w:pPr>
              <w:spacing w:after="0"/>
              <w:rPr>
                <w:sz w:val="1"/>
                <w:szCs w:val="1"/>
                <w:color w:val="auto"/>
              </w:rPr>
            </w:pPr>
          </w:p>
        </w:tc>
      </w:tr>
      <w:tr>
        <w:trPr>
          <w:trHeight w:val="41"/>
        </w:trPr>
        <w:tc>
          <w:tcPr>
            <w:tcW w:w="1580" w:type="dxa"/>
            <w:vAlign w:val="bottom"/>
          </w:tcPr>
          <w:p>
            <w:pPr>
              <w:spacing w:after="0"/>
              <w:rPr>
                <w:sz w:val="20"/>
                <w:szCs w:val="20"/>
                <w:color w:val="auto"/>
              </w:rPr>
            </w:pPr>
            <w:r>
              <w:rPr>
                <w:rFonts w:ascii="Arial" w:cs="Arial" w:eastAsia="Arial" w:hAnsi="Arial"/>
                <w:sz w:val="3"/>
                <w:szCs w:val="3"/>
                <w:color w:val="FFFFFF"/>
              </w:rPr>
              <w:t>GENERAL</w:t>
            </w:r>
          </w:p>
        </w:tc>
        <w:tc>
          <w:tcPr>
            <w:tcW w:w="9780" w:type="dxa"/>
            <w:vAlign w:val="bottom"/>
            <w:gridSpan w:val="2"/>
            <w:vMerge w:val="restart"/>
          </w:tcPr>
          <w:p>
            <w:pPr>
              <w:ind w:left="40"/>
              <w:spacing w:after="0" w:line="81" w:lineRule="exact"/>
              <w:rPr>
                <w:sz w:val="20"/>
                <w:szCs w:val="20"/>
                <w:color w:val="auto"/>
              </w:rPr>
            </w:pPr>
            <w:r>
              <w:rPr>
                <w:rFonts w:ascii="Arial" w:cs="Arial" w:eastAsia="Arial" w:hAnsi="Arial"/>
                <w:sz w:val="9"/>
                <w:szCs w:val="9"/>
                <w:color w:val="FFFFFF"/>
              </w:rPr>
              <w:t>right in favor of the holders of the Notes to require the Company to repurchase the Notes is made pursuant to Rule 13.18 of the Listing Rules. In accordance with the requirements</w:t>
            </w:r>
          </w:p>
        </w:tc>
        <w:tc>
          <w:tcPr>
            <w:tcW w:w="0" w:type="dxa"/>
            <w:vAlign w:val="bottom"/>
          </w:tcPr>
          <w:p>
            <w:pPr>
              <w:spacing w:after="0"/>
              <w:rPr>
                <w:sz w:val="1"/>
                <w:szCs w:val="1"/>
                <w:color w:val="auto"/>
              </w:rPr>
            </w:pPr>
          </w:p>
        </w:tc>
      </w:tr>
      <w:tr>
        <w:trPr>
          <w:trHeight w:val="41"/>
        </w:trPr>
        <w:tc>
          <w:tcPr>
            <w:tcW w:w="1580" w:type="dxa"/>
            <w:vAlign w:val="bottom"/>
          </w:tcPr>
          <w:p>
            <w:pPr>
              <w:spacing w:after="0"/>
              <w:rPr>
                <w:sz w:val="20"/>
                <w:szCs w:val="20"/>
                <w:color w:val="auto"/>
              </w:rPr>
            </w:pPr>
            <w:r>
              <w:rPr>
                <w:rFonts w:ascii="Arial" w:cs="Arial" w:eastAsia="Arial" w:hAnsi="Arial"/>
                <w:sz w:val="3"/>
                <w:szCs w:val="3"/>
                <w:color w:val="FFFFFF"/>
              </w:rPr>
              <w:t>The disclosure relating to</w:t>
            </w:r>
          </w:p>
        </w:tc>
        <w:tc>
          <w:tcPr>
            <w:tcW w:w="97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pursuant to Rule 13.21 of the Listing Rules, we will include appropriate disclosure in subsequent interim and annual reports for so long as the above-described right in favor of the holders of the Notes continues</w:t>
            </w:r>
          </w:p>
        </w:tc>
        <w:tc>
          <w:tcPr>
            <w:tcW w:w="0" w:type="dxa"/>
            <w:vAlign w:val="bottom"/>
          </w:tcPr>
          <w:p>
            <w:pPr>
              <w:spacing w:after="0"/>
              <w:rPr>
                <w:sz w:val="1"/>
                <w:szCs w:val="1"/>
                <w:color w:val="auto"/>
              </w:rPr>
            </w:pPr>
          </w:p>
        </w:tc>
      </w:tr>
      <w:tr>
        <w:trPr>
          <w:trHeight w:val="41"/>
        </w:trPr>
        <w:tc>
          <w:tcPr>
            <w:tcW w:w="1580" w:type="dxa"/>
            <w:vAlign w:val="bottom"/>
          </w:tcPr>
          <w:p>
            <w:pPr>
              <w:spacing w:after="0"/>
              <w:rPr>
                <w:sz w:val="20"/>
                <w:szCs w:val="20"/>
                <w:color w:val="auto"/>
              </w:rPr>
            </w:pPr>
            <w:r>
              <w:rPr>
                <w:rFonts w:ascii="Arial" w:cs="Arial" w:eastAsia="Arial" w:hAnsi="Arial"/>
                <w:sz w:val="3"/>
                <w:szCs w:val="3"/>
                <w:color w:val="FFFFFF"/>
              </w:rPr>
              <w:t>to exist under the Indenture.</w:t>
            </w:r>
          </w:p>
        </w:tc>
        <w:tc>
          <w:tcPr>
            <w:tcW w:w="9780" w:type="dxa"/>
            <w:vAlign w:val="bottom"/>
            <w:gridSpan w:val="2"/>
            <w:vMerge w:val="restart"/>
          </w:tcPr>
          <w:p>
            <w:pPr>
              <w:ind w:left="100"/>
              <w:spacing w:after="0"/>
              <w:rPr>
                <w:sz w:val="20"/>
                <w:szCs w:val="20"/>
                <w:color w:val="auto"/>
              </w:rPr>
            </w:pPr>
            <w:r>
              <w:rPr>
                <w:rFonts w:ascii="Arial" w:cs="Arial" w:eastAsia="Arial" w:hAnsi="Arial"/>
                <w:sz w:val="3"/>
                <w:szCs w:val="3"/>
                <w:color w:val="FFFFFF"/>
              </w:rPr>
              <w:t>completion of the Purchase Agreement may or may not be satisfied and the Purchase Agreement may be terminated upon the occurrence of certain events, shareholders of the</w:t>
            </w:r>
          </w:p>
        </w:tc>
        <w:tc>
          <w:tcPr>
            <w:tcW w:w="0" w:type="dxa"/>
            <w:vAlign w:val="bottom"/>
          </w:tcPr>
          <w:p>
            <w:pPr>
              <w:spacing w:after="0"/>
              <w:rPr>
                <w:sz w:val="1"/>
                <w:szCs w:val="1"/>
                <w:color w:val="auto"/>
              </w:rPr>
            </w:pPr>
          </w:p>
        </w:tc>
      </w:tr>
      <w:tr>
        <w:trPr>
          <w:trHeight w:val="0"/>
        </w:trPr>
        <w:tc>
          <w:tcPr>
            <w:tcW w:w="1580" w:type="dxa"/>
            <w:vAlign w:val="bottom"/>
          </w:tcPr>
          <w:p>
            <w:pPr>
              <w:spacing w:after="0" w:line="80" w:lineRule="exact"/>
              <w:rPr>
                <w:sz w:val="20"/>
                <w:szCs w:val="20"/>
                <w:color w:val="auto"/>
              </w:rPr>
            </w:pPr>
            <w:r>
              <w:rPr>
                <w:rFonts w:ascii="Arial" w:cs="Arial" w:eastAsia="Arial" w:hAnsi="Arial"/>
                <w:sz w:val="9"/>
                <w:szCs w:val="9"/>
                <w:color w:val="FFFFFF"/>
              </w:rPr>
              <w:t>As the conditions precedent</w:t>
            </w:r>
          </w:p>
        </w:tc>
        <w:tc>
          <w:tcPr>
            <w:tcW w:w="97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460"/>
        <w:spacing w:after="0" w:line="25" w:lineRule="auto"/>
        <w:rPr>
          <w:sz w:val="20"/>
          <w:szCs w:val="20"/>
          <w:color w:val="auto"/>
        </w:rPr>
      </w:pPr>
      <w:r>
        <w:rPr>
          <w:rFonts w:ascii="Arial" w:cs="Arial" w:eastAsia="Arial" w:hAnsi="Arial"/>
          <w:sz w:val="1"/>
          <w:szCs w:val="1"/>
          <w:color w:val="FFFFFF"/>
        </w:rPr>
        <w:t>investors</w:t>
      </w:r>
    </w:p>
    <w:p>
      <w:pPr>
        <w:spacing w:after="0" w:line="208" w:lineRule="auto"/>
        <w:tabs>
          <w:tab w:leader="none" w:pos="1960" w:val="left"/>
        </w:tabs>
        <w:rPr>
          <w:sz w:val="20"/>
          <w:szCs w:val="20"/>
          <w:color w:val="auto"/>
        </w:rPr>
      </w:pPr>
      <w:r>
        <w:rPr>
          <w:rFonts w:ascii="Arial" w:cs="Arial" w:eastAsia="Arial" w:hAnsi="Arial"/>
          <w:sz w:val="14"/>
          <w:szCs w:val="14"/>
          <w:color w:val="FFFFFF"/>
        </w:rPr>
        <w:t>7Company and prospective</w:t>
      </w:r>
      <w:r>
        <w:rPr>
          <w:sz w:val="20"/>
          <w:szCs w:val="20"/>
          <w:color w:val="auto"/>
        </w:rPr>
        <w:tab/>
      </w:r>
      <w:r>
        <w:rPr>
          <w:rFonts w:ascii="Arial" w:cs="Arial" w:eastAsia="Arial" w:hAnsi="Arial"/>
          <w:sz w:val="12"/>
          <w:szCs w:val="12"/>
          <w:color w:val="FFFFFF"/>
        </w:rPr>
        <w:t>are advised to exercise caution when dealing in the securities of the Company.</w:t>
      </w:r>
    </w:p>
    <w:p>
      <w:pPr>
        <w:sectPr>
          <w:pgSz w:w="11900" w:h="16838" w:orient="portrait"/>
          <w:cols w:equalWidth="0" w:num="1">
            <w:col w:w="11360"/>
          </w:cols>
          <w:pgMar w:left="240" w:top="1440" w:right="29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552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7555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20"/>
                <w:szCs w:val="20"/>
                <w:color w:val="auto"/>
              </w:rPr>
            </w:pPr>
            <w:r>
              <w:rPr>
                <w:rFonts w:ascii="Arial" w:cs="Arial" w:eastAsia="Arial" w:hAnsi="Arial"/>
                <w:sz w:val="14"/>
                <w:szCs w:val="14"/>
                <w:color w:val="FFFFFF"/>
              </w:rPr>
              <w:t>DEFINITIONS</w:t>
            </w: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720" w:type="dxa"/>
            <w:vAlign w:val="bottom"/>
            <w:gridSpan w:val="2"/>
          </w:tcPr>
          <w:p>
            <w:pPr>
              <w:spacing w:after="0"/>
              <w:rPr>
                <w:sz w:val="20"/>
                <w:szCs w:val="20"/>
                <w:color w:val="auto"/>
              </w:rPr>
            </w:pPr>
            <w:r>
              <w:rPr>
                <w:rFonts w:ascii="Arial" w:cs="Arial" w:eastAsia="Arial" w:hAnsi="Arial"/>
                <w:sz w:val="3"/>
                <w:szCs w:val="3"/>
                <w:color w:val="FFFFFF"/>
              </w:rPr>
              <w:t>In this announcement, unless otherwise indicated in the context, the following expressions have the meanings set out below:</w:t>
            </w:r>
          </w:p>
        </w:tc>
        <w:tc>
          <w:tcPr>
            <w:tcW w:w="0" w:type="dxa"/>
            <w:vAlign w:val="bottom"/>
          </w:tcPr>
          <w:p>
            <w:pPr>
              <w:spacing w:after="0"/>
              <w:rPr>
                <w:sz w:val="1"/>
                <w:szCs w:val="1"/>
                <w:color w:val="auto"/>
              </w:rPr>
            </w:pPr>
          </w:p>
        </w:tc>
      </w:tr>
      <w:tr>
        <w:trPr>
          <w:trHeight w:val="41"/>
        </w:trPr>
        <w:tc>
          <w:tcPr>
            <w:tcW w:w="3500" w:type="dxa"/>
            <w:vAlign w:val="bottom"/>
          </w:tcPr>
          <w:p>
            <w:pPr>
              <w:spacing w:after="0"/>
              <w:rPr>
                <w:sz w:val="20"/>
                <w:szCs w:val="20"/>
                <w:color w:val="auto"/>
              </w:rPr>
            </w:pPr>
            <w:r>
              <w:rPr>
                <w:rFonts w:ascii="Arial" w:cs="Arial" w:eastAsia="Arial" w:hAnsi="Arial"/>
                <w:sz w:val="3"/>
                <w:szCs w:val="3"/>
                <w:color w:val="FFFFFF"/>
              </w:rPr>
              <w:t>“Asian Lead Coordinator and : BOCI Asia Limited</w:t>
            </w:r>
          </w:p>
        </w:tc>
        <w:tc>
          <w:tcPr>
            <w:tcW w:w="3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3500" w:type="dxa"/>
            <w:vAlign w:val="bottom"/>
          </w:tcPr>
          <w:p>
            <w:pPr>
              <w:spacing w:after="0" w:line="81" w:lineRule="exact"/>
              <w:rPr>
                <w:sz w:val="20"/>
                <w:szCs w:val="20"/>
                <w:color w:val="auto"/>
              </w:rPr>
            </w:pPr>
            <w:r>
              <w:rPr>
                <w:rFonts w:ascii="Arial" w:cs="Arial" w:eastAsia="Arial" w:hAnsi="Arial"/>
                <w:sz w:val="9"/>
                <w:szCs w:val="9"/>
                <w:color w:val="FFFFFF"/>
              </w:rPr>
              <w:t>Bookrunner”ard” : board of directors of the</w:t>
            </w:r>
          </w:p>
        </w:tc>
        <w:tc>
          <w:tcPr>
            <w:tcW w:w="3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6720" w:type="dxa"/>
            <w:vAlign w:val="bottom"/>
            <w:gridSpan w:val="2"/>
          </w:tcPr>
          <w:p>
            <w:pPr>
              <w:spacing w:after="0"/>
              <w:rPr>
                <w:sz w:val="20"/>
                <w:szCs w:val="20"/>
                <w:color w:val="auto"/>
              </w:rPr>
            </w:pPr>
            <w:r>
              <w:rPr>
                <w:rFonts w:ascii="Arial" w:cs="Arial" w:eastAsia="Arial" w:hAnsi="Arial"/>
                <w:sz w:val="3"/>
                <w:szCs w:val="3"/>
                <w:color w:val="FFFFFF"/>
              </w:rPr>
              <w:t>“Company” : Wynn Macau, Limited,Companycompany incorporated in the Cayman</w:t>
            </w:r>
          </w:p>
        </w:tc>
        <w:tc>
          <w:tcPr>
            <w:tcW w:w="0" w:type="dxa"/>
            <w:vAlign w:val="bottom"/>
          </w:tcPr>
          <w:p>
            <w:pPr>
              <w:spacing w:after="0"/>
              <w:rPr>
                <w:sz w:val="1"/>
                <w:szCs w:val="1"/>
                <w:color w:val="auto"/>
              </w:rPr>
            </w:pPr>
          </w:p>
        </w:tc>
      </w:tr>
      <w:tr>
        <w:trPr>
          <w:trHeight w:val="41"/>
        </w:trPr>
        <w:tc>
          <w:tcPr>
            <w:tcW w:w="3500" w:type="dxa"/>
            <w:vAlign w:val="bottom"/>
          </w:tcPr>
          <w:p>
            <w:pPr>
              <w:spacing w:after="0"/>
              <w:rPr>
                <w:sz w:val="20"/>
                <w:szCs w:val="20"/>
                <w:color w:val="auto"/>
              </w:rPr>
            </w:pPr>
            <w:r>
              <w:rPr>
                <w:rFonts w:ascii="Arial" w:cs="Arial" w:eastAsia="Arial" w:hAnsi="Arial"/>
                <w:sz w:val="3"/>
                <w:szCs w:val="3"/>
                <w:color w:val="FFFFFF"/>
              </w:rPr>
              <w:t>Islands on 4 September 2009 as an exempted company with</w:t>
            </w:r>
          </w:p>
        </w:tc>
        <w:tc>
          <w:tcPr>
            <w:tcW w:w="3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00" w:type="dxa"/>
            <w:vAlign w:val="bottom"/>
          </w:tcPr>
          <w:p>
            <w:pPr>
              <w:spacing w:after="0"/>
              <w:rPr>
                <w:sz w:val="20"/>
                <w:szCs w:val="20"/>
                <w:color w:val="auto"/>
              </w:rPr>
            </w:pPr>
            <w:r>
              <w:rPr>
                <w:rFonts w:ascii="Arial" w:cs="Arial" w:eastAsia="Arial" w:hAnsi="Arial"/>
                <w:sz w:val="3"/>
                <w:szCs w:val="3"/>
                <w:color w:val="FFFFFF"/>
              </w:rPr>
              <w:t>limited liability</w:t>
            </w:r>
          </w:p>
        </w:tc>
        <w:tc>
          <w:tcPr>
            <w:tcW w:w="3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720" w:type="dxa"/>
            <w:vAlign w:val="bottom"/>
            <w:gridSpan w:val="2"/>
          </w:tcPr>
          <w:p>
            <w:pPr>
              <w:ind w:left="60"/>
              <w:spacing w:after="0"/>
              <w:rPr>
                <w:sz w:val="20"/>
                <w:szCs w:val="20"/>
                <w:color w:val="auto"/>
              </w:rPr>
            </w:pPr>
            <w:r>
              <w:rPr>
                <w:rFonts w:ascii="Arial" w:cs="Arial" w:eastAsia="Arial" w:hAnsi="Arial"/>
                <w:sz w:val="3"/>
                <w:szCs w:val="3"/>
                <w:color w:val="FFFFFF"/>
              </w:rPr>
              <w:t>Connected Person” : has the meaning ascribed to it under the Listing Rules</w:t>
            </w:r>
          </w:p>
        </w:tc>
        <w:tc>
          <w:tcPr>
            <w:tcW w:w="0" w:type="dxa"/>
            <w:vAlign w:val="bottom"/>
          </w:tcPr>
          <w:p>
            <w:pPr>
              <w:spacing w:after="0"/>
              <w:rPr>
                <w:sz w:val="1"/>
                <w:szCs w:val="1"/>
                <w:color w:val="auto"/>
              </w:rPr>
            </w:pPr>
          </w:p>
        </w:tc>
      </w:tr>
      <w:tr>
        <w:trPr>
          <w:trHeight w:val="41"/>
        </w:trPr>
        <w:tc>
          <w:tcPr>
            <w:tcW w:w="6720" w:type="dxa"/>
            <w:vAlign w:val="bottom"/>
            <w:gridSpan w:val="2"/>
          </w:tcPr>
          <w:p>
            <w:pPr>
              <w:spacing w:after="0"/>
              <w:rPr>
                <w:sz w:val="20"/>
                <w:szCs w:val="20"/>
                <w:color w:val="auto"/>
              </w:rPr>
            </w:pPr>
            <w:r>
              <w:rPr>
                <w:rFonts w:ascii="Arial" w:cs="Arial" w:eastAsia="Arial" w:hAnsi="Arial"/>
                <w:sz w:val="3"/>
                <w:szCs w:val="3"/>
                <w:color w:val="FFFFFF"/>
              </w:rPr>
              <w:t>“Gaming Authority” : any agency, authority, board, bureau, commission, department,</w:t>
            </w:r>
          </w:p>
        </w:tc>
        <w:tc>
          <w:tcPr>
            <w:tcW w:w="0" w:type="dxa"/>
            <w:vAlign w:val="bottom"/>
          </w:tcPr>
          <w:p>
            <w:pPr>
              <w:spacing w:after="0"/>
              <w:rPr>
                <w:sz w:val="1"/>
                <w:szCs w:val="1"/>
                <w:color w:val="auto"/>
              </w:rPr>
            </w:pPr>
          </w:p>
        </w:tc>
      </w:tr>
      <w:tr>
        <w:trPr>
          <w:trHeight w:val="41"/>
        </w:trPr>
        <w:tc>
          <w:tcPr>
            <w:tcW w:w="3500" w:type="dxa"/>
            <w:vAlign w:val="bottom"/>
          </w:tcPr>
          <w:p>
            <w:pPr>
              <w:spacing w:after="0"/>
              <w:rPr>
                <w:sz w:val="20"/>
                <w:szCs w:val="20"/>
                <w:color w:val="auto"/>
              </w:rPr>
            </w:pPr>
            <w:r>
              <w:rPr>
                <w:rFonts w:ascii="Arial" w:cs="Arial" w:eastAsia="Arial" w:hAnsi="Arial"/>
                <w:sz w:val="3"/>
                <w:szCs w:val="3"/>
                <w:color w:val="FFFFFF"/>
              </w:rPr>
              <w:t>office or instrumentality of any nature whatsoever of any</w:t>
            </w:r>
          </w:p>
        </w:tc>
        <w:tc>
          <w:tcPr>
            <w:tcW w:w="3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00" w:type="dxa"/>
            <w:vAlign w:val="bottom"/>
          </w:tcPr>
          <w:p>
            <w:pPr>
              <w:spacing w:after="0"/>
              <w:rPr>
                <w:sz w:val="20"/>
                <w:szCs w:val="20"/>
                <w:color w:val="auto"/>
              </w:rPr>
            </w:pPr>
            <w:r>
              <w:rPr>
                <w:rFonts w:ascii="Arial" w:cs="Arial" w:eastAsia="Arial" w:hAnsi="Arial"/>
                <w:sz w:val="3"/>
                <w:szCs w:val="3"/>
                <w:color w:val="FFFFFF"/>
              </w:rPr>
              <w:t>national or foreign government, any state, province or city</w:t>
            </w:r>
          </w:p>
        </w:tc>
        <w:tc>
          <w:tcPr>
            <w:tcW w:w="3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00" w:type="dxa"/>
            <w:vAlign w:val="bottom"/>
          </w:tcPr>
          <w:p>
            <w:pPr>
              <w:spacing w:after="0"/>
              <w:rPr>
                <w:sz w:val="20"/>
                <w:szCs w:val="20"/>
                <w:color w:val="auto"/>
              </w:rPr>
            </w:pPr>
            <w:r>
              <w:rPr>
                <w:rFonts w:ascii="Arial" w:cs="Arial" w:eastAsia="Arial" w:hAnsi="Arial"/>
                <w:sz w:val="3"/>
                <w:szCs w:val="3"/>
                <w:color w:val="FFFFFF"/>
              </w:rPr>
              <w:t>or other political subdivision or otherwise, whether on the</w:t>
            </w:r>
          </w:p>
        </w:tc>
        <w:tc>
          <w:tcPr>
            <w:tcW w:w="3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00" w:type="dxa"/>
            <w:vAlign w:val="bottom"/>
          </w:tcPr>
          <w:p>
            <w:pPr>
              <w:spacing w:after="0"/>
              <w:rPr>
                <w:sz w:val="20"/>
                <w:szCs w:val="20"/>
                <w:color w:val="auto"/>
              </w:rPr>
            </w:pPr>
            <w:r>
              <w:rPr>
                <w:rFonts w:ascii="Arial" w:cs="Arial" w:eastAsia="Arial" w:hAnsi="Arial"/>
                <w:sz w:val="3"/>
                <w:szCs w:val="3"/>
                <w:color w:val="FFFFFF"/>
              </w:rPr>
              <w:t>date of the Indenture or thereafter in existence, including the</w:t>
            </w:r>
          </w:p>
        </w:tc>
        <w:tc>
          <w:tcPr>
            <w:tcW w:w="3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00" w:type="dxa"/>
            <w:vAlign w:val="bottom"/>
          </w:tcPr>
          <w:p>
            <w:pPr>
              <w:spacing w:after="0"/>
              <w:rPr>
                <w:sz w:val="20"/>
                <w:szCs w:val="20"/>
                <w:color w:val="auto"/>
              </w:rPr>
            </w:pPr>
            <w:r>
              <w:rPr>
                <w:rFonts w:ascii="Arial" w:cs="Arial" w:eastAsia="Arial" w:hAnsi="Arial"/>
                <w:sz w:val="3"/>
                <w:szCs w:val="3"/>
                <w:color w:val="FFFFFF"/>
              </w:rPr>
              <w:t>Government of Macau, the Nevada Gaming Commission, the</w:t>
            </w:r>
          </w:p>
        </w:tc>
        <w:tc>
          <w:tcPr>
            <w:tcW w:w="3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00" w:type="dxa"/>
            <w:vAlign w:val="bottom"/>
          </w:tcPr>
          <w:p>
            <w:pPr>
              <w:spacing w:after="0"/>
              <w:rPr>
                <w:sz w:val="20"/>
                <w:szCs w:val="20"/>
                <w:color w:val="auto"/>
              </w:rPr>
            </w:pPr>
            <w:r>
              <w:rPr>
                <w:rFonts w:ascii="Arial" w:cs="Arial" w:eastAsia="Arial" w:hAnsi="Arial"/>
                <w:sz w:val="3"/>
                <w:szCs w:val="3"/>
                <w:color w:val="FFFFFF"/>
              </w:rPr>
              <w:t>Nevada State Gaming Board and any other applicable gaming</w:t>
            </w:r>
          </w:p>
        </w:tc>
        <w:tc>
          <w:tcPr>
            <w:tcW w:w="3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00" w:type="dxa"/>
            <w:vAlign w:val="bottom"/>
          </w:tcPr>
          <w:p>
            <w:pPr>
              <w:ind w:left="600"/>
              <w:spacing w:after="0"/>
              <w:rPr>
                <w:sz w:val="20"/>
                <w:szCs w:val="20"/>
                <w:color w:val="auto"/>
              </w:rPr>
            </w:pPr>
            <w:r>
              <w:rPr>
                <w:rFonts w:ascii="Arial" w:cs="Arial" w:eastAsia="Arial" w:hAnsi="Arial"/>
                <w:sz w:val="3"/>
                <w:szCs w:val="3"/>
                <w:color w:val="FFFFFF"/>
              </w:rPr>
              <w:t>authority or agency, in each case, with authority</w:t>
            </w:r>
          </w:p>
        </w:tc>
        <w:tc>
          <w:tcPr>
            <w:tcW w:w="3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00" w:type="dxa"/>
            <w:vAlign w:val="bottom"/>
          </w:tcPr>
          <w:p>
            <w:pPr>
              <w:spacing w:after="0"/>
              <w:rPr>
                <w:sz w:val="20"/>
                <w:szCs w:val="20"/>
                <w:color w:val="auto"/>
              </w:rPr>
            </w:pPr>
            <w:r>
              <w:rPr>
                <w:rFonts w:ascii="Arial" w:cs="Arial" w:eastAsia="Arial" w:hAnsi="Arial"/>
                <w:sz w:val="3"/>
                <w:szCs w:val="3"/>
                <w:color w:val="FFFFFF"/>
              </w:rPr>
              <w:t>regulatoryregulate the sale or distribution of liquor or any gaming</w:t>
            </w:r>
          </w:p>
        </w:tc>
        <w:tc>
          <w:tcPr>
            <w:tcW w:w="3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00" w:type="dxa"/>
            <w:vAlign w:val="bottom"/>
          </w:tcPr>
          <w:p>
            <w:pPr>
              <w:ind w:left="340"/>
              <w:spacing w:after="0"/>
              <w:rPr>
                <w:sz w:val="20"/>
                <w:szCs w:val="20"/>
                <w:color w:val="auto"/>
              </w:rPr>
            </w:pPr>
            <w:r>
              <w:rPr>
                <w:rFonts w:ascii="Arial" w:cs="Arial" w:eastAsia="Arial" w:hAnsi="Arial"/>
                <w:sz w:val="3"/>
                <w:szCs w:val="3"/>
                <w:color w:val="FFFFFF"/>
              </w:rPr>
              <w:t>ion (or proposed ga  ing operation) owned, managed or</w:t>
            </w:r>
          </w:p>
        </w:tc>
        <w:tc>
          <w:tcPr>
            <w:tcW w:w="3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500" w:type="dxa"/>
            <w:vAlign w:val="bottom"/>
          </w:tcPr>
          <w:p>
            <w:pPr>
              <w:spacing w:after="0"/>
              <w:rPr>
                <w:sz w:val="20"/>
                <w:szCs w:val="20"/>
                <w:color w:val="auto"/>
              </w:rPr>
            </w:pPr>
            <w:r>
              <w:rPr>
                <w:rFonts w:ascii="Arial" w:cs="Arial" w:eastAsia="Arial" w:hAnsi="Arial"/>
                <w:sz w:val="3"/>
                <w:szCs w:val="3"/>
                <w:color w:val="FFFFFF"/>
              </w:rPr>
              <w:t>operated by WRL, the Company or the Group</w:t>
            </w:r>
          </w:p>
        </w:tc>
        <w:tc>
          <w:tcPr>
            <w:tcW w:w="3220" w:type="dxa"/>
            <w:vAlign w:val="bottom"/>
            <w:vMerge w:val="restart"/>
          </w:tcPr>
          <w:p>
            <w:pPr>
              <w:ind w:left="120"/>
              <w:spacing w:after="0"/>
              <w:rPr>
                <w:sz w:val="20"/>
                <w:szCs w:val="20"/>
                <w:color w:val="auto"/>
              </w:rPr>
            </w:pPr>
            <w:r>
              <w:rPr>
                <w:rFonts w:ascii="Arial" w:cs="Arial" w:eastAsia="Arial" w:hAnsi="Arial"/>
                <w:sz w:val="3"/>
                <w:szCs w:val="3"/>
                <w:color w:val="FFFFFF"/>
              </w:rPr>
              <w:t>of any</w:t>
            </w:r>
          </w:p>
        </w:tc>
        <w:tc>
          <w:tcPr>
            <w:tcW w:w="0" w:type="dxa"/>
            <w:vAlign w:val="bottom"/>
          </w:tcPr>
          <w:p>
            <w:pPr>
              <w:spacing w:after="0"/>
              <w:rPr>
                <w:sz w:val="1"/>
                <w:szCs w:val="1"/>
                <w:color w:val="auto"/>
              </w:rPr>
            </w:pPr>
          </w:p>
        </w:tc>
      </w:tr>
      <w:tr>
        <w:trPr>
          <w:trHeight w:val="0"/>
        </w:trPr>
        <w:tc>
          <w:tcPr>
            <w:tcW w:w="3500" w:type="dxa"/>
            <w:vAlign w:val="bottom"/>
          </w:tcPr>
          <w:p>
            <w:pPr>
              <w:spacing w:after="0" w:line="80" w:lineRule="exact"/>
              <w:rPr>
                <w:sz w:val="20"/>
                <w:szCs w:val="20"/>
                <w:color w:val="auto"/>
              </w:rPr>
            </w:pPr>
            <w:r>
              <w:rPr>
                <w:rFonts w:ascii="Arial" w:cs="Arial" w:eastAsia="Arial" w:hAnsi="Arial"/>
                <w:sz w:val="9"/>
                <w:szCs w:val="9"/>
                <w:color w:val="FFFFFF"/>
              </w:rPr>
              <w:t>“Gaming Law” : the gaming laws, rules, regulations or</w:t>
            </w:r>
          </w:p>
        </w:tc>
        <w:tc>
          <w:tcPr>
            <w:tcW w:w="32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000"/>
        <w:spacing w:after="0" w:line="25" w:lineRule="auto"/>
        <w:rPr>
          <w:sz w:val="20"/>
          <w:szCs w:val="20"/>
          <w:color w:val="auto"/>
        </w:rPr>
      </w:pPr>
      <w:r>
        <w:rPr>
          <w:rFonts w:ascii="Arial" w:cs="Arial" w:eastAsia="Arial" w:hAnsi="Arial"/>
          <w:sz w:val="1"/>
          <w:szCs w:val="1"/>
          <w:color w:val="FFFFFF"/>
        </w:rPr>
        <w:t>ordinances</w:t>
      </w:r>
    </w:p>
    <w:p>
      <w:pPr>
        <w:spacing w:after="0" w:line="187" w:lineRule="auto"/>
        <w:rPr>
          <w:sz w:val="20"/>
          <w:szCs w:val="20"/>
          <w:color w:val="auto"/>
        </w:rPr>
      </w:pPr>
      <w:r>
        <w:rPr>
          <w:rFonts w:ascii="Arial" w:cs="Arial" w:eastAsia="Arial" w:hAnsi="Arial"/>
          <w:sz w:val="9"/>
          <w:szCs w:val="9"/>
          <w:color w:val="FFFFFF"/>
        </w:rPr>
        <w:t>mayjurisdictionbe,atanyor jurisdictionstimesubject to which WRL or the Group, is,</w:t>
      </w:r>
    </w:p>
    <w:p>
      <w:pPr>
        <w:spacing w:after="0"/>
        <w:rPr>
          <w:sz w:val="20"/>
          <w:szCs w:val="20"/>
          <w:color w:val="auto"/>
        </w:rPr>
      </w:pPr>
      <w:r>
        <w:rPr>
          <w:rFonts w:ascii="Arial" w:cs="Arial" w:eastAsia="Arial" w:hAnsi="Arial"/>
          <w:sz w:val="3"/>
          <w:szCs w:val="3"/>
          <w:color w:val="FFFFFF"/>
        </w:rPr>
        <w:t>businesses“Group”orcarried“we”: onthebyCompanysuchsubsidiariesanditssubsidiaries, or any of them, and the</w:t>
      </w:r>
    </w:p>
    <w:p>
      <w:pPr>
        <w:spacing w:after="0" w:line="194" w:lineRule="auto"/>
        <w:rPr>
          <w:sz w:val="20"/>
          <w:szCs w:val="20"/>
          <w:color w:val="auto"/>
        </w:rPr>
      </w:pPr>
      <w:r>
        <w:rPr>
          <w:rFonts w:ascii="Arial" w:cs="Arial" w:eastAsia="Arial" w:hAnsi="Arial"/>
          <w:sz w:val="5"/>
          <w:szCs w:val="5"/>
          <w:color w:val="FFFFFF"/>
          <w:vertAlign w:val="subscript"/>
        </w:rPr>
        <w:t>“Hong</w:t>
      </w:r>
      <w:r>
        <w:rPr>
          <w:rFonts w:ascii="Arial" w:cs="Arial" w:eastAsia="Arial" w:hAnsi="Arial"/>
          <w:sz w:val="3"/>
          <w:szCs w:val="3"/>
          <w:color w:val="FFFFFF"/>
        </w:rPr>
        <w:t>K$” : Hong Kong dollars, the lawful currency of Hong Kong</w:t>
      </w:r>
    </w:p>
    <w:p>
      <w:pPr>
        <w:ind w:left="400"/>
        <w:spacing w:after="0"/>
        <w:rPr>
          <w:sz w:val="20"/>
          <w:szCs w:val="20"/>
          <w:color w:val="auto"/>
        </w:rPr>
      </w:pPr>
      <w:r>
        <w:rPr>
          <w:rFonts w:ascii="Arial" w:cs="Arial" w:eastAsia="Arial" w:hAnsi="Arial"/>
          <w:sz w:val="3"/>
          <w:szCs w:val="3"/>
          <w:color w:val="FFFFFF"/>
        </w:rPr>
        <w:t>Kong” : the Hong Kong Special Administrative Region of the People’s</w:t>
      </w:r>
    </w:p>
    <w:p>
      <w:pPr>
        <w:spacing w:after="0" w:line="181" w:lineRule="auto"/>
        <w:rPr>
          <w:sz w:val="20"/>
          <w:szCs w:val="20"/>
          <w:color w:val="auto"/>
        </w:rPr>
      </w:pPr>
      <w:r>
        <w:rPr>
          <w:rFonts w:ascii="Arial" w:cs="Arial" w:eastAsia="Arial" w:hAnsi="Arial"/>
          <w:sz w:val="10"/>
          <w:szCs w:val="10"/>
          <w:color w:val="FFFFFF"/>
        </w:rPr>
        <w:t>Republic of China</w:t>
      </w:r>
    </w:p>
    <w:p>
      <w:pPr>
        <w:spacing w:after="0"/>
        <w:rPr>
          <w:sz w:val="20"/>
          <w:szCs w:val="20"/>
          <w:color w:val="auto"/>
        </w:rPr>
      </w:pPr>
      <w:r>
        <w:rPr>
          <w:rFonts w:ascii="Arial" w:cs="Arial" w:eastAsia="Arial" w:hAnsi="Arial"/>
          <w:sz w:val="3"/>
          <w:szCs w:val="3"/>
          <w:color w:val="FFFFFF"/>
        </w:rPr>
        <w:t>specifies“Indenture”the:termstheagreementoftheNotesbetweenincludingtheCompanytheinterestandratetheofTrustee, that</w:t>
      </w:r>
    </w:p>
    <w:p>
      <w:pPr>
        <w:spacing w:after="0" w:line="194" w:lineRule="auto"/>
        <w:rPr>
          <w:sz w:val="20"/>
          <w:szCs w:val="20"/>
          <w:color w:val="auto"/>
        </w:rPr>
      </w:pPr>
      <w:r>
        <w:rPr>
          <w:rFonts w:ascii="Arial" w:cs="Arial" w:eastAsia="Arial" w:hAnsi="Arial"/>
          <w:sz w:val="5"/>
          <w:szCs w:val="5"/>
          <w:color w:val="FFFFFF"/>
        </w:rPr>
        <w:t>the Notes and maturity date</w:t>
      </w:r>
    </w:p>
    <w:p>
      <w:pPr>
        <w:spacing w:after="0"/>
        <w:rPr>
          <w:sz w:val="20"/>
          <w:szCs w:val="20"/>
          <w:color w:val="auto"/>
        </w:rPr>
      </w:pPr>
      <w:r>
        <w:rPr>
          <w:rFonts w:ascii="Arial" w:cs="Arial" w:eastAsia="Arial" w:hAnsi="Arial"/>
          <w:sz w:val="3"/>
          <w:szCs w:val="3"/>
          <w:color w:val="FFFFFF"/>
        </w:rPr>
        <w:t>“Initial Purchasers” : J.P. Morgan Securities LLC, Deutsche Bank AG, Singapore</w:t>
      </w:r>
    </w:p>
    <w:p>
      <w:pPr>
        <w:spacing w:after="0" w:line="194" w:lineRule="auto"/>
        <w:rPr>
          <w:sz w:val="20"/>
          <w:szCs w:val="20"/>
          <w:color w:val="auto"/>
        </w:rPr>
      </w:pPr>
      <w:r>
        <w:rPr>
          <w:rFonts w:ascii="Arial" w:cs="Arial" w:eastAsia="Arial" w:hAnsi="Arial"/>
          <w:sz w:val="5"/>
          <w:szCs w:val="5"/>
          <w:color w:val="FFFFFF"/>
        </w:rPr>
        <w:t>Branch, BOCI Asia Limited, BNP Paribas Securities Corp.,</w:t>
      </w:r>
    </w:p>
    <w:p>
      <w:pPr>
        <w:spacing w:after="0" w:line="188" w:lineRule="auto"/>
        <w:rPr>
          <w:sz w:val="20"/>
          <w:szCs w:val="20"/>
          <w:color w:val="auto"/>
        </w:rPr>
      </w:pPr>
      <w:r>
        <w:rPr>
          <w:rFonts w:ascii="Arial" w:cs="Arial" w:eastAsia="Arial" w:hAnsi="Arial"/>
          <w:sz w:val="9"/>
          <w:szCs w:val="9"/>
          <w:color w:val="FFFFFF"/>
        </w:rPr>
        <w:t>DBS Bank Ltd., Industrial and Commercial Bank of China</w:t>
      </w:r>
    </w:p>
    <w:p>
      <w:pPr>
        <w:spacing w:after="0"/>
        <w:rPr>
          <w:sz w:val="20"/>
          <w:szCs w:val="20"/>
          <w:color w:val="auto"/>
        </w:rPr>
      </w:pPr>
      <w:r>
        <w:rPr>
          <w:rFonts w:ascii="Arial" w:cs="Arial" w:eastAsia="Arial" w:hAnsi="Arial"/>
          <w:sz w:val="3"/>
          <w:szCs w:val="3"/>
          <w:color w:val="FFFFFF"/>
        </w:rPr>
        <w:t>(Asia) Limited, Merrill Lynch, Pierce, Fenner &amp; Smith</w:t>
      </w:r>
    </w:p>
    <w:p>
      <w:pPr>
        <w:spacing w:after="0" w:line="181" w:lineRule="auto"/>
        <w:rPr>
          <w:sz w:val="20"/>
          <w:szCs w:val="20"/>
          <w:color w:val="auto"/>
        </w:rPr>
      </w:pPr>
      <w:r>
        <w:rPr>
          <w:rFonts w:ascii="Arial" w:cs="Arial" w:eastAsia="Arial" w:hAnsi="Arial"/>
          <w:sz w:val="10"/>
          <w:szCs w:val="10"/>
          <w:color w:val="FFFFFF"/>
          <w:vertAlign w:val="subscript"/>
        </w:rPr>
        <w:t>Company</w:t>
      </w:r>
      <w:r>
        <w:rPr>
          <w:rFonts w:ascii="Arial" w:cs="Arial" w:eastAsia="Arial" w:hAnsi="Arial"/>
          <w:sz w:val="7"/>
          <w:szCs w:val="7"/>
          <w:color w:val="FFFFFF"/>
        </w:rPr>
        <w:t>IncorporatedindependentandthirdScotiapartyCapitalandnot(USA)aConnectedInc.,eachPersonofwhomoftheis</w:t>
      </w:r>
    </w:p>
    <w:p>
      <w:pPr>
        <w:spacing w:after="0"/>
        <w:rPr>
          <w:sz w:val="20"/>
          <w:szCs w:val="20"/>
          <w:color w:val="auto"/>
        </w:rPr>
      </w:pPr>
      <w:r>
        <w:rPr>
          <w:rFonts w:ascii="Arial" w:cs="Arial" w:eastAsia="Arial" w:hAnsi="Arial"/>
          <w:sz w:val="14"/>
          <w:szCs w:val="14"/>
          <w:color w:val="FFFFFF"/>
        </w:rPr>
        <w:t>8</w:t>
      </w:r>
    </w:p>
    <w:p>
      <w:pPr>
        <w:sectPr>
          <w:pgSz w:w="11900" w:h="16838" w:orient="portrait"/>
          <w:cols w:equalWidth="0" w:num="1">
            <w:col w:w="10219"/>
          </w:cols>
          <w:pgMar w:left="240" w:top="1440" w:right="1440"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552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7555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9"/>
          <w:szCs w:val="9"/>
          <w:color w:val="FFFFFF"/>
        </w:rPr>
        <w:t>and“JointJointGlobalBookCoordinators-RunningBranch:J.P. Morgan Securities LLC and Deutsche Bank AG, Singapore</w:t>
      </w:r>
    </w:p>
    <w:p>
      <w:pPr>
        <w:spacing w:after="0" w:line="187" w:lineRule="auto"/>
        <w:rPr>
          <w:sz w:val="20"/>
          <w:szCs w:val="20"/>
          <w:color w:val="auto"/>
        </w:rPr>
      </w:pPr>
      <w:r>
        <w:rPr>
          <w:rFonts w:ascii="Arial" w:cs="Arial" w:eastAsia="Arial" w:hAnsi="Arial"/>
          <w:sz w:val="9"/>
          <w:szCs w:val="9"/>
          <w:color w:val="FFFFFF"/>
        </w:rPr>
        <w:t>Managers”</w:t>
      </w:r>
    </w:p>
    <w:p>
      <w:pPr>
        <w:spacing w:after="0"/>
        <w:rPr>
          <w:sz w:val="20"/>
          <w:szCs w:val="20"/>
          <w:color w:val="auto"/>
        </w:rPr>
      </w:pPr>
      <w:r>
        <w:rPr>
          <w:rFonts w:ascii="Arial" w:cs="Arial" w:eastAsia="Arial" w:hAnsi="Arial"/>
          <w:sz w:val="3"/>
          <w:szCs w:val="3"/>
          <w:color w:val="FFFFFF"/>
        </w:rPr>
        <w:t>Exchange“ListingRules”ofHong:theKongRulesLimited,GoverningasamendedtheListingfromof timeSecuritiesto on The Stock</w:t>
      </w:r>
    </w:p>
    <w:p>
      <w:pPr>
        <w:spacing w:after="0" w:line="181" w:lineRule="auto"/>
        <w:rPr>
          <w:sz w:val="20"/>
          <w:szCs w:val="20"/>
          <w:color w:val="auto"/>
        </w:rPr>
      </w:pPr>
      <w:r>
        <w:rPr>
          <w:rFonts w:ascii="Arial" w:cs="Arial" w:eastAsia="Arial" w:hAnsi="Arial"/>
          <w:sz w:val="10"/>
          <w:szCs w:val="10"/>
          <w:color w:val="FFFFFF"/>
        </w:rPr>
        <w:t>time</w:t>
      </w:r>
    </w:p>
    <w:p>
      <w:pPr>
        <w:spacing w:after="0" w:line="188" w:lineRule="auto"/>
        <w:rPr>
          <w:sz w:val="20"/>
          <w:szCs w:val="20"/>
          <w:color w:val="auto"/>
        </w:rPr>
      </w:pPr>
      <w:r>
        <w:rPr>
          <w:rFonts w:ascii="Arial" w:cs="Arial" w:eastAsia="Arial" w:hAnsi="Arial"/>
          <w:sz w:val="9"/>
          <w:szCs w:val="9"/>
          <w:color w:val="FFFFFF"/>
        </w:rPr>
        <w:t>Republic“Macau” :oftheChinaMacau Special Administrative Region of the People’s</w:t>
      </w:r>
    </w:p>
    <w:p>
      <w:pPr>
        <w:spacing w:after="0" w:line="188" w:lineRule="auto"/>
        <w:rPr>
          <w:sz w:val="20"/>
          <w:szCs w:val="20"/>
          <w:color w:val="auto"/>
        </w:rPr>
      </w:pPr>
      <w:r>
        <w:rPr>
          <w:rFonts w:ascii="Arial" w:cs="Arial" w:eastAsia="Arial" w:hAnsi="Arial"/>
          <w:sz w:val="9"/>
          <w:szCs w:val="9"/>
          <w:color w:val="FFFFFF"/>
          <w:vertAlign w:val="subscript"/>
        </w:rPr>
        <w:t>“ProfessionalNotes”</w:t>
      </w:r>
      <w:r>
        <w:rPr>
          <w:rFonts w:ascii="Arial" w:cs="Arial" w:eastAsia="Arial" w:hAnsi="Arial"/>
          <w:sz w:val="7"/>
          <w:szCs w:val="7"/>
          <w:color w:val="FFFFFF"/>
        </w:rPr>
        <w:t>Issue”:theUS:the$600issuemillionofthe5.250%NotesbyseniortheCompanynotesdue 2021</w:t>
      </w:r>
    </w:p>
    <w:p>
      <w:pPr>
        <w:spacing w:after="0" w:line="188" w:lineRule="auto"/>
        <w:rPr>
          <w:sz w:val="20"/>
          <w:szCs w:val="20"/>
          <w:color w:val="auto"/>
        </w:rPr>
      </w:pPr>
      <w:r>
        <w:rPr>
          <w:rFonts w:ascii="Arial" w:cs="Arial" w:eastAsia="Arial" w:hAnsi="Arial"/>
          <w:sz w:val="7"/>
          <w:szCs w:val="7"/>
          <w:color w:val="FFFFFF"/>
        </w:rPr>
        <w:t>144A under</w:t>
      </w:r>
      <w:r>
        <w:rPr>
          <w:rFonts w:ascii="Arial" w:cs="Arial" w:eastAsia="Arial" w:hAnsi="Arial"/>
          <w:sz w:val="9"/>
          <w:szCs w:val="9"/>
          <w:color w:val="FFFFFF"/>
          <w:vertAlign w:val="subscript"/>
        </w:rPr>
        <w:t>States</w:t>
      </w:r>
      <w:r>
        <w:rPr>
          <w:rFonts w:ascii="Arial" w:cs="Arial" w:eastAsia="Arial" w:hAnsi="Arial"/>
          <w:sz w:val="7"/>
          <w:szCs w:val="7"/>
          <w:color w:val="FFFFFF"/>
        </w:rPr>
        <w:t>heInvestors”Securities: (1)Act,qualified(2)non-institutionalU.S.personsbuyersoutsidewithin the meaning of Rule</w:t>
      </w:r>
    </w:p>
    <w:p>
      <w:pPr>
        <w:spacing w:after="0"/>
        <w:tabs>
          <w:tab w:leader="none" w:pos="940" w:val="left"/>
        </w:tabs>
        <w:rPr>
          <w:sz w:val="20"/>
          <w:szCs w:val="20"/>
          <w:color w:val="auto"/>
        </w:rPr>
      </w:pPr>
      <w:r>
        <w:rPr>
          <w:rFonts w:ascii="Arial" w:cs="Arial" w:eastAsia="Arial" w:hAnsi="Arial"/>
          <w:sz w:val="3"/>
          <w:szCs w:val="3"/>
          <w:color w:val="FFFFFF"/>
        </w:rPr>
        <w:t>the United</w:t>
      </w:r>
      <w:r>
        <w:rPr>
          <w:sz w:val="20"/>
          <w:szCs w:val="20"/>
          <w:color w:val="auto"/>
        </w:rPr>
        <w:tab/>
      </w:r>
      <w:r>
        <w:rPr>
          <w:rFonts w:ascii="Arial" w:cs="Arial" w:eastAsia="Arial" w:hAnsi="Arial"/>
          <w:sz w:val="3"/>
          <w:szCs w:val="3"/>
          <w:color w:val="FFFFFF"/>
        </w:rPr>
        <w:t>as defined under Regulation S under the</w:t>
      </w:r>
    </w:p>
    <w:p>
      <w:pPr>
        <w:spacing w:after="0" w:line="181" w:lineRule="auto"/>
        <w:rPr>
          <w:sz w:val="20"/>
          <w:szCs w:val="20"/>
          <w:color w:val="auto"/>
        </w:rPr>
      </w:pPr>
      <w:r>
        <w:rPr>
          <w:rFonts w:ascii="Arial" w:cs="Arial" w:eastAsia="Arial" w:hAnsi="Arial"/>
          <w:sz w:val="10"/>
          <w:szCs w:val="10"/>
          <w:color w:val="FFFFFF"/>
        </w:rPr>
        <w:t>investorsSecuritiesasAct,defined(3)forinpersonsPart1ofinScheduleHongKong,1to professionaltheSFO</w:t>
      </w:r>
    </w:p>
    <w:p>
      <w:pPr>
        <w:spacing w:after="0" w:line="188" w:lineRule="auto"/>
        <w:rPr>
          <w:sz w:val="20"/>
          <w:szCs w:val="20"/>
          <w:color w:val="auto"/>
        </w:rPr>
      </w:pPr>
      <w:r>
        <w:rPr>
          <w:rFonts w:ascii="Arial" w:cs="Arial" w:eastAsia="Arial" w:hAnsi="Arial"/>
          <w:sz w:val="9"/>
          <w:szCs w:val="9"/>
          <w:color w:val="FFFFFF"/>
          <w:vertAlign w:val="superscript"/>
        </w:rPr>
        <w:t>to</w:t>
      </w:r>
      <w:r>
        <w:rPr>
          <w:rFonts w:ascii="Arial" w:cs="Arial" w:eastAsia="Arial" w:hAnsi="Arial"/>
          <w:sz w:val="7"/>
          <w:szCs w:val="7"/>
          <w:color w:val="FFFFFF"/>
        </w:rPr>
        <w:t>(includingheSFO)and/orthose (4)prescribedforpersonsbyrulesoutsidemadeHongunderKong,Sectionaperson397of</w:t>
      </w:r>
    </w:p>
    <w:p>
      <w:pPr>
        <w:spacing w:after="0" w:line="188" w:lineRule="auto"/>
        <w:rPr>
          <w:sz w:val="20"/>
          <w:szCs w:val="20"/>
          <w:color w:val="auto"/>
        </w:rPr>
      </w:pPr>
      <w:r>
        <w:rPr>
          <w:rFonts w:ascii="Arial" w:cs="Arial" w:eastAsia="Arial" w:hAnsi="Arial"/>
          <w:sz w:val="9"/>
          <w:szCs w:val="9"/>
          <w:color w:val="FFFFFF"/>
        </w:rPr>
        <w:t>exemptionwhomsecuritiesfrompublicmayofferbesoldregulationsinaccordanceinthatwithjurisdictionarelevant</w:t>
      </w:r>
    </w:p>
    <w:p>
      <w:pPr>
        <w:spacing w:after="0"/>
        <w:rPr>
          <w:sz w:val="20"/>
          <w:szCs w:val="20"/>
          <w:color w:val="auto"/>
        </w:rPr>
      </w:pPr>
      <w:r>
        <w:rPr>
          <w:rFonts w:ascii="Arial" w:cs="Arial" w:eastAsia="Arial" w:hAnsi="Arial"/>
          <w:sz w:val="3"/>
          <w:szCs w:val="3"/>
          <w:color w:val="FFFFFF"/>
        </w:rPr>
        <w:t>Initial“PurchasePurchasersAgreement”andthe:theCompanyagreementinrelationdated10toOctobertheissuance2013 entered into between the</w:t>
      </w:r>
    </w:p>
    <w:p>
      <w:pPr>
        <w:spacing w:after="0" w:line="194" w:lineRule="auto"/>
        <w:rPr>
          <w:sz w:val="20"/>
          <w:szCs w:val="20"/>
          <w:color w:val="auto"/>
        </w:rPr>
      </w:pPr>
      <w:r>
        <w:rPr>
          <w:rFonts w:ascii="Arial" w:cs="Arial" w:eastAsia="Arial" w:hAnsi="Arial"/>
          <w:sz w:val="5"/>
          <w:szCs w:val="5"/>
          <w:color w:val="FFFFFF"/>
        </w:rPr>
        <w:t>of the Notes</w:t>
      </w:r>
    </w:p>
    <w:p>
      <w:pPr>
        <w:spacing w:after="0" w:line="188" w:lineRule="auto"/>
        <w:rPr>
          <w:sz w:val="20"/>
          <w:szCs w:val="20"/>
          <w:color w:val="auto"/>
        </w:rPr>
      </w:pPr>
      <w:r>
        <w:rPr>
          <w:rFonts w:ascii="Arial" w:cs="Arial" w:eastAsia="Arial" w:hAnsi="Arial"/>
          <w:sz w:val="9"/>
          <w:szCs w:val="9"/>
          <w:color w:val="FFFFFF"/>
          <w:vertAlign w:val="subscript"/>
        </w:rPr>
        <w:t>“SFO”</w:t>
      </w:r>
      <w:r>
        <w:rPr>
          <w:rFonts w:ascii="Arial" w:cs="Arial" w:eastAsia="Arial" w:hAnsi="Arial"/>
          <w:sz w:val="7"/>
          <w:szCs w:val="7"/>
          <w:color w:val="FFFFFF"/>
        </w:rPr>
        <w:t>ecurities Act”</w:t>
      </w:r>
      <w:r>
        <w:rPr>
          <w:rFonts w:ascii="Arial" w:cs="Arial" w:eastAsia="Arial" w:hAnsi="Arial"/>
          <w:sz w:val="9"/>
          <w:szCs w:val="9"/>
          <w:color w:val="FFFFFF"/>
          <w:vertAlign w:val="subscript"/>
        </w:rPr>
        <w:t>Securities</w:t>
      </w:r>
      <w:r>
        <w:rPr>
          <w:rFonts w:ascii="Arial" w:cs="Arial" w:eastAsia="Arial" w:hAnsi="Arial"/>
          <w:sz w:val="7"/>
          <w:szCs w:val="7"/>
          <w:color w:val="FFFFFF"/>
        </w:rPr>
        <w:t>:theUnited States Securities Act of 1933, as amended</w:t>
      </w:r>
    </w:p>
    <w:p>
      <w:pPr>
        <w:spacing w:after="0" w:line="187" w:lineRule="auto"/>
        <w:rPr>
          <w:sz w:val="20"/>
          <w:szCs w:val="20"/>
          <w:color w:val="auto"/>
        </w:rPr>
      </w:pPr>
      <w:r>
        <w:rPr>
          <w:rFonts w:ascii="Arial" w:cs="Arial" w:eastAsia="Arial" w:hAnsi="Arial"/>
          <w:sz w:val="9"/>
          <w:szCs w:val="9"/>
          <w:color w:val="FFFFFF"/>
        </w:rPr>
        <w:t>Laws of: Hongthe Kong) and Futures Ordinance (Chapters 571 of the</w:t>
      </w:r>
    </w:p>
    <w:p>
      <w:pPr>
        <w:spacing w:after="0"/>
        <w:rPr>
          <w:sz w:val="20"/>
          <w:szCs w:val="20"/>
          <w:color w:val="auto"/>
        </w:rPr>
      </w:pPr>
      <w:r>
        <w:rPr>
          <w:rFonts w:ascii="Arial" w:cs="Arial" w:eastAsia="Arial" w:hAnsi="Arial"/>
          <w:sz w:val="3"/>
          <w:szCs w:val="3"/>
          <w:color w:val="FFFFFF"/>
        </w:rPr>
        <w:t>total“SignificantconsolidatedSubsidiary”income: fromanysubsidiarycontinuingthatoperations(1)contributedbefore at least 10% of the Group’s</w:t>
      </w:r>
    </w:p>
    <w:p>
      <w:pPr>
        <w:spacing w:after="0" w:line="181" w:lineRule="auto"/>
        <w:rPr>
          <w:sz w:val="20"/>
          <w:szCs w:val="20"/>
          <w:color w:val="auto"/>
        </w:rPr>
      </w:pPr>
      <w:r>
        <w:rPr>
          <w:rFonts w:ascii="Arial" w:cs="Arial" w:eastAsia="Arial" w:hAnsi="Arial"/>
          <w:sz w:val="10"/>
          <w:szCs w:val="10"/>
          <w:color w:val="FFFFFF"/>
        </w:rPr>
        <w:t>income taxes and extraordinary items for the most recently</w:t>
      </w:r>
    </w:p>
    <w:p>
      <w:pPr>
        <w:spacing w:after="0" w:line="213" w:lineRule="auto"/>
        <w:rPr>
          <w:sz w:val="20"/>
          <w:szCs w:val="20"/>
          <w:color w:val="auto"/>
        </w:rPr>
      </w:pPr>
      <w:r>
        <w:rPr>
          <w:rFonts w:ascii="Arial" w:cs="Arial" w:eastAsia="Arial" w:hAnsi="Arial"/>
          <w:sz w:val="2"/>
          <w:szCs w:val="2"/>
          <w:color w:val="FFFFFF"/>
        </w:rPr>
        <w:t>ofendedthe totalfiscalassetsyear ofof thethe</w:t>
      </w:r>
      <w:r>
        <w:rPr>
          <w:rFonts w:ascii="Arial" w:cs="Arial" w:eastAsia="Arial" w:hAnsi="Arial"/>
          <w:sz w:val="4"/>
          <w:szCs w:val="4"/>
          <w:color w:val="FFFFFF"/>
          <w:vertAlign w:val="subscript"/>
        </w:rPr>
        <w:t>year</w:t>
      </w:r>
      <w:r>
        <w:rPr>
          <w:rFonts w:ascii="Arial" w:cs="Arial" w:eastAsia="Arial" w:hAnsi="Arial"/>
          <w:sz w:val="2"/>
          <w:szCs w:val="2"/>
          <w:color w:val="FFFFFF"/>
        </w:rPr>
        <w:t>CompanyGroupas ofor the(2) lastownsdayat ofleastthe10%most</w:t>
      </w:r>
    </w:p>
    <w:p>
      <w:pPr>
        <w:spacing w:after="0"/>
        <w:tabs>
          <w:tab w:leader="none" w:pos="1400" w:val="left"/>
        </w:tabs>
        <w:rPr>
          <w:sz w:val="20"/>
          <w:szCs w:val="20"/>
          <w:color w:val="auto"/>
        </w:rPr>
      </w:pPr>
      <w:r>
        <w:rPr>
          <w:rFonts w:ascii="Arial" w:cs="Arial" w:eastAsia="Arial" w:hAnsi="Arial"/>
          <w:sz w:val="3"/>
          <w:szCs w:val="3"/>
          <w:color w:val="FFFFFF"/>
        </w:rPr>
        <w:t>recently ended fiscal</w:t>
      </w:r>
      <w:r>
        <w:rPr>
          <w:sz w:val="20"/>
          <w:szCs w:val="20"/>
          <w:color w:val="auto"/>
        </w:rPr>
        <w:tab/>
      </w:r>
      <w:r>
        <w:rPr>
          <w:rFonts w:ascii="Arial" w:cs="Arial" w:eastAsia="Arial" w:hAnsi="Arial"/>
          <w:sz w:val="3"/>
          <w:szCs w:val="3"/>
          <w:color w:val="FFFFFF"/>
        </w:rPr>
        <w:t>of the Company</w:t>
      </w:r>
    </w:p>
    <w:p>
      <w:pPr>
        <w:ind w:left="60"/>
        <w:spacing w:after="0" w:line="194" w:lineRule="auto"/>
        <w:rPr>
          <w:sz w:val="20"/>
          <w:szCs w:val="20"/>
          <w:color w:val="auto"/>
        </w:rPr>
      </w:pPr>
      <w:r>
        <w:rPr>
          <w:rFonts w:ascii="Arial" w:cs="Arial" w:eastAsia="Arial" w:hAnsi="Arial"/>
          <w:sz w:val="5"/>
          <w:szCs w:val="5"/>
          <w:color w:val="FFFFFF"/>
          <w:vertAlign w:val="superscript"/>
        </w:rPr>
        <w:t>T</w:t>
      </w:r>
    </w:p>
    <w:p>
      <w:pPr>
        <w:ind w:left="60"/>
        <w:spacing w:after="0" w:line="211" w:lineRule="auto"/>
        <w:rPr>
          <w:sz w:val="20"/>
          <w:szCs w:val="20"/>
          <w:color w:val="auto"/>
        </w:rPr>
      </w:pPr>
      <w:r>
        <w:rPr>
          <w:rFonts w:ascii="Arial" w:cs="Arial" w:eastAsia="Arial" w:hAnsi="Arial"/>
          <w:sz w:val="2"/>
          <w:szCs w:val="2"/>
          <w:color w:val="FFFFFF"/>
        </w:rPr>
        <w:t>Stockrustee”</w:t>
      </w:r>
      <w:r>
        <w:rPr>
          <w:rFonts w:ascii="Arial" w:cs="Arial" w:eastAsia="Arial" w:hAnsi="Arial"/>
          <w:sz w:val="4"/>
          <w:szCs w:val="4"/>
          <w:color w:val="FFFFFF"/>
          <w:vertAlign w:val="superscript"/>
        </w:rPr>
        <w:t>nited</w:t>
      </w:r>
      <w:r>
        <w:rPr>
          <w:rFonts w:ascii="Arial" w:cs="Arial" w:eastAsia="Arial" w:hAnsi="Arial"/>
          <w:sz w:val="2"/>
          <w:szCs w:val="2"/>
          <w:color w:val="FFFFFF"/>
        </w:rPr>
        <w:t>Exchange”:Deutsche:TheBankStockTrustExchangeCompanyofAmericasHongKong Limited</w:t>
      </w:r>
    </w:p>
    <w:p>
      <w:pPr>
        <w:ind w:left="60"/>
        <w:spacing w:after="0" w:line="212" w:lineRule="auto"/>
        <w:rPr>
          <w:sz w:val="20"/>
          <w:szCs w:val="20"/>
          <w:color w:val="auto"/>
        </w:rPr>
      </w:pPr>
      <w:r>
        <w:rPr>
          <w:rFonts w:ascii="Arial" w:cs="Arial" w:eastAsia="Arial" w:hAnsi="Arial"/>
          <w:sz w:val="4"/>
          <w:szCs w:val="4"/>
          <w:color w:val="FFFFFF"/>
          <w:vertAlign w:val="superscript"/>
        </w:rPr>
        <w:t>US$”</w:t>
      </w:r>
      <w:r>
        <w:rPr>
          <w:rFonts w:ascii="Arial" w:cs="Arial" w:eastAsia="Arial" w:hAnsi="Arial"/>
          <w:sz w:val="2"/>
          <w:szCs w:val="2"/>
          <w:color w:val="FFFFFF"/>
        </w:rPr>
        <w:t xml:space="preserve">  States” : the United States of America</w:t>
      </w:r>
    </w:p>
    <w:p>
      <w:pPr>
        <w:spacing w:after="0" w:line="211" w:lineRule="auto"/>
        <w:rPr>
          <w:sz w:val="20"/>
          <w:szCs w:val="20"/>
          <w:color w:val="auto"/>
        </w:rPr>
      </w:pPr>
      <w:r>
        <w:rPr>
          <w:rFonts w:ascii="Arial" w:cs="Arial" w:eastAsia="Arial" w:hAnsi="Arial"/>
          <w:sz w:val="4"/>
          <w:szCs w:val="4"/>
          <w:color w:val="FFFFFF"/>
          <w:vertAlign w:val="superscript"/>
        </w:rPr>
        <w:t>“WRM”</w:t>
      </w:r>
      <w:r>
        <w:rPr>
          <w:rFonts w:ascii="Arial" w:cs="Arial" w:eastAsia="Arial" w:hAnsi="Arial"/>
          <w:sz w:val="2"/>
          <w:szCs w:val="2"/>
          <w:color w:val="FFFFFF"/>
        </w:rPr>
        <w:t>: United States dollars, the lawful currency of the United States</w:t>
      </w:r>
    </w:p>
    <w:p>
      <w:pPr>
        <w:spacing w:after="0" w:line="186" w:lineRule="auto"/>
        <w:tabs>
          <w:tab w:leader="none" w:pos="480" w:val="left"/>
        </w:tabs>
        <w:rPr>
          <w:sz w:val="20"/>
          <w:szCs w:val="20"/>
          <w:color w:val="auto"/>
        </w:rPr>
      </w:pPr>
      <w:r>
        <w:rPr>
          <w:rFonts w:ascii="Arial" w:cs="Arial" w:eastAsia="Arial" w:hAnsi="Arial"/>
          <w:sz w:val="18"/>
          <w:szCs w:val="18"/>
          <w:color w:val="FFFFFF"/>
          <w:vertAlign w:val="subscript"/>
        </w:rPr>
        <w:t>9</w:t>
      </w:r>
      <w:r>
        <w:rPr>
          <w:sz w:val="20"/>
          <w:szCs w:val="20"/>
          <w:color w:val="auto"/>
        </w:rPr>
        <w:tab/>
      </w:r>
      <w:r>
        <w:rPr>
          <w:rFonts w:ascii="Arial" w:cs="Arial" w:eastAsia="Arial" w:hAnsi="Arial"/>
          <w:sz w:val="10"/>
          <w:szCs w:val="10"/>
          <w:color w:val="FFFFFF"/>
        </w:rPr>
        <w:t>: Wynn Resorts (Macau) S.A.</w:t>
      </w:r>
    </w:p>
    <w:p>
      <w:pPr>
        <w:sectPr>
          <w:pgSz w:w="11900" w:h="16838" w:orient="portrait"/>
          <w:cols w:equalWidth="0" w:num="1">
            <w:col w:w="10219"/>
          </w:cols>
          <w:pgMar w:left="240" w:top="1440" w:right="1440"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552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7555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FFFFFF"/>
        </w:rPr>
        <w:t>“Wynn Macau Credit : the HK$7.4 billion (US$950 million) senior secured credit</w:t>
      </w:r>
    </w:p>
    <w:p>
      <w:pPr>
        <w:spacing w:after="0" w:line="187" w:lineRule="auto"/>
        <w:rPr>
          <w:sz w:val="20"/>
          <w:szCs w:val="20"/>
          <w:color w:val="auto"/>
        </w:rPr>
      </w:pPr>
      <w:r>
        <w:rPr>
          <w:rFonts w:ascii="Arial" w:cs="Arial" w:eastAsia="Arial" w:hAnsi="Arial"/>
          <w:sz w:val="7"/>
          <w:szCs w:val="7"/>
          <w:color w:val="FFFFFF"/>
        </w:rPr>
        <w:t>creditFacilities”facilityfacilitysecuredand by,HKamong$12.1 billionother</w:t>
      </w:r>
      <w:r>
        <w:rPr>
          <w:rFonts w:ascii="Arial" w:cs="Arial" w:eastAsia="Arial" w:hAnsi="Arial"/>
          <w:sz w:val="9"/>
          <w:szCs w:val="9"/>
          <w:color w:val="FFFFFF"/>
          <w:vertAlign w:val="subscript"/>
        </w:rPr>
        <w:t>things,</w:t>
      </w:r>
      <w:r>
        <w:rPr>
          <w:rFonts w:ascii="Arial" w:cs="Arial" w:eastAsia="Arial" w:hAnsi="Arial"/>
          <w:sz w:val="7"/>
          <w:szCs w:val="7"/>
          <w:color w:val="FFFFFF"/>
        </w:rPr>
        <w:t>(US$1.55substantiallybillion)seniorall revolving</w:t>
      </w:r>
    </w:p>
    <w:p>
      <w:pPr>
        <w:spacing w:after="0"/>
        <w:rPr>
          <w:sz w:val="20"/>
          <w:szCs w:val="20"/>
          <w:color w:val="auto"/>
        </w:rPr>
      </w:pPr>
      <w:r>
        <w:rPr>
          <w:rFonts w:ascii="Arial" w:cs="Arial" w:eastAsia="Arial" w:hAnsi="Arial"/>
          <w:sz w:val="3"/>
          <w:szCs w:val="3"/>
          <w:color w:val="FFFFFF"/>
        </w:rPr>
        <w:t>byof theWRMassetson of31theJulyCompany’s2012and upsizedsubsidiaryon 30WRM,July entered2013 into</w:t>
      </w:r>
    </w:p>
    <w:p>
      <w:pPr>
        <w:spacing w:after="0" w:line="181" w:lineRule="auto"/>
        <w:rPr>
          <w:sz w:val="20"/>
          <w:szCs w:val="20"/>
          <w:color w:val="auto"/>
        </w:rPr>
      </w:pPr>
      <w:r>
        <w:rPr>
          <w:rFonts w:ascii="Arial" w:cs="Arial" w:eastAsia="Arial" w:hAnsi="Arial"/>
          <w:sz w:val="10"/>
          <w:szCs w:val="10"/>
          <w:color w:val="FFFFFF"/>
        </w:rPr>
        <w:t>“WRL” : Wynn Resorts, Limited, a company incorporated under the</w:t>
      </w:r>
    </w:p>
    <w:p>
      <w:pPr>
        <w:spacing w:after="0"/>
        <w:rPr>
          <w:sz w:val="20"/>
          <w:szCs w:val="20"/>
          <w:color w:val="auto"/>
        </w:rPr>
      </w:pPr>
      <w:r>
        <w:rPr>
          <w:rFonts w:ascii="Arial" w:cs="Arial" w:eastAsia="Arial" w:hAnsi="Arial"/>
          <w:sz w:val="3"/>
          <w:szCs w:val="3"/>
          <w:color w:val="FFFFFF"/>
        </w:rPr>
        <w:t>controllinglawsofthe StateshareholderofNevada,(asdefinedUnitedinStatestheListingandtheRules)Company’s</w:t>
      </w:r>
    </w:p>
    <w:p>
      <w:pPr>
        <w:spacing w:after="0" w:line="194" w:lineRule="auto"/>
        <w:rPr>
          <w:sz w:val="20"/>
          <w:szCs w:val="20"/>
          <w:color w:val="auto"/>
        </w:rPr>
      </w:pPr>
      <w:r>
        <w:rPr>
          <w:rFonts w:ascii="Arial" w:cs="Arial" w:eastAsia="Arial" w:hAnsi="Arial"/>
          <w:sz w:val="5"/>
          <w:szCs w:val="5"/>
          <w:color w:val="FFFFFF"/>
        </w:rPr>
        <w:t>By Order of the Board</w:t>
      </w:r>
    </w:p>
    <w:p>
      <w:pPr>
        <w:spacing w:after="0"/>
        <w:rPr>
          <w:sz w:val="20"/>
          <w:szCs w:val="20"/>
          <w:color w:val="auto"/>
        </w:rPr>
      </w:pPr>
      <w:r>
        <w:rPr>
          <w:rFonts w:ascii="Arial" w:cs="Arial" w:eastAsia="Arial" w:hAnsi="Arial"/>
          <w:sz w:val="3"/>
          <w:szCs w:val="3"/>
          <w:color w:val="FFFFFF"/>
        </w:rPr>
        <w:t>Wynn Macau, Limited</w:t>
      </w:r>
    </w:p>
    <w:p>
      <w:pPr>
        <w:spacing w:after="0" w:line="194" w:lineRule="auto"/>
        <w:rPr>
          <w:sz w:val="20"/>
          <w:szCs w:val="20"/>
          <w:color w:val="auto"/>
        </w:rPr>
      </w:pPr>
      <w:r>
        <w:rPr>
          <w:rFonts w:ascii="Arial" w:cs="Arial" w:eastAsia="Arial" w:hAnsi="Arial"/>
          <w:sz w:val="5"/>
          <w:szCs w:val="5"/>
          <w:color w:val="FFFFFF"/>
        </w:rPr>
        <w:t>Stephen A. Wynn</w:t>
      </w:r>
    </w:p>
    <w:p>
      <w:pPr>
        <w:spacing w:after="0"/>
        <w:rPr>
          <w:sz w:val="20"/>
          <w:szCs w:val="20"/>
          <w:color w:val="auto"/>
        </w:rPr>
      </w:pPr>
      <w:r>
        <w:rPr>
          <w:rFonts w:ascii="Arial" w:cs="Arial" w:eastAsia="Arial" w:hAnsi="Arial"/>
          <w:sz w:val="3"/>
          <w:szCs w:val="3"/>
          <w:color w:val="FFFFFF"/>
        </w:rPr>
        <w:t>Chairman</w:t>
      </w:r>
    </w:p>
    <w:p>
      <w:pPr>
        <w:spacing w:after="0" w:line="194" w:lineRule="auto"/>
        <w:rPr>
          <w:sz w:val="20"/>
          <w:szCs w:val="20"/>
          <w:color w:val="auto"/>
        </w:rPr>
      </w:pPr>
      <w:r>
        <w:rPr>
          <w:rFonts w:ascii="Arial" w:cs="Arial" w:eastAsia="Arial" w:hAnsi="Arial"/>
          <w:sz w:val="5"/>
          <w:szCs w:val="5"/>
          <w:color w:val="FFFFFF"/>
        </w:rPr>
        <w:t>Hong Kong, 11 October 2013</w:t>
      </w:r>
    </w:p>
    <w:p>
      <w:pPr>
        <w:spacing w:after="0"/>
        <w:rPr>
          <w:sz w:val="20"/>
          <w:szCs w:val="20"/>
          <w:color w:val="auto"/>
        </w:rPr>
      </w:pPr>
      <w:r>
        <w:rPr>
          <w:rFonts w:ascii="Arial" w:cs="Arial" w:eastAsia="Arial" w:hAnsi="Arial"/>
          <w:sz w:val="7"/>
          <w:szCs w:val="7"/>
          <w:color w:val="FFFFFF"/>
        </w:rPr>
        <w:t>As at the date of this announcement, the Board comprises Stephen A. Wynn, Ian Michael Coughlan and Linda Chen (as Executive Directors); Allan Zeman and Matthew O. Maddox (as Non-Executive Directors); and Nicholas Sallnow-Smith, Bruce Rockowitz and Jeffrey Kin-fung Lam (as Independent Non-Executive Directors).</w:t>
      </w:r>
    </w:p>
    <w:p>
      <w:pPr>
        <w:spacing w:after="0"/>
        <w:rPr>
          <w:sz w:val="20"/>
          <w:szCs w:val="20"/>
          <w:color w:val="auto"/>
        </w:rPr>
      </w:pPr>
      <w:r>
        <w:rPr>
          <w:rFonts w:ascii="Arial" w:cs="Arial" w:eastAsia="Arial" w:hAnsi="Arial"/>
          <w:sz w:val="14"/>
          <w:szCs w:val="14"/>
          <w:color w:val="FFFFFF"/>
        </w:rPr>
        <w:t>10</w:t>
      </w:r>
    </w:p>
    <w:p>
      <w:pPr>
        <w:sectPr>
          <w:pgSz w:w="11900" w:h="16838" w:orient="portrait"/>
          <w:cols w:equalWidth="0" w:num="1">
            <w:col w:w="10840"/>
          </w:cols>
          <w:pgMar w:left="240" w:top="1440" w:right="819" w:bottom="1440" w:gutter="0" w:footer="0" w:header="0"/>
        </w:sectPr>
      </w:pPr>
    </w:p>
    <w:bookmarkStart w:id="14" w:name="page15"/>
    <w:bookmarkEnd w:id="14"/>
    <w:p>
      <w:pPr>
        <w:ind w:left="10520"/>
        <w:spacing w:after="0"/>
        <w:rPr>
          <w:sz w:val="20"/>
          <w:szCs w:val="20"/>
          <w:color w:val="auto"/>
        </w:rPr>
      </w:pPr>
      <w:r>
        <w:rPr>
          <w:rFonts w:ascii="Arial" w:cs="Arial" w:eastAsia="Arial" w:hAnsi="Arial"/>
          <w:sz w:val="16"/>
          <w:szCs w:val="16"/>
          <w:b w:val="1"/>
          <w:bCs w:val="1"/>
          <w:color w:val="auto"/>
        </w:rPr>
        <w:t>Exhibit 99.2</w:t>
      </w:r>
    </w:p>
    <w:p>
      <w:pPr>
        <w:spacing w:after="0" w:line="194"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Wynn Resorts Announces Pricing of Private Offering of $600.0 Million Aggregate Principal Amount of Wynn Macau, Limited 5.25% Senior Notes Due 2021</w:t>
      </w:r>
    </w:p>
    <w:p>
      <w:pPr>
        <w:spacing w:after="0" w:line="45"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LAS VEGAS – October 10, 2013 – Wynn Resorts, Limited (NASDAQ: WYNN) announced today the pricing by Wynn Macau, Limited (the “Issuer”), a majority-owned subsidiary of Wynn Resorts, Limited, of $600.0 million aggregate principal amount of 5.25% Senior Notes due 2021 (the “Notes”). The Notes will be issued at par. Wynn Macau, Limited plans to use the net proceeds from the offering for working capital requirements and general corporate purposes.</w:t>
      </w:r>
    </w:p>
    <w:p>
      <w:pPr>
        <w:spacing w:after="0" w:line="10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Issuer will make the offering pursuant to an exemption under the Securities Act of 1933, as amended (the “Securities Act”). The initial purchasers of the Notes will offer the Notes only to qualified institutional buyers in reliance on Rule 144A under the Securities Act or outside the United States to certain persons in reliance on Regulation S under the Securities Act. The Notes have not been and will not be registered under the Securities Act or under any state securities laws. Therefore, the Issuer may not offer or sell the Notes within the United States to, or for the account or benefit of, any United States person unless the offer or sale would qualify for a registration exemption from the Securities Act and applicable state securities laws.</w:t>
      </w:r>
    </w:p>
    <w:p>
      <w:pPr>
        <w:spacing w:after="0" w:line="1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This press release does not constitute an offer to sell or a solicitation of an offer to buy the Notes described in this press release, nor shall there be any sale of the Notes in any state or jurisdiction in which such an offer, sale or solicitation would be unlawful prior to registration or qualification under the securities laws of any such jurisdiction.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90"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This release contains forward-looking statements, including those related to the offering of Notes and whether or not the Issuer will consummate the offering. Forward-looking information involves important risks and uncertainties that could significantly affect anticipated results in the future and, accordingly, such results may differ from those expressed in any forward-looking statements. These risks and uncertainties include, but are not limited to, competition in the casino/hotel and resorts industries, the Issuer’s dependence on existing management, levels of travel, leisure and casino spending, general domestic or international economic conditions, and changes in gaming laws or regulations. Additional information concerning potential factors that could affect the Issuer’s financial results is included in Wynn Macau, Limited’s annual report for the year ended December 31, 2012, interim report for the six months ended June 30, 2013 and its other reports filed with the Stock Exchange of Hong Kong Limited, and Wynn Resorts, Limited’s periodic reports filed with the Securities and Exchange Commission. Neither Wynn Resorts, Limited nor the Issuer are under any obligation to (and expressly disclaim any such obligation to) update their forward-looking statements as a result of new information, future events or otherwise, except as required by law.</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Source: 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Lewis Fanger,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2019-12-07T04:14:48Z</dcterms:created>
  <dcterms:modified xsi:type="dcterms:W3CDTF">2019-12-07T04:14:48Z</dcterms:modified>
</cp:coreProperties>
</file>