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ind w:left="3060"/>
        <w:spacing w:after="0" w:line="237" w:lineRule="auto"/>
        <w:rPr>
          <w:sz w:val="20"/>
          <w:szCs w:val="20"/>
          <w:color w:val="auto"/>
        </w:rPr>
      </w:pPr>
      <w:r>
        <w:rPr>
          <w:rFonts w:ascii="Courier New" w:cs="Courier New" w:eastAsia="Courier New" w:hAnsi="Courier New"/>
          <w:sz w:val="18"/>
          <w:szCs w:val="18"/>
          <w:color w:val="auto"/>
        </w:rPr>
        <w:t>____________________</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Date of Report (Date of earliest event reported): July 6, 2005</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Nevada</w:t>
      </w:r>
    </w:p>
    <w:p>
      <w:pPr>
        <w:ind w:left="120"/>
        <w:spacing w:after="0" w:line="238" w:lineRule="auto"/>
        <w:rPr>
          <w:sz w:val="20"/>
          <w:szCs w:val="20"/>
          <w:color w:val="auto"/>
        </w:rPr>
      </w:pPr>
      <w:r>
        <w:rPr>
          <w:rFonts w:ascii="Courier New" w:cs="Courier New" w:eastAsia="Courier New" w:hAnsi="Courier New"/>
          <w:sz w:val="18"/>
          <w:szCs w:val="18"/>
          <w:color w:val="auto"/>
        </w:rPr>
        <w:t>(State or other</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jurisdiction of</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46-0484987</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7" w:lineRule="exact"/>
        <w:rPr>
          <w:sz w:val="24"/>
          <w:szCs w:val="24"/>
          <w:color w:val="auto"/>
        </w:rPr>
      </w:pPr>
    </w:p>
    <w:p>
      <w:pPr>
        <w:sectPr>
          <w:pgSz w:w="11900" w:h="16838" w:orient="portrait"/>
          <w:cols w:equalWidth="0" w:num="3">
            <w:col w:w="2240" w:space="720"/>
            <w:col w:w="2120" w:space="720"/>
            <w:col w:w="4419"/>
          </w:cols>
          <w:pgMar w:left="240" w:top="244" w:right="1440" w:bottom="0" w:gutter="0" w:footer="0" w:header="0"/>
          <w:type w:val="continuous"/>
        </w:sectPr>
      </w:pPr>
    </w:p>
    <w:p>
      <w:pPr>
        <w:ind w:left="120"/>
        <w:spacing w:after="0" w:line="238" w:lineRule="auto"/>
        <w:rPr>
          <w:sz w:val="20"/>
          <w:szCs w:val="20"/>
          <w:color w:val="auto"/>
        </w:rPr>
      </w:pPr>
      <w:r>
        <w:rPr>
          <w:rFonts w:ascii="Courier New" w:cs="Courier New" w:eastAsia="Courier New" w:hAnsi="Courier New"/>
          <w:sz w:val="18"/>
          <w:szCs w:val="18"/>
          <w:color w:val="auto"/>
        </w:rPr>
        <w:t>incorporation)</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LAS VEGAS, LLC</w:t>
      </w:r>
    </w:p>
    <w:p>
      <w:pPr>
        <w:spacing w:after="0" w:line="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Nevada</w:t>
      </w:r>
    </w:p>
    <w:p>
      <w:pPr>
        <w:ind w:left="120"/>
        <w:spacing w:after="0" w:line="238" w:lineRule="auto"/>
        <w:rPr>
          <w:sz w:val="20"/>
          <w:szCs w:val="20"/>
          <w:color w:val="auto"/>
        </w:rPr>
      </w:pPr>
      <w:r>
        <w:rPr>
          <w:rFonts w:ascii="Courier New" w:cs="Courier New" w:eastAsia="Courier New" w:hAnsi="Courier New"/>
          <w:sz w:val="18"/>
          <w:szCs w:val="18"/>
          <w:color w:val="auto"/>
        </w:rPr>
        <w:t>(State or other</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jurisdiction of</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333-98369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88-0494878</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 w:lineRule="exact"/>
        <w:rPr>
          <w:sz w:val="24"/>
          <w:szCs w:val="24"/>
          <w:color w:val="auto"/>
        </w:rPr>
      </w:pPr>
    </w:p>
    <w:p>
      <w:pPr>
        <w:sectPr>
          <w:pgSz w:w="11900" w:h="16838" w:orient="portrait"/>
          <w:cols w:equalWidth="0" w:num="3">
            <w:col w:w="2140" w:space="720"/>
            <w:col w:w="2020" w:space="720"/>
            <w:col w:w="4619"/>
          </w:cols>
          <w:pgMar w:left="240" w:top="244" w:right="1440" w:bottom="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3131 Las Vegas Boulevard South</w:t>
      </w:r>
    </w:p>
    <w:p>
      <w:pPr>
        <w:ind w:left="200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460" w:space="720"/>
            <w:col w:w="3039"/>
          </w:cols>
          <w:pgMar w:left="240" w:top="244" w:right="1440" w:bottom="0" w:gutter="0" w:footer="0" w:header="0"/>
          <w:type w:val="continuous"/>
        </w:sectPr>
      </w:pPr>
    </w:p>
    <w:p>
      <w:pPr>
        <w:spacing w:after="0" w:line="22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(702) 770-7555</w:t>
      </w:r>
    </w:p>
    <w:p>
      <w:pPr>
        <w:spacing w:after="0" w:line="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Not Applicable</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860" w:right="2319" w:hanging="852"/>
        <w:spacing w:after="0" w:line="235" w:lineRule="auto"/>
        <w:tabs>
          <w:tab w:leader="none" w:pos="22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]Written communication pursuant to Rule 425 under the Securities Act (17 CFR 230.425)</w:t>
      </w:r>
    </w:p>
    <w:p>
      <w:pPr>
        <w:spacing w:after="0" w:line="208" w:lineRule="exact"/>
        <w:rPr>
          <w:sz w:val="24"/>
          <w:szCs w:val="24"/>
          <w:color w:val="auto"/>
        </w:rPr>
      </w:pPr>
    </w:p>
    <w:p>
      <w:pPr>
        <w:ind w:left="860" w:right="1999" w:hanging="852"/>
        <w:spacing w:after="0" w:line="235" w:lineRule="auto"/>
        <w:tabs>
          <w:tab w:leader="none" w:pos="22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ind w:left="860" w:right="2319" w:hanging="852"/>
        <w:spacing w:after="0" w:line="235" w:lineRule="auto"/>
        <w:tabs>
          <w:tab w:leader="none" w:pos="22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ind w:left="860" w:right="2199" w:hanging="852"/>
        <w:spacing w:after="0" w:line="235" w:lineRule="auto"/>
        <w:tabs>
          <w:tab w:leader="none" w:pos="22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July 6, 2005, Wynn Resorts, Limited issued a press release announcing that its subsidiaries, Wynn Las Vegas, LLC and Wynn Las Vegas Capital Corp. (together, the "Issuers"), had completed their offer to exchange up to $1.3 billion aggregate principal amount of their outstanding 6 5/8% First Mortgage Notes due 2014 for 6 5/8% First Mortgage Notes due 2014 that have been registered under the Securities Act of 1933, as amended. The press release of Wynn Resorts, Limited, dated July 6, 2005, is filed herewith as Exhibit 99.1 and incorporated herein by reference.</w:t>
      </w:r>
    </w:p>
    <w:p>
      <w:pPr>
        <w:spacing w:after="0" w:line="207"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Exhibit</w:t>
      </w:r>
    </w:p>
    <w:p>
      <w:pPr>
        <w:ind w:left="1580"/>
        <w:spacing w:after="0" w:line="238" w:lineRule="auto"/>
        <w:tabs>
          <w:tab w:leader="none" w:pos="28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380"/>
        <w:spacing w:after="0"/>
        <w:tabs>
          <w:tab w:leader="none" w:pos="16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left="1660" w:right="1999" w:hanging="1263"/>
        <w:spacing w:after="0" w:line="235" w:lineRule="auto"/>
        <w:tabs>
          <w:tab w:leader="none" w:pos="16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dated July 6, 2005, of Wynn Resorts, Limited.</w:t>
      </w:r>
    </w:p>
    <w:p>
      <w:pPr>
        <w:sectPr>
          <w:pgSz w:w="11900" w:h="16838" w:orient="portrait"/>
          <w:cols w:equalWidth="0" w:num="1">
            <w:col w:w="9019"/>
          </w:cols>
          <w:pgMar w:left="1440" w:top="136"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19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July 6, 2005</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Strzemp</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John Strzemp</w:t>
      </w:r>
    </w:p>
    <w:p>
      <w:pPr>
        <w:ind w:left="4960"/>
        <w:spacing w:after="0" w:line="237"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19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July 6, 2005</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WYNN LAS VEGAS, LLC</w:t>
      </w:r>
    </w:p>
    <w:p>
      <w:pPr>
        <w:spacing w:after="0" w:line="207"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6"/>
          <w:szCs w:val="16"/>
          <w:color w:val="auto"/>
        </w:rPr>
        <w:t>By:</w:t>
        <w:tab/>
        <w:t>Wynn Resorts Holdings, LLC, its</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sole member</w:t>
      </w:r>
    </w:p>
    <w:p>
      <w:pPr>
        <w:spacing w:after="0" w:line="207"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6"/>
          <w:szCs w:val="16"/>
          <w:color w:val="auto"/>
        </w:rPr>
        <w:t>By:</w:t>
        <w:tab/>
        <w:t>Wynn Resorts, Limited, its sole</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member</w:t>
      </w:r>
    </w:p>
    <w:p>
      <w:pPr>
        <w:spacing w:after="0" w:line="201"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By: /s/ John Strzemp</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John Strzemp</w:t>
      </w:r>
    </w:p>
    <w:p>
      <w:pPr>
        <w:ind w:left="4640"/>
        <w:spacing w:after="0" w:line="237"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4" w:name="page5"/>
    <w:bookmarkEnd w:id="4"/>
    <w:p>
      <w:pPr>
        <w:ind w:left="686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Wynn Resorts, Limited Announces Completion of Exchange Offer</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LAS VEGAS, NEVADA (July 6, 2005) - Wynn Resorts, Limited announced today that two of its wholly owned subsidiaries, Wynn Las Vegas, LLC and Wynn Las Vegas Capital Corp. (together, the "Issuers"), have completed their offer to exchange up to $1.3 billion of their outstanding 6 5/8% First Mortgage Notes due 2014 for 6 5/8% First Mortgage Notes due 2014 that have been registered under the Securities Act of 1933, as amended. The exchange offer was made in order to satisfy certain obligations of the Issuers contained in a Registration Rights Agreement, dated December 14, 2004.</w:t>
      </w:r>
    </w:p>
    <w:p>
      <w:pPr>
        <w:spacing w:after="0" w:line="212"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The exchange offer expired at 5:00 p.m., New York City time, on June 29, 2005. $1,299,750,000 in aggregate principal amount of the Issuers' outstanding 6 5/8% First Mortgage Notes due 2014 were exchanged. The new notes are substantially identical to the notes for which they were exchanged, except that the new notes have been registered under the Securities Act of 1933, as amended, and, as a result, the transfer restrictions and registration rights provisions applicable to the original notes do not apply to the new notes.</w:t>
      </w:r>
    </w:p>
    <w:p>
      <w:pPr>
        <w:spacing w:after="0" w:line="188"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Wynn Resorts, Limited is traded on the Nasdaq National Market under the ticker symbol WYNN and, since December 2004, it has been part of the NASDAQ-100 Index. Wynn Las Vegas, a luxury hotel and destination casino resort located on the Las Vegas Strip, opened to the public on April 28, 2005. Wynn Las Vegas features 2,716 luxurious guest rooms and suites; an approximately 111,000 square foot casino; 22 food and beverage outlets; an on-site 18-hole golf course; approximately 223,000 square feet of meeting space; an on-site Ferrari and Maserati dealership; and approximately 76,000 square feet of retail space. For more information, visit www.wynnlasvegas.com.</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Wynn Resorts, Limited</w:t>
      </w:r>
    </w:p>
    <w:p>
      <w:pPr>
        <w:spacing w:after="0"/>
        <w:rPr>
          <w:sz w:val="20"/>
          <w:szCs w:val="20"/>
          <w:color w:val="auto"/>
        </w:rPr>
      </w:pPr>
      <w:r>
        <w:rPr>
          <w:rFonts w:ascii="Courier New" w:cs="Courier New" w:eastAsia="Courier New" w:hAnsi="Courier New"/>
          <w:sz w:val="18"/>
          <w:szCs w:val="18"/>
          <w:color w:val="auto"/>
        </w:rPr>
        <w:t>Samanta Stewart, 702-770-7555</w:t>
      </w:r>
    </w:p>
    <w:p>
      <w:pPr>
        <w:spacing w:after="0" w:line="237" w:lineRule="auto"/>
        <w:rPr>
          <w:sz w:val="20"/>
          <w:szCs w:val="20"/>
          <w:color w:val="auto"/>
        </w:rPr>
      </w:pPr>
      <w:r>
        <w:rPr>
          <w:rFonts w:ascii="Courier New" w:cs="Courier New" w:eastAsia="Courier New" w:hAnsi="Courier New"/>
          <w:sz w:val="18"/>
          <w:szCs w:val="18"/>
          <w:color w:val="auto"/>
        </w:rPr>
        <w:t>investorrelations@wynnresorts.com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Wynn Resorts, Limited</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2019-12-15T06:10:59Z</dcterms:created>
  <dcterms:modified xsi:type="dcterms:W3CDTF">2019-12-15T06:10:59Z</dcterms:modified>
</cp:coreProperties>
</file>