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Chief Executive Officer </w:t>
      </w:r>
      <w:r>
        <w:rPr>
          <w:rFonts w:ascii="Arial" w:cs="Arial" w:eastAsia="Arial" w:hAnsi="Arial"/>
          <w:sz w:val="19"/>
          <w:szCs w:val="19"/>
          <w:color w:val="000000"/>
        </w:rPr>
        <w:t>/</w:t>
      </w:r>
      <w:r>
        <w:rPr>
          <w:rFonts w:ascii="Arial" w:cs="Arial" w:eastAsia="Arial" w:hAnsi="Arial"/>
          <w:sz w:val="16"/>
          <w:szCs w:val="16"/>
          <w:color w:val="0000FF"/>
        </w:rPr>
        <w:t xml:space="preserve"> WFLP is member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center"/>
        <w:ind w:right="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of 10% owner</w:t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89109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1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150,336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53.21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11,318,963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40,101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53.8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11,359,064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123,972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55.23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11,483,036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01/20/2016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65,591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55.78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11,548,627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12,476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54.81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11,561,103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25,374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55.95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(6)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11,586,477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139,451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58.64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(7)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11,725,928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Wynn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$0.01 per share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01/22/2016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15,549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59.19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11,741,477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3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4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3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41719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171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Code.4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(A)5.Number(D)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Exercisable.6DateExercisableDate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Title.7Title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Transaction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u w:val="single" w:color="auto"/>
                <w:color w:val="0000EE"/>
              </w:rPr>
              <w:t>WYNN STEPHEN 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rFonts w:ascii="Arial" w:cs="Arial" w:eastAsia="Arial" w:hAnsi="Arial"/>
                <w:sz w:val="12"/>
                <w:szCs w:val="12"/>
                <w:b w:val="1"/>
                <w:bCs w:val="1"/>
                <w:u w:val="single" w:color="auto"/>
                <w:color w:val="auto"/>
              </w:rPr>
            </w:pPr>
            <w:hyperlink r:id="rId12">
              <w:r>
                <w:rPr>
                  <w:rFonts w:ascii="Arial" w:cs="Arial" w:eastAsia="Arial" w:hAnsi="Arial"/>
                  <w:sz w:val="12"/>
                  <w:szCs w:val="12"/>
                  <w:b w:val="1"/>
                  <w:bCs w:val="1"/>
                  <w:u w:val="single" w:color="auto"/>
                  <w:color w:val="auto"/>
                </w:rPr>
                <w:t>Derivative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</w:pPr>
            <w:hyperlink r:id="rId12">
              <w:r>
                <w:rPr>
                  <w:rFonts w:ascii="Arial" w:cs="Arial" w:eastAsia="Arial" w:hAnsi="Arial"/>
                  <w:sz w:val="12"/>
                  <w:szCs w:val="12"/>
                  <w:b w:val="1"/>
                  <w:bCs w:val="1"/>
                  <w:color w:val="auto"/>
                </w:rPr>
                <w:t>Security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8"/>
              </w:rPr>
              <w:t>C/O WYNN RESORTS, LIMITED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3131 LAS VEGAS BOULEVARD SOUTH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LAS VEGAS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NV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Wynn Family Limited Partnership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WYNN RESORTS, LIMITED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7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3131 LAS VEGAS BOULEVARD SOUTH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2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the weighted average price of multiple transactions with a range of prices between $52.56 and $53.55. The reporting person, upon request by the staff of the SEC, Wynn Resorts, Limited (the "Company") or by a security holder of the Company, undertakes to provide further information regarding the number of securities sold at each separate price.</w:t>
      </w: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$53.56 and $54.44.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$54.62 and $55.61.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$55.62 and $56.00.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$54.54 and $55.00.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$55.89 and $56.00.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$58.10 and $59.09.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weighted average price of multiple transactions with a range of prices between $59.10 and $59.33. The reporting person, upon request by the staff of the SEC, the Company or by a security holder of the Company, undertakes to provide further information regarding the number of securities sold at each separate price.</w:t>
      </w:r>
    </w:p>
    <w:p>
      <w:pPr>
        <w:sectPr>
          <w:pgSz w:w="11900" w:h="16838" w:orient="portrait"/>
          <w:cols w:equalWidth="0" w:num="1">
            <w:col w:w="11420"/>
          </w:cols>
          <w:pgMar w:left="240" w:top="64" w:right="239" w:bottom="1440" w:gutter="0" w:footer="0" w:header="0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Tourek,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08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Stephen A. Wynn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664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4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Kevin Tourek,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6080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8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Fact for Wynn Family Limited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6779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77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Partnership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5080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11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01/22/2016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01/22/2016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8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64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12" Type="http://schemas.openxmlformats.org/officeDocument/2006/relationships/hyperlink" Target="http://www.sec.gov/cgi-bin/browse-edgar?action=getcompany&amp;CIK=0000904396" TargetMode="External"/><Relationship Id="rId13" Type="http://schemas.openxmlformats.org/officeDocument/2006/relationships/hyperlink" Target="http://www.sec.gov/cgi-bin/browse-edgar?action=getcompany&amp;CIK=0001174922" TargetMode="External"/><Relationship Id="rId15" Type="http://schemas.openxmlformats.org/officeDocument/2006/relationships/hyperlink" Target="http://www.sec.gov/cgi-bin/browse-edgar?action=getcompany&amp;CIK=00016564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2019-12-07T16:49:07Z</dcterms:created>
  <dcterms:modified xsi:type="dcterms:W3CDTF">2019-12-07T16:49:07Z</dcterms:modified>
</cp:coreProperties>
</file>