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19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52"/>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84"/>
        </w:trPr>
        <w:tc>
          <w:tcPr>
            <w:tcW w:w="2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460"/>
        <w:spacing w:after="0" w:line="207" w:lineRule="exact"/>
        <w:tabs>
          <w:tab w:leader="none" w:pos="2440" w:val="left"/>
          <w:tab w:leader="none" w:pos="4040" w:val="left"/>
          <w:tab w:leader="none" w:pos="59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May 10, 2012.</w:t>
      </w:r>
    </w:p>
    <w:p>
      <w:pPr>
        <w:spacing w:after="0" w:line="165" w:lineRule="exact"/>
        <w:rPr>
          <w:sz w:val="24"/>
          <w:szCs w:val="24"/>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EE"/>
            </w:tcBorders>
            <w:gridSpan w:val="9"/>
          </w:tcPr>
          <w:p>
            <w:pPr>
              <w:ind w:left="20"/>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580" w:type="dxa"/>
            <w:vAlign w:val="bottom"/>
            <w:gridSpan w:val="10"/>
          </w:tcPr>
          <w:p>
            <w:pPr>
              <w:spacing w:after="0"/>
              <w:rPr>
                <w:sz w:val="17"/>
                <w:szCs w:val="17"/>
                <w:color w:val="auto"/>
              </w:rPr>
            </w:pPr>
          </w:p>
        </w:tc>
        <w:tc>
          <w:tcPr>
            <w:tcW w:w="400" w:type="dxa"/>
            <w:vAlign w:val="bottom"/>
          </w:tcPr>
          <w:p>
            <w:pPr>
              <w:spacing w:after="0"/>
              <w:rPr>
                <w:sz w:val="17"/>
                <w:szCs w:val="17"/>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Financial Statements</w:t>
              </w:r>
            </w:hyperlink>
          </w:p>
        </w:tc>
        <w:tc>
          <w:tcPr>
            <w:tcW w:w="844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March 31, 2012 and December 31, 2011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(Loss) (unaudited) – Three months ended March 31, 2012</w:t>
              </w:r>
            </w:hyperlink>
          </w:p>
        </w:tc>
        <w:tc>
          <w:tcPr>
            <w:tcW w:w="4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2011</w:t>
              </w:r>
            </w:hyperlink>
          </w:p>
        </w:tc>
        <w:tc>
          <w:tcPr>
            <w:tcW w:w="2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 Three months ended March 31, 2012 and 2011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 (unaudited)</w:t>
              </w:r>
            </w:hyperlink>
          </w:p>
        </w:tc>
        <w:tc>
          <w:tcPr>
            <w:tcW w:w="3220" w:type="dxa"/>
            <w:vAlign w:val="bottom"/>
            <w:tcBorders>
              <w:top w:val="single" w:sz="8" w:color="0000EE"/>
            </w:tcBorders>
            <w:gridSpan w:val="3"/>
          </w:tcPr>
          <w:p>
            <w:pPr>
              <w:spacing w:after="0"/>
              <w:rPr>
                <w:sz w:val="24"/>
                <w:szCs w:val="24"/>
                <w:color w:val="auto"/>
              </w:rPr>
            </w:pPr>
          </w:p>
        </w:tc>
        <w:tc>
          <w:tcPr>
            <w:tcW w:w="194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362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566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Controls and Procedures</w:t>
              </w:r>
            </w:hyperlink>
          </w:p>
        </w:tc>
        <w:tc>
          <w:tcPr>
            <w:tcW w:w="818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6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10240" w:type="dxa"/>
            <w:vAlign w:val="bottom"/>
            <w:gridSpan w:val="18"/>
          </w:tcPr>
          <w:p>
            <w:pPr>
              <w:ind w:left="6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400" w:type="dxa"/>
            <w:vAlign w:val="bottom"/>
          </w:tcPr>
          <w:p>
            <w:pPr>
              <w:spacing w:after="0"/>
              <w:rPr>
                <w:sz w:val="24"/>
                <w:szCs w:val="24"/>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w w:val="95"/>
              </w:rPr>
              <w:t>Item 1A.</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Risk Factors</w:t>
              </w:r>
            </w:hyperlink>
          </w:p>
        </w:tc>
        <w:tc>
          <w:tcPr>
            <w:tcW w:w="240" w:type="dxa"/>
            <w:vAlign w:val="bottom"/>
            <w:tcBorders>
              <w:top w:val="single" w:sz="8" w:color="0000EE"/>
            </w:tcBorders>
          </w:tcPr>
          <w:p>
            <w:pPr>
              <w:spacing w:after="0"/>
              <w:rPr>
                <w:sz w:val="24"/>
                <w:szCs w:val="24"/>
                <w:color w:val="auto"/>
              </w:rPr>
            </w:pPr>
          </w:p>
        </w:tc>
        <w:tc>
          <w:tcPr>
            <w:tcW w:w="878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2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568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02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w:t>
              </w:r>
            </w:hyperlink>
          </w:p>
        </w:tc>
        <w:tc>
          <w:tcPr>
            <w:tcW w:w="580" w:type="dxa"/>
            <w:vAlign w:val="bottom"/>
            <w:tcBorders>
              <w:top w:val="single" w:sz="8" w:color="0000EE"/>
            </w:tcBorders>
            <w:gridSpan w:val="2"/>
          </w:tcPr>
          <w:p>
            <w:pPr>
              <w:spacing w:after="0"/>
              <w:rPr>
                <w:sz w:val="24"/>
                <w:szCs w:val="24"/>
                <w:color w:val="auto"/>
              </w:rPr>
            </w:pPr>
          </w:p>
        </w:tc>
        <w:tc>
          <w:tcPr>
            <w:tcW w:w="932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3"/>
        </w:trPr>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20" w:type="dxa"/>
            <w:vAlign w:val="bottom"/>
            <w:gridSpan w:val="14"/>
          </w:tcPr>
          <w:p>
            <w:pPr>
              <w:jc w:val="right"/>
              <w:ind w:right="15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ind w:left="398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740,610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134,450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25,771</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947,925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3,474,840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3,529,376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45,612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4,516,919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268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1,050</w:t>
            </w: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44,585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12,147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81,826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43,532</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285,395</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392,927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3,125,417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2,507,921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129,478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3,540,671</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1,982,232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1,980,861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(1,005,984)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976,248</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1,010,307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4,516,919</w:t>
            </w:r>
          </w:p>
        </w:tc>
        <w:tc>
          <w:tcPr>
            <w:tcW w:w="5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$157,693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108,946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410,328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443,738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363,147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395,037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78,930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65,325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55,217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5,451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345,863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20,426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(50,310)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(48,740)</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gridSpan w:val="2"/>
            <w:vMerge w:val="continue"/>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(35,430)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 (35,430)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(35,430)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(20,698)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7,397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31,664</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(15,140)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Purchase of other assets</w:t>
            </w: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(10,571)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(371,217)</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518,118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539,211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201,399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740,610</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87,163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2012,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2012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2011.</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2012 and December 31, 2011, approximately 72% and 76% respectively, of the Company’s markers were due from customers residing in foreign countries, primarily in Asia. Business or economic conditions or other significant events in these countries could affect the collectability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15,414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15,817</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28,216</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29,795</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64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Comprehensive Income (loss). These taxes totaled approximately $11 million and $13.8 million for the three months ended March 31, 2012 and 2011,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Advertising costs totaled approximately $3.9 million and $2.9 million, for the three months ended March 31, 2012 and 2011, respectively.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three months ended March 31, 2012 and 2011, the Company recorded $1.4 million and $2.9 million, respectively, in stock-based compensation with a corresponding credit to contributed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Interest paid for the three months ended March 31, 2012 and 2011 totaled approximately $55.8 million and $59.4 million, respectively. There was no interest capitalized during the three months ended March 31, 2012 or 2011.</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three months ended March 31, 2012 and 2011, capital expenditures include a decrease of approximately $4.8 and $3.2 million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80" w:type="dxa"/>
            <w:vAlign w:val="bottom"/>
            <w:gridSpan w:val="3"/>
          </w:tcPr>
          <w:p>
            <w:pPr>
              <w:jc w:val="right"/>
              <w:ind w:right="37"/>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$172,850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Hotel</w:t>
            </w: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18,188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148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18"/>
                <w:szCs w:val="18"/>
                <w:color w:val="auto"/>
              </w:rPr>
              <w:t>211,264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216,521</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80" w:type="dxa"/>
            <w:vAlign w:val="bottom"/>
            <w:gridSpan w:val="2"/>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(76,814)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(76,292)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134,450</w:t>
            </w:r>
          </w:p>
        </w:tc>
        <w:tc>
          <w:tcPr>
            <w:tcW w:w="300" w:type="dxa"/>
            <w:vAlign w:val="bottom"/>
          </w:tcPr>
          <w:p>
            <w:pPr>
              <w:spacing w:after="0"/>
              <w:rPr>
                <w:sz w:val="19"/>
                <w:szCs w:val="19"/>
                <w:color w:val="auto"/>
              </w:rPr>
            </w:pPr>
          </w:p>
        </w:tc>
        <w:tc>
          <w:tcPr>
            <w:tcW w:w="400" w:type="dxa"/>
            <w:vAlign w:val="bottom"/>
            <w:gridSpan w:val="3"/>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140,229</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4812"/>
              <w:spacing w:after="0"/>
              <w:rPr>
                <w:sz w:val="20"/>
                <w:szCs w:val="20"/>
                <w:color w:val="auto"/>
              </w:rPr>
            </w:pPr>
            <w:r>
              <w:rPr>
                <w:rFonts w:ascii="Arial" w:cs="Arial" w:eastAsia="Arial" w:hAnsi="Arial"/>
                <w:sz w:val="18"/>
                <w:szCs w:val="18"/>
                <w:b w:val="1"/>
                <w:bCs w:val="1"/>
                <w:color w:val="auto"/>
                <w:w w:val="88"/>
              </w:rPr>
              <w:t>5. Property and Equipment, net</w:t>
            </w: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8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80" w:type="dxa"/>
            <w:vAlign w:val="bottom"/>
            <w:gridSpan w:val="3"/>
          </w:tcPr>
          <w:p>
            <w:pPr>
              <w:jc w:val="center"/>
              <w:ind w:left="1157"/>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1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   718,322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160" w:type="dxa"/>
            <w:vAlign w:val="bottom"/>
            <w:gridSpan w:val="4"/>
          </w:tcPr>
          <w:p>
            <w:pPr>
              <w:jc w:val="right"/>
              <w:ind w:right="80"/>
              <w:spacing w:after="0"/>
              <w:rPr>
                <w:sz w:val="20"/>
                <w:szCs w:val="20"/>
                <w:color w:val="auto"/>
              </w:rPr>
            </w:pPr>
            <w:r>
              <w:rPr>
                <w:rFonts w:ascii="Arial" w:cs="Arial" w:eastAsia="Arial" w:hAnsi="Arial"/>
                <w:sz w:val="18"/>
                <w:szCs w:val="18"/>
                <w:color w:val="auto"/>
              </w:rPr>
              <w:t>2,615,213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2,617,523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44,364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160" w:type="dxa"/>
            <w:vAlign w:val="bottom"/>
            <w:gridSpan w:val="4"/>
          </w:tcPr>
          <w:p>
            <w:pPr>
              <w:jc w:val="right"/>
              <w:ind w:right="80"/>
              <w:spacing w:after="0"/>
              <w:rPr>
                <w:sz w:val="20"/>
                <w:szCs w:val="20"/>
                <w:color w:val="auto"/>
              </w:rPr>
            </w:pPr>
            <w:r>
              <w:rPr>
                <w:rFonts w:ascii="Arial" w:cs="Arial" w:eastAsia="Arial" w:hAnsi="Arial"/>
                <w:sz w:val="18"/>
                <w:szCs w:val="18"/>
                <w:color w:val="auto"/>
              </w:rPr>
              <w:t>1,346,879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1,350,525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4,735,316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4,735,936</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(1,260,476)</w:t>
            </w:r>
          </w:p>
        </w:tc>
        <w:tc>
          <w:tcPr>
            <w:tcW w:w="3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(1,206,560)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$ 3,474,840</w:t>
            </w:r>
          </w:p>
        </w:tc>
        <w:tc>
          <w:tcPr>
            <w:tcW w:w="300" w:type="dxa"/>
            <w:vAlign w:val="bottom"/>
          </w:tcPr>
          <w:p>
            <w:pPr>
              <w:spacing w:after="0"/>
              <w:rPr>
                <w:sz w:val="19"/>
                <w:szCs w:val="19"/>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$ 3,529,376</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1432"/>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120" w:type="dxa"/>
            <w:vAlign w:val="bottom"/>
            <w:tcBorders>
              <w:bottom w:val="single" w:sz="8" w:color="CCEEFF"/>
            </w:tcBorders>
          </w:tcPr>
          <w:p>
            <w:pPr>
              <w:spacing w:after="0"/>
              <w:rPr>
                <w:sz w:val="14"/>
                <w:szCs w:val="14"/>
                <w:color w:val="auto"/>
              </w:rPr>
            </w:pPr>
          </w:p>
        </w:tc>
        <w:tc>
          <w:tcPr>
            <w:tcW w:w="88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88"/>
        </w:trPr>
        <w:tc>
          <w:tcPr>
            <w:tcW w:w="1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9"/>
              </w:rPr>
              <w:t>7</w:t>
            </w:r>
          </w:p>
        </w:tc>
        <w:tc>
          <w:tcPr>
            <w:tcW w:w="888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w w:val="91"/>
              </w:rPr>
              <w:t>7/8% First Mortgage Notes, due November 1, 2017, net of original issue discount of $8,289 at March 31, 2012 and $8,578</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120" w:type="dxa"/>
            <w:vAlign w:val="bottom"/>
            <w:shd w:val="clear" w:color="auto" w:fill="CCEEFF"/>
          </w:tcPr>
          <w:p>
            <w:pPr>
              <w:spacing w:after="0"/>
              <w:rPr>
                <w:sz w:val="19"/>
                <w:szCs w:val="19"/>
                <w:color w:val="auto"/>
              </w:rPr>
            </w:pPr>
          </w:p>
        </w:tc>
        <w:tc>
          <w:tcPr>
            <w:tcW w:w="8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at December 31, 2011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491,711</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120" w:type="dxa"/>
            <w:vAlign w:val="bottom"/>
            <w:shd w:val="clear" w:color="auto" w:fill="CCEEFF"/>
          </w:tcPr>
          <w:p>
            <w:pPr>
              <w:spacing w:after="0"/>
              <w:rPr>
                <w:sz w:val="19"/>
                <w:szCs w:val="19"/>
                <w:color w:val="auto"/>
              </w:rPr>
            </w:pPr>
          </w:p>
        </w:tc>
      </w:tr>
      <w:tr>
        <w:trPr>
          <w:trHeight w:val="208"/>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8880" w:type="dxa"/>
            <w:vAlign w:val="bottom"/>
          </w:tcPr>
          <w:p>
            <w:pPr>
              <w:ind w:left="20"/>
              <w:spacing w:after="0"/>
              <w:rPr>
                <w:sz w:val="20"/>
                <w:szCs w:val="20"/>
                <w:color w:val="auto"/>
              </w:rPr>
            </w:pPr>
            <w:r>
              <w:rPr>
                <w:rFonts w:ascii="Arial" w:cs="Arial" w:eastAsia="Arial" w:hAnsi="Arial"/>
                <w:sz w:val="18"/>
                <w:szCs w:val="18"/>
                <w:color w:val="auto"/>
                <w:w w:val="93"/>
              </w:rPr>
              <w:t>7/8% First Mortgage Notes, due May 1, 2020, net of original issue discount of $2,254 at March 31, 2012 and $2,303 at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880" w:type="dxa"/>
            <w:vAlign w:val="bottom"/>
          </w:tcPr>
          <w:p>
            <w:pPr>
              <w:ind w:left="100"/>
              <w:spacing w:after="0"/>
              <w:rPr>
                <w:sz w:val="20"/>
                <w:szCs w:val="20"/>
                <w:color w:val="auto"/>
              </w:rPr>
            </w:pPr>
            <w:r>
              <w:rPr>
                <w:rFonts w:ascii="Arial" w:cs="Arial" w:eastAsia="Arial" w:hAnsi="Arial"/>
                <w:sz w:val="18"/>
                <w:szCs w:val="18"/>
                <w:color w:val="auto"/>
              </w:rPr>
              <w:t>December 31, 2011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349,756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349,707</w:t>
            </w:r>
          </w:p>
        </w:tc>
        <w:tc>
          <w:tcPr>
            <w:tcW w:w="120" w:type="dxa"/>
            <w:vAlign w:val="bottom"/>
          </w:tcPr>
          <w:p>
            <w:pPr>
              <w:spacing w:after="0"/>
              <w:rPr>
                <w:sz w:val="19"/>
                <w:szCs w:val="19"/>
                <w:color w:val="auto"/>
              </w:rPr>
            </w:pPr>
          </w:p>
        </w:tc>
      </w:tr>
      <w:tr>
        <w:trPr>
          <w:trHeight w:val="218"/>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7</w:t>
            </w: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First Mortgage Notes, due August 15, 2020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5</w:t>
            </w:r>
          </w:p>
        </w:tc>
        <w:tc>
          <w:tcPr>
            <w:tcW w:w="8880" w:type="dxa"/>
            <w:vAlign w:val="bottom"/>
          </w:tcPr>
          <w:p>
            <w:pPr>
              <w:ind w:left="20"/>
              <w:spacing w:after="0"/>
              <w:rPr>
                <w:sz w:val="20"/>
                <w:szCs w:val="20"/>
                <w:color w:val="auto"/>
              </w:rPr>
            </w:pPr>
            <w:r>
              <w:rPr>
                <w:rFonts w:ascii="Arial" w:cs="Arial" w:eastAsia="Arial" w:hAnsi="Arial"/>
                <w:sz w:val="18"/>
                <w:szCs w:val="18"/>
                <w:color w:val="auto"/>
              </w:rPr>
              <w:t>3/8% First Mortgage Notes, due March 15, 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35,350</w:t>
            </w:r>
          </w:p>
        </w:tc>
        <w:tc>
          <w:tcPr>
            <w:tcW w:w="120" w:type="dxa"/>
            <w:vAlign w:val="bottom"/>
            <w:shd w:val="clear" w:color="auto" w:fill="CCEEFF"/>
          </w:tcPr>
          <w:p>
            <w:pPr>
              <w:spacing w:after="0"/>
              <w:rPr>
                <w:sz w:val="18"/>
                <w:szCs w:val="18"/>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r>
      <w:tr>
        <w:trPr>
          <w:trHeight w:val="216"/>
        </w:trPr>
        <w:tc>
          <w:tcPr>
            <w:tcW w:w="120" w:type="dxa"/>
            <w:vAlign w:val="bottom"/>
            <w:shd w:val="clear" w:color="auto" w:fill="CCEEFF"/>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3,126,467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2,597,346</w:t>
            </w:r>
          </w:p>
        </w:tc>
        <w:tc>
          <w:tcPr>
            <w:tcW w:w="120" w:type="dxa"/>
            <w:vAlign w:val="bottom"/>
            <w:shd w:val="clear" w:color="auto" w:fill="CCEEFF"/>
          </w:tcPr>
          <w:p>
            <w:pPr>
              <w:spacing w:after="0"/>
              <w:rPr>
                <w:sz w:val="18"/>
                <w:szCs w:val="18"/>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(89,425)</w:t>
            </w:r>
          </w:p>
        </w:tc>
      </w:tr>
      <w:tr>
        <w:trPr>
          <w:trHeight w:val="216"/>
        </w:trPr>
        <w:tc>
          <w:tcPr>
            <w:tcW w:w="120" w:type="dxa"/>
            <w:vAlign w:val="bottom"/>
            <w:shd w:val="clear" w:color="auto" w:fill="CCEEFF"/>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3,125,417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2,507,921</w:t>
            </w:r>
          </w:p>
        </w:tc>
        <w:tc>
          <w:tcPr>
            <w:tcW w:w="12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3/8% Wynn Las Vegas First Mortgage Notes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On March 12, 2012, the Issuers issued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the Wynn Las Vegas term loan facilities.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2022 Notes will mature on March 15, 2022 and bear interest at the rate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Wynn Las Vegas revolving credit facilities (“Wynn Las Vegas Credit Facilities,” as described below)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the Company’s equity interests, all of which is the same collateral that secures borrowings under the Wynn Las Vegas credit facilities and the Existing Notes. The first priority lien securing the 2022 Notes may be released in whole, or in part, under certain circumstances without the consent of the holders of the 2022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Company’s credit facilities and the Existing Notes.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2022 Notes have not been registered under the Securities Act of 1933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the Company has prepaid all term loans under the Wynn Las Vegas Credit Agreement, has terminated all of its revolving credit commitments that were due to expire in 2013, and has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March 31, 2012, no amounts had been borrowed under the Wynn Las Vegas Credit Agreement. Wynn Las Vegas, LLC had $15.8 million of outstanding letters of credit that reduce availability for borrowing under the Wynn Las Vegas Credit Agreement. Wynn Las Vegas, LLC had availability of $84.2 million under the Wynn Las Vegas Credit Agreement as of March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$3.1 billion and $2.2 billion at March 31, 2012 and December 31, 2011, respectively. The estimated fair value of the Company’s outstanding first mortgage notes, based upon the most recent trades, was approximately $3.3 billion and $2.4 billion at March 31, 2012 and December 31, 2011, respectively. The net book value of the Company’s other debt instruments was approximately $35 million and $406.2 million at March 31, 2012 and December 31, 2011, respectively. The estimated fair value of the Company’s other debt instruments was approximately $35 million and $400 million at March 31, 2012 and December 31, 2011,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Comprehensive Income (loss), as the interest rate swaps do not qualify for hedge accounting.</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March 31, 2012 and December 31, 2011, the fair value of this interest rate swap was a current liability of $3.7 million and $4.6 million, respectively.</w:t>
      </w:r>
    </w:p>
    <w:p>
      <w:pPr>
        <w:spacing w:after="0" w:line="191" w:lineRule="exact"/>
        <w:rPr>
          <w:sz w:val="20"/>
          <w:szCs w:val="20"/>
          <w:color w:val="auto"/>
        </w:rPr>
      </w:pPr>
    </w:p>
    <w:p>
      <w:pPr>
        <w:ind w:left="240" w:right="908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March 31, 2012, the Company’s current due to affiliates was primarily comprised of construction payables of approximately $4 million, construction retention of approximately $1.3 million and other net amounts due to affiliates totaling $38.2 million (including corporate allocations discussed below). The long-term Due to affiliates is management fees of $129.5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As of December 31, 2011, the Company’s current due to affiliates was primarily comprised of construction payables of approximately $8.4 million, construction retention of approximately $1.7 million and other net amounts due to affiliates totaling $31 million (including corporate allocations discussed below). The long-term Due to affiliates is management fees of $124 million.</w:t>
      </w:r>
    </w:p>
    <w:p>
      <w:pPr>
        <w:spacing w:after="0" w:line="14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During the three months ended March 31, 2012 and 2011, approximately $6.7 million and $6.4 million, respectively, were charged to the Company for such corporate allocations.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Due to Officers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is treated as imputed income to Mr. Wynn, and is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 as well as the use of minimal warehouse space.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2012 and 2011, were $3.7 million and $2 million, respectively. Property charges generally include costs related to the retirement of assets for remodels and asset abandonments. Property charges and other for the three months ended March 31, 2012 and 2011, related to miscellaneous renovations and abandonments at Wynn Las Vegas.</w:t>
      </w:r>
    </w:p>
    <w:p>
      <w:pPr>
        <w:spacing w:after="0" w:line="215" w:lineRule="exact"/>
        <w:rPr>
          <w:sz w:val="20"/>
          <w:szCs w:val="20"/>
          <w:color w:val="auto"/>
        </w:rPr>
      </w:pPr>
    </w:p>
    <w:p>
      <w:pPr>
        <w:ind w:right="8660" w:firstLine="8"/>
        <w:spacing w:after="0" w:line="347" w:lineRule="auto"/>
        <w:tabs>
          <w:tab w:leader="none" w:pos="26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March 31,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Wynn Resorts, Limited</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 and Related Matters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had denied the impropriety of such conduct to members of the Board of Directors of Wynn Resorts and had refused to acknowledge or abide by Wynn Resorts’ anti-bribery policies.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on the Freeh Report, the Board of Directors of Wynn Resorts determined that Aruze USA, Inc., Universal Entertainment Corporation and Mr. Okada are “unsuitable” under Article VII of the Wynn Resorts articles of incorporation. The Board was unanimous (other than Mr. Okada) in its determination. The Board of Directors also requested that Mr. Okada resign as a director of Wynn Resorts and recommended that Mr. Okada be removed as a member of the board of directors of Wynn Macau, Limited. In addition, on February 18, 2012, Mr. Okada was removed from the board of directors of Wynn Las Vegas Capital Corp., a wholly owned subsidiary of Wynn Resorts.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Wynn Resorts’ articles of incorporation authorize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USA, Inc. under the terms of an existing stockholder agreement. Pursuant to the articles of incorporation, Wynn Resorts issued the Redemption Price Promissory Note to Aruze USA, Inc. in redemption of the shares. The Redemption Price Promissory Note has a principal amount of $1.94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2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alleging breaches of fiduciary duty and related claims. Wynn Resorts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Wynn Resorts, each of the members of Wynn Resorts’ board (other than Mr. Okada) and a senior executive of Wynn Resorts. Among other relief, the counterclaim seeks a declaration that the redemption of Aruze USA, Inc.’s shares was void, an injunction restoring Aruze USA, Inc.’s share ownership and damages in an unspecified amount. Wynn Resorts’ claim of February 19, 2012,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was removed to federal court. On March 29, 2012, Wynn Resorts filed a motion to remand the action to state court and to request an extension to answer. The motion to remand is pending and the request for extension to answer was granted on March 30, 2012, giving the Company until May 21, 2012 to answer the counterclaim.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Wynn Resorts has provided the Freeh Report to applicable regulators and intends to cooperate with any related investigation that such regulators may undertake. The conduct of Mr. Okada and his affiliates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the Company in criminal or civil violations could result in actions by regulatory authorities against Wynn Resorts. Relatedly, as described below the Salt Lake Regional Office of the U.S. Securities and Exchange Commission (“SEC”) has commenced an informal inquiry into, and other regulators could pursue separate investigations into, the Company’s compliance with applicable laws arising from the allegations in the matters described above and in response to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Aruze USA, Inc. and Affiliates and Related Matters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 on those boards. The sole dissenting vote was cast by Mr. Kazuo Okada whose stated objection was to the length of time over which the donation would occur, not its propriety.</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Mr. Okada commenced litigation on January 11, 2012, in the District Court of Clark County, Nevada seeking to compel Wynn Resorts to produce information relating to the donation to the University of Macau, among other things.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The Company is cooperating with the Salt Lake Regional Office staff and intends to fully comply with the SEC’s request.</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a hearing on February 9, 2012, the Nevada state court stated that, as a director of Wynn Resorts, Mr. Okada had the right to make a reasonable inspection of Wynn Resorts’ corporate books and records. Following the hearing, the Company released certain documents to Mr. Okada for his inspection. At a subsequent hearing on March 8, 2012, the court considered Mr. Okada’s request that Wynn Resorts’ board make additional documents available to him, and ruled that Mr. Okada was entitled to inspect two additional pages of documents. Wynn Resorts promptly complied with the court’s ruling.</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Related litigation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Louisiana Municipal Police Employees’ Retirement System (“LMPERS”), Maryanne Solak, Excavators Union Local 731 Welfare Fund, Boilermakers Lodge No. 154 Retirement Fund and Danny Hinson, have each commenced separate derivative actions in the United States District Court, District of Nevada, against Wynn Resorts and all members of its Board of Directors. All five complaints assert claims for breach of fiduciary duty and waste of corporate assets related to the University of Macau pledge, and four of the complaints (all but for Solak) base those same claims on the investigation of and lawsuit against Okada. All five complaints seek unspecified monetary damages and four of the complaints (all but for Solak) seek orders for Wynn Resorts to take necessary actions to reform and improve its corporate governance procedures. In addition, two of the complaints (LMPERS and Excavators) seek a permanent injunction of any further breaches of fiduciary duty and any further payments of the pledge to University of Macau. Wynn Resorts, a nominal defendant, has been served with process in three of the five actions. The directors have been served with process in two of the five actions. All parties are coordinating service and response deadlines. In April 2012, Danny Hinson filed a voluntary dismissal of this complaint without prejudice and Maryanne Solak filed a motion to reassign all the foregoing actions to the same United States District Court Judge.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2012 and December 31, 2011, and for the three months ended March 31, 2012 and 2011.</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 subsidiaries are wholly owned subsidiaries of Wynn Las Vegas, LLC (an issuer of the First Mortgage Notes), and (ii) the guarantee is joint and several; however the guarantee is not full and unconditional as the guarantees may be released under certain circumstances customary for such arrangements.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4"/>
              </w:rPr>
              <w:t>Guarantor</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ind w:left="2020"/>
              <w:spacing w:after="0" w:line="196" w:lineRule="exact"/>
              <w:rPr>
                <w:sz w:val="20"/>
                <w:szCs w:val="20"/>
                <w:color w:val="auto"/>
              </w:rPr>
            </w:pPr>
            <w:r>
              <w:rPr>
                <w:rFonts w:ascii="Arial" w:cs="Arial" w:eastAsia="Arial" w:hAnsi="Arial"/>
                <w:sz w:val="18"/>
                <w:szCs w:val="18"/>
                <w:b w:val="1"/>
                <w:bCs w:val="1"/>
                <w:color w:val="auto"/>
              </w:rPr>
              <w:t>ASSETS</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740,605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134,450</w:t>
            </w: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47,094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25,435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25,771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947,925</w:t>
            </w:r>
          </w:p>
        </w:tc>
        <w:tc>
          <w:tcPr>
            <w:tcW w:w="0" w:type="dxa"/>
            <w:vAlign w:val="bottom"/>
          </w:tcPr>
          <w:p>
            <w:pPr>
              <w:spacing w:after="0"/>
              <w:rPr>
                <w:sz w:val="1"/>
                <w:szCs w:val="1"/>
                <w:color w:val="auto"/>
              </w:rPr>
            </w:pPr>
          </w:p>
        </w:tc>
      </w:tr>
      <w:tr>
        <w:trPr>
          <w:trHeight w:val="322"/>
        </w:trPr>
        <w:tc>
          <w:tcPr>
            <w:tcW w:w="45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3,279,694</w:t>
            </w: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195,146</w:t>
            </w:r>
          </w:p>
        </w:tc>
        <w:tc>
          <w:tcPr>
            <w:tcW w:w="10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3,474,840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45,612</w:t>
            </w: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33,336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(23,448)</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4,286,849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205,714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4,516,919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LIABILITIES AND MEMBER’S EQUITY</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33,010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44,585</w:t>
            </w: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45,182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12,147</w:t>
            </w: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22,839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81,826</w:t>
            </w: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(150,314)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200,824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89,275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203,098</w:t>
            </w: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(7,881)</w:t>
            </w: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903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285,395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3,091,467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33,950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3,125,417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Due to affiliates,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129,478</w:t>
            </w: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3,310,601</w:t>
            </w:r>
          </w:p>
        </w:tc>
        <w:tc>
          <w:tcPr>
            <w:tcW w:w="1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237,048</w:t>
            </w: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(7,881)</w:t>
            </w:r>
          </w:p>
        </w:tc>
        <w:tc>
          <w:tcPr>
            <w:tcW w:w="12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903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3,540,671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58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1,982,232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(12,530)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1,982,232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(1,005,984)</w:t>
            </w: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(43,864)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(1,005,984)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(31,334)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4,286,849</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205,714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24,351</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4,516,919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ind w:left="19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201,394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140,229</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48,907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3,336,516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192,860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3,529,376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41,256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35,913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(22,717)</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3,808,957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203,162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88,375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50,086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42,135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11,376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104,204</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(148,662)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197,050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200,786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199,465</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392,927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2,473,621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2,507,921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124,027</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2,798,650</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233,765</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1,980,861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1,980,861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(970,554)</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(43,133)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1,010,307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(30,603)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1,010,307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3,808,957</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203,162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23,274</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6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Casino</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$157,693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$157,693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87,374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108,946</w:t>
            </w:r>
          </w:p>
        </w:tc>
        <w:tc>
          <w:tcPr>
            <w:tcW w:w="2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56,428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410,441</w:t>
            </w:r>
          </w:p>
        </w:tc>
        <w:tc>
          <w:tcPr>
            <w:tcW w:w="240" w:type="dxa"/>
            <w:vAlign w:val="bottom"/>
          </w:tcPr>
          <w:p>
            <w:pPr>
              <w:spacing w:after="0"/>
              <w:rPr>
                <w:sz w:val="19"/>
                <w:szCs w:val="19"/>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(113)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410,328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(47,181)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vMerge w:val="continue"/>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363,260</w:t>
            </w:r>
          </w:p>
        </w:tc>
        <w:tc>
          <w:tcPr>
            <w:tcW w:w="24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(113)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363,147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Casino</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78,930</w:t>
            </w:r>
          </w:p>
        </w:tc>
        <w:tc>
          <w:tcPr>
            <w:tcW w:w="2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29,225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65,325</w:t>
            </w:r>
          </w:p>
        </w:tc>
        <w:tc>
          <w:tcPr>
            <w:tcW w:w="2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37,074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55,557</w:t>
            </w:r>
          </w:p>
        </w:tc>
        <w:tc>
          <w:tcPr>
            <w:tcW w:w="2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(113)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4,363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5,451</w:t>
            </w:r>
          </w:p>
        </w:tc>
        <w:tc>
          <w:tcPr>
            <w:tcW w:w="2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62,502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3,718</w:t>
            </w:r>
          </w:p>
        </w:tc>
        <w:tc>
          <w:tcPr>
            <w:tcW w:w="2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342,145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342,721</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21,115</w:t>
            </w:r>
          </w:p>
        </w:tc>
        <w:tc>
          <w:tcPr>
            <w:tcW w:w="24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20,426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(51,992)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969</w:t>
            </w:r>
          </w:p>
        </w:tc>
        <w:tc>
          <w:tcPr>
            <w:tcW w:w="2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(4,828)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(731)</w:t>
            </w:r>
          </w:p>
        </w:tc>
        <w:tc>
          <w:tcPr>
            <w:tcW w:w="24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731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(56,545)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731</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(55,856)</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 (loss)/comprehensive income (loss)</w:t>
            </w: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 (35,430)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731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 (35,430)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194,245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87,956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106,140</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443,894</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443,738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(48,701)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395,193</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84,472</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29,798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61,108</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37,685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54,586</w:t>
            </w:r>
          </w:p>
        </w:tc>
        <w:tc>
          <w:tcPr>
            <w:tcW w:w="2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4,752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5,928</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64,868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345,227</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792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345,863</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49,966</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49,174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(50,161)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(50,310)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1,341</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(49,532)</w:t>
            </w:r>
          </w:p>
        </w:tc>
        <w:tc>
          <w:tcPr>
            <w:tcW w:w="24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(48,740)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785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Guarantor</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guarantor</w:t>
            </w:r>
          </w:p>
        </w:tc>
        <w:tc>
          <w:tcPr>
            <w:tcW w:w="6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Issuers</w:t>
            </w:r>
          </w:p>
        </w:tc>
        <w:tc>
          <w:tcPr>
            <w:tcW w:w="280" w:type="dxa"/>
            <w:vAlign w:val="bottom"/>
          </w:tcPr>
          <w:p>
            <w:pPr>
              <w:spacing w:after="0"/>
              <w:rPr>
                <w:sz w:val="14"/>
                <w:szCs w:val="14"/>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1"/>
              </w:rPr>
              <w:t>Subsidiaries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Subsidiaries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(35,430)</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731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(35,430)</w:t>
            </w: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916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63,418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4,828</w:t>
            </w: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w:t>
            </w:r>
          </w:p>
        </w:tc>
      </w:tr>
      <w:tr>
        <w:trPr>
          <w:trHeight w:val="208"/>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(731)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4,363</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2,939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(20,557)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r>
      <w:tr>
        <w:trPr>
          <w:trHeight w:val="223"/>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7,890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7,397</w:t>
            </w: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32,379</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31,664</w:t>
            </w: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retentions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(11,938)</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(15,140)</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Purchase of other assets</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5,325</w:t>
            </w: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(11,636)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(10,571)</w:t>
            </w: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900,000</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(370,867)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(371,217)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(10,665)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(10,665)</w:t>
            </w:r>
          </w:p>
        </w:tc>
      </w:tr>
      <w:tr>
        <w:trPr>
          <w:trHeight w:val="215"/>
        </w:trPr>
        <w:tc>
          <w:tcPr>
            <w:tcW w:w="20" w:type="dxa"/>
            <w:vAlign w:val="bottom"/>
          </w:tcPr>
          <w:p>
            <w:pPr>
              <w:spacing w:after="0"/>
              <w:rPr>
                <w:sz w:val="18"/>
                <w:szCs w:val="18"/>
                <w:color w:val="auto"/>
              </w:rPr>
            </w:pPr>
          </w:p>
        </w:tc>
        <w:tc>
          <w:tcPr>
            <w:tcW w:w="5240" w:type="dxa"/>
            <w:vAlign w:val="bottom"/>
          </w:tcPr>
          <w:p>
            <w:pPr>
              <w:ind w:left="1280"/>
              <w:spacing w:after="0"/>
              <w:rPr>
                <w:sz w:val="20"/>
                <w:szCs w:val="20"/>
                <w:color w:val="auto"/>
              </w:rPr>
            </w:pPr>
            <w:r>
              <w:rPr>
                <w:rFonts w:ascii="Arial" w:cs="Arial" w:eastAsia="Arial" w:hAnsi="Arial"/>
                <w:sz w:val="18"/>
                <w:szCs w:val="18"/>
                <w:color w:val="auto"/>
              </w:rPr>
              <w:t>Net cash provided by (used in) financing</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240" w:type="dxa"/>
            <w:vAlign w:val="bottom"/>
          </w:tcPr>
          <w:p>
            <w:pPr>
              <w:ind w:left="150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518,468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518,118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539,211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539,211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201,394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w w:val="71"/>
              </w:rPr>
              <w:t>5</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201,399</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740,605</w:t>
            </w:r>
          </w:p>
        </w:tc>
        <w:tc>
          <w:tcPr>
            <w:tcW w:w="340" w:type="dxa"/>
            <w:vAlign w:val="bottom"/>
          </w:tcPr>
          <w:p>
            <w:pPr>
              <w:spacing w:after="0"/>
              <w:rPr>
                <w:sz w:val="19"/>
                <w:szCs w:val="19"/>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740,610</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434</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785</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(loss) to net cash provided by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64,868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w w:val="94"/>
              </w:rPr>
              <w:t>Amortization and writeoff of deferred financing costs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3,368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(785)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(1,341)</w:t>
            </w: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(16,551)</w:t>
            </w: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(18,903)</w:t>
            </w: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43,636</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20"/>
                <w:szCs w:val="20"/>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retentions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(22,019)</w:t>
            </w:r>
          </w:p>
        </w:tc>
        <w:tc>
          <w:tcPr>
            <w:tcW w:w="24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(22,015)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14,393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14,408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Payments of deferred financing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34,623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52,535</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52,540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87,158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87,163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93"/>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of a natural disaster may have on the travel and leisure industry;</w:t>
      </w:r>
    </w:p>
    <w:p>
      <w:pPr>
        <w:spacing w:after="0" w:line="1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240" w:top="459"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consequences of the military conflicts in the Middle East and any future security alerts and/or terrorist attacks;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December 2008, we expanded Wynn Las Vegas with the opening of Encore at Wynn Las Vegas. Wynn Las Vegas, located at the intersection of the Las Vegas Strip and Sands Avenue, occupies approximately 217 acres of land fronting the Las Vegas Strip, utilizes approximately 18 additional acres across Sands Avenue, a portion of which is improved with an employee parking garage and approximately 5 acres adjacent to the golf course on which an office building is located.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6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Approximately 99,770 square feet of high-end, brand-name retail shopping, including stores and boutiques by Alexander McQueen, Brioni, Cartier, Chanel, Dior, Graff, Hermes, Loro Piana, Louis Vuitton, Manolo Blahnik, Oscar de la Renta, Vertu and others;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recorded a net loss for the quarter ended March 31, 2012 of $35.4 million, compared to net income of $0.4 million recorded for the quarter ended March 31, 2011. This decrease was primarily a result of decreased departmental profits, especially in the casino department ($31 million) where we experienced higher than normal hold in the prior year quarter. We also recorded a loss on retirement of debt of $4.8 million for the quarter related to an amendment of our bank credit facilities. See below for a more detailed discussion regarding our results.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key operating statistics specific to the gaming industry are included in our discussions of the Company’s operational performance for the periods in which a condensed consolidated statement of comprehensive income (loss) is presented. Below are definitions of the statistics discussed:</w:t>
      </w:r>
    </w:p>
    <w:p>
      <w:pPr>
        <w:spacing w:after="0" w:line="4"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2012 compared to the three months ended March 31,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revenues for the three months ended March 31, 2012, are composed of $157.7 million in casino revenues (43.4% of total net revenues) and $205.4 million of net non-casino revenues (56.6% of total net revenues). Net revenues for the three months ended March 31, 2011, were comprised of $194.2 million in casino revenues (49.2% of total net revenues) and $200.8 million of net non-casino revenues (50.8% of total net revenues).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 decrease in casino revenues of $36.5 million (18.8%) to $157.7 million for the three months ended March 31, 2012, compared to $194.2 million for the three months ended March 31, 2011, due a decrease in our average table games win percentage. Our average table games win percentage (before discounts) for the three months ended March 31, 2012, was 22.8%, which was within the expected range of 21% to 24%; however this was significantly lower than the 30.4% experienced in the prior year quarter. Drop increased 3.2% during the three months ended March 31, 2012, compared to the prior year. Slot machine handle increased slightly compared to the prior year quarter; however slot machine win decreased slightly as a result of hold.</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three months ended March 31, 2012, room revenues were approximately $87.4 million, which represents a $0.6 million (1%) decrease over the $88 million generated in the three months ended March 31, 2011. We experienced an increase in ADR during the three months ended March 31, 2012, compared to the three months ended March 31, 2011, and a decrease in occupancy rate of 8.6 percentage points. ADR has increased as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adjusted rates in an effort to attract customers who would take advantage of all aspects of our resort. See the table below for key operating measures related to our room revenue.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23"/>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79.3%</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87.9%</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Other non-gaming revenues for the three months ended March 31, 2012, which included food and beverage revenues of $108.9 million, retail revenues of $20.1 million, entertainment revenues of $21.1 million, and other revenues from outlets, including the spa and salon, of $15.1 million improved over the prior year period. Other non-casino revenues for the three months ended March 31, 2010, included: food and beverage revenues of $106.1 million, retail revenues of $20 million, entertainment revenues of $20.7 million, and other revenues from outlets such as the spa and salon, of $14.7 million. Food and beverage revenues increased primarily due to business in our nightclubs. Entertainment revenues increased over the prior year quarter primarily due to increased revenue from Garth Brooks who performs in the Encore Theater and “Le Rêve–The Dream,” a water-based theatrical production, offset by a loss of revenues from the Sinatra “Dance with Me” show, which ended its run on April 23,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During the three months ended March 31, 2012, departmental expenses included casino expenses of $78.9 million, room expense of $29.2 million, food and beverage expenses of $65.3 million, and entertainment, retail and other expenses of $37.1 million. Also included are general and administrative expenses of $55.2 million and $4.4 million charged as a provision for doubtful accounts receivable. During the three months ended March 31, 2011, departmental expenses included casino expense of $84.5 million, room expense of $29.8 million, food and beverage expense of $61.1 million, and entertainment, retail and other expense of $37.7 million. Also included are general and administrative expenses of approximately $54.3 million and approximately $4.8 million charged as a provision for doubtful accounts receivable.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$5.5 million for the quarter ended March 31, 2012, compared to $5.9 million for the quarter ended March 31,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Depreciation and amortization for the three months ended March 31, 2012 was $63.4 million compared to $65.8 million for the three months ended March 31,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2012, were $3.7 million compared to approximately $2 million for the three months ended March 31, 2011. Property charges and other for the three months ended March 31, 2012 and 2011, related to miscellaneous renovations and abandonments at our resort complex.</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Interest expense was $52.1 million for the three months ended March 31, 2012, compared to $50.3 million for the three months ended March 31, 2011. No interest was capitalized during either period. Interest expense increased approximately $1.8 million primarily due to the issuance of the $900 million 5 3/8% first mortgage notes in March 2012, offset by the reduction of $370.9 million in term loan borrowings as described in Note 6 to our Condensed Consolidated Financial Statements.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approximately $1 million for the three months ended March 31, 2012, resulting from the increase in the fair value of our interest rate swap from December 31, 2011 to March 31, 2012. We recorded a gain of approximately $1.3 million for the three months ended March 31, 2011, resulting from the decrease in the fair value of our interest rate swap from December 31, 2010 to March 31, 2011.</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Net cash provided by operations for the three months ended March 31, 2012, was $31.7 million compared to $44 million provided by operations for the three months ended March 31, 2011. This decrease is primarily due to the decrease in operating income as a result of decreased casino department profitability offset by beneficial changes in working capital, especially accounts receivable.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At March 31, 2012, we had $740.6 million of cash and cash equivalents available for use without restriction, including for operations, debt service and retirement, new development activities, enhancements to Wynn Las Vegas and general corporate purposes. Our cash balance increased as a result of the issuance of the $900 million first mortgage notes in March 2012. We require a certain amount of cash on hand for operations. We anticipate such funds, together with any additional borrowings and cash generated from operations will satisfy our liquidity needs during 2012. As of March 31, 2012, we had $84.2 million available to draw under our Wynn Las Vegas credit facilities. Except for scheduled quarterly payments on one note payable, we have no debt maturities until July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Capital expenditures were approximately $15.1 million for the three months ended March 31, 2012, and related primarily to general property maintenance. Capital expenditures were approximately $22 million for the three months ended March 31, 2011 and related primarily to the room and suite remodel that began in 2010.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On March 12, 2012, Wynn Las Vegas, LLC and Wynn Las Vegas Capital Corp. (together the “Issuers”) issued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our term loan facilities.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2022 Notes will mature on March 15, 2022 and bear interest at the rate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Company’s credit facilities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our equity interests, all of which is the same collateral that secures borrowings under the our credit facilities and the Existing Notes. The first priority lien securing the 2022 Notes may be released in whole, or in part, under certain circumstances without the consent of the holders of the 2022 Notes.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our credit facilities and the Existing Notes.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March 12, 2012, we entered into an eighth amendment (“Amendment No. 8”) to our Amended and Restated Credit Agreement (the “Wynn Las Vegas Credit Agreement”). Amendment No. 8 amends the Wynn Las Vegas Credit Agreement to, among other things, permit the issuance of the 2022 Notes. Concurrently with the issuance of the 2022 Notes,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2012, no amounts had been borrowed under the Wynn Las Vegas Credit Agreement. We had $15.8 million of outstanding letters of credit that reduce availability for borrowing under the Wynn Las Vegas Credit Agreement. We had availability of $84.2 million under the Wynn Las Vegas Credit Agreement as of March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noted above, during the three months ended March 31, 2012, we issued the 2022 Notes, repaid all amounts outstanding under the term loan facilities totaling $370.9 million and reduced our revolving facilities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$100 million. There have been no other material changes during the quarter to our contractual obligations or off-balance sheet arrangements as disclosed in our Annual Report on Form 10-K for the year ended December 31,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restricted under the indentures governing the Existing Notes and the 2022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Wynn Las Vegas Credit Agreement contains similar restrictions.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fund our operations and capital requirements from cash on hand, operating cash flow and availability under our credit facilities.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2011. There have been no material changes to these policies for the three months ended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2012,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increase/ (decrease) in swap fair value in our Condensed Consolidated Statements of Operations as the swap does not qualify for hedge accounting.</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March 31, 2012, our interest rate swap had an approximate liability fair value of $3.7 million and is included in other accrued liabilities in the accompanying Condensed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our long-term debt was essentially based on fixed rates, including the notional amount of our swap.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firstLine="464"/>
        <w:spacing w:after="0" w:line="286"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2011. There were no material changes to those risk factors during the three months ended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Existing Notes and the 2022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299"/>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00" w:type="dxa"/>
            <w:vAlign w:val="bottom"/>
          </w:tcPr>
          <w:p>
            <w:pPr>
              <w:spacing w:after="0"/>
              <w:rPr>
                <w:sz w:val="24"/>
                <w:szCs w:val="24"/>
                <w:color w:val="auto"/>
              </w:rPr>
            </w:pPr>
          </w:p>
        </w:tc>
      </w:tr>
      <w:tr>
        <w:trPr>
          <w:trHeight w:val="316"/>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0"/>
              </w:rPr>
              <w:t>Indenture, dated as of March 12, 2012, by and among Wynn Las Vegas, LLC, Wynn Las Vegas Capital Corp., the Guarantors set forth</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therein and U.S. Bank National Association, as trustee. (2)</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10.2</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0"/>
              </w:rPr>
              <w:t>Eighth Amendment to Amended and Restated Credit Agreement dated as of March 12, 2012 among Wynn Las Vegas, LLC, Wynn Las</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8"/>
              </w:rPr>
              <w:t>Jet, LLC, Wynn Resorts Holdings, LLC, Wynn Completion Guarantor, LLC and Deutsche Bank Trust Company Americas, as</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89"/>
              </w:rPr>
              <w:t>Administrative Agent on behalf of the several banks and other financial institutions or entities from time to time party to Wynn Las Vegas,</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LLC’s Amended and Restated Credit Agreement, dated as of August 15, 2006. (2)</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10.3</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89"/>
              </w:rPr>
              <w:t>Sixth Amendment to Amended and Restated Master Disbursement Agreement, dated March 12, 2012, by and among Wynn Las Vegas,</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89"/>
              </w:rPr>
              <w:t>LLC, Deutsche Bank Trust Company Americas, as the Bank Agent, and Deutsche Bank Trust Company Americas, as the Disbursement</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Agent. (2)</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10.4</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89"/>
              </w:rPr>
              <w:t>Registration Rights Agreement, dated as of March 12, 2012, by and among Wynn Las Vegas, LLC, Wynn Las Vegas Capital Corp, Wynn</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3"/>
              </w:rPr>
              <w:t>Show Performers, LLC, Wynn Golf, LLC, Las Vegas Jet, LLC, World Travel, LLC, Wynn Sunrise, LLC, Kevyn, LLC, Deutsche Bank</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Securities Inc., Merrill Lynch, Pierce, Fenner &amp; Smith Incorporated and J.P. Morgan Securities LLC.(2)</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three months ended March 31, 2012,</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3"/>
              </w:rPr>
              <w:t>filed with the SEC on May 10, 2012 formatted in Extensible Business Reporting Language (XBRL): (i) the Condensed Consolidated</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2"/>
              </w:rPr>
              <w:t>Statements of Comprehensive Income (loss) for the three months ended March 31, 2012 and 2011, (ii) the Condensed Consolidated</w:t>
            </w:r>
          </w:p>
        </w:tc>
      </w:tr>
    </w:tbl>
    <w:p>
      <w:pPr>
        <w:ind w:left="1660" w:right="440"/>
        <w:spacing w:after="0" w:line="323" w:lineRule="auto"/>
        <w:rPr>
          <w:sz w:val="20"/>
          <w:szCs w:val="20"/>
          <w:color w:val="auto"/>
        </w:rPr>
      </w:pPr>
      <w:r>
        <w:rPr>
          <w:rFonts w:ascii="Arial" w:cs="Arial" w:eastAsia="Arial" w:hAnsi="Arial"/>
          <w:sz w:val="16"/>
          <w:szCs w:val="16"/>
          <w:color w:val="auto"/>
        </w:rPr>
        <w:t>Balance Sheets at March 31, 2012 and December 31, 2011, (iii) the Condensed Consolidated Statements of Cash Flows for the three months ended March 31, 2012 and 2011,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9" w:lineRule="exact"/>
        <w:rPr>
          <w:sz w:val="20"/>
          <w:szCs w:val="20"/>
          <w:color w:val="auto"/>
        </w:rPr>
      </w:pPr>
    </w:p>
    <w:p>
      <w:pPr>
        <w:ind w:left="460" w:hanging="408"/>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1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63" w:lineRule="exact"/>
        <w:rPr>
          <w:sz w:val="20"/>
          <w:szCs w:val="20"/>
          <w:color w:val="auto"/>
        </w:rPr>
      </w:pPr>
    </w:p>
    <w:p>
      <w:pPr>
        <w:ind w:left="460" w:right="1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Form 8-K filed by the Registrant on March 13, 2012 and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 LLC</w:t>
      </w:r>
    </w:p>
    <w:p>
      <w:pPr>
        <w:spacing w:after="0" w:line="177" w:lineRule="exact"/>
        <w:rPr>
          <w:sz w:val="20"/>
          <w:szCs w:val="20"/>
          <w:color w:val="auto"/>
        </w:rPr>
      </w:pPr>
    </w:p>
    <w:p>
      <w:pPr>
        <w:spacing w:after="0"/>
        <w:tabs>
          <w:tab w:leader="none" w:pos="5560" w:val="left"/>
          <w:tab w:leader="none" w:pos="7700" w:val="left"/>
          <w:tab w:leader="none" w:pos="8060" w:val="left"/>
        </w:tabs>
        <w:rPr>
          <w:sz w:val="20"/>
          <w:szCs w:val="20"/>
          <w:color w:val="auto"/>
        </w:rPr>
      </w:pPr>
      <w:r>
        <w:rPr>
          <w:rFonts w:ascii="Arial" w:cs="Arial" w:eastAsia="Arial" w:hAnsi="Arial"/>
          <w:sz w:val="18"/>
          <w:szCs w:val="18"/>
          <w:color w:val="auto"/>
        </w:rPr>
        <w:t>Dated: May 10,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Scott Peterson</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w:t>
      </w:r>
    </w:p>
    <w:p>
      <w:pPr>
        <w:jc w:val="center"/>
        <w:ind w:left="594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40"/>
          </w:cols>
          <w:pgMar w:left="240" w:top="459" w:right="11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Marilyn Spiegel, certify that:</w:t>
      </w:r>
    </w:p>
    <w:p>
      <w:pPr>
        <w:spacing w:after="0" w:line="21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2012</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Marilyn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21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2012</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2012 as filed with the Securities and Exchange Commission on the date hereof (the “Report”), Marilyn Spiegel,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Marilyn Spiegel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Marilyn Spiegel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President</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May 10, 2012</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120"/>
              <w:spacing w:after="0"/>
              <w:rPr>
                <w:sz w:val="20"/>
                <w:szCs w:val="20"/>
                <w:color w:val="auto"/>
              </w:rPr>
            </w:pPr>
            <w:r>
              <w:rPr>
                <w:rFonts w:ascii="Arial" w:cs="Arial" w:eastAsia="Arial" w:hAnsi="Arial"/>
                <w:sz w:val="18"/>
                <w:szCs w:val="18"/>
                <w:color w:val="auto"/>
              </w:rPr>
              <w:t>Scott Peterson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May 10,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8"/>
    </w:lvl>
  </w:abstractNum>
  <w:abstractNum w:abstractNumId="4">
    <w:nsid w:val="216231B"/>
    <w:multiLevelType w:val="hybridMultilevel"/>
    <w:lvl w:ilvl="0">
      <w:lvlJc w:val="left"/>
      <w:lvlText w:val="%1."/>
      <w:numFmt w:val="decimal"/>
      <w:start w:val="10"/>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2019-12-09T15:42:15Z</dcterms:created>
  <dcterms:modified xsi:type="dcterms:W3CDTF">2019-12-09T15:42:15Z</dcterms:modified>
</cp:coreProperties>
</file>