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Chief Administrative Ofc</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12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0000FF"/>
              </w:rPr>
              <w:t>07/31/2015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104.99</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234,030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vMerge w:val="restart"/>
          </w:tcPr>
          <w:p>
            <w:pPr>
              <w:jc w:val="right"/>
              <w:ind w:right="437"/>
              <w:spacing w:after="0"/>
              <w:rPr>
                <w:sz w:val="20"/>
                <w:szCs w:val="20"/>
                <w:color w:val="auto"/>
              </w:rPr>
            </w:pPr>
            <w:r>
              <w:rPr>
                <w:rFonts w:ascii="Arial" w:cs="Arial" w:eastAsia="Arial" w:hAnsi="Arial"/>
                <w:sz w:val="18"/>
                <w:szCs w:val="18"/>
                <w:color w:val="0000FF"/>
                <w:w w:val="93"/>
              </w:rPr>
              <w:t>500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mother</w:t>
            </w:r>
            <w:r>
              <w:rPr>
                <w:rFonts w:ascii="Arial" w:cs="Arial" w:eastAsia="Arial" w:hAnsi="Arial"/>
                <w:sz w:val="22"/>
                <w:szCs w:val="22"/>
                <w:color w:val="008000"/>
                <w:w w:val="97"/>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gridSpan w:val="9"/>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price of multiple transactions with a range of prices between $104.75 and $105.18. The reporting person, upon request by the staff of the SEC, Wynn Resorts, Limited (the "Company") or by a security holder of the Company, undertakes to provide further information regarding the number of securities sold at each separate price.</w:t>
      </w: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Kevin Tourek, Attorney-in-</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08/04/2015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John Strzemp</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and Kevin Tourek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4th day of August,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89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John Strzemp</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2019-12-08T02:01:50Z</dcterms:created>
  <dcterms:modified xsi:type="dcterms:W3CDTF">2019-12-08T02:01:50Z</dcterms:modified>
</cp:coreProperties>
</file>