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308610</wp:posOffset>
            </wp:positionV>
            <wp:extent cx="2908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194310</wp:posOffset>
            </wp:positionV>
            <wp:extent cx="2908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September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2186940</wp:posOffset>
            </wp:positionH>
            <wp:positionV relativeFrom="paragraph">
              <wp:posOffset>212090</wp:posOffset>
            </wp:positionV>
            <wp:extent cx="29083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8300" cy="698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WYNN RESORTS, LIMITED</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2"/>
              </w:rPr>
              <w:t>Nevada</w:t>
            </w:r>
          </w:p>
        </w:tc>
        <w:tc>
          <w:tcPr>
            <w:tcW w:w="3400" w:type="dxa"/>
            <w:vAlign w:val="bottom"/>
            <w:gridSpan w:val="2"/>
          </w:tcPr>
          <w:p>
            <w:pPr>
              <w:ind w:left="1240"/>
              <w:spacing w:after="0"/>
              <w:rPr>
                <w:sz w:val="20"/>
                <w:szCs w:val="20"/>
                <w:color w:val="auto"/>
              </w:rPr>
            </w:pPr>
            <w:r>
              <w:rPr>
                <w:rFonts w:ascii="Arial" w:cs="Arial" w:eastAsia="Arial" w:hAnsi="Arial"/>
                <w:sz w:val="14"/>
                <w:szCs w:val="14"/>
                <w:b w:val="1"/>
                <w:bCs w:val="1"/>
                <w:color w:val="auto"/>
              </w:rPr>
              <w:t>000-50028</w:t>
            </w:r>
          </w:p>
        </w:tc>
        <w:tc>
          <w:tcPr>
            <w:tcW w:w="2660" w:type="dxa"/>
            <w:vAlign w:val="bottom"/>
            <w:gridSpan w:val="2"/>
          </w:tcPr>
          <w:p>
            <w:pPr>
              <w:jc w:val="right"/>
              <w:ind w:right="1660"/>
              <w:spacing w:after="0"/>
              <w:rPr>
                <w:sz w:val="20"/>
                <w:szCs w:val="20"/>
                <w:color w:val="auto"/>
              </w:rPr>
            </w:pPr>
            <w:r>
              <w:rPr>
                <w:rFonts w:ascii="Arial" w:cs="Arial" w:eastAsia="Arial" w:hAnsi="Arial"/>
                <w:sz w:val="14"/>
                <w:szCs w:val="14"/>
                <w:b w:val="1"/>
                <w:bCs w:val="1"/>
                <w:color w:val="auto"/>
              </w:rPr>
              <w:t>46-0484987</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2"/>
          </w:tcPr>
          <w:p>
            <w:pPr>
              <w:jc w:val="center"/>
              <w:ind w:left="195"/>
              <w:spacing w:after="0"/>
              <w:rPr>
                <w:sz w:val="20"/>
                <w:szCs w:val="20"/>
                <w:color w:val="auto"/>
              </w:rPr>
            </w:pPr>
            <w:r>
              <w:rPr>
                <w:rFonts w:ascii="Arial" w:cs="Arial" w:eastAsia="Arial" w:hAnsi="Arial"/>
                <w:sz w:val="11"/>
                <w:szCs w:val="11"/>
                <w:b w:val="1"/>
                <w:bCs w:val="1"/>
                <w:color w:val="auto"/>
                <w:w w:val="94"/>
              </w:rPr>
              <w:t>(State or other jurisdiction</w:t>
            </w:r>
          </w:p>
        </w:tc>
        <w:tc>
          <w:tcPr>
            <w:tcW w:w="1140" w:type="dxa"/>
            <w:vAlign w:val="bottom"/>
          </w:tcPr>
          <w:p>
            <w:pPr>
              <w:spacing w:after="0"/>
              <w:rPr>
                <w:sz w:val="12"/>
                <w:szCs w:val="12"/>
                <w:color w:val="auto"/>
              </w:rPr>
            </w:pPr>
          </w:p>
        </w:tc>
        <w:tc>
          <w:tcPr>
            <w:tcW w:w="2260" w:type="dxa"/>
            <w:vAlign w:val="bottom"/>
          </w:tcPr>
          <w:p>
            <w:pPr>
              <w:ind w:left="100"/>
              <w:spacing w:after="0"/>
              <w:rPr>
                <w:sz w:val="20"/>
                <w:szCs w:val="20"/>
                <w:color w:val="auto"/>
              </w:rPr>
            </w:pPr>
            <w:r>
              <w:rPr>
                <w:rFonts w:ascii="Arial" w:cs="Arial" w:eastAsia="Arial" w:hAnsi="Arial"/>
                <w:sz w:val="11"/>
                <w:szCs w:val="11"/>
                <w:b w:val="1"/>
                <w:bCs w:val="1"/>
                <w:color w:val="auto"/>
              </w:rPr>
              <w:t>(Commission</w:t>
            </w:r>
          </w:p>
        </w:tc>
        <w:tc>
          <w:tcPr>
            <w:tcW w:w="3960" w:type="dxa"/>
            <w:vAlign w:val="bottom"/>
            <w:gridSpan w:val="3"/>
          </w:tcPr>
          <w:p>
            <w:pPr>
              <w:jc w:val="center"/>
              <w:ind w:right="2640"/>
              <w:spacing w:after="0"/>
              <w:rPr>
                <w:sz w:val="20"/>
                <w:szCs w:val="20"/>
                <w:color w:val="auto"/>
              </w:rPr>
            </w:pPr>
            <w:r>
              <w:rPr>
                <w:rFonts w:ascii="Arial" w:cs="Arial" w:eastAsia="Arial" w:hAnsi="Arial"/>
                <w:sz w:val="11"/>
                <w:szCs w:val="11"/>
                <w:b w:val="1"/>
                <w:bCs w:val="1"/>
                <w:color w:val="auto"/>
                <w:w w:val="99"/>
              </w:rPr>
              <w:t>(I.R.S. Employer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2"/>
          </w:tcPr>
          <w:p>
            <w:pPr>
              <w:jc w:val="center"/>
              <w:ind w:left="215"/>
              <w:spacing w:after="0"/>
              <w:rPr>
                <w:sz w:val="20"/>
                <w:szCs w:val="20"/>
                <w:color w:val="auto"/>
              </w:rPr>
            </w:pPr>
            <w:r>
              <w:rPr>
                <w:rFonts w:ascii="Arial" w:cs="Arial" w:eastAsia="Arial" w:hAnsi="Arial"/>
                <w:sz w:val="11"/>
                <w:szCs w:val="11"/>
                <w:b w:val="1"/>
                <w:bCs w:val="1"/>
                <w:color w:val="auto"/>
                <w:w w:val="95"/>
              </w:rPr>
              <w:t>of incorporation)</w:t>
            </w:r>
          </w:p>
        </w:tc>
        <w:tc>
          <w:tcPr>
            <w:tcW w:w="1140" w:type="dxa"/>
            <w:vAlign w:val="bottom"/>
          </w:tcPr>
          <w:p>
            <w:pPr>
              <w:spacing w:after="0"/>
              <w:rPr>
                <w:sz w:val="12"/>
                <w:szCs w:val="12"/>
                <w:color w:val="auto"/>
              </w:rPr>
            </w:pPr>
          </w:p>
        </w:tc>
        <w:tc>
          <w:tcPr>
            <w:tcW w:w="2260" w:type="dxa"/>
            <w:vAlign w:val="bottom"/>
          </w:tcPr>
          <w:p>
            <w:pPr>
              <w:ind w:left="80"/>
              <w:spacing w:after="0"/>
              <w:rPr>
                <w:sz w:val="20"/>
                <w:szCs w:val="20"/>
                <w:color w:val="auto"/>
              </w:rPr>
            </w:pPr>
            <w:r>
              <w:rPr>
                <w:rFonts w:ascii="Arial" w:cs="Arial" w:eastAsia="Arial" w:hAnsi="Arial"/>
                <w:sz w:val="11"/>
                <w:szCs w:val="11"/>
                <w:b w:val="1"/>
                <w:bCs w:val="1"/>
                <w:color w:val="auto"/>
              </w:rPr>
              <w:t>File Number)</w:t>
            </w:r>
          </w:p>
        </w:tc>
        <w:tc>
          <w:tcPr>
            <w:tcW w:w="3960" w:type="dxa"/>
            <w:vAlign w:val="bottom"/>
            <w:gridSpan w:val="3"/>
          </w:tcPr>
          <w:p>
            <w:pPr>
              <w:jc w:val="center"/>
              <w:ind w:right="2660"/>
              <w:spacing w:after="0"/>
              <w:rPr>
                <w:sz w:val="20"/>
                <w:szCs w:val="20"/>
                <w:color w:val="auto"/>
              </w:rPr>
            </w:pPr>
            <w:r>
              <w:rPr>
                <w:rFonts w:ascii="Arial" w:cs="Arial" w:eastAsia="Arial" w:hAnsi="Arial"/>
                <w:sz w:val="11"/>
                <w:szCs w:val="11"/>
                <w:b w:val="1"/>
                <w:bCs w:val="1"/>
                <w:color w:val="auto"/>
                <w:w w:val="96"/>
              </w:rPr>
              <w:t>Identification No.)</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0" w:type="dxa"/>
            <w:vAlign w:val="bottom"/>
            <w:gridSpan w:val="4"/>
          </w:tcPr>
          <w:p>
            <w:pPr>
              <w:jc w:val="center"/>
              <w:ind w:right="3058"/>
              <w:spacing w:after="0"/>
              <w:rPr>
                <w:sz w:val="20"/>
                <w:szCs w:val="20"/>
                <w:color w:val="auto"/>
              </w:rPr>
            </w:pPr>
            <w:r>
              <w:rPr>
                <w:rFonts w:ascii="Arial" w:cs="Arial" w:eastAsia="Arial" w:hAnsi="Arial"/>
                <w:sz w:val="14"/>
                <w:szCs w:val="14"/>
                <w:b w:val="1"/>
                <w:bCs w:val="1"/>
                <w:color w:val="auto"/>
                <w:w w:val="90"/>
              </w:rPr>
              <w:t>3131 Las Vegas Boulevard South</w:t>
            </w:r>
          </w:p>
        </w:tc>
        <w:tc>
          <w:tcPr>
            <w:tcW w:w="5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4"/>
                <w:szCs w:val="14"/>
                <w:b w:val="1"/>
                <w:bCs w:val="1"/>
                <w:color w:val="auto"/>
              </w:rPr>
              <w:t>Las Vegas, Nevada</w:t>
            </w:r>
          </w:p>
        </w:tc>
        <w:tc>
          <w:tcPr>
            <w:tcW w:w="1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6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rPr>
              <w:t>89109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0" w:type="dxa"/>
            <w:vAlign w:val="bottom"/>
            <w:gridSpan w:val="4"/>
          </w:tcPr>
          <w:p>
            <w:pPr>
              <w:jc w:val="center"/>
              <w:ind w:right="3078"/>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3960" w:type="dxa"/>
            <w:vAlign w:val="bottom"/>
            <w:gridSpan w:val="3"/>
            <w:vMerge w:val="restart"/>
          </w:tcPr>
          <w:p>
            <w:pPr>
              <w:jc w:val="center"/>
              <w:ind w:right="2640"/>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gridSpan w:val="2"/>
          </w:tcPr>
          <w:p>
            <w:pPr>
              <w:jc w:val="center"/>
              <w:ind w:right="78"/>
              <w:spacing w:after="0"/>
              <w:rPr>
                <w:sz w:val="20"/>
                <w:szCs w:val="20"/>
                <w:color w:val="auto"/>
              </w:rPr>
            </w:pPr>
            <w:r>
              <w:rPr>
                <w:rFonts w:ascii="Arial" w:cs="Arial" w:eastAsia="Arial" w:hAnsi="Arial"/>
                <w:sz w:val="14"/>
                <w:szCs w:val="14"/>
                <w:b w:val="1"/>
                <w:bCs w:val="1"/>
                <w:color w:val="auto"/>
                <w:w w:val="93"/>
              </w:rPr>
              <w:t>(702) 770-7555</w:t>
            </w: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93"/>
              </w:rPr>
              <w:t>(Registrant’s telephone number, including area code)</w:t>
            </w:r>
          </w:p>
        </w:tc>
        <w:tc>
          <w:tcPr>
            <w:tcW w:w="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tcPr>
          <w:p>
            <w:pPr>
              <w:jc w:val="center"/>
              <w:ind w:right="1198"/>
              <w:spacing w:after="0"/>
              <w:rPr>
                <w:sz w:val="20"/>
                <w:szCs w:val="20"/>
                <w:color w:val="auto"/>
              </w:rPr>
            </w:pPr>
            <w:r>
              <w:rPr>
                <w:rFonts w:ascii="Arial" w:cs="Arial" w:eastAsia="Arial" w:hAnsi="Arial"/>
                <w:sz w:val="14"/>
                <w:szCs w:val="14"/>
                <w:b w:val="1"/>
                <w:bCs w:val="1"/>
                <w:color w:val="auto"/>
                <w:w w:val="93"/>
              </w:rPr>
              <w:t>Not Applicable</w:t>
            </w: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93"/>
              </w:rPr>
              <w:t>(Former name or former address, if changed since last report)</w:t>
            </w:r>
          </w:p>
        </w:tc>
        <w:tc>
          <w:tcPr>
            <w:tcW w:w="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41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gridSpan w:val="2"/>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260" w:type="dxa"/>
            <w:vAlign w:val="bottom"/>
          </w:tcPr>
          <w:p>
            <w:pPr>
              <w:spacing w:after="0"/>
              <w:rPr>
                <w:sz w:val="23"/>
                <w:szCs w:val="23"/>
                <w:color w:val="auto"/>
              </w:rPr>
            </w:pPr>
          </w:p>
        </w:tc>
        <w:tc>
          <w:tcPr>
            <w:tcW w:w="39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100" w:type="dxa"/>
            <w:vAlign w:val="bottom"/>
            <w:gridSpan w:val="4"/>
          </w:tcPr>
          <w:p>
            <w:pPr>
              <w:jc w:val="center"/>
              <w:ind w:right="980"/>
              <w:spacing w:after="0"/>
              <w:rPr>
                <w:sz w:val="20"/>
                <w:szCs w:val="20"/>
                <w:color w:val="auto"/>
              </w:rPr>
            </w:pPr>
            <w:r>
              <w:rPr>
                <w:rFonts w:ascii="Arial" w:cs="Arial" w:eastAsia="Arial" w:hAnsi="Arial"/>
                <w:sz w:val="14"/>
                <w:szCs w:val="14"/>
                <w:color w:val="auto"/>
                <w:w w:val="93"/>
              </w:rPr>
              <w:t>Common stock, par value $0.01</w:t>
            </w:r>
          </w:p>
        </w:tc>
        <w:tc>
          <w:tcPr>
            <w:tcW w:w="3400" w:type="dxa"/>
            <w:vAlign w:val="bottom"/>
            <w:gridSpan w:val="2"/>
          </w:tcPr>
          <w:p>
            <w:pPr>
              <w:jc w:val="center"/>
              <w:ind w:right="2218"/>
              <w:spacing w:after="0"/>
              <w:rPr>
                <w:sz w:val="20"/>
                <w:szCs w:val="20"/>
                <w:color w:val="auto"/>
              </w:rPr>
            </w:pPr>
            <w:r>
              <w:rPr>
                <w:rFonts w:ascii="Arial" w:cs="Arial" w:eastAsia="Arial" w:hAnsi="Arial"/>
                <w:sz w:val="14"/>
                <w:szCs w:val="14"/>
                <w:color w:val="auto"/>
              </w:rPr>
              <w:t>WYNN</w:t>
            </w:r>
          </w:p>
        </w:tc>
        <w:tc>
          <w:tcPr>
            <w:tcW w:w="3960" w:type="dxa"/>
            <w:vAlign w:val="bottom"/>
            <w:gridSpan w:val="3"/>
          </w:tcPr>
          <w:p>
            <w:pPr>
              <w:jc w:val="center"/>
              <w:ind w:right="1300"/>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r>
        <w:trPr>
          <w:trHeight w:val="240"/>
        </w:trPr>
        <w:tc>
          <w:tcPr>
            <w:tcW w:w="10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22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21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communications pursuant to Rule 425 under the Securities Act (17 CFR 230.425)</w:t>
      </w:r>
    </w:p>
    <w:p>
      <w:pPr>
        <w:spacing w:after="0" w:line="9"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Soliciting material pursuant to Rule 14a-12 under the Exchange Act (17 CFR 240.14a-12)</w:t>
      </w:r>
    </w:p>
    <w:p>
      <w:pPr>
        <w:spacing w:after="0" w:line="11"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14d-2(b) under the Exchange Act (17 CFR 240.14d-2(b))</w:t>
      </w:r>
    </w:p>
    <w:p>
      <w:pPr>
        <w:spacing w:after="0" w:line="17" w:lineRule="exact"/>
        <w:rPr>
          <w:sz w:val="24"/>
          <w:szCs w:val="24"/>
          <w:color w:val="auto"/>
        </w:rPr>
      </w:pPr>
    </w:p>
    <w:p>
      <w:pPr>
        <w:ind w:left="5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13e-4(c) under the Exchange Act (17 CFR 240.13e-4(c))</w:t>
      </w:r>
    </w:p>
    <w:p>
      <w:pPr>
        <w:spacing w:after="0" w:line="11"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60"/>
          </w:cols>
          <w:pgMar w:left="220" w:top="256" w:right="219" w:bottom="1440" w:gutter="0" w:footer="0" w:header="0"/>
        </w:sectPr>
      </w:pPr>
    </w:p>
    <w:bookmarkStart w:id="1" w:name="page2"/>
    <w:bookmarkEnd w:id="1"/>
    <w:p>
      <w:pPr>
        <w:ind w:left="20"/>
        <w:spacing w:after="0"/>
        <w:tabs>
          <w:tab w:leader="none" w:pos="138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02" w:lineRule="exact"/>
        <w:rPr>
          <w:sz w:val="20"/>
          <w:szCs w:val="20"/>
          <w:color w:val="auto"/>
        </w:rPr>
      </w:pPr>
    </w:p>
    <w:p>
      <w:pPr>
        <w:ind w:firstLine="388"/>
        <w:spacing w:after="0" w:line="264" w:lineRule="auto"/>
        <w:rPr>
          <w:sz w:val="20"/>
          <w:szCs w:val="20"/>
          <w:color w:val="auto"/>
        </w:rPr>
      </w:pPr>
      <w:r>
        <w:rPr>
          <w:rFonts w:ascii="Arial" w:cs="Arial" w:eastAsia="Arial" w:hAnsi="Arial"/>
          <w:sz w:val="14"/>
          <w:szCs w:val="14"/>
          <w:color w:val="auto"/>
        </w:rPr>
        <w:t>On September 5, 2019, Wynn Macau, Limited ("WML"), an indirect subsidiary of Wynn Resorts, Limited (the "Registrant") with its ordinary shares of common stock listed on The Stock Exchange of Hong Kong Limited (the "HKSE"), filed with the HKSE its interim report in respect of the six months ended June 30, 2019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Statements and Exhibits.</w:t>
            </w:r>
          </w:p>
        </w:tc>
      </w:tr>
      <w:tr>
        <w:trPr>
          <w:trHeight w:val="291"/>
        </w:trPr>
        <w:tc>
          <w:tcPr>
            <w:tcW w:w="1380" w:type="dxa"/>
            <w:vAlign w:val="bottom"/>
            <w:gridSpan w:val="2"/>
          </w:tcPr>
          <w:p>
            <w:pPr>
              <w:ind w:left="160"/>
              <w:spacing w:after="0"/>
              <w:rPr>
                <w:sz w:val="20"/>
                <w:szCs w:val="20"/>
                <w:color w:val="auto"/>
              </w:rPr>
            </w:pPr>
            <w:r>
              <w:rPr>
                <w:rFonts w:ascii="Arial" w:cs="Arial" w:eastAsia="Arial" w:hAnsi="Arial"/>
                <w:sz w:val="14"/>
                <w:szCs w:val="14"/>
                <w:color w:val="auto"/>
              </w:rPr>
              <w:t>(d) Exhibits.</w:t>
            </w:r>
          </w:p>
        </w:tc>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38"/>
        </w:trPr>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Exhibit No.</w:t>
            </w:r>
          </w:p>
        </w:tc>
        <w:tc>
          <w:tcPr>
            <w:tcW w:w="522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71"/>
        </w:trPr>
        <w:tc>
          <w:tcPr>
            <w:tcW w:w="560" w:type="dxa"/>
            <w:vAlign w:val="bottom"/>
          </w:tcPr>
          <w:p>
            <w:pPr>
              <w:spacing w:after="0"/>
              <w:rPr>
                <w:sz w:val="20"/>
                <w:szCs w:val="20"/>
                <w:color w:val="auto"/>
              </w:rPr>
            </w:pPr>
            <w:r>
              <w:rPr>
                <w:rFonts w:ascii="Arial" w:cs="Arial" w:eastAsia="Arial" w:hAnsi="Arial"/>
                <w:sz w:val="14"/>
                <w:szCs w:val="14"/>
                <w:color w:val="auto"/>
              </w:rPr>
              <w:t>99.1</w:t>
            </w:r>
          </w:p>
        </w:tc>
        <w:tc>
          <w:tcPr>
            <w:tcW w:w="820" w:type="dxa"/>
            <w:vAlign w:val="bottom"/>
          </w:tcPr>
          <w:p>
            <w:pPr>
              <w:spacing w:after="0"/>
              <w:rPr>
                <w:sz w:val="23"/>
                <w:szCs w:val="23"/>
                <w:color w:val="auto"/>
              </w:rPr>
            </w:pPr>
          </w:p>
        </w:tc>
        <w:tc>
          <w:tcPr>
            <w:tcW w:w="5220" w:type="dxa"/>
            <w:vAlign w:val="bottom"/>
            <w:tcBorders>
              <w:bottom w:val="single" w:sz="8" w:color="0000FF"/>
            </w:tcBorders>
            <w:gridSpan w:val="2"/>
          </w:tcPr>
          <w:p>
            <w:pPr>
              <w:spacing w:after="0"/>
              <w:rPr>
                <w:rFonts w:ascii="Arial" w:cs="Arial" w:eastAsia="Arial" w:hAnsi="Arial"/>
                <w:sz w:val="14"/>
                <w:szCs w:val="14"/>
                <w:color w:val="0000FF"/>
                <w:w w:val="93"/>
              </w:rPr>
            </w:pPr>
            <w:hyperlink w:anchor="page4">
              <w:r>
                <w:rPr>
                  <w:rFonts w:ascii="Arial" w:cs="Arial" w:eastAsia="Arial" w:hAnsi="Arial"/>
                  <w:sz w:val="14"/>
                  <w:szCs w:val="14"/>
                  <w:color w:val="0000FF"/>
                  <w:w w:val="93"/>
                </w:rPr>
                <w:t>Interim Report of Wynn Macau, Limited in respect of the six months ended June 30, 2019.</w:t>
              </w:r>
            </w:hyperlink>
          </w:p>
        </w:tc>
      </w:tr>
    </w:tbl>
    <w:p>
      <w:pPr>
        <w:sectPr>
          <w:pgSz w:w="11900" w:h="16838" w:orient="portrait"/>
          <w:cols w:equalWidth="0" w:num="1">
            <w:col w:w="11280"/>
          </w:cols>
          <w:pgMar w:left="220" w:top="621" w:right="39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2"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820"/>
          </w:cols>
          <w:pgMar w:left="240" w:top="491" w:right="8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Dated: September 5, 2019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34925</wp:posOffset>
            </wp:positionV>
            <wp:extent cx="26892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9225" cy="698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5940" w:space="720"/>
            <w:col w:w="4160"/>
          </w:cols>
          <w:pgMar w:left="240" w:top="491" w:right="839" w:bottom="1440" w:gutter="0" w:footer="0" w:header="0"/>
          <w:type w:val="continuous"/>
        </w:sectPr>
      </w:pPr>
    </w:p>
    <w:p>
      <w:pPr>
        <w:ind w:left="6780"/>
        <w:spacing w:after="0"/>
        <w:rPr>
          <w:sz w:val="20"/>
          <w:szCs w:val="20"/>
          <w:color w:val="auto"/>
        </w:rPr>
      </w:pPr>
      <w:r>
        <w:rPr>
          <w:rFonts w:ascii="Arial" w:cs="Arial" w:eastAsia="Arial" w:hAnsi="Arial"/>
          <w:sz w:val="14"/>
          <w:szCs w:val="14"/>
          <w:color w:val="auto"/>
        </w:rPr>
        <w:t>Craig S. Billings</w:t>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President, Chief Financial Officer and Treasurer</w:t>
      </w:r>
    </w:p>
    <w:p>
      <w:pPr>
        <w:spacing w:after="0" w:line="66"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820"/>
          </w:cols>
          <w:pgMar w:left="240" w:top="491" w:right="83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9885045</wp:posOffset>
            </wp:positionV>
            <wp:extent cx="721741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9885045</wp:posOffset>
            </wp:positionV>
            <wp:extent cx="721741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2019-12-28T06:18:43Z</dcterms:created>
  <dcterms:modified xsi:type="dcterms:W3CDTF">2019-12-28T06:18:43Z</dcterms:modified>
</cp:coreProperties>
</file>