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27, 2007</w:t>
      </w:r>
    </w:p>
    <w:p>
      <w:pPr>
        <w:spacing w:after="0" w:line="18" w:lineRule="exact"/>
        <w:rPr>
          <w:sz w:val="24"/>
          <w:szCs w:val="24"/>
          <w:color w:val="auto"/>
        </w:rPr>
      </w:pPr>
    </w:p>
    <w:p>
      <w:pPr>
        <w:ind w:left="90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114935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114935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RESORTS, LIMITED</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112395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39"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4000" w:type="dxa"/>
            <w:vAlign w:val="bottom"/>
          </w:tcPr>
          <w:p>
            <w:pPr>
              <w:jc w:val="center"/>
              <w:ind w:right="1986"/>
              <w:spacing w:after="0"/>
              <w:rPr>
                <w:sz w:val="20"/>
                <w:szCs w:val="20"/>
                <w:color w:val="auto"/>
              </w:rPr>
            </w:pPr>
            <w:r>
              <w:rPr>
                <w:rFonts w:ascii="Arial" w:cs="Arial" w:eastAsia="Arial" w:hAnsi="Arial"/>
                <w:sz w:val="18"/>
                <w:szCs w:val="18"/>
                <w:b w:val="1"/>
                <w:bCs w:val="1"/>
                <w:color w:val="auto"/>
                <w:w w:val="96"/>
              </w:rPr>
              <w:t>Nevada</w:t>
            </w:r>
          </w:p>
        </w:tc>
        <w:tc>
          <w:tcPr>
            <w:tcW w:w="3500" w:type="dxa"/>
            <w:vAlign w:val="bottom"/>
          </w:tcPr>
          <w:p>
            <w:pPr>
              <w:jc w:val="center"/>
              <w:ind w:left="2006"/>
              <w:spacing w:after="0"/>
              <w:rPr>
                <w:sz w:val="20"/>
                <w:szCs w:val="20"/>
                <w:color w:val="auto"/>
              </w:rPr>
            </w:pPr>
            <w:r>
              <w:rPr>
                <w:rFonts w:ascii="Arial" w:cs="Arial" w:eastAsia="Arial" w:hAnsi="Arial"/>
                <w:sz w:val="18"/>
                <w:szCs w:val="18"/>
                <w:b w:val="1"/>
                <w:bCs w:val="1"/>
                <w:color w:val="auto"/>
                <w:w w:val="97"/>
              </w:rPr>
              <w:t>46-0484987</w:t>
            </w:r>
          </w:p>
        </w:tc>
      </w:tr>
      <w:tr>
        <w:trPr>
          <w:trHeight w:val="149"/>
        </w:trPr>
        <w:tc>
          <w:tcPr>
            <w:tcW w:w="4000" w:type="dxa"/>
            <w:vAlign w:val="bottom"/>
          </w:tcPr>
          <w:p>
            <w:pPr>
              <w:jc w:val="center"/>
              <w:ind w:right="1986"/>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500" w:type="dxa"/>
            <w:vAlign w:val="bottom"/>
          </w:tcPr>
          <w:p>
            <w:pPr>
              <w:jc w:val="center"/>
              <w:ind w:left="198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4000" w:type="dxa"/>
            <w:vAlign w:val="bottom"/>
          </w:tcPr>
          <w:p>
            <w:pPr>
              <w:jc w:val="center"/>
              <w:ind w:right="2006"/>
              <w:spacing w:after="0"/>
              <w:rPr>
                <w:sz w:val="20"/>
                <w:szCs w:val="20"/>
                <w:color w:val="auto"/>
              </w:rPr>
            </w:pPr>
            <w:r>
              <w:rPr>
                <w:rFonts w:ascii="Arial" w:cs="Arial" w:eastAsia="Arial" w:hAnsi="Arial"/>
                <w:sz w:val="14"/>
                <w:szCs w:val="14"/>
                <w:b w:val="1"/>
                <w:bCs w:val="1"/>
                <w:color w:val="auto"/>
                <w:w w:val="96"/>
              </w:rPr>
              <w:t>incorporation or organization)</w:t>
            </w:r>
          </w:p>
        </w:tc>
        <w:tc>
          <w:tcPr>
            <w:tcW w:w="3500" w:type="dxa"/>
            <w:vAlign w:val="bottom"/>
          </w:tcPr>
          <w:p>
            <w:pPr>
              <w:jc w:val="center"/>
              <w:ind w:left="1986"/>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jc w:val="center"/>
        <w:spacing w:after="0" w:line="230" w:lineRule="auto"/>
        <w:rPr>
          <w:sz w:val="20"/>
          <w:szCs w:val="20"/>
          <w:color w:val="auto"/>
        </w:rPr>
      </w:pPr>
      <w:r>
        <w:rPr>
          <w:rFonts w:ascii="Arial" w:cs="Arial" w:eastAsia="Arial" w:hAnsi="Arial"/>
          <w:sz w:val="18"/>
          <w:szCs w:val="18"/>
          <w:b w:val="1"/>
          <w:bCs w:val="1"/>
          <w:color w:val="auto"/>
        </w:rPr>
        <w:t>(702) 770-7555</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Ronald J. Kramer</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jc w:val="center"/>
        <w:spacing w:after="0" w:line="234" w:lineRule="auto"/>
        <w:rPr>
          <w:sz w:val="20"/>
          <w:szCs w:val="20"/>
          <w:color w:val="auto"/>
        </w:rPr>
      </w:pPr>
      <w:r>
        <w:rPr>
          <w:rFonts w:ascii="Arial" w:cs="Arial" w:eastAsia="Arial" w:hAnsi="Arial"/>
          <w:sz w:val="18"/>
          <w:szCs w:val="18"/>
          <w:b w:val="1"/>
          <w:bCs w:val="1"/>
          <w:color w:val="auto"/>
        </w:rPr>
        <w:t>3131 Las Vegas Boulevard South</w:t>
      </w:r>
    </w:p>
    <w:p>
      <w:pPr>
        <w:jc w:val="center"/>
        <w:spacing w:after="0" w:line="235" w:lineRule="auto"/>
        <w:rPr>
          <w:sz w:val="20"/>
          <w:szCs w:val="20"/>
          <w:color w:val="auto"/>
        </w:rPr>
      </w:pPr>
      <w:r>
        <w:rPr>
          <w:rFonts w:ascii="Arial" w:cs="Arial" w:eastAsia="Arial" w:hAnsi="Arial"/>
          <w:sz w:val="18"/>
          <w:szCs w:val="18"/>
          <w:b w:val="1"/>
          <w:bCs w:val="1"/>
          <w:color w:val="auto"/>
        </w:rPr>
        <w:t>Las Vegas, Nevada 89109</w:t>
      </w:r>
    </w:p>
    <w:p>
      <w:pPr>
        <w:jc w:val="center"/>
        <w:spacing w:after="0" w:line="231" w:lineRule="auto"/>
        <w:rPr>
          <w:sz w:val="20"/>
          <w:szCs w:val="20"/>
          <w:color w:val="auto"/>
        </w:rPr>
      </w:pPr>
      <w:r>
        <w:rPr>
          <w:rFonts w:ascii="Arial" w:cs="Arial" w:eastAsia="Arial" w:hAnsi="Arial"/>
          <w:sz w:val="18"/>
          <w:szCs w:val="18"/>
          <w:b w:val="1"/>
          <w:bCs w:val="1"/>
          <w:color w:val="auto"/>
        </w:rPr>
        <w:t>(702) 770-7555</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112395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62" w:lineRule="exact"/>
        <w:rPr>
          <w:sz w:val="24"/>
          <w:szCs w:val="24"/>
          <w:color w:val="auto"/>
        </w:rPr>
      </w:pPr>
    </w:p>
    <w:tbl>
      <w:tblPr>
        <w:tblLayout w:type="fixed"/>
        <w:tblInd w:w="1480" w:type="dxa"/>
        <w:tblCellMar>
          <w:top w:w="0" w:type="dxa"/>
          <w:left w:w="0" w:type="dxa"/>
          <w:bottom w:w="0" w:type="dxa"/>
          <w:right w:w="0" w:type="dxa"/>
        </w:tblCellMar>
      </w:tblPr>
      <w:tr>
        <w:trPr>
          <w:trHeight w:val="231"/>
        </w:trPr>
        <w:tc>
          <w:tcPr>
            <w:tcW w:w="3160" w:type="dxa"/>
            <w:vAlign w:val="bottom"/>
          </w:tcPr>
          <w:p>
            <w:pPr>
              <w:spacing w:after="0"/>
              <w:rPr>
                <w:sz w:val="20"/>
                <w:szCs w:val="20"/>
                <w:color w:val="auto"/>
              </w:rPr>
            </w:pPr>
          </w:p>
        </w:tc>
        <w:tc>
          <w:tcPr>
            <w:tcW w:w="58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53"/>
        </w:trPr>
        <w:tc>
          <w:tcPr>
            <w:tcW w:w="3160" w:type="dxa"/>
            <w:vAlign w:val="bottom"/>
          </w:tcPr>
          <w:p>
            <w:pPr>
              <w:jc w:val="center"/>
              <w:ind w:right="292"/>
              <w:spacing w:after="0"/>
              <w:rPr>
                <w:sz w:val="20"/>
                <w:szCs w:val="20"/>
                <w:color w:val="auto"/>
              </w:rPr>
            </w:pPr>
            <w:r>
              <w:rPr>
                <w:rFonts w:ascii="Arial" w:cs="Arial" w:eastAsia="Arial" w:hAnsi="Arial"/>
                <w:sz w:val="18"/>
                <w:szCs w:val="18"/>
                <w:b w:val="1"/>
                <w:bCs w:val="1"/>
                <w:color w:val="auto"/>
                <w:w w:val="97"/>
              </w:rPr>
              <w:t>Kim Sinatra</w:t>
            </w:r>
          </w:p>
        </w:tc>
        <w:tc>
          <w:tcPr>
            <w:tcW w:w="5840" w:type="dxa"/>
            <w:vAlign w:val="bottom"/>
          </w:tcPr>
          <w:p>
            <w:pPr>
              <w:jc w:val="center"/>
              <w:ind w:left="2172"/>
              <w:spacing w:after="0"/>
              <w:rPr>
                <w:sz w:val="20"/>
                <w:szCs w:val="20"/>
                <w:color w:val="auto"/>
              </w:rPr>
            </w:pPr>
            <w:r>
              <w:rPr>
                <w:rFonts w:ascii="Arial" w:cs="Arial" w:eastAsia="Arial" w:hAnsi="Arial"/>
                <w:sz w:val="18"/>
                <w:szCs w:val="18"/>
                <w:b w:val="1"/>
                <w:bCs w:val="1"/>
                <w:color w:val="auto"/>
                <w:w w:val="97"/>
              </w:rPr>
              <w:t>Jerome L. Coben</w:t>
            </w:r>
          </w:p>
        </w:tc>
      </w:tr>
      <w:tr>
        <w:trPr>
          <w:trHeight w:val="203"/>
        </w:trPr>
        <w:tc>
          <w:tcPr>
            <w:tcW w:w="316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7"/>
              </w:rPr>
              <w:t>Wynn Resorts, Limited</w:t>
            </w:r>
          </w:p>
        </w:tc>
        <w:tc>
          <w:tcPr>
            <w:tcW w:w="5840" w:type="dxa"/>
            <w:vAlign w:val="bottom"/>
          </w:tcPr>
          <w:p>
            <w:pPr>
              <w:jc w:val="center"/>
              <w:ind w:left="2172"/>
              <w:spacing w:after="0" w:line="202" w:lineRule="exact"/>
              <w:rPr>
                <w:sz w:val="20"/>
                <w:szCs w:val="20"/>
                <w:color w:val="auto"/>
              </w:rPr>
            </w:pPr>
            <w:r>
              <w:rPr>
                <w:rFonts w:ascii="Arial" w:cs="Arial" w:eastAsia="Arial" w:hAnsi="Arial"/>
                <w:sz w:val="18"/>
                <w:szCs w:val="18"/>
                <w:b w:val="1"/>
                <w:bCs w:val="1"/>
                <w:color w:val="auto"/>
                <w:w w:val="97"/>
              </w:rPr>
              <w:t>Skadden, Arps, Slate, Meagher &amp; Flom LLP</w:t>
            </w:r>
          </w:p>
        </w:tc>
      </w:tr>
      <w:tr>
        <w:trPr>
          <w:trHeight w:val="203"/>
        </w:trPr>
        <w:tc>
          <w:tcPr>
            <w:tcW w:w="3160" w:type="dxa"/>
            <w:vAlign w:val="bottom"/>
          </w:tcPr>
          <w:p>
            <w:pPr>
              <w:jc w:val="center"/>
              <w:ind w:right="312"/>
              <w:spacing w:after="0" w:line="202" w:lineRule="exact"/>
              <w:rPr>
                <w:sz w:val="20"/>
                <w:szCs w:val="20"/>
                <w:color w:val="auto"/>
              </w:rPr>
            </w:pPr>
            <w:r>
              <w:rPr>
                <w:rFonts w:ascii="Arial" w:cs="Arial" w:eastAsia="Arial" w:hAnsi="Arial"/>
                <w:sz w:val="18"/>
                <w:szCs w:val="18"/>
                <w:b w:val="1"/>
                <w:bCs w:val="1"/>
                <w:color w:val="auto"/>
                <w:w w:val="97"/>
              </w:rPr>
              <w:t>3131 Las Vegas Boulevard South</w:t>
            </w:r>
          </w:p>
        </w:tc>
        <w:tc>
          <w:tcPr>
            <w:tcW w:w="5840" w:type="dxa"/>
            <w:vAlign w:val="bottom"/>
          </w:tcPr>
          <w:p>
            <w:pPr>
              <w:jc w:val="center"/>
              <w:ind w:left="2152"/>
              <w:spacing w:after="0" w:line="202" w:lineRule="exact"/>
              <w:rPr>
                <w:sz w:val="20"/>
                <w:szCs w:val="20"/>
                <w:color w:val="auto"/>
              </w:rPr>
            </w:pPr>
            <w:r>
              <w:rPr>
                <w:rFonts w:ascii="Arial" w:cs="Arial" w:eastAsia="Arial" w:hAnsi="Arial"/>
                <w:sz w:val="18"/>
                <w:szCs w:val="18"/>
                <w:b w:val="1"/>
                <w:bCs w:val="1"/>
                <w:color w:val="auto"/>
                <w:w w:val="97"/>
              </w:rPr>
              <w:t>300 South Grand Avenue, Suite 3400</w:t>
            </w:r>
          </w:p>
        </w:tc>
      </w:tr>
      <w:tr>
        <w:trPr>
          <w:trHeight w:val="203"/>
        </w:trPr>
        <w:tc>
          <w:tcPr>
            <w:tcW w:w="3160" w:type="dxa"/>
            <w:vAlign w:val="bottom"/>
          </w:tcPr>
          <w:p>
            <w:pPr>
              <w:jc w:val="center"/>
              <w:ind w:right="312"/>
              <w:spacing w:after="0" w:line="202" w:lineRule="exact"/>
              <w:rPr>
                <w:sz w:val="20"/>
                <w:szCs w:val="20"/>
                <w:color w:val="auto"/>
              </w:rPr>
            </w:pPr>
            <w:r>
              <w:rPr>
                <w:rFonts w:ascii="Arial" w:cs="Arial" w:eastAsia="Arial" w:hAnsi="Arial"/>
                <w:sz w:val="18"/>
                <w:szCs w:val="18"/>
                <w:b w:val="1"/>
                <w:bCs w:val="1"/>
                <w:color w:val="auto"/>
                <w:w w:val="97"/>
              </w:rPr>
              <w:t>Las Vegas, Nevada 89109</w:t>
            </w:r>
          </w:p>
        </w:tc>
        <w:tc>
          <w:tcPr>
            <w:tcW w:w="5840" w:type="dxa"/>
            <w:vAlign w:val="bottom"/>
          </w:tcPr>
          <w:p>
            <w:pPr>
              <w:jc w:val="center"/>
              <w:ind w:left="2152"/>
              <w:spacing w:after="0" w:line="202" w:lineRule="exact"/>
              <w:rPr>
                <w:sz w:val="20"/>
                <w:szCs w:val="20"/>
                <w:color w:val="auto"/>
              </w:rPr>
            </w:pPr>
            <w:r>
              <w:rPr>
                <w:rFonts w:ascii="Arial" w:cs="Arial" w:eastAsia="Arial" w:hAnsi="Arial"/>
                <w:sz w:val="18"/>
                <w:szCs w:val="18"/>
                <w:b w:val="1"/>
                <w:bCs w:val="1"/>
                <w:color w:val="auto"/>
                <w:w w:val="97"/>
              </w:rPr>
              <w:t>Los Angeles, California 90071</w:t>
            </w:r>
          </w:p>
        </w:tc>
      </w:tr>
      <w:tr>
        <w:trPr>
          <w:trHeight w:val="233"/>
        </w:trPr>
        <w:tc>
          <w:tcPr>
            <w:tcW w:w="3160" w:type="dxa"/>
            <w:vAlign w:val="bottom"/>
          </w:tcPr>
          <w:p>
            <w:pPr>
              <w:jc w:val="center"/>
              <w:ind w:right="312"/>
              <w:spacing w:after="0"/>
              <w:rPr>
                <w:sz w:val="20"/>
                <w:szCs w:val="20"/>
                <w:color w:val="auto"/>
              </w:rPr>
            </w:pPr>
            <w:r>
              <w:rPr>
                <w:rFonts w:ascii="Arial" w:cs="Arial" w:eastAsia="Arial" w:hAnsi="Arial"/>
                <w:sz w:val="18"/>
                <w:szCs w:val="18"/>
                <w:b w:val="1"/>
                <w:bCs w:val="1"/>
                <w:color w:val="auto"/>
                <w:w w:val="97"/>
              </w:rPr>
              <w:t>(702) 770-7555</w:t>
            </w:r>
          </w:p>
        </w:tc>
        <w:tc>
          <w:tcPr>
            <w:tcW w:w="5840" w:type="dxa"/>
            <w:vAlign w:val="bottom"/>
          </w:tcPr>
          <w:p>
            <w:pPr>
              <w:jc w:val="center"/>
              <w:ind w:left="2152"/>
              <w:spacing w:after="0"/>
              <w:rPr>
                <w:sz w:val="20"/>
                <w:szCs w:val="20"/>
                <w:color w:val="auto"/>
              </w:rPr>
            </w:pPr>
            <w:r>
              <w:rPr>
                <w:rFonts w:ascii="Arial" w:cs="Arial" w:eastAsia="Arial" w:hAnsi="Arial"/>
                <w:sz w:val="18"/>
                <w:szCs w:val="18"/>
                <w:b w:val="1"/>
                <w:bCs w:val="1"/>
                <w:color w:val="auto"/>
                <w:w w:val="97"/>
              </w:rPr>
              <w:t>(213)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121285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time to time after this registration statement becomes effective.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112395</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82" w:lineRule="exact"/>
        <w:rPr>
          <w:sz w:val="24"/>
          <w:szCs w:val="24"/>
          <w:color w:val="auto"/>
        </w:rPr>
      </w:pPr>
    </w:p>
    <w:p>
      <w:pPr>
        <w:ind w:right="420" w:firstLine="342"/>
        <w:spacing w:after="0" w:line="217"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94" w:lineRule="exact"/>
        <w:rPr>
          <w:sz w:val="24"/>
          <w:szCs w:val="24"/>
          <w:color w:val="auto"/>
        </w:rPr>
      </w:pPr>
    </w:p>
    <w:p>
      <w:pPr>
        <w:ind w:right="340" w:firstLine="342"/>
        <w:spacing w:after="0" w:line="21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94" w:lineRule="exact"/>
        <w:rPr>
          <w:sz w:val="24"/>
          <w:szCs w:val="24"/>
          <w:color w:val="auto"/>
        </w:rPr>
      </w:pPr>
    </w:p>
    <w:p>
      <w:pPr>
        <w:ind w:right="140" w:firstLine="342"/>
        <w:spacing w:after="0" w:line="21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4" w:lineRule="exact"/>
        <w:rPr>
          <w:sz w:val="24"/>
          <w:szCs w:val="24"/>
          <w:color w:val="auto"/>
        </w:rPr>
      </w:pPr>
    </w:p>
    <w:p>
      <w:pPr>
        <w:ind w:firstLine="342"/>
        <w:spacing w:after="0" w:line="217"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94" w:lineRule="exact"/>
        <w:rPr>
          <w:sz w:val="24"/>
          <w:szCs w:val="24"/>
          <w:color w:val="auto"/>
        </w:rPr>
      </w:pPr>
    </w:p>
    <w:p>
      <w:pPr>
        <w:ind w:right="220" w:firstLine="342"/>
        <w:spacing w:after="0" w:line="217"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94" w:lineRule="exact"/>
        <w:rPr>
          <w:sz w:val="24"/>
          <w:szCs w:val="24"/>
          <w:color w:val="auto"/>
        </w:rPr>
      </w:pPr>
    </w:p>
    <w:p>
      <w:pPr>
        <w:ind w:right="580" w:firstLine="342"/>
        <w:spacing w:after="0" w:line="217"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560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Amount to be registered/</w:t>
            </w:r>
          </w:p>
        </w:tc>
      </w:tr>
      <w:tr>
        <w:trPr>
          <w:trHeight w:val="149"/>
        </w:trPr>
        <w:tc>
          <w:tcPr>
            <w:tcW w:w="5820" w:type="dxa"/>
            <w:vAlign w:val="bottom"/>
          </w:tcPr>
          <w:p>
            <w:pPr>
              <w:spacing w:after="0"/>
              <w:rPr>
                <w:sz w:val="12"/>
                <w:szCs w:val="12"/>
                <w:color w:val="auto"/>
              </w:rPr>
            </w:pPr>
          </w:p>
        </w:tc>
        <w:tc>
          <w:tcPr>
            <w:tcW w:w="56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proposed maximum offering price per unit/</w:t>
            </w:r>
          </w:p>
        </w:tc>
      </w:tr>
      <w:tr>
        <w:trPr>
          <w:trHeight w:val="149"/>
        </w:trPr>
        <w:tc>
          <w:tcPr>
            <w:tcW w:w="5820" w:type="dxa"/>
            <w:vAlign w:val="bottom"/>
          </w:tcPr>
          <w:p>
            <w:pPr>
              <w:spacing w:after="0"/>
              <w:rPr>
                <w:sz w:val="12"/>
                <w:szCs w:val="12"/>
                <w:color w:val="auto"/>
              </w:rPr>
            </w:pPr>
          </w:p>
        </w:tc>
        <w:tc>
          <w:tcPr>
            <w:tcW w:w="5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6"/>
              </w:rPr>
              <w:t>proposed maximum aggregate offering price/</w:t>
            </w:r>
          </w:p>
        </w:tc>
      </w:tr>
      <w:tr>
        <w:trPr>
          <w:trHeight w:val="179"/>
        </w:trPr>
        <w:tc>
          <w:tcPr>
            <w:tcW w:w="58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56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6"/>
              </w:rPr>
              <w:t>amount of registration fee</w:t>
            </w:r>
          </w:p>
        </w:tc>
      </w:tr>
      <w:tr>
        <w:trPr>
          <w:trHeight w:val="208"/>
        </w:trPr>
        <w:tc>
          <w:tcPr>
            <w:tcW w:w="5820" w:type="dxa"/>
            <w:vAlign w:val="bottom"/>
          </w:tcPr>
          <w:p>
            <w:pPr>
              <w:spacing w:after="0"/>
              <w:rPr>
                <w:sz w:val="20"/>
                <w:szCs w:val="20"/>
                <w:color w:val="auto"/>
              </w:rPr>
            </w:pPr>
            <w:r>
              <w:rPr>
                <w:rFonts w:ascii="Arial" w:cs="Arial" w:eastAsia="Arial" w:hAnsi="Arial"/>
                <w:sz w:val="18"/>
                <w:szCs w:val="18"/>
                <w:color w:val="auto"/>
              </w:rPr>
              <w:t>Common Stock, par value $.01 per share</w:t>
            </w:r>
          </w:p>
        </w:tc>
        <w:tc>
          <w:tcPr>
            <w:tcW w:w="5600" w:type="dxa"/>
            <w:vAlign w:val="bottom"/>
          </w:tcPr>
          <w:p>
            <w:pPr>
              <w:jc w:val="center"/>
              <w:ind w:left="68"/>
              <w:spacing w:after="0"/>
              <w:rPr>
                <w:sz w:val="20"/>
                <w:szCs w:val="20"/>
                <w:color w:val="auto"/>
              </w:rPr>
            </w:pPr>
            <w:r>
              <w:rPr>
                <w:rFonts w:ascii="Arial" w:cs="Arial" w:eastAsia="Arial" w:hAnsi="Arial"/>
                <w:sz w:val="18"/>
                <w:szCs w:val="18"/>
                <w:color w:val="auto"/>
                <w:w w:val="99"/>
              </w:rPr>
              <w:t>(1)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ind w:left="460" w:right="60" w:hanging="452"/>
        <w:spacing w:after="0" w:line="23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registers an unspecified amount of common stock as may from time to time be offered at an indeterminate price. The registrant is relying upon Rules 456(b) and 457(r) under the Securities Act to defer payment of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10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992755" cy="128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Under this prospectus, we may offer from time to time shares of our common stock to the public.</w:t>
      </w:r>
    </w:p>
    <w:p>
      <w:pPr>
        <w:spacing w:after="0" w:line="26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shares of our common stock.</w:t>
      </w:r>
    </w:p>
    <w:p>
      <w:pPr>
        <w:spacing w:after="0" w:line="26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w:t>
      </w:r>
    </w:p>
    <w:p>
      <w:pPr>
        <w:spacing w:after="0" w:line="24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We urge you to read carefully this prospectus and any prospectus supplement and any other offering material filed or provided by us before you make your investment decision.</w:t>
      </w:r>
    </w:p>
    <w:p>
      <w:pPr>
        <w:spacing w:after="0" w:line="209"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 </w:t>
      </w:r>
      <w:hyperlink w:anchor="page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w:t>
      </w:r>
    </w:p>
    <w:p>
      <w:pPr>
        <w:spacing w:after="0" w:line="27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is September 27, 2007.</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12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67"/>
        </w:trPr>
        <w:tc>
          <w:tcPr>
            <w:tcW w:w="23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ABOUT THIS PROSPECTUS</w:t>
              </w:r>
            </w:hyperlink>
          </w:p>
        </w:tc>
        <w:tc>
          <w:tcPr>
            <w:tcW w:w="1980" w:type="dxa"/>
            <w:vAlign w:val="bottom"/>
            <w:gridSpan w:val="4"/>
          </w:tcPr>
          <w:p>
            <w:pPr>
              <w:spacing w:after="0"/>
              <w:rPr>
                <w:sz w:val="24"/>
                <w:szCs w:val="24"/>
                <w:color w:val="auto"/>
              </w:rPr>
            </w:pPr>
          </w:p>
        </w:tc>
        <w:tc>
          <w:tcPr>
            <w:tcW w:w="7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RISK FACTORS</w:t>
              </w:r>
            </w:hyperlink>
          </w:p>
        </w:tc>
        <w:tc>
          <w:tcPr>
            <w:tcW w:w="3000" w:type="dxa"/>
            <w:vAlign w:val="bottom"/>
            <w:gridSpan w:val="7"/>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9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2"/>
          </w:tcPr>
          <w:p>
            <w:pPr>
              <w:spacing w:after="0"/>
              <w:rPr>
                <w:sz w:val="15"/>
                <w:szCs w:val="15"/>
                <w:color w:val="auto"/>
              </w:rPr>
            </w:pPr>
          </w:p>
        </w:tc>
        <w:tc>
          <w:tcPr>
            <w:tcW w:w="500" w:type="dxa"/>
            <w:vAlign w:val="bottom"/>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9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THE COMPANY</w:t>
              </w:r>
            </w:hyperlink>
          </w:p>
        </w:tc>
        <w:tc>
          <w:tcPr>
            <w:tcW w:w="1340" w:type="dxa"/>
            <w:vAlign w:val="bottom"/>
            <w:gridSpan w:val="2"/>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83"/>
        </w:trPr>
        <w:tc>
          <w:tcPr>
            <w:tcW w:w="17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USE OF PROCEEDS</w:t>
              </w:r>
            </w:hyperlink>
          </w:p>
        </w:tc>
        <w:tc>
          <w:tcPr>
            <w:tcW w:w="2600" w:type="dxa"/>
            <w:vAlign w:val="bottom"/>
            <w:gridSpan w:val="5"/>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LEGAL MATTERS</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144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EXPERTS</w:t>
              </w:r>
            </w:hyperlink>
          </w:p>
        </w:tc>
        <w:tc>
          <w:tcPr>
            <w:tcW w:w="2860" w:type="dxa"/>
            <w:vAlign w:val="bottom"/>
            <w:gridSpan w:val="6"/>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process, we may sell the common stock described in this prospectus in one or more offerings. This prospectus provides you with a general description of the common stock we may offer. Each time we sell common stock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Investing in our common stock involves risks. You are urged to read and carefully consider the information under the heading “Risk Factors” in our Annual Report on Form 10-K for the year ended December 31, 2006,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 this prospectus. The risks and uncertainties that we have described are not the only ones facing us. The prospectus supplement applicable to each offering of common stock will contain additional information about risks applicable to an investment in us and shares of our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SEC’s Public Reference Room at 100 F Street, N.E., Washington, D.C. 20549. You may obtain information on the operation of the Public Reference Room by calling the SEC at 1-800-SEC-0330. The SEC also maintains 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 xml:space="preserve">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(not an active hyperlink) that contains reports, proxy and information statements, and other information regarding issuers, like Wynn Resorts, that file electronically with the SEC. Our filings with the SEC also may be accessed through our Internet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(not an active hyperlink). Our website, and the information contained in, accessible from or connected to our website, shall not be deemed to be incorporated into, or otherwise constitute a part of, this prospectus.</w:t>
      </w:r>
    </w:p>
    <w:p>
      <w:pPr>
        <w:spacing w:after="0" w:line="29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2007 and June 30, 2007;</w:t>
      </w:r>
    </w:p>
    <w:p>
      <w:pPr>
        <w:spacing w:after="0" w:line="76"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on January 11, 2007, February 1, 2007, April 13, 2007, June 7, 2007, June 15, 2007, June 21, 2007, June 29, 2007 and July 5, 2007;</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ind w:left="900"/>
        <w:spacing w:after="0" w:line="234" w:lineRule="auto"/>
        <w:rPr>
          <w:sz w:val="20"/>
          <w:szCs w:val="20"/>
          <w:color w:val="auto"/>
        </w:rPr>
      </w:pPr>
      <w:r>
        <w:rPr>
          <w:rFonts w:ascii="Arial" w:cs="Arial" w:eastAsia="Arial" w:hAnsi="Arial"/>
          <w:sz w:val="18"/>
          <w:szCs w:val="18"/>
          <w:color w:val="auto"/>
        </w:rPr>
        <w:t>3131 Las Vegas Boulevard South</w:t>
      </w:r>
    </w:p>
    <w:p>
      <w:pPr>
        <w:ind w:left="900"/>
        <w:spacing w:after="0" w:line="235" w:lineRule="auto"/>
        <w:rPr>
          <w:sz w:val="20"/>
          <w:szCs w:val="20"/>
          <w:color w:val="auto"/>
        </w:rPr>
      </w:pPr>
      <w:r>
        <w:rPr>
          <w:rFonts w:ascii="Arial" w:cs="Arial" w:eastAsia="Arial" w:hAnsi="Arial"/>
          <w:sz w:val="18"/>
          <w:szCs w:val="18"/>
          <w:color w:val="auto"/>
        </w:rPr>
        <w:t>Las Vegas, Nevada 89109</w:t>
      </w:r>
    </w:p>
    <w:p>
      <w:pPr>
        <w:ind w:left="90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This prospectus, including the documents incorporated by reference in this prospectus, contain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prospectus, including the documents incorporated by reference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55" w:lineRule="exact"/>
        <w:rPr>
          <w:sz w:val="20"/>
          <w:szCs w:val="20"/>
          <w:color w:val="auto"/>
        </w:rPr>
      </w:pPr>
    </w:p>
    <w:p>
      <w:pPr>
        <w:ind w:left="780" w:right="36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 of the second phase of our Wynn Macau casino resort on time and within budget;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73" w:lineRule="exact"/>
        <w:rPr>
          <w:rFonts w:ascii="Arial" w:cs="Arial" w:eastAsia="Arial" w:hAnsi="Arial"/>
          <w:sz w:val="18"/>
          <w:szCs w:val="18"/>
          <w:color w:val="auto"/>
        </w:rPr>
      </w:pPr>
    </w:p>
    <w:p>
      <w:pPr>
        <w:ind w:left="780" w:right="84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developing gaming regulatory framework);</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8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the sections entitled “Risk Factors” in our Annual Report on Form 10-K for the year ended December 31, 2006,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180"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which opened on September 6, 2006. In addition, on April 28, 2006, we commenced construction of Encore at Wynn Las Vegas, a hotel casino resort which, when completed, will be fully integrated with Wynn Las Vegas. We are also currently expanding Wynn Macau and in November 2006, announced “Wynn Diamond Suites” an additional hotel tower for Wynn Macau. Until the opening of Wynn Las Vegas in 2005, we were solely a development stage company.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July 2007:</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Approximate</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Hotel</w:t>
            </w:r>
          </w:p>
        </w:tc>
        <w:tc>
          <w:tcPr>
            <w:tcW w:w="620" w:type="dxa"/>
            <w:vAlign w:val="bottom"/>
          </w:tcPr>
          <w:p>
            <w:pPr>
              <w:spacing w:after="0"/>
              <w:rPr>
                <w:sz w:val="12"/>
                <w:szCs w:val="12"/>
                <w:color w:val="auto"/>
              </w:rPr>
            </w:pP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Casino</w:t>
            </w: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2"/>
                <w:szCs w:val="12"/>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Rooms &amp;</w:t>
            </w:r>
          </w:p>
        </w:tc>
        <w:tc>
          <w:tcPr>
            <w:tcW w:w="6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Square</w:t>
            </w: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78"/>
        </w:trPr>
        <w:tc>
          <w:tcPr>
            <w:tcW w:w="59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Suites</w:t>
            </w:r>
          </w:p>
        </w:tc>
        <w:tc>
          <w:tcPr>
            <w:tcW w:w="6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Footage</w:t>
            </w:r>
          </w:p>
        </w:tc>
        <w:tc>
          <w:tcPr>
            <w:tcW w:w="600" w:type="dxa"/>
            <w:vAlign w:val="bottom"/>
          </w:tcPr>
          <w:p>
            <w:pPr>
              <w:spacing w:after="0"/>
              <w:rPr>
                <w:sz w:val="15"/>
                <w:szCs w:val="15"/>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Games</w:t>
            </w:r>
          </w:p>
        </w:tc>
        <w:tc>
          <w:tcPr>
            <w:tcW w:w="600" w:type="dxa"/>
            <w:vAlign w:val="bottom"/>
          </w:tcPr>
          <w:p>
            <w:pPr>
              <w:spacing w:after="0"/>
              <w:rPr>
                <w:sz w:val="15"/>
                <w:szCs w:val="15"/>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Slots</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Wynn Las Vegas</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2,716</w:t>
            </w:r>
          </w:p>
        </w:tc>
        <w:tc>
          <w:tcPr>
            <w:tcW w:w="2060" w:type="dxa"/>
            <w:vAlign w:val="bottom"/>
            <w:gridSpan w:val="3"/>
            <w:shd w:val="clear" w:color="auto" w:fill="CCEEFF"/>
          </w:tcPr>
          <w:p>
            <w:pPr>
              <w:ind w:left="820"/>
              <w:spacing w:after="0" w:line="196" w:lineRule="exact"/>
              <w:rPr>
                <w:sz w:val="20"/>
                <w:szCs w:val="20"/>
                <w:color w:val="auto"/>
              </w:rPr>
            </w:pPr>
            <w:r>
              <w:rPr>
                <w:rFonts w:ascii="Arial" w:cs="Arial" w:eastAsia="Arial" w:hAnsi="Arial"/>
                <w:sz w:val="18"/>
                <w:szCs w:val="18"/>
                <w:color w:val="auto"/>
              </w:rPr>
              <w:t>111,000</w:t>
            </w:r>
          </w:p>
        </w:tc>
        <w:tc>
          <w:tcPr>
            <w:tcW w:w="128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146</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w:t>
            </w:r>
          </w:p>
        </w:tc>
      </w:tr>
      <w:tr>
        <w:trPr>
          <w:trHeight w:val="214"/>
        </w:trPr>
        <w:tc>
          <w:tcPr>
            <w:tcW w:w="5900" w:type="dxa"/>
            <w:vAlign w:val="bottom"/>
          </w:tcPr>
          <w:p>
            <w:pPr>
              <w:spacing w:after="0"/>
              <w:rPr>
                <w:sz w:val="20"/>
                <w:szCs w:val="20"/>
                <w:color w:val="auto"/>
              </w:rPr>
            </w:pPr>
            <w:r>
              <w:rPr>
                <w:rFonts w:ascii="Arial" w:cs="Arial" w:eastAsia="Arial" w:hAnsi="Arial"/>
                <w:sz w:val="18"/>
                <w:szCs w:val="18"/>
                <w:color w:val="auto"/>
              </w:rPr>
              <w:t>Wynn Macau</w:t>
            </w: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3"/>
          </w:tcPr>
          <w:p>
            <w:pPr>
              <w:ind w:left="820"/>
              <w:spacing w:after="0"/>
              <w:rPr>
                <w:sz w:val="20"/>
                <w:szCs w:val="20"/>
                <w:color w:val="auto"/>
              </w:rPr>
            </w:pPr>
            <w:r>
              <w:rPr>
                <w:rFonts w:ascii="Arial" w:cs="Arial" w:eastAsia="Arial" w:hAnsi="Arial"/>
                <w:sz w:val="18"/>
                <w:szCs w:val="18"/>
                <w:color w:val="auto"/>
              </w:rPr>
              <w:t>130,000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283</w:t>
            </w:r>
          </w:p>
        </w:tc>
        <w:tc>
          <w:tcPr>
            <w:tcW w:w="680" w:type="dxa"/>
            <w:vAlign w:val="bottom"/>
          </w:tcPr>
          <w:p>
            <w:pPr>
              <w:jc w:val="right"/>
              <w:spacing w:after="0"/>
              <w:rPr>
                <w:sz w:val="20"/>
                <w:szCs w:val="20"/>
                <w:color w:val="auto"/>
              </w:rPr>
            </w:pPr>
            <w:r>
              <w:rPr>
                <w:rFonts w:ascii="Arial" w:cs="Arial" w:eastAsia="Arial" w:hAnsi="Arial"/>
                <w:sz w:val="18"/>
                <w:szCs w:val="18"/>
                <w:color w:val="auto"/>
              </w:rPr>
              <w:t>708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0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73" w:lineRule="exact"/>
        <w:rPr>
          <w:rFonts w:ascii="Arial" w:cs="Arial" w:eastAsia="Arial" w:hAnsi="Arial"/>
          <w:sz w:val="18"/>
          <w:szCs w:val="18"/>
          <w:color w:val="auto"/>
        </w:rPr>
      </w:pPr>
    </w:p>
    <w:p>
      <w:pPr>
        <w:ind w:left="780" w:right="24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and Mobil Five Star award-winning restaurant, Alex;</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76"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Jean-Paul Gaultier, Louis Vuitton and Manolo Blahnik;</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five swimming pools, private cabanas and full service spa and salon; and</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58"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In March 2007, we remodeled the Le Rêve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Rêve. Also, in March 2007, we commenced performances of “Monty Python’s Spamalot” in our Grail Theatre.</w:t>
      </w:r>
    </w:p>
    <w:p>
      <w:pPr>
        <w:spacing w:after="0" w:line="15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March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is located on 11 acres of a total site area of 16 acres of land and features:</w:t>
      </w:r>
    </w:p>
    <w:p>
      <w:pPr>
        <w:spacing w:after="0" w:line="7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approximately 130,000 square foot casino offering 24-hour gaming and a full range of games, including private gaming salons;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Bulgari, Chanel, Dior, Fendi, Giorgio Armani, Louis Vuitton, Piaget, Prada, Tiffany, and others;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Construction and development continues on the second phase. This phase includes additional gaming space, a dramatic front feature attraction, a theater showroom and additional food, beverage and retail amenities. In September 2007, we opened approximately 20,000 square feet of additional gaming space and one restaurant at Wynn Macau in this second phase. The remaining portion of the expansion is expected to open by Chinese New Year, 2008. After the completion of the expansion, Wynn Macau is expected to have a total of approximately 380 table games and 1,200 slot machines.</w:t>
      </w:r>
    </w:p>
    <w:p>
      <w:pPr>
        <w:spacing w:after="0" w:line="15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In July 2007, Wynn Macau S.A. issued a notice to proceed to the general contractor with respect to approximately $347.8 million of construction costs relating to the construction of Wynn Diamond Suites. While the complete project budget is still being finalized, we expect the costs to be in the range of $550 to $600 million. We expect Wynn Diamond Suites to open to the public in the first half of 2010. First announced in November 2006, Wynn Diamond Suites will be fully integrated into Wynn Macau and is expected to have 400 luxury suites and villas.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Development</w:t>
      </w:r>
    </w:p>
    <w:p>
      <w:pPr>
        <w:spacing w:after="0" w:line="9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Unless otherwise specified in connection with the particular offering of common stock, certain legal matters regarding the offering of the common stock pursuant to this prospectus will be passed upon for us by Brownstein Hyatt Farber Schreck, P.C., Las Vegas, Nevada.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6"/>
          <w:szCs w:val="16"/>
          <w:color w:val="auto"/>
        </w:rPr>
        <w:t>The consolidated financial statements of Wynn Resorts, Limited appearing in Wynn Resorts, Limited’s Annual Report on Form 10-K for the year ended December 31, 2006 (including financial statement schedules appearing therein) and Wynn Resorts, Limited’s management’s assessment of the effectiveness of internal control over financial reporting as of December 31, 2006 included therein, have been audited by Ernst</w:t>
      </w:r>
    </w:p>
    <w:p>
      <w:pPr>
        <w:spacing w:after="0" w:line="1" w:lineRule="exact"/>
        <w:rPr>
          <w:sz w:val="20"/>
          <w:szCs w:val="20"/>
          <w:color w:val="auto"/>
        </w:rPr>
      </w:pPr>
    </w:p>
    <w:p>
      <w:pPr>
        <w:jc w:val="both"/>
        <w:ind w:right="420" w:firstLine="8"/>
        <w:spacing w:after="0" w:line="238" w:lineRule="auto"/>
        <w:tabs>
          <w:tab w:leader="none" w:pos="166"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and related financial statement schedules, of Wynn Resorts, Limited as of the year ended</w:t>
      </w:r>
    </w:p>
    <w:p>
      <w:pPr>
        <w:spacing w:after="0"/>
        <w:rPr>
          <w:sz w:val="20"/>
          <w:szCs w:val="20"/>
          <w:color w:val="auto"/>
        </w:rPr>
      </w:pPr>
      <w:r>
        <w:rPr>
          <w:rFonts w:ascii="Arial" w:cs="Arial" w:eastAsia="Arial" w:hAnsi="Arial"/>
          <w:sz w:val="16"/>
          <w:szCs w:val="16"/>
          <w:color w:val="auto"/>
        </w:rPr>
        <w:t>December 31, 2005 and for each of the two years in the period ended December 31, 2005, incorporated in this prospectus by reference from Wynn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Resorts’ Annual Report on Form 10-K for the year ended December 31, 2006, have been audited by Deloitte &amp; Touche LLP, an independent</w:t>
      </w:r>
    </w:p>
    <w:p>
      <w:pPr>
        <w:spacing w:after="0"/>
        <w:rPr>
          <w:sz w:val="20"/>
          <w:szCs w:val="20"/>
          <w:color w:val="auto"/>
        </w:rPr>
      </w:pPr>
      <w:r>
        <w:rPr>
          <w:rFonts w:ascii="Arial" w:cs="Arial" w:eastAsia="Arial" w:hAnsi="Arial"/>
          <w:sz w:val="16"/>
          <w:szCs w:val="16"/>
          <w:color w:val="auto"/>
        </w:rPr>
        <w:t>registered public accounting firm, as stated in their report, which is incorporated herein by reference and has been so incorporated in reliance upon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report of such firm given upon their authority as experts in accounting and auditing.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are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 registration fee</w:t>
      </w:r>
    </w:p>
    <w:p>
      <w:pPr>
        <w:ind w:left="460"/>
        <w:spacing w:after="0" w:line="234"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ind w:left="460"/>
        <w:spacing w:after="0" w:line="235" w:lineRule="auto"/>
        <w:rPr>
          <w:sz w:val="20"/>
          <w:szCs w:val="20"/>
          <w:color w:val="auto"/>
        </w:rPr>
      </w:pPr>
      <w:r>
        <w:rPr>
          <w:rFonts w:ascii="Arial" w:cs="Arial" w:eastAsia="Arial" w:hAnsi="Arial"/>
          <w:sz w:val="18"/>
          <w:szCs w:val="18"/>
          <w:color w:val="auto"/>
        </w:rPr>
        <w:t>Legal fees and expenses</w:t>
      </w:r>
    </w:p>
    <w:p>
      <w:pPr>
        <w:ind w:left="460"/>
        <w:spacing w:after="0" w:line="235" w:lineRule="auto"/>
        <w:rPr>
          <w:sz w:val="20"/>
          <w:szCs w:val="20"/>
          <w:color w:val="auto"/>
        </w:rPr>
      </w:pPr>
      <w:r>
        <w:rPr>
          <w:rFonts w:ascii="Arial" w:cs="Arial" w:eastAsia="Arial" w:hAnsi="Arial"/>
          <w:sz w:val="18"/>
          <w:szCs w:val="18"/>
          <w:color w:val="auto"/>
        </w:rPr>
        <w:t>Printing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-1270</wp:posOffset>
            </wp:positionV>
            <wp:extent cx="666369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ind w:left="460"/>
        <w:spacing w:after="0" w:line="235" w:lineRule="auto"/>
        <w:rPr>
          <w:sz w:val="20"/>
          <w:szCs w:val="20"/>
          <w:color w:val="auto"/>
        </w:rPr>
      </w:pPr>
      <w:r>
        <w:rPr>
          <w:rFonts w:ascii="Arial" w:cs="Arial" w:eastAsia="Arial" w:hAnsi="Arial"/>
          <w:sz w:val="18"/>
          <w:szCs w:val="18"/>
          <w:color w:val="auto"/>
        </w:rPr>
        <w:t>Nasdaq listing fee</w:t>
      </w:r>
    </w:p>
    <w:p>
      <w:pPr>
        <w:ind w:left="46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666369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46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59" w:lineRule="exact"/>
        <w:rPr>
          <w:sz w:val="20"/>
          <w:szCs w:val="20"/>
          <w:color w:val="auto"/>
        </w:rPr>
      </w:pPr>
    </w:p>
    <w:p>
      <w:pPr>
        <w:ind w:right="4938" w:firstLine="8"/>
        <w:spacing w:after="0" w:line="299"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Payable in accordance with Rules 456(b) and 457(r). ** This information is unknown at the time of filing.</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682" w:hanging="682"/>
        <w:spacing w:after="0"/>
        <w:tabs>
          <w:tab w:leader="none" w:pos="682" w:val="left"/>
        </w:tabs>
        <w:numPr>
          <w:ilvl w:val="0"/>
          <w:numId w:val="10"/>
        </w:numPr>
        <w:rPr>
          <w:rFonts w:ascii="Arial" w:cs="Arial" w:eastAsia="Arial" w:hAnsi="Arial"/>
          <w:sz w:val="15"/>
          <w:szCs w:val="15"/>
          <w:color w:val="auto"/>
        </w:rPr>
      </w:pPr>
      <w:r>
        <w:rPr>
          <w:rFonts w:ascii="Arial" w:cs="Arial" w:eastAsia="Arial" w:hAnsi="Arial"/>
          <w:sz w:val="15"/>
          <w:szCs w:val="15"/>
          <w:color w:val="auto"/>
        </w:rPr>
        <w:t>*</w:t>
      </w:r>
    </w:p>
    <w:p>
      <w:pPr>
        <w:spacing w:after="0" w:line="26"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50,000</w:t>
      </w:r>
    </w:p>
    <w:p>
      <w:pPr>
        <w:jc w:val="right"/>
        <w:ind w:right="440"/>
        <w:spacing w:after="0" w:line="234" w:lineRule="auto"/>
        <w:rPr>
          <w:sz w:val="20"/>
          <w:szCs w:val="20"/>
          <w:color w:val="auto"/>
        </w:rPr>
      </w:pPr>
      <w:r>
        <w:rPr>
          <w:rFonts w:ascii="Arial" w:cs="Arial" w:eastAsia="Arial" w:hAnsi="Arial"/>
          <w:sz w:val="18"/>
          <w:szCs w:val="18"/>
          <w:color w:val="auto"/>
        </w:rPr>
        <w:t>200,000</w:t>
      </w:r>
    </w:p>
    <w:p>
      <w:pPr>
        <w:jc w:val="right"/>
        <w:ind w:right="440"/>
        <w:spacing w:after="0" w:line="235" w:lineRule="auto"/>
        <w:rPr>
          <w:sz w:val="20"/>
          <w:szCs w:val="20"/>
          <w:color w:val="auto"/>
        </w:rPr>
      </w:pPr>
      <w:r>
        <w:rPr>
          <w:rFonts w:ascii="Arial" w:cs="Arial" w:eastAsia="Arial" w:hAnsi="Arial"/>
          <w:sz w:val="18"/>
          <w:szCs w:val="18"/>
          <w:color w:val="auto"/>
        </w:rPr>
        <w:t>25,000</w:t>
      </w:r>
    </w:p>
    <w:p>
      <w:pPr>
        <w:jc w:val="right"/>
        <w:ind w:right="440"/>
        <w:spacing w:after="0" w:line="235"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718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3" w:lineRule="exact"/>
        <w:rPr>
          <w:sz w:val="20"/>
          <w:szCs w:val="20"/>
          <w:color w:val="auto"/>
        </w:rPr>
      </w:pPr>
    </w:p>
    <w:p>
      <w:pPr>
        <w:ind w:left="602" w:hanging="602"/>
        <w:spacing w:after="0"/>
        <w:tabs>
          <w:tab w:leader="none" w:pos="6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4718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471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928" w:lineRule="exact"/>
        <w:rPr>
          <w:sz w:val="20"/>
          <w:szCs w:val="20"/>
          <w:color w:val="auto"/>
        </w:rPr>
      </w:pPr>
    </w:p>
    <w:p>
      <w:pPr>
        <w:sectPr>
          <w:pgSz w:w="11900" w:h="16838" w:orient="portrait"/>
          <w:cols w:equalWidth="0" w:num="2">
            <w:col w:w="9498" w:space="720"/>
            <w:col w:w="1182"/>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w:t>
      </w:r>
    </w:p>
    <w:p>
      <w:pPr>
        <w:spacing w:after="0" w:line="1" w:lineRule="exact"/>
        <w:rPr>
          <w:sz w:val="20"/>
          <w:szCs w:val="20"/>
          <w:color w:val="auto"/>
        </w:rPr>
      </w:pPr>
    </w:p>
    <w:p>
      <w:pPr>
        <w:ind w:firstLine="8"/>
        <w:spacing w:after="0" w:line="235" w:lineRule="auto"/>
        <w:tabs>
          <w:tab w:leader="none" w:pos="2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61"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1020" w:type="dxa"/>
            <w:vAlign w:val="bottom"/>
          </w:tcPr>
          <w:p>
            <w:pPr>
              <w:spacing w:after="0"/>
              <w:rPr>
                <w:sz w:val="15"/>
                <w:szCs w:val="15"/>
                <w:color w:val="auto"/>
              </w:rPr>
            </w:pPr>
          </w:p>
        </w:tc>
        <w:tc>
          <w:tcPr>
            <w:tcW w:w="9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9"/>
        </w:trPr>
        <w:tc>
          <w:tcPr>
            <w:tcW w:w="1740" w:type="dxa"/>
            <w:vAlign w:val="bottom"/>
            <w:gridSpan w:val="2"/>
          </w:tcPr>
          <w:p>
            <w:pPr>
              <w:jc w:val="right"/>
              <w:ind w:right="1020"/>
              <w:spacing w:after="0" w:line="200" w:lineRule="exact"/>
              <w:rPr>
                <w:sz w:val="20"/>
                <w:szCs w:val="20"/>
                <w:color w:val="auto"/>
              </w:rPr>
            </w:pPr>
            <w:r>
              <w:rPr>
                <w:rFonts w:ascii="Arial" w:cs="Arial" w:eastAsia="Arial" w:hAnsi="Arial"/>
                <w:sz w:val="18"/>
                <w:szCs w:val="18"/>
                <w:color w:val="auto"/>
              </w:rPr>
              <w:t>4.1</w:t>
            </w:r>
          </w:p>
        </w:tc>
        <w:tc>
          <w:tcPr>
            <w:tcW w:w="9680" w:type="dxa"/>
            <w:vAlign w:val="bottom"/>
          </w:tcPr>
          <w:p>
            <w:pPr>
              <w:spacing w:after="0" w:line="200" w:lineRule="exact"/>
              <w:rPr>
                <w:sz w:val="20"/>
                <w:szCs w:val="20"/>
                <w:color w:val="auto"/>
              </w:rPr>
            </w:pPr>
            <w:r>
              <w:rPr>
                <w:rFonts w:ascii="Arial" w:cs="Arial" w:eastAsia="Arial" w:hAnsi="Arial"/>
                <w:sz w:val="18"/>
                <w:szCs w:val="18"/>
                <w:color w:val="auto"/>
                <w:w w:val="97"/>
              </w:rPr>
              <w:t>Second Amended and Restated Articles of Incorporation of the Registrant (incorporated by reference to Amendment No. 4 to</w:t>
            </w:r>
          </w:p>
        </w:tc>
      </w:tr>
      <w:tr>
        <w:trPr>
          <w:trHeight w:val="211"/>
        </w:trPr>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the Form S-1 filed by the Registrant on October 7, 2002 (File No. 333-90600))</w:t>
            </w:r>
          </w:p>
        </w:tc>
      </w:tr>
      <w:tr>
        <w:trPr>
          <w:trHeight w:val="302"/>
        </w:trPr>
        <w:tc>
          <w:tcPr>
            <w:tcW w:w="1740" w:type="dxa"/>
            <w:vAlign w:val="bottom"/>
            <w:gridSpan w:val="2"/>
          </w:tcPr>
          <w:p>
            <w:pPr>
              <w:jc w:val="right"/>
              <w:ind w:right="1020"/>
              <w:spacing w:after="0"/>
              <w:rPr>
                <w:sz w:val="20"/>
                <w:szCs w:val="20"/>
                <w:color w:val="auto"/>
              </w:rPr>
            </w:pPr>
            <w:r>
              <w:rPr>
                <w:rFonts w:ascii="Arial" w:cs="Arial" w:eastAsia="Arial" w:hAnsi="Arial"/>
                <w:sz w:val="18"/>
                <w:szCs w:val="18"/>
                <w:color w:val="auto"/>
              </w:rPr>
              <w:t>4.2</w:t>
            </w:r>
          </w:p>
        </w:tc>
        <w:tc>
          <w:tcPr>
            <w:tcW w:w="9680" w:type="dxa"/>
            <w:vAlign w:val="bottom"/>
          </w:tcPr>
          <w:p>
            <w:pPr>
              <w:spacing w:after="0"/>
              <w:rPr>
                <w:sz w:val="20"/>
                <w:szCs w:val="20"/>
                <w:color w:val="auto"/>
              </w:rPr>
            </w:pPr>
            <w:r>
              <w:rPr>
                <w:rFonts w:ascii="Arial" w:cs="Arial" w:eastAsia="Arial" w:hAnsi="Arial"/>
                <w:sz w:val="18"/>
                <w:szCs w:val="18"/>
                <w:color w:val="auto"/>
                <w:w w:val="98"/>
              </w:rPr>
              <w:t>Fourth Amended and Restated Bylaws of the Registrant, as amended (incorporated by reference to the Quarterly Report on</w:t>
            </w:r>
          </w:p>
        </w:tc>
      </w:tr>
      <w:tr>
        <w:trPr>
          <w:trHeight w:val="211"/>
        </w:trPr>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Form 10-Q filed by the Registrant on August 9, 2007)</w:t>
            </w:r>
          </w:p>
        </w:tc>
      </w:tr>
      <w:tr>
        <w:trPr>
          <w:trHeight w:val="311"/>
        </w:trPr>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020" w:type="dxa"/>
            <w:vAlign w:val="bottom"/>
          </w:tcPr>
          <w:p>
            <w:pPr>
              <w:spacing w:after="0"/>
              <w:rPr>
                <w:sz w:val="24"/>
                <w:szCs w:val="24"/>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Opinion of Brownstein Hyatt Farber Schreck, P.C.</w:t>
            </w:r>
          </w:p>
        </w:tc>
      </w:tr>
      <w:tr>
        <w:trPr>
          <w:trHeight w:val="311"/>
        </w:trPr>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1020" w:type="dxa"/>
            <w:vAlign w:val="bottom"/>
          </w:tcPr>
          <w:p>
            <w:pPr>
              <w:spacing w:after="0"/>
              <w:rPr>
                <w:sz w:val="24"/>
                <w:szCs w:val="24"/>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311"/>
        </w:trPr>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1020" w:type="dxa"/>
            <w:vAlign w:val="bottom"/>
          </w:tcPr>
          <w:p>
            <w:pPr>
              <w:spacing w:after="0"/>
              <w:rPr>
                <w:sz w:val="24"/>
                <w:szCs w:val="24"/>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Consent of Deloitte &amp; Touche LLP</w:t>
            </w:r>
          </w:p>
        </w:tc>
      </w:tr>
      <w:tr>
        <w:trPr>
          <w:trHeight w:val="311"/>
        </w:trPr>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1020" w:type="dxa"/>
            <w:vAlign w:val="bottom"/>
          </w:tcPr>
          <w:p>
            <w:pPr>
              <w:spacing w:after="0"/>
              <w:rPr>
                <w:sz w:val="24"/>
                <w:szCs w:val="24"/>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Consent of Brownstein Hyatt Farber Schreck, P.C. (included in Exhibit 5.1)</w:t>
            </w:r>
          </w:p>
        </w:tc>
      </w:tr>
      <w:tr>
        <w:trPr>
          <w:trHeight w:val="302"/>
        </w:trPr>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020" w:type="dxa"/>
            <w:vAlign w:val="bottom"/>
          </w:tcPr>
          <w:p>
            <w:pPr>
              <w:spacing w:after="0"/>
              <w:rPr>
                <w:sz w:val="24"/>
                <w:szCs w:val="24"/>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Powers of Attorney of officers and directors of Wynn Resorts, Limited (included on signature page of this Registration</w:t>
            </w:r>
          </w:p>
        </w:tc>
      </w:tr>
      <w:tr>
        <w:trPr>
          <w:trHeight w:val="211"/>
        </w:trPr>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9" w:lineRule="exact"/>
        <w:rPr>
          <w:sz w:val="20"/>
          <w:szCs w:val="20"/>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40" w:hanging="199"/>
        <w:spacing w:after="0"/>
        <w:tabs>
          <w:tab w:leader="none" w:pos="15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right="40" w:firstLine="421"/>
        <w:spacing w:after="0" w:line="236" w:lineRule="auto"/>
        <w:tabs>
          <w:tab w:leader="none" w:pos="1584"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74" w:lineRule="exact"/>
        <w:rPr>
          <w:rFonts w:ascii="Arial" w:cs="Arial" w:eastAsia="Arial" w:hAnsi="Arial"/>
          <w:sz w:val="18"/>
          <w:szCs w:val="18"/>
          <w:color w:val="auto"/>
        </w:rPr>
      </w:pPr>
    </w:p>
    <w:p>
      <w:pPr>
        <w:ind w:left="920" w:right="20" w:firstLine="421"/>
        <w:spacing w:after="0" w:line="239" w:lineRule="auto"/>
        <w:tabs>
          <w:tab w:leader="none" w:pos="1619"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6" w:lineRule="exact"/>
        <w:rPr>
          <w:sz w:val="20"/>
          <w:szCs w:val="20"/>
          <w:color w:val="auto"/>
        </w:rPr>
      </w:pPr>
    </w:p>
    <w:p>
      <w:pPr>
        <w:ind w:left="920" w:right="120"/>
        <w:spacing w:after="0" w:line="24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(i), (ii) and (iii)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15(d) of the Securities Exchange Act of 1934 that are incorporated by reference in the registration statement, or contained in a form of prospectus filed pursuant to Rule 424(b) that is part of the registration statement;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40" w:firstLine="443"/>
        <w:spacing w:after="0" w:line="238" w:lineRule="auto"/>
        <w:tabs>
          <w:tab w:leader="none" w:pos="11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2" w:lineRule="exact"/>
        <w:rPr>
          <w:rFonts w:ascii="Arial" w:cs="Arial" w:eastAsia="Arial" w:hAnsi="Arial"/>
          <w:sz w:val="18"/>
          <w:szCs w:val="18"/>
          <w:color w:val="auto"/>
        </w:rPr>
      </w:pPr>
    </w:p>
    <w:p>
      <w:pPr>
        <w:ind w:left="460" w:right="120" w:firstLine="443"/>
        <w:spacing w:after="0" w:line="239" w:lineRule="auto"/>
        <w:tabs>
          <w:tab w:leader="none" w:pos="11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3" w:lineRule="exact"/>
        <w:rPr>
          <w:rFonts w:ascii="Arial" w:cs="Arial" w:eastAsia="Arial" w:hAnsi="Arial"/>
          <w:sz w:val="18"/>
          <w:szCs w:val="18"/>
          <w:color w:val="auto"/>
        </w:rPr>
      </w:pPr>
    </w:p>
    <w:p>
      <w:pPr>
        <w:ind w:left="460" w:firstLine="443"/>
        <w:spacing w:after="0" w:line="235" w:lineRule="auto"/>
        <w:tabs>
          <w:tab w:leader="none" w:pos="11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and or made in any such document immediately prior to such effective date; and</w:t>
      </w:r>
    </w:p>
    <w:p>
      <w:pPr>
        <w:spacing w:after="0" w:line="79" w:lineRule="exact"/>
        <w:rPr>
          <w:rFonts w:ascii="Arial" w:cs="Arial" w:eastAsia="Arial" w:hAnsi="Arial"/>
          <w:sz w:val="18"/>
          <w:szCs w:val="18"/>
          <w:color w:val="auto"/>
        </w:rPr>
      </w:pPr>
    </w:p>
    <w:p>
      <w:pPr>
        <w:ind w:left="460" w:right="60" w:firstLine="443"/>
        <w:spacing w:after="0" w:line="236" w:lineRule="auto"/>
        <w:tabs>
          <w:tab w:leader="none" w:pos="11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6" w:lineRule="exact"/>
        <w:rPr>
          <w:rFonts w:ascii="Arial" w:cs="Arial" w:eastAsia="Arial" w:hAnsi="Arial"/>
          <w:sz w:val="18"/>
          <w:szCs w:val="18"/>
          <w:color w:val="auto"/>
        </w:rPr>
      </w:pPr>
    </w:p>
    <w:p>
      <w:pPr>
        <w:ind w:left="920" w:right="160" w:firstLine="421"/>
        <w:spacing w:after="0" w:line="239" w:lineRule="auto"/>
        <w:tabs>
          <w:tab w:leader="none" w:pos="1545"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3" w:lineRule="exact"/>
        <w:rPr>
          <w:rFonts w:ascii="Arial" w:cs="Arial" w:eastAsia="Arial" w:hAnsi="Arial"/>
          <w:sz w:val="18"/>
          <w:szCs w:val="18"/>
          <w:color w:val="auto"/>
        </w:rPr>
      </w:pPr>
    </w:p>
    <w:p>
      <w:pPr>
        <w:ind w:left="920" w:right="20" w:firstLine="421"/>
        <w:spacing w:after="0" w:line="239" w:lineRule="auto"/>
        <w:tabs>
          <w:tab w:leader="none" w:pos="1584"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3" w:lineRule="exact"/>
        <w:rPr>
          <w:rFonts w:ascii="Arial" w:cs="Arial" w:eastAsia="Arial" w:hAnsi="Arial"/>
          <w:sz w:val="18"/>
          <w:szCs w:val="18"/>
          <w:color w:val="auto"/>
        </w:rPr>
      </w:pPr>
    </w:p>
    <w:p>
      <w:pPr>
        <w:ind w:left="920" w:right="120" w:firstLine="421"/>
        <w:spacing w:after="0" w:line="239" w:lineRule="auto"/>
        <w:tabs>
          <w:tab w:leader="none" w:pos="1623"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w:t>
      </w:r>
    </w:p>
    <w:p>
      <w:pPr>
        <w:spacing w:after="0" w:line="76" w:lineRule="exact"/>
        <w:rPr>
          <w:rFonts w:ascii="Arial" w:cs="Arial" w:eastAsia="Arial" w:hAnsi="Arial"/>
          <w:sz w:val="18"/>
          <w:szCs w:val="18"/>
          <w:color w:val="auto"/>
        </w:rPr>
      </w:pPr>
    </w:p>
    <w:p>
      <w:pPr>
        <w:jc w:val="both"/>
        <w:ind w:left="460" w:right="540" w:firstLine="443"/>
        <w:spacing w:after="0" w:line="299" w:lineRule="auto"/>
        <w:tabs>
          <w:tab w:leader="none" w:pos="1162"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Exchange Act (and, where applicable, each filing of an employee benefit plan’s annual report pursuant to</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460" w:right="180"/>
        <w:spacing w:after="0" w:line="238" w:lineRule="auto"/>
        <w:rPr>
          <w:sz w:val="20"/>
          <w:szCs w:val="20"/>
          <w:color w:val="auto"/>
        </w:rPr>
      </w:pPr>
      <w:r>
        <w:rPr>
          <w:rFonts w:ascii="Arial" w:cs="Arial" w:eastAsia="Arial" w:hAnsi="Arial"/>
          <w:sz w:val="18"/>
          <w:szCs w:val="18"/>
          <w:color w:val="auto"/>
        </w:rPr>
        <w:t>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3" w:lineRule="exact"/>
        <w:rPr>
          <w:sz w:val="20"/>
          <w:szCs w:val="20"/>
          <w:color w:val="auto"/>
        </w:rPr>
      </w:pPr>
    </w:p>
    <w:p>
      <w:pPr>
        <w:ind w:left="460" w:firstLine="443"/>
        <w:spacing w:after="0" w:line="269" w:lineRule="auto"/>
        <w:tabs>
          <w:tab w:leader="none" w:pos="11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51" w:lineRule="exact"/>
        <w:rPr>
          <w:rFonts w:ascii="Arial" w:cs="Arial" w:eastAsia="Arial" w:hAnsi="Arial"/>
          <w:sz w:val="16"/>
          <w:szCs w:val="16"/>
          <w:color w:val="auto"/>
        </w:rPr>
      </w:pPr>
    </w:p>
    <w:p>
      <w:pPr>
        <w:ind w:left="460" w:right="40" w:firstLine="443"/>
        <w:spacing w:after="0" w:line="237"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 and</w:t>
      </w:r>
    </w:p>
    <w:p>
      <w:pPr>
        <w:spacing w:after="0" w:line="73" w:lineRule="exact"/>
        <w:rPr>
          <w:rFonts w:ascii="Arial" w:cs="Arial" w:eastAsia="Arial" w:hAnsi="Arial"/>
          <w:sz w:val="18"/>
          <w:szCs w:val="18"/>
          <w:color w:val="auto"/>
        </w:rPr>
      </w:pPr>
    </w:p>
    <w:p>
      <w:pPr>
        <w:ind w:left="460" w:right="280" w:firstLine="443"/>
        <w:spacing w:after="0" w:line="238"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will be deemed to be the initial bona fide offering thereof.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27th day of September, 2007.</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212" w:lineRule="exact"/>
        <w:rPr>
          <w:sz w:val="20"/>
          <w:szCs w:val="20"/>
          <w:color w:val="auto"/>
        </w:rPr>
      </w:pPr>
    </w:p>
    <w:p>
      <w:pPr>
        <w:ind w:left="6860"/>
        <w:spacing w:after="0"/>
        <w:tabs>
          <w:tab w:leader="none" w:pos="822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-4445</wp:posOffset>
            </wp:positionV>
            <wp:extent cx="265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Stephen A. Wynn</w:t>
      </w:r>
    </w:p>
    <w:p>
      <w:pPr>
        <w:jc w:val="center"/>
        <w:ind w:left="7220"/>
        <w:spacing w:after="0" w:line="225" w:lineRule="auto"/>
        <w:rPr>
          <w:sz w:val="20"/>
          <w:szCs w:val="20"/>
          <w:color w:val="auto"/>
        </w:rPr>
      </w:pPr>
      <w:r>
        <w:rPr>
          <w:rFonts w:ascii="Arial" w:cs="Arial" w:eastAsia="Arial" w:hAnsi="Arial"/>
          <w:sz w:val="14"/>
          <w:szCs w:val="14"/>
          <w:b w:val="1"/>
          <w:bCs w:val="1"/>
          <w:color w:val="auto"/>
        </w:rPr>
        <w:t>Chairman of the Board and</w:t>
      </w:r>
    </w:p>
    <w:p>
      <w:pPr>
        <w:jc w:val="center"/>
        <w:ind w:left="7220"/>
        <w:spacing w:after="0"/>
        <w:rPr>
          <w:sz w:val="20"/>
          <w:szCs w:val="20"/>
          <w:color w:val="auto"/>
        </w:rPr>
      </w:pPr>
      <w:r>
        <w:rPr>
          <w:rFonts w:ascii="Arial" w:cs="Arial" w:eastAsia="Arial" w:hAnsi="Arial"/>
          <w:sz w:val="14"/>
          <w:szCs w:val="14"/>
          <w:b w:val="1"/>
          <w:bCs w:val="1"/>
          <w:color w:val="auto"/>
        </w:rPr>
        <w:t>Chief Executive Officer</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80" w:lineRule="exact"/>
        <w:rPr>
          <w:sz w:val="20"/>
          <w:szCs w:val="20"/>
          <w:color w:val="auto"/>
        </w:rPr>
      </w:pPr>
    </w:p>
    <w:p>
      <w:pPr>
        <w:ind w:right="80" w:firstLine="456"/>
        <w:spacing w:after="0" w:line="23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A. Wynn, Ronald J. Kramer, John Strzemp and Kim Sinatra,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 under the Securities Act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substitute or substitutes, may lawfully do or cause to be done by virtue hereof.</w:t>
      </w:r>
    </w:p>
    <w:p>
      <w:pPr>
        <w:spacing w:after="0" w:line="161" w:lineRule="exact"/>
        <w:rPr>
          <w:sz w:val="20"/>
          <w:szCs w:val="20"/>
          <w:color w:val="auto"/>
        </w:rPr>
      </w:pPr>
    </w:p>
    <w:p>
      <w:pPr>
        <w:ind w:right="560" w:firstLine="456"/>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September 27,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tcPr>
          <w:p>
            <w:pPr>
              <w:jc w:val="center"/>
              <w:ind w:right="863"/>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1180" w:type="dxa"/>
            <w:vAlign w:val="bottom"/>
            <w:tcBorders>
              <w:bottom w:val="single" w:sz="8" w:color="auto"/>
            </w:tcBorders>
          </w:tcPr>
          <w:p>
            <w:pPr>
              <w:spacing w:after="0"/>
              <w:rPr>
                <w:sz w:val="18"/>
                <w:szCs w:val="18"/>
                <w:color w:val="auto"/>
              </w:rPr>
            </w:pPr>
          </w:p>
        </w:tc>
        <w:tc>
          <w:tcPr>
            <w:tcW w:w="5240" w:type="dxa"/>
            <w:vAlign w:val="bottom"/>
          </w:tcPr>
          <w:p>
            <w:pPr>
              <w:ind w:left="580"/>
              <w:spacing w:after="0"/>
              <w:rPr>
                <w:sz w:val="20"/>
                <w:szCs w:val="20"/>
                <w:color w:val="auto"/>
              </w:rPr>
            </w:pPr>
            <w:r>
              <w:rPr>
                <w:rFonts w:ascii="Arial" w:cs="Arial" w:eastAsia="Arial" w:hAnsi="Arial"/>
                <w:sz w:val="18"/>
                <w:szCs w:val="18"/>
                <w:color w:val="auto"/>
                <w:w w:val="97"/>
              </w:rPr>
              <w:t>Chairman of the Board, Chief Executive Officer and Director</w:t>
            </w:r>
          </w:p>
        </w:tc>
      </w:tr>
      <w:tr>
        <w:trPr>
          <w:trHeight w:val="194"/>
        </w:trPr>
        <w:tc>
          <w:tcPr>
            <w:tcW w:w="2180" w:type="dxa"/>
            <w:vAlign w:val="bottom"/>
          </w:tcPr>
          <w:p>
            <w:pPr>
              <w:spacing w:after="0"/>
              <w:rPr>
                <w:sz w:val="16"/>
                <w:szCs w:val="16"/>
                <w:color w:val="auto"/>
              </w:rPr>
            </w:pPr>
          </w:p>
        </w:tc>
        <w:tc>
          <w:tcPr>
            <w:tcW w:w="2460" w:type="dxa"/>
            <w:vAlign w:val="bottom"/>
          </w:tcPr>
          <w:p>
            <w:pPr>
              <w:jc w:val="center"/>
              <w:ind w:right="903"/>
              <w:spacing w:after="0"/>
              <w:rPr>
                <w:sz w:val="20"/>
                <w:szCs w:val="20"/>
                <w:color w:val="auto"/>
              </w:rPr>
            </w:pPr>
            <w:r>
              <w:rPr>
                <w:rFonts w:ascii="Arial" w:cs="Arial" w:eastAsia="Arial" w:hAnsi="Arial"/>
                <w:sz w:val="14"/>
                <w:szCs w:val="14"/>
                <w:b w:val="1"/>
                <w:bCs w:val="1"/>
                <w:color w:val="auto"/>
                <w:w w:val="97"/>
              </w:rPr>
              <w:t>Stephen A. Wynn</w:t>
            </w:r>
          </w:p>
        </w:tc>
        <w:tc>
          <w:tcPr>
            <w:tcW w:w="1180" w:type="dxa"/>
            <w:vAlign w:val="bottom"/>
          </w:tcPr>
          <w:p>
            <w:pPr>
              <w:spacing w:after="0"/>
              <w:rPr>
                <w:sz w:val="16"/>
                <w:szCs w:val="16"/>
                <w:color w:val="auto"/>
              </w:rPr>
            </w:pPr>
          </w:p>
        </w:tc>
        <w:tc>
          <w:tcPr>
            <w:tcW w:w="5240" w:type="dxa"/>
            <w:vAlign w:val="bottom"/>
          </w:tcPr>
          <w:p>
            <w:pPr>
              <w:ind w:left="800"/>
              <w:spacing w:after="0" w:line="195" w:lineRule="exact"/>
              <w:rPr>
                <w:sz w:val="20"/>
                <w:szCs w:val="20"/>
                <w:color w:val="auto"/>
              </w:rPr>
            </w:pPr>
            <w:r>
              <w:rPr>
                <w:rFonts w:ascii="Arial" w:cs="Arial" w:eastAsia="Arial" w:hAnsi="Arial"/>
                <w:sz w:val="18"/>
                <w:szCs w:val="18"/>
                <w:color w:val="auto"/>
              </w:rPr>
              <w:t>(Principal Executive Officer)</w:t>
            </w:r>
          </w:p>
        </w:tc>
      </w:tr>
      <w:tr>
        <w:trPr>
          <w:trHeight w:val="407"/>
        </w:trPr>
        <w:tc>
          <w:tcPr>
            <w:tcW w:w="218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w w:val="94"/>
              </w:rPr>
              <w:t>/s/</w:t>
            </w:r>
          </w:p>
        </w:tc>
        <w:tc>
          <w:tcPr>
            <w:tcW w:w="2460" w:type="dxa"/>
            <w:vAlign w:val="bottom"/>
            <w:tcBorders>
              <w:bottom w:val="single" w:sz="8" w:color="auto"/>
            </w:tcBorders>
          </w:tcPr>
          <w:p>
            <w:pPr>
              <w:jc w:val="center"/>
              <w:ind w:right="843"/>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tc>
        <w:tc>
          <w:tcPr>
            <w:tcW w:w="1180" w:type="dxa"/>
            <w:vAlign w:val="bottom"/>
            <w:tcBorders>
              <w:bottom w:val="single" w:sz="8" w:color="auto"/>
            </w:tcBorders>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18"/>
                <w:szCs w:val="18"/>
                <w:color w:val="auto"/>
                <w:w w:val="97"/>
              </w:rPr>
              <w:t>Executive Vice President—Chief Financial Officer (Principal</w:t>
            </w:r>
          </w:p>
        </w:tc>
      </w:tr>
      <w:tr>
        <w:trPr>
          <w:trHeight w:val="194"/>
        </w:trPr>
        <w:tc>
          <w:tcPr>
            <w:tcW w:w="2180" w:type="dxa"/>
            <w:vAlign w:val="bottom"/>
          </w:tcPr>
          <w:p>
            <w:pPr>
              <w:spacing w:after="0"/>
              <w:rPr>
                <w:sz w:val="16"/>
                <w:szCs w:val="16"/>
                <w:color w:val="auto"/>
              </w:rPr>
            </w:pPr>
          </w:p>
        </w:tc>
        <w:tc>
          <w:tcPr>
            <w:tcW w:w="2460" w:type="dxa"/>
            <w:vAlign w:val="bottom"/>
          </w:tcPr>
          <w:p>
            <w:pPr>
              <w:jc w:val="center"/>
              <w:ind w:right="903"/>
              <w:spacing w:after="0"/>
              <w:rPr>
                <w:sz w:val="20"/>
                <w:szCs w:val="20"/>
                <w:color w:val="auto"/>
              </w:rPr>
            </w:pPr>
            <w:r>
              <w:rPr>
                <w:rFonts w:ascii="Arial" w:cs="Arial" w:eastAsia="Arial" w:hAnsi="Arial"/>
                <w:sz w:val="14"/>
                <w:szCs w:val="14"/>
                <w:b w:val="1"/>
                <w:bCs w:val="1"/>
                <w:color w:val="auto"/>
                <w:w w:val="95"/>
              </w:rPr>
              <w:t>John Strzemp</w:t>
            </w:r>
          </w:p>
        </w:tc>
        <w:tc>
          <w:tcPr>
            <w:tcW w:w="1180" w:type="dxa"/>
            <w:vAlign w:val="bottom"/>
          </w:tcPr>
          <w:p>
            <w:pPr>
              <w:spacing w:after="0"/>
              <w:rPr>
                <w:sz w:val="16"/>
                <w:szCs w:val="16"/>
                <w:color w:val="auto"/>
              </w:rPr>
            </w:pPr>
          </w:p>
        </w:tc>
        <w:tc>
          <w:tcPr>
            <w:tcW w:w="5240" w:type="dxa"/>
            <w:vAlign w:val="bottom"/>
          </w:tcPr>
          <w:p>
            <w:pPr>
              <w:ind w:left="800"/>
              <w:spacing w:after="0" w:line="195" w:lineRule="exact"/>
              <w:rPr>
                <w:sz w:val="20"/>
                <w:szCs w:val="20"/>
                <w:color w:val="auto"/>
              </w:rPr>
            </w:pPr>
            <w:r>
              <w:rPr>
                <w:rFonts w:ascii="Arial" w:cs="Arial" w:eastAsia="Arial" w:hAnsi="Arial"/>
                <w:sz w:val="18"/>
                <w:szCs w:val="18"/>
                <w:color w:val="auto"/>
              </w:rPr>
              <w:t>Financial and Accounting Officer)</w:t>
            </w:r>
          </w:p>
        </w:tc>
      </w:tr>
      <w:tr>
        <w:trPr>
          <w:trHeight w:val="407"/>
        </w:trPr>
        <w:tc>
          <w:tcPr>
            <w:tcW w:w="2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72"/>
        </w:trPr>
        <w:tc>
          <w:tcPr>
            <w:tcW w:w="2180" w:type="dxa"/>
            <w:vAlign w:val="bottom"/>
          </w:tcPr>
          <w:p>
            <w:pPr>
              <w:spacing w:after="0"/>
              <w:rPr>
                <w:sz w:val="14"/>
                <w:szCs w:val="14"/>
                <w:color w:val="auto"/>
              </w:rPr>
            </w:pPr>
          </w:p>
        </w:tc>
        <w:tc>
          <w:tcPr>
            <w:tcW w:w="2460" w:type="dxa"/>
            <w:vAlign w:val="bottom"/>
          </w:tcPr>
          <w:p>
            <w:pPr>
              <w:jc w:val="center"/>
              <w:ind w:right="903"/>
              <w:spacing w:after="0"/>
              <w:rPr>
                <w:sz w:val="20"/>
                <w:szCs w:val="20"/>
                <w:color w:val="auto"/>
              </w:rPr>
            </w:pPr>
            <w:r>
              <w:rPr>
                <w:rFonts w:ascii="Arial" w:cs="Arial" w:eastAsia="Arial" w:hAnsi="Arial"/>
                <w:sz w:val="14"/>
                <w:szCs w:val="14"/>
                <w:b w:val="1"/>
                <w:bCs w:val="1"/>
                <w:color w:val="auto"/>
                <w:w w:val="94"/>
              </w:rPr>
              <w:t>Kazuo Okada</w:t>
            </w:r>
          </w:p>
        </w:tc>
        <w:tc>
          <w:tcPr>
            <w:tcW w:w="118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403"/>
        </w:trPr>
        <w:tc>
          <w:tcPr>
            <w:tcW w:w="218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tcPr>
          <w:p>
            <w:pPr>
              <w:jc w:val="center"/>
              <w:ind w:right="843"/>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1180" w:type="dxa"/>
            <w:vAlign w:val="bottom"/>
            <w:tcBorders>
              <w:bottom w:val="single" w:sz="8" w:color="auto"/>
            </w:tcBorders>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72"/>
        </w:trPr>
        <w:tc>
          <w:tcPr>
            <w:tcW w:w="2180" w:type="dxa"/>
            <w:vAlign w:val="bottom"/>
          </w:tcPr>
          <w:p>
            <w:pPr>
              <w:spacing w:after="0"/>
              <w:rPr>
                <w:sz w:val="14"/>
                <w:szCs w:val="14"/>
                <w:color w:val="auto"/>
              </w:rPr>
            </w:pPr>
          </w:p>
        </w:tc>
        <w:tc>
          <w:tcPr>
            <w:tcW w:w="2460" w:type="dxa"/>
            <w:vAlign w:val="bottom"/>
          </w:tcPr>
          <w:p>
            <w:pPr>
              <w:jc w:val="center"/>
              <w:ind w:right="903"/>
              <w:spacing w:after="0"/>
              <w:rPr>
                <w:sz w:val="20"/>
                <w:szCs w:val="20"/>
                <w:color w:val="auto"/>
              </w:rPr>
            </w:pPr>
            <w:r>
              <w:rPr>
                <w:rFonts w:ascii="Arial" w:cs="Arial" w:eastAsia="Arial" w:hAnsi="Arial"/>
                <w:sz w:val="14"/>
                <w:szCs w:val="14"/>
                <w:b w:val="1"/>
                <w:bCs w:val="1"/>
                <w:color w:val="auto"/>
                <w:w w:val="96"/>
              </w:rPr>
              <w:t>Ronald J. Kramer</w:t>
            </w:r>
          </w:p>
        </w:tc>
        <w:tc>
          <w:tcPr>
            <w:tcW w:w="118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403"/>
        </w:trPr>
        <w:tc>
          <w:tcPr>
            <w:tcW w:w="21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tcPr>
          <w:p>
            <w:pPr>
              <w:jc w:val="center"/>
              <w:ind w:right="843"/>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J. M</w:t>
            </w:r>
            <w:r>
              <w:rPr>
                <w:rFonts w:ascii="Arial" w:cs="Arial" w:eastAsia="Arial" w:hAnsi="Arial"/>
                <w:sz w:val="14"/>
                <w:szCs w:val="14"/>
                <w:color w:val="auto"/>
              </w:rPr>
              <w:t>ILLER</w:t>
            </w:r>
          </w:p>
        </w:tc>
        <w:tc>
          <w:tcPr>
            <w:tcW w:w="1180" w:type="dxa"/>
            <w:vAlign w:val="bottom"/>
            <w:tcBorders>
              <w:bottom w:val="single" w:sz="8" w:color="auto"/>
            </w:tcBorders>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72"/>
        </w:trPr>
        <w:tc>
          <w:tcPr>
            <w:tcW w:w="2180" w:type="dxa"/>
            <w:vAlign w:val="bottom"/>
          </w:tcPr>
          <w:p>
            <w:pPr>
              <w:spacing w:after="0"/>
              <w:rPr>
                <w:sz w:val="14"/>
                <w:szCs w:val="14"/>
                <w:color w:val="auto"/>
              </w:rPr>
            </w:pPr>
          </w:p>
        </w:tc>
        <w:tc>
          <w:tcPr>
            <w:tcW w:w="2460" w:type="dxa"/>
            <w:vAlign w:val="bottom"/>
          </w:tcPr>
          <w:p>
            <w:pPr>
              <w:jc w:val="center"/>
              <w:ind w:right="903"/>
              <w:spacing w:after="0"/>
              <w:rPr>
                <w:sz w:val="20"/>
                <w:szCs w:val="20"/>
                <w:color w:val="auto"/>
              </w:rPr>
            </w:pPr>
            <w:r>
              <w:rPr>
                <w:rFonts w:ascii="Arial" w:cs="Arial" w:eastAsia="Arial" w:hAnsi="Arial"/>
                <w:sz w:val="14"/>
                <w:szCs w:val="14"/>
                <w:b w:val="1"/>
                <w:bCs w:val="1"/>
                <w:color w:val="auto"/>
                <w:w w:val="94"/>
              </w:rPr>
              <w:t>Robert J. Miller</w:t>
            </w:r>
          </w:p>
        </w:tc>
        <w:tc>
          <w:tcPr>
            <w:tcW w:w="118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346"/>
        </w:trPr>
        <w:tc>
          <w:tcPr>
            <w:tcW w:w="2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20" w:type="dxa"/>
            <w:vAlign w:val="bottom"/>
            <w:gridSpan w:val="2"/>
          </w:tcPr>
          <w:p>
            <w:pPr>
              <w:ind w:left="94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0" w:type="dxa"/>
            <w:vAlign w:val="bottom"/>
          </w:tcPr>
          <w:p>
            <w:pPr>
              <w:ind w:left="580"/>
              <w:spacing w:after="0"/>
              <w:rPr>
                <w:sz w:val="20"/>
                <w:szCs w:val="20"/>
                <w:color w:val="auto"/>
              </w:rPr>
            </w:pPr>
            <w:r>
              <w:rPr>
                <w:rFonts w:ascii="Arial" w:cs="Arial" w:eastAsia="Arial" w:hAnsi="Arial"/>
                <w:sz w:val="18"/>
                <w:szCs w:val="18"/>
                <w:color w:val="auto"/>
                <w:w w:val="95"/>
              </w:rPr>
              <w:t>Director</w:t>
            </w:r>
          </w:p>
        </w:tc>
      </w:tr>
      <w:tr>
        <w:trPr>
          <w:trHeight w:val="172"/>
        </w:trPr>
        <w:tc>
          <w:tcPr>
            <w:tcW w:w="2260" w:type="dxa"/>
            <w:vAlign w:val="bottom"/>
          </w:tcPr>
          <w:p>
            <w:pPr>
              <w:spacing w:after="0"/>
              <w:rPr>
                <w:sz w:val="14"/>
                <w:szCs w:val="14"/>
                <w:color w:val="auto"/>
              </w:rPr>
            </w:pPr>
          </w:p>
        </w:tc>
        <w:tc>
          <w:tcPr>
            <w:tcW w:w="2400" w:type="dxa"/>
            <w:vAlign w:val="bottom"/>
          </w:tcPr>
          <w:p>
            <w:pPr>
              <w:jc w:val="center"/>
              <w:ind w:right="1027"/>
              <w:spacing w:after="0"/>
              <w:rPr>
                <w:sz w:val="20"/>
                <w:szCs w:val="20"/>
                <w:color w:val="auto"/>
              </w:rPr>
            </w:pPr>
            <w:r>
              <w:rPr>
                <w:rFonts w:ascii="Arial" w:cs="Arial" w:eastAsia="Arial" w:hAnsi="Arial"/>
                <w:sz w:val="14"/>
                <w:szCs w:val="14"/>
                <w:b w:val="1"/>
                <w:bCs w:val="1"/>
                <w:color w:val="auto"/>
                <w:w w:val="96"/>
              </w:rPr>
              <w:t>John A. Moran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03"/>
        </w:trPr>
        <w:tc>
          <w:tcPr>
            <w:tcW w:w="466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1160" w:type="dxa"/>
            <w:vAlign w:val="bottom"/>
            <w:tcBorders>
              <w:bottom w:val="single" w:sz="8" w:color="auto"/>
            </w:tcBorders>
          </w:tcPr>
          <w:p>
            <w:pPr>
              <w:spacing w:after="0"/>
              <w:rPr>
                <w:sz w:val="24"/>
                <w:szCs w:val="24"/>
                <w:color w:val="auto"/>
              </w:rPr>
            </w:pPr>
          </w:p>
        </w:tc>
        <w:tc>
          <w:tcPr>
            <w:tcW w:w="1200" w:type="dxa"/>
            <w:vAlign w:val="bottom"/>
          </w:tcPr>
          <w:p>
            <w:pPr>
              <w:ind w:left="580"/>
              <w:spacing w:after="0"/>
              <w:rPr>
                <w:sz w:val="20"/>
                <w:szCs w:val="20"/>
                <w:color w:val="auto"/>
              </w:rPr>
            </w:pPr>
            <w:r>
              <w:rPr>
                <w:rFonts w:ascii="Arial" w:cs="Arial" w:eastAsia="Arial" w:hAnsi="Arial"/>
                <w:sz w:val="18"/>
                <w:szCs w:val="18"/>
                <w:color w:val="auto"/>
                <w:w w:val="95"/>
              </w:rPr>
              <w:t>Director</w:t>
            </w:r>
          </w:p>
        </w:tc>
      </w:tr>
      <w:tr>
        <w:trPr>
          <w:trHeight w:val="172"/>
        </w:trPr>
        <w:tc>
          <w:tcPr>
            <w:tcW w:w="2260" w:type="dxa"/>
            <w:vAlign w:val="bottom"/>
          </w:tcPr>
          <w:p>
            <w:pPr>
              <w:spacing w:after="0"/>
              <w:rPr>
                <w:sz w:val="14"/>
                <w:szCs w:val="14"/>
                <w:color w:val="auto"/>
              </w:rPr>
            </w:pPr>
          </w:p>
        </w:tc>
        <w:tc>
          <w:tcPr>
            <w:tcW w:w="2400" w:type="dxa"/>
            <w:vAlign w:val="bottom"/>
          </w:tcPr>
          <w:p>
            <w:pPr>
              <w:jc w:val="center"/>
              <w:ind w:right="1007"/>
              <w:spacing w:after="0"/>
              <w:rPr>
                <w:sz w:val="20"/>
                <w:szCs w:val="20"/>
                <w:color w:val="auto"/>
              </w:rPr>
            </w:pPr>
            <w:r>
              <w:rPr>
                <w:rFonts w:ascii="Arial" w:cs="Arial" w:eastAsia="Arial" w:hAnsi="Arial"/>
                <w:sz w:val="14"/>
                <w:szCs w:val="14"/>
                <w:b w:val="1"/>
                <w:bCs w:val="1"/>
                <w:color w:val="auto"/>
                <w:w w:val="94"/>
              </w:rPr>
              <w:t>Alvin V. Shoemaker</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03"/>
        </w:trPr>
        <w:tc>
          <w:tcPr>
            <w:tcW w:w="2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Pr>
          <w:p>
            <w:pPr>
              <w:ind w:left="580"/>
              <w:spacing w:after="0"/>
              <w:rPr>
                <w:sz w:val="20"/>
                <w:szCs w:val="20"/>
                <w:color w:val="auto"/>
              </w:rPr>
            </w:pPr>
            <w:r>
              <w:rPr>
                <w:rFonts w:ascii="Arial" w:cs="Arial" w:eastAsia="Arial" w:hAnsi="Arial"/>
                <w:sz w:val="18"/>
                <w:szCs w:val="18"/>
                <w:color w:val="auto"/>
                <w:w w:val="95"/>
              </w:rPr>
              <w:t>Director</w:t>
            </w:r>
          </w:p>
        </w:tc>
      </w:tr>
      <w:tr>
        <w:trPr>
          <w:trHeight w:val="172"/>
        </w:trPr>
        <w:tc>
          <w:tcPr>
            <w:tcW w:w="2260" w:type="dxa"/>
            <w:vAlign w:val="bottom"/>
          </w:tcPr>
          <w:p>
            <w:pPr>
              <w:spacing w:after="0"/>
              <w:rPr>
                <w:sz w:val="14"/>
                <w:szCs w:val="14"/>
                <w:color w:val="auto"/>
              </w:rPr>
            </w:pPr>
          </w:p>
        </w:tc>
        <w:tc>
          <w:tcPr>
            <w:tcW w:w="2400" w:type="dxa"/>
            <w:vAlign w:val="bottom"/>
          </w:tcPr>
          <w:p>
            <w:pPr>
              <w:jc w:val="center"/>
              <w:ind w:right="1007"/>
              <w:spacing w:after="0"/>
              <w:rPr>
                <w:sz w:val="20"/>
                <w:szCs w:val="20"/>
                <w:color w:val="auto"/>
              </w:rPr>
            </w:pPr>
            <w:r>
              <w:rPr>
                <w:rFonts w:ascii="Arial" w:cs="Arial" w:eastAsia="Arial" w:hAnsi="Arial"/>
                <w:sz w:val="14"/>
                <w:szCs w:val="14"/>
                <w:b w:val="1"/>
                <w:bCs w:val="1"/>
                <w:color w:val="auto"/>
                <w:w w:val="97"/>
              </w:rPr>
              <w:t>D. Boone Wayson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03"/>
        </w:trPr>
        <w:tc>
          <w:tcPr>
            <w:tcW w:w="226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/s/</w:t>
            </w:r>
          </w:p>
        </w:tc>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LAINE</w:t>
            </w:r>
            <w:r>
              <w:rPr>
                <w:rFonts w:ascii="Arial" w:cs="Arial" w:eastAsia="Arial" w:hAnsi="Arial"/>
                <w:sz w:val="18"/>
                <w:szCs w:val="18"/>
                <w:color w:val="auto"/>
              </w:rPr>
              <w:t xml:space="preserve"> P. W</w:t>
            </w:r>
            <w:r>
              <w:rPr>
                <w:rFonts w:ascii="Arial" w:cs="Arial" w:eastAsia="Arial" w:hAnsi="Arial"/>
                <w:sz w:val="14"/>
                <w:szCs w:val="14"/>
                <w:color w:val="auto"/>
              </w:rPr>
              <w:t>YNN</w:t>
            </w:r>
          </w:p>
        </w:tc>
        <w:tc>
          <w:tcPr>
            <w:tcW w:w="1160" w:type="dxa"/>
            <w:vAlign w:val="bottom"/>
            <w:tcBorders>
              <w:bottom w:val="single" w:sz="8" w:color="auto"/>
            </w:tcBorders>
          </w:tcPr>
          <w:p>
            <w:pPr>
              <w:spacing w:after="0"/>
              <w:rPr>
                <w:sz w:val="24"/>
                <w:szCs w:val="24"/>
                <w:color w:val="auto"/>
              </w:rPr>
            </w:pPr>
          </w:p>
        </w:tc>
        <w:tc>
          <w:tcPr>
            <w:tcW w:w="1200" w:type="dxa"/>
            <w:vAlign w:val="bottom"/>
          </w:tcPr>
          <w:p>
            <w:pPr>
              <w:ind w:left="580"/>
              <w:spacing w:after="0"/>
              <w:rPr>
                <w:sz w:val="20"/>
                <w:szCs w:val="20"/>
                <w:color w:val="auto"/>
              </w:rPr>
            </w:pPr>
            <w:r>
              <w:rPr>
                <w:rFonts w:ascii="Arial" w:cs="Arial" w:eastAsia="Arial" w:hAnsi="Arial"/>
                <w:sz w:val="18"/>
                <w:szCs w:val="18"/>
                <w:color w:val="auto"/>
                <w:w w:val="95"/>
              </w:rPr>
              <w:t>Director</w:t>
            </w:r>
          </w:p>
        </w:tc>
      </w:tr>
      <w:tr>
        <w:trPr>
          <w:trHeight w:val="172"/>
        </w:trPr>
        <w:tc>
          <w:tcPr>
            <w:tcW w:w="2260" w:type="dxa"/>
            <w:vAlign w:val="bottom"/>
          </w:tcPr>
          <w:p>
            <w:pPr>
              <w:spacing w:after="0"/>
              <w:rPr>
                <w:sz w:val="14"/>
                <w:szCs w:val="14"/>
                <w:color w:val="auto"/>
              </w:rPr>
            </w:pPr>
          </w:p>
        </w:tc>
        <w:tc>
          <w:tcPr>
            <w:tcW w:w="2400" w:type="dxa"/>
            <w:vAlign w:val="bottom"/>
          </w:tcPr>
          <w:p>
            <w:pPr>
              <w:jc w:val="center"/>
              <w:ind w:right="1007"/>
              <w:spacing w:after="0"/>
              <w:rPr>
                <w:sz w:val="20"/>
                <w:szCs w:val="20"/>
                <w:color w:val="auto"/>
              </w:rPr>
            </w:pPr>
            <w:r>
              <w:rPr>
                <w:rFonts w:ascii="Arial" w:cs="Arial" w:eastAsia="Arial" w:hAnsi="Arial"/>
                <w:sz w:val="14"/>
                <w:szCs w:val="14"/>
                <w:b w:val="1"/>
                <w:bCs w:val="1"/>
                <w:color w:val="auto"/>
                <w:w w:val="95"/>
              </w:rPr>
              <w:t>Elaine P. Wynn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03"/>
        </w:trPr>
        <w:tc>
          <w:tcPr>
            <w:tcW w:w="226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/s/</w:t>
            </w:r>
          </w:p>
        </w:tc>
        <w:tc>
          <w:tcPr>
            <w:tcW w:w="2400" w:type="dxa"/>
            <w:vAlign w:val="bottom"/>
            <w:tcBorders>
              <w:bottom w:val="single" w:sz="8" w:color="auto"/>
            </w:tcBorders>
          </w:tcPr>
          <w:p>
            <w:pPr>
              <w:jc w:val="center"/>
              <w:ind w:right="947"/>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1160" w:type="dxa"/>
            <w:vAlign w:val="bottom"/>
            <w:tcBorders>
              <w:bottom w:val="single" w:sz="8" w:color="auto"/>
            </w:tcBorders>
          </w:tcPr>
          <w:p>
            <w:pPr>
              <w:spacing w:after="0"/>
              <w:rPr>
                <w:sz w:val="24"/>
                <w:szCs w:val="24"/>
                <w:color w:val="auto"/>
              </w:rPr>
            </w:pPr>
          </w:p>
        </w:tc>
        <w:tc>
          <w:tcPr>
            <w:tcW w:w="1200" w:type="dxa"/>
            <w:vAlign w:val="bottom"/>
          </w:tcPr>
          <w:p>
            <w:pPr>
              <w:ind w:left="580"/>
              <w:spacing w:after="0"/>
              <w:rPr>
                <w:sz w:val="20"/>
                <w:szCs w:val="20"/>
                <w:color w:val="auto"/>
              </w:rPr>
            </w:pPr>
            <w:r>
              <w:rPr>
                <w:rFonts w:ascii="Arial" w:cs="Arial" w:eastAsia="Arial" w:hAnsi="Arial"/>
                <w:sz w:val="18"/>
                <w:szCs w:val="18"/>
                <w:color w:val="auto"/>
                <w:w w:val="95"/>
              </w:rPr>
              <w:t>Director</w:t>
            </w:r>
          </w:p>
        </w:tc>
      </w:tr>
      <w:tr>
        <w:trPr>
          <w:trHeight w:val="172"/>
        </w:trPr>
        <w:tc>
          <w:tcPr>
            <w:tcW w:w="2260" w:type="dxa"/>
            <w:vAlign w:val="bottom"/>
          </w:tcPr>
          <w:p>
            <w:pPr>
              <w:spacing w:after="0"/>
              <w:rPr>
                <w:sz w:val="14"/>
                <w:szCs w:val="14"/>
                <w:color w:val="auto"/>
              </w:rPr>
            </w:pPr>
          </w:p>
        </w:tc>
        <w:tc>
          <w:tcPr>
            <w:tcW w:w="2400" w:type="dxa"/>
            <w:vAlign w:val="bottom"/>
          </w:tcPr>
          <w:p>
            <w:pPr>
              <w:jc w:val="center"/>
              <w:ind w:right="1007"/>
              <w:spacing w:after="0"/>
              <w:rPr>
                <w:sz w:val="20"/>
                <w:szCs w:val="20"/>
                <w:color w:val="auto"/>
              </w:rPr>
            </w:pPr>
            <w:r>
              <w:rPr>
                <w:rFonts w:ascii="Arial" w:cs="Arial" w:eastAsia="Arial" w:hAnsi="Arial"/>
                <w:sz w:val="14"/>
                <w:szCs w:val="14"/>
                <w:b w:val="1"/>
                <w:bCs w:val="1"/>
                <w:color w:val="auto"/>
                <w:w w:val="96"/>
              </w:rPr>
              <w:t>Allan Zeman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6"/>
        </w:trPr>
        <w:tc>
          <w:tcPr>
            <w:tcW w:w="2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60" w:type="dxa"/>
            <w:vAlign w:val="bottom"/>
            <w:gridSpan w:val="2"/>
          </w:tcPr>
          <w:p>
            <w:pPr>
              <w:ind w:left="92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0219"/>
          </w:cols>
          <w:pgMar w:left="240" w:top="459"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5.1</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27, 2007</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Brownstein Hyatt Farber Schreck, P.C.</w:t>
      </w:r>
    </w:p>
    <w:p>
      <w:pPr>
        <w:jc w:val="right"/>
        <w:spacing w:after="0" w:line="234" w:lineRule="auto"/>
        <w:rPr>
          <w:sz w:val="20"/>
          <w:szCs w:val="20"/>
          <w:color w:val="auto"/>
        </w:rPr>
      </w:pPr>
      <w:r>
        <w:rPr>
          <w:rFonts w:ascii="Arial" w:cs="Arial" w:eastAsia="Arial" w:hAnsi="Arial"/>
          <w:sz w:val="18"/>
          <w:szCs w:val="18"/>
          <w:color w:val="auto"/>
        </w:rPr>
        <w:t>300 South Fourth Street, Suite 1200</w:t>
      </w:r>
    </w:p>
    <w:p>
      <w:pPr>
        <w:jc w:val="right"/>
        <w:spacing w:after="0" w:line="235" w:lineRule="auto"/>
        <w:rPr>
          <w:sz w:val="20"/>
          <w:szCs w:val="20"/>
          <w:color w:val="auto"/>
        </w:rPr>
      </w:pPr>
      <w:r>
        <w:rPr>
          <w:rFonts w:ascii="Arial" w:cs="Arial" w:eastAsia="Arial" w:hAnsi="Arial"/>
          <w:sz w:val="18"/>
          <w:szCs w:val="18"/>
          <w:color w:val="auto"/>
        </w:rPr>
        <w:t>Las Vegas, Nevada 89101-6020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702.382.2101</w:t>
      </w:r>
      <w:r>
        <w:rPr>
          <w:rFonts w:ascii="Arial" w:cs="Arial" w:eastAsia="Arial" w:hAnsi="Arial"/>
          <w:sz w:val="18"/>
          <w:szCs w:val="18"/>
          <w:b w:val="1"/>
          <w:bCs w:val="1"/>
          <w:color w:val="auto"/>
        </w:rPr>
        <w:t xml:space="preserve"> F </w:t>
      </w:r>
      <w:r>
        <w:rPr>
          <w:rFonts w:ascii="Arial" w:cs="Arial" w:eastAsia="Arial" w:hAnsi="Arial"/>
          <w:sz w:val="18"/>
          <w:szCs w:val="18"/>
          <w:color w:val="auto"/>
        </w:rPr>
        <w:t>702.382.8135</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ind w:left="20"/>
        <w:spacing w:after="0" w:line="234"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 89109</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We have acted as special Nevada counsel to Wynn Resorts, Limited, a Nevada corporation (the “Company”), in connection with the filing by the Company of a Registration Statement on Form S-3 (the “Registration Statement”) with the Securities and Exchange Commission (the “Commission”) under the Securities Act of 1933, as amended (the “Act”), relating to the registration, and the sale from time to time, by the Company of an unspecified number of shares of the Company’s common stock, par value $0.01 per share (the “Common Stock”).</w:t>
      </w:r>
    </w:p>
    <w:p>
      <w:pPr>
        <w:spacing w:after="0" w:line="155" w:lineRule="exact"/>
        <w:rPr>
          <w:sz w:val="20"/>
          <w:szCs w:val="20"/>
          <w:color w:val="auto"/>
        </w:rPr>
      </w:pPr>
    </w:p>
    <w:p>
      <w:pPr>
        <w:jc w:val="both"/>
        <w:ind w:right="140" w:firstLine="456"/>
        <w:spacing w:after="0" w:line="238" w:lineRule="auto"/>
        <w:rPr>
          <w:sz w:val="20"/>
          <w:szCs w:val="20"/>
          <w:color w:val="auto"/>
        </w:rPr>
      </w:pPr>
      <w:r>
        <w:rPr>
          <w:rFonts w:ascii="Arial" w:cs="Arial" w:eastAsia="Arial" w:hAnsi="Arial"/>
          <w:sz w:val="18"/>
          <w:szCs w:val="18"/>
          <w:color w:val="auto"/>
        </w:rPr>
        <w:t>For the purpose of rendering this opinion, we have examined originals, or copies certified or otherwise identified to our satisfaction as being true copies, of such records, documents, instruments and certificates as, in our judgment, are necessary or appropriate to enable us to render the opinions set forth below, including, but not limited to, the following:</w:t>
      </w:r>
    </w:p>
    <w:p>
      <w:pPr>
        <w:spacing w:after="0" w:line="73"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articles of incorporation and bylaws, each as amended to date (the “Governing Documents”);</w:t>
      </w:r>
    </w:p>
    <w:p>
      <w:pPr>
        <w:spacing w:after="0" w:line="76" w:lineRule="exact"/>
        <w:rPr>
          <w:rFonts w:ascii="Arial" w:cs="Arial" w:eastAsia="Arial" w:hAnsi="Arial"/>
          <w:sz w:val="18"/>
          <w:szCs w:val="18"/>
          <w:color w:val="auto"/>
        </w:rPr>
      </w:pPr>
    </w:p>
    <w:p>
      <w:pPr>
        <w:ind w:right="20" w:firstLine="464"/>
        <w:spacing w:after="0" w:line="299" w:lineRule="auto"/>
        <w:tabs>
          <w:tab w:leader="none" w:pos="71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corporate records and proceedings, minutes, consents, actions and resolutions of the board of directors of the Company as we have deemed necessary, including those relating to the registration of the shares of Common Stock and the filing of the Registration Statement; and</w:t>
      </w:r>
    </w:p>
    <w:p>
      <w:pPr>
        <w:spacing w:after="0" w:line="27" w:lineRule="exact"/>
        <w:rPr>
          <w:rFonts w:ascii="Arial" w:cs="Arial" w:eastAsia="Arial" w:hAnsi="Arial"/>
          <w:sz w:val="16"/>
          <w:szCs w:val="16"/>
          <w:color w:val="auto"/>
        </w:rPr>
      </w:pPr>
    </w:p>
    <w:p>
      <w:pPr>
        <w:ind w:right="100" w:firstLine="464"/>
        <w:spacing w:after="0" w:line="23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Certificate of Existence with Status in Good Standing, issued by the Nevada Secretary of State as of September 25, 2007, with respect to the good standing of the Company in Nevada on that date.</w:t>
      </w:r>
    </w:p>
    <w:p>
      <w:pPr>
        <w:spacing w:after="0" w:line="155"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Company in connection with the authorization, issuance and sale of the Common Stock by the Company, as referenced in the Registration Statement.</w:t>
      </w:r>
    </w:p>
    <w:p>
      <w:pPr>
        <w:spacing w:after="0" w:line="155" w:lineRule="exact"/>
        <w:rPr>
          <w:sz w:val="20"/>
          <w:szCs w:val="20"/>
          <w:color w:val="auto"/>
        </w:rPr>
      </w:pPr>
    </w:p>
    <w:p>
      <w:pPr>
        <w:ind w:right="460" w:firstLine="456"/>
        <w:spacing w:after="0" w:line="281" w:lineRule="auto"/>
        <w:rPr>
          <w:sz w:val="20"/>
          <w:szCs w:val="20"/>
          <w:color w:val="auto"/>
        </w:rPr>
      </w:pPr>
      <w:r>
        <w:rPr>
          <w:rFonts w:ascii="Arial" w:cs="Arial" w:eastAsia="Arial" w:hAnsi="Arial"/>
          <w:sz w:val="16"/>
          <w:szCs w:val="16"/>
          <w:color w:val="auto"/>
        </w:rPr>
        <w:t>We have made such legal and factual examinations and inquiries as we have deemed necessary or appropriate for the purposes of this opinion. We have also obtained from officers and agents of the Company and from public officials, and have relied upon, such certificates, representations and assurances as we have deemed necessary and appropriate for the purpose of this rendering this opinion.</w:t>
      </w:r>
    </w:p>
    <w:p>
      <w:pPr>
        <w:spacing w:after="0" w:line="124"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Without limiting the generality of the foregoing, in our examination, we have, with your permission, assumed without independent verification, that (i) all agreements relating to the underwriting or disposition of shares of Common Stock (“Agreements”) will be duly authorized, executed and delivered by the Company, (ii) the obligations of each party set forth in any Agreements will be its valid and binding obligations, enforceable in accordance with their respective terms; (iii) no shares of Common Stock will be issued in violation or breach of, nor</w:t>
      </w:r>
    </w:p>
    <w:p>
      <w:pPr>
        <w:sectPr>
          <w:pgSz w:w="11900" w:h="16838" w:orient="portrait"/>
          <w:cols w:equalWidth="0" w:num="1">
            <w:col w:w="11420"/>
          </w:cols>
          <w:pgMar w:left="240" w:top="121" w:right="239" w:bottom="1440" w:gutter="0" w:footer="0" w:header="0"/>
        </w:sectPr>
      </w:pPr>
    </w:p>
    <w:bookmarkStart w:id="17" w:name="page18"/>
    <w:bookmarkEnd w:id="17"/>
    <w:p>
      <w:pPr>
        <w:ind w:right="6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such issuance result in a default under, any agreement or instrument that is binding upon the Company, or any requirement or restriction imposed by any governmental or regulatory agency, authority or body; (iv) the Company will, from time to time, take all corporate action necessary for the authorization, issuance and sale of the shares of Common Stock, and the shares of Common Stock will be issued and sold, in compliance with all applicable laws and the Governing Documents in effect on all relevant dates, and all stock certificates will have been properly signed, registered and delivered, as necessary (collectively, the “Corporate Proceedings”); (v) upon issuance of the shares of Common Stock, the total number of shares of Common Stock issued and outstanding will not exceed the number the Company is then authorized to issue under its articles;</w:t>
      </w:r>
    </w:p>
    <w:p>
      <w:pPr>
        <w:spacing w:after="0" w:line="1" w:lineRule="exact"/>
        <w:rPr>
          <w:sz w:val="20"/>
          <w:szCs w:val="20"/>
          <w:color w:val="auto"/>
        </w:rPr>
      </w:pPr>
    </w:p>
    <w:p>
      <w:pPr>
        <w:jc w:val="both"/>
        <w:ind w:right="140" w:firstLine="8"/>
        <w:spacing w:after="0" w:line="237" w:lineRule="auto"/>
        <w:tabs>
          <w:tab w:leader="none" w:pos="2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natural person executing a document has sufficient legal capacity to do so; (vii) all documents submitted to us as originals are authentic, the signatures on all documents that we examined are genuine, and all documents submitted to us as certified, conformed, photostatic, electronic or facsimile copies conform to the original document; and (viii) all corporate records made available to us by the Company and all public records we have reviewed are accurate and complete.</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are qualified to practice law in the State of Nevada. The opinions set forth herein are expressly limited to the effect of the general corporate laws of the State of Nevada as in effect as of the date hereof and we do not purport to be experts on, or to express any opinion herein concerning, or to assume any responsibility as to the applicability to or the effect on any of the matters covered herein of, the laws of any other jurisdiction or, in the case of Nevada, any other laws, including any matters of municipal law or the laws of any local agencies within any state. We express no opinion concerning, and we assume no responsibility as to laws or judicial decisions related to, or any orders, consents or other authorizations or approvals as may be required by, any federal laws or regulations, including any federal securities laws or regulations, or any state securities or “blue sky” laws or regulations.</w:t>
      </w:r>
    </w:p>
    <w:p>
      <w:pPr>
        <w:spacing w:after="0" w:line="155"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w:t>
      </w:r>
    </w:p>
    <w:p>
      <w:pPr>
        <w:spacing w:after="0" w:line="155" w:lineRule="exact"/>
        <w:rPr>
          <w:sz w:val="20"/>
          <w:szCs w:val="20"/>
          <w:color w:val="auto"/>
        </w:rPr>
      </w:pPr>
    </w:p>
    <w:p>
      <w:pPr>
        <w:ind w:left="660" w:hanging="19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as a corporation in good standing in the State of Nevada.</w:t>
      </w:r>
    </w:p>
    <w:p>
      <w:pPr>
        <w:spacing w:after="0" w:line="157" w:lineRule="exact"/>
        <w:rPr>
          <w:rFonts w:ascii="Arial" w:cs="Arial" w:eastAsia="Arial" w:hAnsi="Arial"/>
          <w:sz w:val="18"/>
          <w:szCs w:val="18"/>
          <w:color w:val="auto"/>
        </w:rPr>
      </w:pPr>
    </w:p>
    <w:p>
      <w:pPr>
        <w:ind w:right="80" w:firstLine="464"/>
        <w:spacing w:after="0" w:line="238"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all Corporate Proceedings have been taken and completed, and the Company has received payment in full of all consideration prescribed by any Agreement and authorized by such Corporate Proceedings, the shares of Common Stock will be validly authorized, issued, fully paid and non-assessable.</w:t>
      </w:r>
    </w:p>
    <w:p>
      <w:pPr>
        <w:spacing w:after="0" w:line="154"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or the Common Stock.</w:t>
      </w:r>
    </w:p>
    <w:p>
      <w:pPr>
        <w:spacing w:after="0" w:line="155"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We consent to your filing this opinion as an exhibit to the Registration Statement and to the reference to our firm contained under the heading “Legal Matters.” In giving this consent, we do not admit that we are within the category of persons whose consent is required under Section 7 of the Act, the rules and regulations of the Commission promulgated thereunder, or Item 509 of Regulation 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P.C.</w:t>
      </w:r>
    </w:p>
    <w:p>
      <w:pPr>
        <w:sectPr>
          <w:pgSz w:w="11900" w:h="16838" w:orient="portrait"/>
          <w:cols w:equalWidth="0" w:num="1">
            <w:col w:w="11420"/>
          </w:cols>
          <w:pgMar w:left="240" w:top="29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Wynn Resorts, Limited for the registration of shares of its common stock and to the incorporation by reference therein of our report dated February 27, 2007, with respect to the consolidated financial statements and schedules of Wynn Resorts, Limited, Wynn Resorts, Limited management’s assessment of the effectiveness of internal control over financial reporting, and the effectiveness of internal control over financial reporting of Wynn Resorts, Limited, included in its Annual Report (Form 10-K) for the year ended December 31, 2006, filed with the Securities and Exchange Commission.</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ind w:left="20"/>
        <w:spacing w:after="0"/>
        <w:rPr>
          <w:sz w:val="20"/>
          <w:szCs w:val="20"/>
          <w:color w:val="auto"/>
        </w:rPr>
      </w:pPr>
      <w:r>
        <w:rPr>
          <w:rFonts w:ascii="Arial" w:cs="Arial" w:eastAsia="Arial" w:hAnsi="Arial"/>
          <w:sz w:val="18"/>
          <w:szCs w:val="18"/>
          <w:color w:val="auto"/>
        </w:rPr>
        <w:t>September 27, 2007</w:t>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 dated March 15, 2006, relating to the financial statements and financial statement schedules of Wynn Resorts, Limited, appearing in the Annual Report on Form 10-K of Wynn Resorts, Limited for the year ended December 31, 2006, and to the reference to us under the heading “Experts” in the Prospectus, which is part of this Registration 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8"/>
          <w:szCs w:val="18"/>
          <w:color w:val="auto"/>
        </w:rPr>
        <w:t>September 27, 2007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amp;"/>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4E6AFB66"/>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4">
    <w:nsid w:val="25E45D3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
    <w:nsid w:val="519B500D"/>
    <w:multiLevelType w:val="hybridMultilevel"/>
    <w:lvl w:ilvl="0">
      <w:lvlJc w:val="left"/>
      <w:lvlText w:val="(%1)"/>
      <w:numFmt w:val="decimal"/>
      <w:start w:val="2"/>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Roman"/>
      <w:start w:val="6"/>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2019-12-15T07:41:14Z</dcterms:created>
  <dcterms:modified xsi:type="dcterms:W3CDTF">2019-12-15T07:41:14Z</dcterms:modified>
</cp:coreProperties>
</file>