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3"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line="226" w:lineRule="auto"/>
        <w:rPr>
          <w:sz w:val="20"/>
          <w:szCs w:val="20"/>
          <w:color w:val="auto"/>
        </w:rPr>
      </w:pPr>
      <w:r>
        <w:rPr>
          <w:rFonts w:ascii="Arial" w:cs="Arial" w:eastAsia="Arial" w:hAnsi="Arial"/>
          <w:sz w:val="20"/>
          <w:szCs w:val="20"/>
          <w:b w:val="1"/>
          <w:bCs w:val="1"/>
          <w:color w:val="auto"/>
        </w:rPr>
        <w:t>Washington, D.C. 20549</w:t>
      </w:r>
    </w:p>
    <w:p>
      <w:pPr>
        <w:ind w:left="4420"/>
        <w:spacing w:after="0"/>
        <w:rPr>
          <w:sz w:val="20"/>
          <w:szCs w:val="20"/>
          <w:color w:val="auto"/>
        </w:rPr>
      </w:pPr>
      <w:r>
        <w:rPr>
          <w:rFonts w:ascii="Arial" w:cs="Arial" w:eastAsia="Arial" w:hAnsi="Arial"/>
          <w:sz w:val="20"/>
          <w:szCs w:val="20"/>
          <w:b w:val="1"/>
          <w:bCs w:val="1"/>
          <w:color w:val="auto"/>
        </w:rPr>
        <w:t>____________________</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CURRENT REPORT</w:t>
      </w:r>
    </w:p>
    <w:p>
      <w:pPr>
        <w:spacing w:after="0" w:line="8" w:lineRule="exact"/>
        <w:rPr>
          <w:sz w:val="24"/>
          <w:szCs w:val="24"/>
          <w:color w:val="auto"/>
        </w:rPr>
      </w:pPr>
    </w:p>
    <w:p>
      <w:pPr>
        <w:ind w:left="4380"/>
        <w:spacing w:after="0"/>
        <w:rPr>
          <w:sz w:val="20"/>
          <w:szCs w:val="20"/>
          <w:color w:val="auto"/>
        </w:rPr>
      </w:pPr>
      <w:r>
        <w:rPr>
          <w:rFonts w:ascii="Arial" w:cs="Arial" w:eastAsia="Arial" w:hAnsi="Arial"/>
          <w:sz w:val="20"/>
          <w:szCs w:val="20"/>
          <w:b w:val="1"/>
          <w:bCs w:val="1"/>
          <w:color w:val="auto"/>
        </w:rPr>
        <w:t>_____________________</w:t>
      </w:r>
    </w:p>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PURSUANT TO SECTION 13 OR 15(d) OF THE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186" w:lineRule="exact"/>
        <w:rPr>
          <w:sz w:val="24"/>
          <w:szCs w:val="24"/>
          <w:color w:val="auto"/>
        </w:rPr>
      </w:pPr>
    </w:p>
    <w:p>
      <w:pPr>
        <w:ind w:left="2920"/>
        <w:spacing w:after="0"/>
        <w:rPr>
          <w:sz w:val="20"/>
          <w:szCs w:val="20"/>
          <w:color w:val="auto"/>
        </w:rPr>
      </w:pPr>
      <w:r>
        <w:rPr>
          <w:rFonts w:ascii="Arial" w:cs="Arial" w:eastAsia="Arial" w:hAnsi="Arial"/>
          <w:sz w:val="16"/>
          <w:szCs w:val="16"/>
          <w:color w:val="auto"/>
        </w:rPr>
        <w:t>Date of Report (Date of earliest event reported): June 10, 2008</w:t>
      </w:r>
    </w:p>
    <w:p>
      <w:pPr>
        <w:spacing w:after="0" w:line="242" w:lineRule="exact"/>
        <w:rPr>
          <w:sz w:val="24"/>
          <w:szCs w:val="24"/>
          <w:color w:val="auto"/>
        </w:rPr>
      </w:pPr>
    </w:p>
    <w:p>
      <w:pPr>
        <w:ind w:left="4120"/>
        <w:spacing w:after="0"/>
        <w:rPr>
          <w:sz w:val="20"/>
          <w:szCs w:val="20"/>
          <w:color w:val="auto"/>
        </w:rPr>
      </w:pPr>
      <w:r>
        <w:rPr>
          <w:rFonts w:ascii="Arial" w:cs="Arial" w:eastAsia="Arial" w:hAnsi="Arial"/>
          <w:sz w:val="20"/>
          <w:szCs w:val="20"/>
          <w:b w:val="1"/>
          <w:bCs w:val="1"/>
          <w:color w:val="auto"/>
        </w:rPr>
        <w:t>WYNN RESORTS, LIMITED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0820"/>
          </w:cols>
          <w:pgMar w:left="240" w:top="225" w:right="839" w:bottom="1440" w:gutter="0" w:footer="0" w:header="0"/>
        </w:sectPr>
      </w:pPr>
    </w:p>
    <w:p>
      <w:pPr>
        <w:spacing w:after="0" w:line="180" w:lineRule="exact"/>
        <w:rPr>
          <w:sz w:val="24"/>
          <w:szCs w:val="24"/>
          <w:color w:val="auto"/>
        </w:rPr>
      </w:pPr>
    </w:p>
    <w:p>
      <w:pPr>
        <w:jc w:val="center"/>
        <w:ind w:right="60"/>
        <w:spacing w:after="0"/>
        <w:rPr>
          <w:sz w:val="20"/>
          <w:szCs w:val="20"/>
          <w:color w:val="auto"/>
        </w:rPr>
      </w:pPr>
      <w:r>
        <w:rPr>
          <w:rFonts w:ascii="Arial" w:cs="Arial" w:eastAsia="Arial" w:hAnsi="Arial"/>
          <w:sz w:val="20"/>
          <w:szCs w:val="20"/>
          <w:b w:val="1"/>
          <w:bCs w:val="1"/>
          <w:color w:val="auto"/>
        </w:rPr>
        <w:t>Nevada</w:t>
      </w:r>
    </w:p>
    <w:p>
      <w:pPr>
        <w:spacing w:after="0" w:line="8"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000-50028</w:t>
      </w:r>
    </w:p>
    <w:p>
      <w:pPr>
        <w:spacing w:after="0" w:line="8"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380"/>
        <w:spacing w:after="0"/>
        <w:rPr>
          <w:sz w:val="20"/>
          <w:szCs w:val="20"/>
          <w:color w:val="auto"/>
        </w:rPr>
      </w:pPr>
      <w:r>
        <w:rPr>
          <w:rFonts w:ascii="Arial" w:cs="Arial" w:eastAsia="Arial" w:hAnsi="Arial"/>
          <w:sz w:val="20"/>
          <w:szCs w:val="20"/>
          <w:b w:val="1"/>
          <w:bCs w:val="1"/>
          <w:color w:val="auto"/>
        </w:rPr>
        <w:t>46-0484987</w:t>
      </w:r>
    </w:p>
    <w:p>
      <w:pPr>
        <w:spacing w:after="0" w:line="8"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(I.R.S. Employer Identification No.)</w:t>
      </w:r>
    </w:p>
    <w:p>
      <w:pPr>
        <w:spacing w:after="0" w:line="14" w:lineRule="exact"/>
        <w:rPr>
          <w:sz w:val="24"/>
          <w:szCs w:val="24"/>
          <w:color w:val="auto"/>
        </w:rPr>
      </w:pPr>
    </w:p>
    <w:p>
      <w:pPr>
        <w:sectPr>
          <w:pgSz w:w="11900" w:h="16838" w:orient="portrait"/>
          <w:cols w:equalWidth="0" w:num="3">
            <w:col w:w="3520" w:space="720"/>
            <w:col w:w="2620" w:space="720"/>
            <w:col w:w="3240"/>
          </w:cols>
          <w:pgMar w:left="240" w:top="225" w:right="839" w:bottom="1440" w:gutter="0" w:footer="0" w:header="0"/>
          <w:type w:val="continuous"/>
        </w:sectPr>
      </w:pPr>
    </w:p>
    <w:p>
      <w:pPr>
        <w:ind w:left="1180"/>
        <w:spacing w:after="0"/>
        <w:rPr>
          <w:sz w:val="20"/>
          <w:szCs w:val="20"/>
          <w:color w:val="auto"/>
        </w:rPr>
      </w:pPr>
      <w:r>
        <w:rPr>
          <w:rFonts w:ascii="Arial" w:cs="Arial" w:eastAsia="Arial" w:hAnsi="Arial"/>
          <w:sz w:val="20"/>
          <w:szCs w:val="20"/>
          <w:color w:val="auto"/>
        </w:rPr>
        <w:t>incorporation)</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WYNN LAS VEGAS, LLC</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820"/>
          </w:cols>
          <w:pgMar w:left="240" w:top="225" w:right="839" w:bottom="1440" w:gutter="0" w:footer="0" w:header="0"/>
          <w:type w:val="continuous"/>
        </w:sectPr>
      </w:pPr>
    </w:p>
    <w:p>
      <w:pPr>
        <w:spacing w:after="0" w:line="226" w:lineRule="exact"/>
        <w:rPr>
          <w:sz w:val="24"/>
          <w:szCs w:val="24"/>
          <w:color w:val="auto"/>
        </w:rPr>
      </w:pPr>
    </w:p>
    <w:p>
      <w:pPr>
        <w:jc w:val="center"/>
        <w:ind w:right="60"/>
        <w:spacing w:after="0"/>
        <w:rPr>
          <w:sz w:val="20"/>
          <w:szCs w:val="20"/>
          <w:color w:val="auto"/>
        </w:rPr>
      </w:pPr>
      <w:r>
        <w:rPr>
          <w:rFonts w:ascii="Arial" w:cs="Arial" w:eastAsia="Arial" w:hAnsi="Arial"/>
          <w:sz w:val="20"/>
          <w:szCs w:val="20"/>
          <w:b w:val="1"/>
          <w:bCs w:val="1"/>
          <w:color w:val="auto"/>
        </w:rPr>
        <w:t>Nevada</w:t>
      </w:r>
    </w:p>
    <w:p>
      <w:pPr>
        <w:spacing w:after="0" w:line="8"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333-100768</w:t>
      </w:r>
    </w:p>
    <w:p>
      <w:pPr>
        <w:spacing w:after="0" w:line="8"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jc w:val="center"/>
        <w:ind w:right="380"/>
        <w:spacing w:after="0"/>
        <w:rPr>
          <w:sz w:val="20"/>
          <w:szCs w:val="20"/>
          <w:color w:val="auto"/>
        </w:rPr>
      </w:pPr>
      <w:r>
        <w:rPr>
          <w:rFonts w:ascii="Arial" w:cs="Arial" w:eastAsia="Arial" w:hAnsi="Arial"/>
          <w:sz w:val="20"/>
          <w:szCs w:val="20"/>
          <w:b w:val="1"/>
          <w:bCs w:val="1"/>
          <w:color w:val="auto"/>
        </w:rPr>
        <w:t>88-0494875</w:t>
      </w:r>
    </w:p>
    <w:p>
      <w:pPr>
        <w:spacing w:after="0" w:line="8" w:lineRule="exact"/>
        <w:rPr>
          <w:sz w:val="24"/>
          <w:szCs w:val="24"/>
          <w:color w:val="auto"/>
        </w:rPr>
      </w:pPr>
    </w:p>
    <w:p>
      <w:pPr>
        <w:jc w:val="center"/>
        <w:ind w:right="380"/>
        <w:spacing w:after="0"/>
        <w:rPr>
          <w:sz w:val="20"/>
          <w:szCs w:val="20"/>
          <w:color w:val="auto"/>
        </w:rPr>
      </w:pPr>
      <w:r>
        <w:rPr>
          <w:rFonts w:ascii="Arial" w:cs="Arial" w:eastAsia="Arial" w:hAnsi="Arial"/>
          <w:sz w:val="18"/>
          <w:szCs w:val="18"/>
          <w:color w:val="auto"/>
        </w:rPr>
        <w:t>(I.R.S. Employer Identification No.)</w:t>
      </w:r>
    </w:p>
    <w:p>
      <w:pPr>
        <w:spacing w:after="0" w:line="27" w:lineRule="exact"/>
        <w:rPr>
          <w:sz w:val="24"/>
          <w:szCs w:val="24"/>
          <w:color w:val="auto"/>
        </w:rPr>
      </w:pPr>
    </w:p>
    <w:p>
      <w:pPr>
        <w:sectPr>
          <w:pgSz w:w="11900" w:h="16838" w:orient="portrait"/>
          <w:cols w:equalWidth="0" w:num="3">
            <w:col w:w="3520" w:space="720"/>
            <w:col w:w="2620" w:space="720"/>
            <w:col w:w="3240"/>
          </w:cols>
          <w:pgMar w:left="240" w:top="225" w:right="839" w:bottom="1440" w:gutter="0" w:footer="0" w:header="0"/>
          <w:type w:val="continuous"/>
        </w:sectPr>
      </w:pPr>
    </w:p>
    <w:p>
      <w:pPr>
        <w:ind w:left="1180"/>
        <w:spacing w:after="0"/>
        <w:rPr>
          <w:sz w:val="20"/>
          <w:szCs w:val="20"/>
          <w:color w:val="auto"/>
        </w:rPr>
      </w:pPr>
      <w:r>
        <w:rPr>
          <w:rFonts w:ascii="Arial" w:cs="Arial" w:eastAsia="Arial" w:hAnsi="Arial"/>
          <w:sz w:val="18"/>
          <w:szCs w:val="18"/>
          <w:color w:val="auto"/>
        </w:rPr>
        <w:t>incorporation)</w:t>
      </w:r>
    </w:p>
    <w:p>
      <w:pPr>
        <w:sectPr>
          <w:pgSz w:w="11900" w:h="16838" w:orient="portrait"/>
          <w:cols w:equalWidth="0" w:num="1">
            <w:col w:w="10820"/>
          </w:cols>
          <w:pgMar w:left="240" w:top="225" w:right="839" w:bottom="1440" w:gutter="0" w:footer="0" w:header="0"/>
          <w:type w:val="continuous"/>
        </w:sectPr>
      </w:pPr>
    </w:p>
    <w:p>
      <w:pPr>
        <w:spacing w:after="0" w:line="185" w:lineRule="exact"/>
        <w:rPr>
          <w:sz w:val="24"/>
          <w:szCs w:val="24"/>
          <w:color w:val="auto"/>
        </w:rPr>
      </w:pPr>
    </w:p>
    <w:p>
      <w:pPr>
        <w:jc w:val="center"/>
        <w:ind w:right="980"/>
        <w:spacing w:after="0"/>
        <w:rPr>
          <w:sz w:val="20"/>
          <w:szCs w:val="20"/>
          <w:color w:val="auto"/>
        </w:rPr>
      </w:pPr>
      <w:r>
        <w:rPr>
          <w:rFonts w:ascii="Arial" w:cs="Arial" w:eastAsia="Arial" w:hAnsi="Arial"/>
          <w:sz w:val="20"/>
          <w:szCs w:val="20"/>
          <w:b w:val="1"/>
          <w:bCs w:val="1"/>
          <w:color w:val="auto"/>
        </w:rPr>
        <w:t>3131 Las Vegas Boulevard South</w:t>
      </w:r>
    </w:p>
    <w:p>
      <w:pPr>
        <w:jc w:val="center"/>
        <w:ind w:right="980"/>
        <w:spacing w:after="0" w:line="233" w:lineRule="auto"/>
        <w:rPr>
          <w:sz w:val="20"/>
          <w:szCs w:val="20"/>
          <w:color w:val="auto"/>
        </w:rPr>
      </w:pPr>
      <w:r>
        <w:rPr>
          <w:rFonts w:ascii="Arial" w:cs="Arial" w:eastAsia="Arial" w:hAnsi="Arial"/>
          <w:sz w:val="20"/>
          <w:szCs w:val="20"/>
          <w:b w:val="1"/>
          <w:bCs w:val="1"/>
          <w:color w:val="auto"/>
        </w:rPr>
        <w:t>Las Vegas, Nevada</w:t>
      </w:r>
    </w:p>
    <w:p>
      <w:pPr>
        <w:spacing w:after="0" w:line="1"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381" w:lineRule="exact"/>
        <w:rPr>
          <w:sz w:val="24"/>
          <w:szCs w:val="24"/>
          <w:color w:val="auto"/>
        </w:rPr>
      </w:pPr>
    </w:p>
    <w:p>
      <w:pPr>
        <w:jc w:val="center"/>
        <w:ind w:right="1720"/>
        <w:spacing w:after="0"/>
        <w:rPr>
          <w:sz w:val="20"/>
          <w:szCs w:val="20"/>
          <w:color w:val="auto"/>
        </w:rPr>
      </w:pPr>
      <w:r>
        <w:rPr>
          <w:rFonts w:ascii="Arial" w:cs="Arial" w:eastAsia="Arial" w:hAnsi="Arial"/>
          <w:sz w:val="20"/>
          <w:szCs w:val="20"/>
          <w:b w:val="1"/>
          <w:bCs w:val="1"/>
          <w:color w:val="auto"/>
        </w:rPr>
        <w:t>89109</w:t>
      </w:r>
    </w:p>
    <w:p>
      <w:pPr>
        <w:spacing w:after="0" w:line="8" w:lineRule="exact"/>
        <w:rPr>
          <w:sz w:val="24"/>
          <w:szCs w:val="24"/>
          <w:color w:val="auto"/>
        </w:rPr>
      </w:pPr>
    </w:p>
    <w:p>
      <w:pPr>
        <w:jc w:val="center"/>
        <w:ind w:right="172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2600"/>
          </w:cols>
          <w:pgMar w:left="240" w:top="225" w:right="8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(702) 770-7555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186" w:lineRule="exact"/>
        <w:rPr>
          <w:sz w:val="24"/>
          <w:szCs w:val="24"/>
          <w:color w:val="auto"/>
        </w:rPr>
      </w:pPr>
    </w:p>
    <w:p>
      <w:pPr>
        <w:spacing w:after="0" w:line="246"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123" w:lineRule="exact"/>
        <w:rPr>
          <w:sz w:val="24"/>
          <w:szCs w:val="24"/>
          <w:color w:val="auto"/>
        </w:rPr>
      </w:pPr>
    </w:p>
    <w:p>
      <w:pPr>
        <w:ind w:left="380"/>
        <w:spacing w:after="0"/>
        <w:rPr>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162" w:lineRule="exact"/>
        <w:rPr>
          <w:sz w:val="24"/>
          <w:szCs w:val="24"/>
          <w:color w:val="auto"/>
        </w:rPr>
      </w:pPr>
    </w:p>
    <w:p>
      <w:pPr>
        <w:ind w:left="380"/>
        <w:spacing w:after="0"/>
        <w:rPr>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62" w:lineRule="exact"/>
        <w:rPr>
          <w:sz w:val="24"/>
          <w:szCs w:val="24"/>
          <w:color w:val="auto"/>
        </w:rPr>
      </w:pPr>
    </w:p>
    <w:p>
      <w:pPr>
        <w:ind w:left="380"/>
        <w:spacing w:after="0"/>
        <w:rPr>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162" w:lineRule="exact"/>
        <w:rPr>
          <w:sz w:val="24"/>
          <w:szCs w:val="24"/>
          <w:color w:val="auto"/>
        </w:rPr>
      </w:pPr>
    </w:p>
    <w:p>
      <w:pPr>
        <w:ind w:left="380"/>
        <w:spacing w:after="0"/>
        <w:rPr>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686498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20"/>
          </w:cols>
          <w:pgMar w:left="240" w:top="225" w:right="839" w:bottom="1440" w:gutter="0" w:footer="0" w:header="0"/>
          <w:type w:val="continuous"/>
        </w:sectPr>
      </w:pPr>
    </w:p>
    <w:bookmarkStart w:id="1" w:name="page2"/>
    <w:bookmarkEnd w:id="1"/>
    <w:p>
      <w:pPr>
        <w:spacing w:after="0"/>
        <w:tabs>
          <w:tab w:leader="none" w:pos="138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08" w:lineRule="exact"/>
        <w:rPr>
          <w:sz w:val="20"/>
          <w:szCs w:val="20"/>
          <w:color w:val="auto"/>
        </w:rPr>
      </w:pPr>
    </w:p>
    <w:p>
      <w:pPr>
        <w:ind w:right="60"/>
        <w:spacing w:after="0" w:line="242" w:lineRule="auto"/>
        <w:rPr>
          <w:sz w:val="20"/>
          <w:szCs w:val="20"/>
          <w:color w:val="auto"/>
        </w:rPr>
      </w:pPr>
      <w:r>
        <w:rPr>
          <w:rFonts w:ascii="Arial" w:cs="Arial" w:eastAsia="Arial" w:hAnsi="Arial"/>
          <w:sz w:val="19"/>
          <w:szCs w:val="19"/>
          <w:color w:val="auto"/>
        </w:rPr>
        <w:t>As disclosed in prior filings of Wynn Resorts, Limited ("WRL") and Wynn Las Vegas, LLC ("WLV") with the Securities and Exchange Commission, effective July 1, 2005, Stephen A. Wynn ("Mr. Wynn"), Chairman of the Board of Directors and Chief Executive Officer of WRL, and his wife, Elaine P. Wynn ("Mrs. Wynn"), who is also a director of WRL, lease from year to year a villa suite in the Wynn Las Vegas resort as their personal residence. Rent is determined by the Audit Committee of the Board of Directors of WRL (the “Audit Committee”), and is based on the fair market value of the use of the suite accommodations. As previously disclosed in the Forms 10-Q of WRL and WLV for the quarter ended March 31, 2008, based on a third-party appraisal and a reduction in certain services to be provided under the lease, for the two year period commencing July 1, 2008 and ending June 30, 2010, the Audit Committee determined the rent for each year will be $520,000.</w:t>
      </w:r>
    </w:p>
    <w:p>
      <w:pPr>
        <w:spacing w:after="0" w:line="182" w:lineRule="exact"/>
        <w:rPr>
          <w:sz w:val="20"/>
          <w:szCs w:val="20"/>
          <w:color w:val="auto"/>
        </w:rPr>
      </w:pPr>
    </w:p>
    <w:p>
      <w:pPr>
        <w:ind w:right="520"/>
        <w:spacing w:after="0" w:line="237" w:lineRule="auto"/>
        <w:rPr>
          <w:sz w:val="20"/>
          <w:szCs w:val="20"/>
          <w:color w:val="auto"/>
        </w:rPr>
      </w:pPr>
      <w:r>
        <w:rPr>
          <w:rFonts w:ascii="Arial" w:cs="Arial" w:eastAsia="Arial" w:hAnsi="Arial"/>
          <w:sz w:val="20"/>
          <w:szCs w:val="20"/>
          <w:color w:val="auto"/>
        </w:rPr>
        <w:t>On June 10, 2008, Mr. Wynn and WLV entered into a Second Amendment to Agreement of Lease (the "Second Amendment") memorializing the amount of rent for the two year period described above. A copy of the Second Amendment is filed herewith as Exhibit 10.1 and incorporated herein by reference.</w:t>
      </w:r>
    </w:p>
    <w:p>
      <w:pPr>
        <w:spacing w:after="0" w:line="393"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8" w:lineRule="exact"/>
        <w:rPr>
          <w:sz w:val="20"/>
          <w:szCs w:val="20"/>
          <w:color w:val="auto"/>
        </w:rPr>
      </w:pPr>
    </w:p>
    <w:p>
      <w:pPr>
        <w:ind w:left="1520" w:hanging="810"/>
        <w:spacing w:after="0"/>
        <w:tabs>
          <w:tab w:leader="none" w:pos="1520" w:val="left"/>
        </w:tabs>
        <w:numPr>
          <w:ilvl w:val="0"/>
          <w:numId w:val="1"/>
        </w:numPr>
        <w:rPr>
          <w:rFonts w:ascii="Arial" w:cs="Arial" w:eastAsia="Arial" w:hAnsi="Arial"/>
          <w:sz w:val="20"/>
          <w:szCs w:val="20"/>
          <w:color w:val="auto"/>
        </w:rPr>
      </w:pPr>
      <w:r>
        <w:rPr>
          <w:rFonts w:ascii="Arial" w:cs="Arial" w:eastAsia="Arial" w:hAnsi="Arial"/>
          <w:sz w:val="20"/>
          <w:szCs w:val="20"/>
          <w:color w:val="auto"/>
        </w:rPr>
        <w:t>Exhibits: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gridSpan w:val="2"/>
          </w:tcPr>
          <w:p>
            <w:pPr>
              <w:jc w:val="center"/>
              <w:ind w:right="680"/>
              <w:spacing w:after="0"/>
              <w:rPr>
                <w:sz w:val="20"/>
                <w:szCs w:val="20"/>
                <w:color w:val="auto"/>
              </w:rPr>
            </w:pPr>
            <w:r>
              <w:rPr>
                <w:rFonts w:ascii="Arial" w:cs="Arial" w:eastAsia="Arial" w:hAnsi="Arial"/>
                <w:sz w:val="20"/>
                <w:szCs w:val="20"/>
                <w:color w:val="auto"/>
                <w:w w:val="96"/>
              </w:rPr>
              <w:t>Exhibit</w:t>
            </w:r>
          </w:p>
        </w:tc>
        <w:tc>
          <w:tcPr>
            <w:tcW w:w="8100" w:type="dxa"/>
            <w:vAlign w:val="bottom"/>
            <w:gridSpan w:val="2"/>
            <w:vMerge w:val="restart"/>
          </w:tcPr>
          <w:p>
            <w:pPr>
              <w:spacing w:after="0"/>
              <w:rPr>
                <w:sz w:val="20"/>
                <w:szCs w:val="20"/>
                <w:color w:val="auto"/>
              </w:rPr>
            </w:pPr>
            <w:r>
              <w:rPr>
                <w:rFonts w:ascii="Arial" w:cs="Arial" w:eastAsia="Arial" w:hAnsi="Arial"/>
                <w:sz w:val="20"/>
                <w:szCs w:val="20"/>
                <w:color w:val="auto"/>
              </w:rPr>
              <w:t>Description</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20"/>
                <w:szCs w:val="20"/>
                <w:color w:val="auto"/>
                <w:w w:val="81"/>
              </w:rPr>
              <w:t>Number</w:t>
            </w:r>
          </w:p>
        </w:tc>
        <w:tc>
          <w:tcPr>
            <w:tcW w:w="640" w:type="dxa"/>
            <w:vAlign w:val="bottom"/>
          </w:tcPr>
          <w:p>
            <w:pPr>
              <w:spacing w:after="0"/>
              <w:rPr>
                <w:sz w:val="17"/>
                <w:szCs w:val="17"/>
                <w:color w:val="auto"/>
              </w:rPr>
            </w:pPr>
          </w:p>
        </w:tc>
        <w:tc>
          <w:tcPr>
            <w:tcW w:w="8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1420" w:type="dxa"/>
            <w:vAlign w:val="bottom"/>
          </w:tcPr>
          <w:p>
            <w:pPr>
              <w:spacing w:after="0"/>
              <w:rPr>
                <w:sz w:val="24"/>
                <w:szCs w:val="24"/>
                <w:color w:val="auto"/>
              </w:rPr>
            </w:pPr>
          </w:p>
        </w:tc>
        <w:tc>
          <w:tcPr>
            <w:tcW w:w="660" w:type="dxa"/>
            <w:vAlign w:val="bottom"/>
            <w:gridSpan w:val="2"/>
          </w:tcPr>
          <w:p>
            <w:pPr>
              <w:jc w:val="center"/>
              <w:spacing w:after="0"/>
              <w:rPr>
                <w:sz w:val="20"/>
                <w:szCs w:val="20"/>
                <w:color w:val="auto"/>
              </w:rPr>
            </w:pPr>
            <w:r>
              <w:rPr>
                <w:rFonts w:ascii="Arial" w:cs="Arial" w:eastAsia="Arial" w:hAnsi="Arial"/>
                <w:sz w:val="20"/>
                <w:szCs w:val="20"/>
                <w:color w:val="auto"/>
                <w:w w:val="87"/>
              </w:rPr>
              <w:t>10.1</w:t>
            </w:r>
          </w:p>
        </w:tc>
        <w:tc>
          <w:tcPr>
            <w:tcW w:w="640" w:type="dxa"/>
            <w:vAlign w:val="bottom"/>
          </w:tcPr>
          <w:p>
            <w:pPr>
              <w:spacing w:after="0"/>
              <w:rPr>
                <w:sz w:val="24"/>
                <w:szCs w:val="24"/>
                <w:color w:val="auto"/>
              </w:rPr>
            </w:pPr>
          </w:p>
        </w:tc>
        <w:tc>
          <w:tcPr>
            <w:tcW w:w="8100" w:type="dxa"/>
            <w:vAlign w:val="bottom"/>
            <w:gridSpan w:val="2"/>
          </w:tcPr>
          <w:p>
            <w:pPr>
              <w:spacing w:after="0"/>
              <w:rPr>
                <w:sz w:val="20"/>
                <w:szCs w:val="20"/>
                <w:color w:val="auto"/>
              </w:rPr>
            </w:pPr>
            <w:r>
              <w:rPr>
                <w:rFonts w:ascii="Arial" w:cs="Arial" w:eastAsia="Arial" w:hAnsi="Arial"/>
                <w:sz w:val="20"/>
                <w:szCs w:val="20"/>
                <w:color w:val="auto"/>
                <w:w w:val="91"/>
              </w:rPr>
              <w:t>Second Amendment to Agreement of Lease, made as of June 10, 2008, by and between Wynn Las</w:t>
            </w:r>
          </w:p>
        </w:tc>
        <w:tc>
          <w:tcPr>
            <w:tcW w:w="0" w:type="dxa"/>
            <w:vAlign w:val="bottom"/>
          </w:tcPr>
          <w:p>
            <w:pPr>
              <w:spacing w:after="0"/>
              <w:rPr>
                <w:sz w:val="1"/>
                <w:szCs w:val="1"/>
                <w:color w:val="auto"/>
              </w:rPr>
            </w:pPr>
          </w:p>
        </w:tc>
      </w:tr>
      <w:tr>
        <w:trPr>
          <w:trHeight w:val="250"/>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100" w:type="dxa"/>
            <w:vAlign w:val="bottom"/>
            <w:gridSpan w:val="2"/>
          </w:tcPr>
          <w:p>
            <w:pPr>
              <w:spacing w:after="0"/>
              <w:rPr>
                <w:sz w:val="20"/>
                <w:szCs w:val="20"/>
                <w:color w:val="auto"/>
              </w:rPr>
            </w:pPr>
            <w:r>
              <w:rPr>
                <w:rFonts w:ascii="Arial" w:cs="Arial" w:eastAsia="Arial" w:hAnsi="Arial"/>
                <w:sz w:val="20"/>
                <w:szCs w:val="20"/>
                <w:color w:val="auto"/>
              </w:rPr>
              <w:t>Vegas, LLC and Stephen A. Wynn</w:t>
            </w:r>
          </w:p>
        </w:tc>
        <w:tc>
          <w:tcPr>
            <w:tcW w:w="0" w:type="dxa"/>
            <w:vAlign w:val="bottom"/>
          </w:tcPr>
          <w:p>
            <w:pPr>
              <w:spacing w:after="0"/>
              <w:rPr>
                <w:sz w:val="1"/>
                <w:szCs w:val="1"/>
                <w:color w:val="auto"/>
              </w:rPr>
            </w:pPr>
          </w:p>
        </w:tc>
      </w:tr>
      <w:tr>
        <w:trPr>
          <w:trHeight w:val="317"/>
        </w:trPr>
        <w:tc>
          <w:tcPr>
            <w:tcW w:w="1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7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6854825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820"/>
          </w:cols>
          <w:pgMar w:left="240" w:top="333" w:right="8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7" w:lineRule="exact"/>
        <w:rPr>
          <w:sz w:val="20"/>
          <w:szCs w:val="20"/>
          <w:color w:val="auto"/>
        </w:rPr>
      </w:pPr>
    </w:p>
    <w:p>
      <w:pPr>
        <w:ind w:firstLine="720"/>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June 12, 2008</w:t>
      </w:r>
    </w:p>
    <w:p>
      <w:pPr>
        <w:spacing w:after="0" w:line="20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18"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By: /s/ Matt Maddox_______________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-14605</wp:posOffset>
            </wp:positionV>
            <wp:extent cx="1811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ind w:left="7380"/>
        <w:spacing w:after="0" w:line="227" w:lineRule="auto"/>
        <w:rPr>
          <w:sz w:val="20"/>
          <w:szCs w:val="20"/>
          <w:color w:val="auto"/>
        </w:rPr>
      </w:pPr>
      <w:r>
        <w:rPr>
          <w:rFonts w:ascii="Arial" w:cs="Arial" w:eastAsia="Arial" w:hAnsi="Arial"/>
          <w:sz w:val="20"/>
          <w:szCs w:val="20"/>
          <w:color w:val="auto"/>
        </w:rPr>
        <w:t>Matt Maddox</w:t>
      </w:r>
    </w:p>
    <w:p>
      <w:pPr>
        <w:ind w:left="7380"/>
        <w:spacing w:after="0" w:line="226" w:lineRule="auto"/>
        <w:rPr>
          <w:sz w:val="20"/>
          <w:szCs w:val="20"/>
          <w:color w:val="auto"/>
        </w:rPr>
      </w:pPr>
      <w:r>
        <w:rPr>
          <w:rFonts w:ascii="Arial" w:cs="Arial" w:eastAsia="Arial" w:hAnsi="Arial"/>
          <w:sz w:val="20"/>
          <w:szCs w:val="20"/>
          <w:color w:val="auto"/>
        </w:rPr>
        <w:t>Chief Financial Officer and</w:t>
      </w:r>
    </w:p>
    <w:p>
      <w:pPr>
        <w:ind w:left="738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686498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4985" cy="21590"/>
                    </a:xfrm>
                    <a:prstGeom prst="rect">
                      <a:avLst/>
                    </a:prstGeom>
                    <a:noFill/>
                  </pic:spPr>
                </pic:pic>
              </a:graphicData>
            </a:graphic>
          </wp:anchor>
        </w:drawing>
      </w:r>
    </w:p>
    <w:p>
      <w:pPr>
        <w:sectPr>
          <w:pgSz w:w="11900" w:h="16838" w:orient="portrait"/>
          <w:cols w:equalWidth="0" w:num="1">
            <w:col w:w="10800"/>
          </w:cols>
          <w:pgMar w:left="240" w:top="328" w:right="8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7" w:lineRule="exact"/>
        <w:rPr>
          <w:sz w:val="20"/>
          <w:szCs w:val="20"/>
          <w:color w:val="auto"/>
        </w:rPr>
      </w:pPr>
    </w:p>
    <w:p>
      <w:pPr>
        <w:ind w:firstLine="720"/>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June 12, 2008</w:t>
      </w:r>
    </w:p>
    <w:p>
      <w:pPr>
        <w:spacing w:after="0" w:line="202"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WYNN LAS VEGAS, LLC</w:t>
      </w:r>
    </w:p>
    <w:p>
      <w:pPr>
        <w:spacing w:after="0" w:line="202" w:lineRule="exact"/>
        <w:rPr>
          <w:sz w:val="20"/>
          <w:szCs w:val="20"/>
          <w:color w:val="auto"/>
        </w:rPr>
      </w:pPr>
    </w:p>
    <w:p>
      <w:pPr>
        <w:ind w:left="7140"/>
        <w:spacing w:after="0"/>
        <w:rPr>
          <w:sz w:val="20"/>
          <w:szCs w:val="20"/>
          <w:color w:val="auto"/>
        </w:rPr>
      </w:pPr>
      <w:r>
        <w:rPr>
          <w:rFonts w:ascii="Arial" w:cs="Arial" w:eastAsia="Arial" w:hAnsi="Arial"/>
          <w:sz w:val="19"/>
          <w:szCs w:val="19"/>
          <w:color w:val="auto"/>
        </w:rPr>
        <w:t>By:  Wynn Resorts Holdings, LLC, its sole</w:t>
      </w:r>
    </w:p>
    <w:p>
      <w:pPr>
        <w:spacing w:after="0" w:line="14" w:lineRule="exact"/>
        <w:rPr>
          <w:sz w:val="20"/>
          <w:szCs w:val="20"/>
          <w:color w:val="auto"/>
        </w:rPr>
      </w:pPr>
    </w:p>
    <w:p>
      <w:pPr>
        <w:ind w:left="7580"/>
        <w:spacing w:after="0"/>
        <w:rPr>
          <w:sz w:val="20"/>
          <w:szCs w:val="20"/>
          <w:color w:val="auto"/>
        </w:rPr>
      </w:pPr>
      <w:r>
        <w:rPr>
          <w:rFonts w:ascii="Arial" w:cs="Arial" w:eastAsia="Arial" w:hAnsi="Arial"/>
          <w:sz w:val="20"/>
          <w:szCs w:val="20"/>
          <w:color w:val="auto"/>
        </w:rPr>
        <w:t>member</w:t>
      </w:r>
    </w:p>
    <w:p>
      <w:pPr>
        <w:spacing w:after="0" w:line="18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By:  Wynn Resorts, Limited, its sole member</w:t>
      </w:r>
    </w:p>
    <w:p>
      <w:pPr>
        <w:spacing w:after="0" w:line="225" w:lineRule="exact"/>
        <w:rPr>
          <w:sz w:val="20"/>
          <w:szCs w:val="20"/>
          <w:color w:val="auto"/>
        </w:rPr>
      </w:pPr>
    </w:p>
    <w:p>
      <w:pPr>
        <w:ind w:left="7140"/>
        <w:spacing w:after="0"/>
        <w:rPr>
          <w:sz w:val="20"/>
          <w:szCs w:val="20"/>
          <w:color w:val="auto"/>
        </w:rPr>
      </w:pPr>
      <w:r>
        <w:rPr>
          <w:rFonts w:ascii="Arial" w:cs="Arial" w:eastAsia="Arial" w:hAnsi="Arial"/>
          <w:sz w:val="20"/>
          <w:szCs w:val="20"/>
          <w:color w:val="auto"/>
        </w:rPr>
        <w:t>By: _/s/ Matt Maddox__________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4714875</wp:posOffset>
            </wp:positionH>
            <wp:positionV relativeFrom="paragraph">
              <wp:posOffset>-14605</wp:posOffset>
            </wp:positionV>
            <wp:extent cx="156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7580"/>
        <w:spacing w:after="0" w:line="227" w:lineRule="auto"/>
        <w:rPr>
          <w:sz w:val="20"/>
          <w:szCs w:val="20"/>
          <w:color w:val="auto"/>
        </w:rPr>
      </w:pPr>
      <w:r>
        <w:rPr>
          <w:rFonts w:ascii="Arial" w:cs="Arial" w:eastAsia="Arial" w:hAnsi="Arial"/>
          <w:sz w:val="20"/>
          <w:szCs w:val="20"/>
          <w:color w:val="auto"/>
        </w:rPr>
        <w:t>Matt Maddox</w:t>
      </w:r>
    </w:p>
    <w:p>
      <w:pPr>
        <w:ind w:left="7580"/>
        <w:spacing w:after="0" w:line="226" w:lineRule="auto"/>
        <w:rPr>
          <w:sz w:val="20"/>
          <w:szCs w:val="20"/>
          <w:color w:val="auto"/>
        </w:rPr>
      </w:pPr>
      <w:r>
        <w:rPr>
          <w:rFonts w:ascii="Arial" w:cs="Arial" w:eastAsia="Arial" w:hAnsi="Arial"/>
          <w:sz w:val="20"/>
          <w:szCs w:val="20"/>
          <w:color w:val="auto"/>
        </w:rPr>
        <w:t>Chief Financial Officer and</w:t>
      </w:r>
    </w:p>
    <w:p>
      <w:pPr>
        <w:ind w:left="7580"/>
        <w:spacing w:after="0"/>
        <w:rPr>
          <w:sz w:val="20"/>
          <w:szCs w:val="20"/>
          <w:color w:val="auto"/>
        </w:rPr>
      </w:pPr>
      <w:r>
        <w:rPr>
          <w:rFonts w:ascii="Arial" w:cs="Arial" w:eastAsia="Arial" w:hAnsi="Arial"/>
          <w:sz w:val="20"/>
          <w:szCs w:val="20"/>
          <w:color w:val="auto"/>
        </w:rPr>
        <w:t>Treasurer</w:t>
      </w:r>
    </w:p>
    <w:p>
      <w:pPr>
        <w:sectPr>
          <w:pgSz w:w="11900" w:h="16838" w:orient="portrait"/>
          <w:cols w:equalWidth="0" w:num="1">
            <w:col w:w="10800"/>
          </w:cols>
          <w:pgMar w:left="240" w:top="355" w:right="85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AMENDMENT TO AGREEMENT OF LEASE</w:t>
      </w:r>
    </w:p>
    <w:p>
      <w:pPr>
        <w:spacing w:after="0" w:line="239" w:lineRule="exact"/>
        <w:rPr>
          <w:sz w:val="20"/>
          <w:szCs w:val="20"/>
          <w:color w:val="auto"/>
        </w:rPr>
      </w:pPr>
    </w:p>
    <w:p>
      <w:pPr>
        <w:jc w:val="both"/>
        <w:ind w:right="400" w:firstLine="1351"/>
        <w:spacing w:after="0"/>
        <w:rPr>
          <w:sz w:val="20"/>
          <w:szCs w:val="20"/>
          <w:color w:val="auto"/>
        </w:rPr>
      </w:pPr>
      <w:r>
        <w:rPr>
          <w:rFonts w:ascii="Arial" w:cs="Arial" w:eastAsia="Arial" w:hAnsi="Arial"/>
          <w:sz w:val="22"/>
          <w:szCs w:val="22"/>
          <w:color w:val="auto"/>
        </w:rPr>
        <w:t>THIS SECOND AMENDMENT TO AGREEMENT OF LEASE (this “</w:t>
      </w:r>
      <w:r>
        <w:rPr>
          <w:rFonts w:ascii="Arial" w:cs="Arial" w:eastAsia="Arial" w:hAnsi="Arial"/>
          <w:sz w:val="22"/>
          <w:szCs w:val="22"/>
          <w:u w:val="single" w:color="auto"/>
          <w:color w:val="auto"/>
        </w:rPr>
        <w:t>Second Amendment</w:t>
      </w:r>
      <w:r>
        <w:rPr>
          <w:rFonts w:ascii="Arial" w:cs="Arial" w:eastAsia="Arial" w:hAnsi="Arial"/>
          <w:sz w:val="22"/>
          <w:szCs w:val="22"/>
          <w:color w:val="auto"/>
        </w:rPr>
        <w:t>”) is made as of the 10th day of June, 2008, by and between Wynn Las Vegas, LLC (“</w:t>
      </w:r>
      <w:r>
        <w:rPr>
          <w:rFonts w:ascii="Arial" w:cs="Arial" w:eastAsia="Arial" w:hAnsi="Arial"/>
          <w:sz w:val="22"/>
          <w:szCs w:val="22"/>
          <w:u w:val="single" w:color="auto"/>
          <w:color w:val="auto"/>
        </w:rPr>
        <w:t>Lessor</w:t>
      </w:r>
      <w:r>
        <w:rPr>
          <w:rFonts w:ascii="Arial" w:cs="Arial" w:eastAsia="Arial" w:hAnsi="Arial"/>
          <w:sz w:val="22"/>
          <w:szCs w:val="22"/>
          <w:color w:val="auto"/>
        </w:rPr>
        <w:t>”) and Stephen A. Wynn (“</w:t>
      </w:r>
      <w:r>
        <w:rPr>
          <w:rFonts w:ascii="Arial" w:cs="Arial" w:eastAsia="Arial" w:hAnsi="Arial"/>
          <w:sz w:val="22"/>
          <w:szCs w:val="22"/>
          <w:u w:val="single" w:color="auto"/>
          <w:color w:val="auto"/>
        </w:rPr>
        <w:t>Lessee</w:t>
      </w:r>
      <w:r>
        <w:rPr>
          <w:rFonts w:ascii="Arial" w:cs="Arial" w:eastAsia="Arial" w:hAnsi="Arial"/>
          <w:sz w:val="22"/>
          <w:szCs w:val="22"/>
          <w:color w:val="auto"/>
        </w:rPr>
        <w:t>”) and, together with Lessor,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jc w:val="both"/>
        <w:ind w:right="340" w:firstLine="728"/>
        <w:spacing w:after="0" w:line="252" w:lineRule="auto"/>
        <w:tabs>
          <w:tab w:leader="none" w:pos="1521"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Parties have entered into an Agreement of Lease dated as of January 10, 2005 (the “</w:t>
      </w:r>
      <w:r>
        <w:rPr>
          <w:rFonts w:ascii="Arial" w:cs="Arial" w:eastAsia="Arial" w:hAnsi="Arial"/>
          <w:sz w:val="21"/>
          <w:szCs w:val="21"/>
          <w:u w:val="single" w:color="auto"/>
          <w:color w:val="auto"/>
        </w:rPr>
        <w:t>Original Lease</w:t>
      </w:r>
      <w:r>
        <w:rPr>
          <w:rFonts w:ascii="Arial" w:cs="Arial" w:eastAsia="Arial" w:hAnsi="Arial"/>
          <w:sz w:val="21"/>
          <w:szCs w:val="21"/>
          <w:color w:val="auto"/>
        </w:rPr>
        <w:t>”) as amended by that certain First Amendment to Agreement to Lease dated April 21, 2005 (the “</w:t>
      </w:r>
      <w:r>
        <w:rPr>
          <w:rFonts w:ascii="Arial" w:cs="Arial" w:eastAsia="Arial" w:hAnsi="Arial"/>
          <w:sz w:val="21"/>
          <w:szCs w:val="21"/>
          <w:u w:val="single" w:color="auto"/>
          <w:color w:val="auto"/>
        </w:rPr>
        <w:t>First Amendment</w:t>
      </w:r>
      <w:r>
        <w:rPr>
          <w:rFonts w:ascii="Arial" w:cs="Arial" w:eastAsia="Arial" w:hAnsi="Arial"/>
          <w:sz w:val="21"/>
          <w:szCs w:val="21"/>
          <w:color w:val="auto"/>
        </w:rPr>
        <w:t>”) (the Original Lease and the First Amendment are collectively referred to herein as the “</w:t>
      </w:r>
      <w:r>
        <w:rPr>
          <w:rFonts w:ascii="Arial" w:cs="Arial" w:eastAsia="Arial" w:hAnsi="Arial"/>
          <w:sz w:val="21"/>
          <w:szCs w:val="21"/>
          <w:u w:val="single" w:color="auto"/>
          <w:color w:val="auto"/>
        </w:rPr>
        <w:t>Lease</w:t>
      </w:r>
      <w:r>
        <w:rPr>
          <w:rFonts w:ascii="Arial" w:cs="Arial" w:eastAsia="Arial" w:hAnsi="Arial"/>
          <w:sz w:val="21"/>
          <w:szCs w:val="21"/>
          <w:color w:val="auto"/>
        </w:rPr>
        <w:t>”), under which Lessee leases a luxury suite (the “</w:t>
      </w:r>
      <w:r>
        <w:rPr>
          <w:rFonts w:ascii="Arial" w:cs="Arial" w:eastAsia="Arial" w:hAnsi="Arial"/>
          <w:sz w:val="21"/>
          <w:szCs w:val="21"/>
          <w:u w:val="single" w:color="auto"/>
          <w:color w:val="auto"/>
        </w:rPr>
        <w:t>Suite</w:t>
      </w:r>
      <w:r>
        <w:rPr>
          <w:rFonts w:ascii="Arial" w:cs="Arial" w:eastAsia="Arial" w:hAnsi="Arial"/>
          <w:sz w:val="21"/>
          <w:szCs w:val="21"/>
          <w:color w:val="auto"/>
        </w:rPr>
        <w:t>”) in Lessor’s Wynn Las Vegas casino and resort hotel (the “</w:t>
      </w:r>
      <w:r>
        <w:rPr>
          <w:rFonts w:ascii="Arial" w:cs="Arial" w:eastAsia="Arial" w:hAnsi="Arial"/>
          <w:sz w:val="21"/>
          <w:szCs w:val="21"/>
          <w:u w:val="single" w:color="auto"/>
          <w:color w:val="auto"/>
        </w:rPr>
        <w:t>Resort</w:t>
      </w:r>
      <w:r>
        <w:rPr>
          <w:rFonts w:ascii="Arial" w:cs="Arial" w:eastAsia="Arial" w:hAnsi="Arial"/>
          <w:sz w:val="21"/>
          <w:szCs w:val="21"/>
          <w:color w:val="auto"/>
        </w:rPr>
        <w:t>”).</w:t>
      </w:r>
    </w:p>
    <w:p>
      <w:pPr>
        <w:spacing w:after="0" w:line="201" w:lineRule="exact"/>
        <w:rPr>
          <w:rFonts w:ascii="Arial" w:cs="Arial" w:eastAsia="Arial" w:hAnsi="Arial"/>
          <w:sz w:val="21"/>
          <w:szCs w:val="21"/>
          <w:color w:val="auto"/>
        </w:rPr>
      </w:pPr>
    </w:p>
    <w:p>
      <w:pPr>
        <w:ind w:right="520" w:firstLine="728"/>
        <w:spacing w:after="0" w:line="251" w:lineRule="auto"/>
        <w:tabs>
          <w:tab w:leader="none" w:pos="1509"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initial 12 month term of the Lease commenced on July 1, 2005. The Parties have renewed the Lease for consecutive 12 month periods thereafter from year to year.</w:t>
      </w:r>
    </w:p>
    <w:p>
      <w:pPr>
        <w:spacing w:after="0" w:line="200" w:lineRule="exact"/>
        <w:rPr>
          <w:rFonts w:ascii="Arial" w:cs="Arial" w:eastAsia="Arial" w:hAnsi="Arial"/>
          <w:sz w:val="22"/>
          <w:szCs w:val="22"/>
          <w:color w:val="auto"/>
        </w:rPr>
      </w:pPr>
    </w:p>
    <w:p>
      <w:pPr>
        <w:ind w:left="1520" w:hanging="792"/>
        <w:spacing w:after="0"/>
        <w:tabs>
          <w:tab w:leader="none" w:pos="152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Parties have agreed to reduce certain services provided by Lessor to Lessee under the terms of the Lease.</w:t>
      </w:r>
    </w:p>
    <w:p>
      <w:pPr>
        <w:spacing w:after="0" w:line="267" w:lineRule="exact"/>
        <w:rPr>
          <w:rFonts w:ascii="Arial" w:cs="Arial" w:eastAsia="Arial" w:hAnsi="Arial"/>
          <w:sz w:val="19"/>
          <w:szCs w:val="19"/>
          <w:color w:val="auto"/>
        </w:rPr>
      </w:pPr>
    </w:p>
    <w:p>
      <w:pPr>
        <w:ind w:right="280" w:firstLine="728"/>
        <w:spacing w:after="0" w:line="251" w:lineRule="auto"/>
        <w:tabs>
          <w:tab w:leader="none" w:pos="1525" w:val="left"/>
        </w:tabs>
        <w:numPr>
          <w:ilvl w:val="0"/>
          <w:numId w:val="2"/>
        </w:numPr>
        <w:rPr>
          <w:rFonts w:ascii="Arial" w:cs="Arial" w:eastAsia="Arial" w:hAnsi="Arial"/>
          <w:sz w:val="22"/>
          <w:szCs w:val="22"/>
          <w:color w:val="auto"/>
        </w:rPr>
      </w:pPr>
      <w:r>
        <w:rPr>
          <w:rFonts w:ascii="Arial" w:cs="Arial" w:eastAsia="Arial" w:hAnsi="Arial"/>
          <w:sz w:val="22"/>
          <w:szCs w:val="22"/>
          <w:color w:val="auto"/>
        </w:rPr>
        <w:t>Pursuant to Section 3 of the Original Lease, the Parties have determined the amount of the annual rental for the two (2) year period commencing on July 1, 2008.</w:t>
      </w:r>
    </w:p>
    <w:p>
      <w:pPr>
        <w:spacing w:after="0" w:line="200"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NOW, THEREFORE, the Parties agree as follows:</w:t>
      </w:r>
    </w:p>
    <w:p>
      <w:pPr>
        <w:spacing w:after="0" w:line="233" w:lineRule="exact"/>
        <w:rPr>
          <w:sz w:val="20"/>
          <w:szCs w:val="20"/>
          <w:color w:val="auto"/>
        </w:rPr>
      </w:pPr>
    </w:p>
    <w:p>
      <w:pPr>
        <w:ind w:right="180" w:firstLine="1359"/>
        <w:spacing w:after="0" w:line="238" w:lineRule="auto"/>
        <w:tabs>
          <w:tab w:leader="none" w:pos="2107"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Annual Rental</w:t>
      </w:r>
      <w:r>
        <w:rPr>
          <w:rFonts w:ascii="Arial" w:cs="Arial" w:eastAsia="Arial" w:hAnsi="Arial"/>
          <w:sz w:val="22"/>
          <w:szCs w:val="22"/>
          <w:color w:val="auto"/>
        </w:rPr>
        <w:t>. The Parties agree that for the two (2) year period commencing on July 1, 2008, the Lease rental for the Suite shall be Five Hundred Twenty Thousand Dollars and No Cents ($520,000.00) per year. Notwithstanding the foregoing nothing herein shall be interpreted as to change or amend either Party’s right to terminate the Lease in accordance with Section 2 of the Lease.</w:t>
      </w:r>
    </w:p>
    <w:p>
      <w:pPr>
        <w:spacing w:after="0" w:line="212" w:lineRule="exact"/>
        <w:rPr>
          <w:rFonts w:ascii="Arial" w:cs="Arial" w:eastAsia="Arial" w:hAnsi="Arial"/>
          <w:sz w:val="22"/>
          <w:szCs w:val="22"/>
          <w:color w:val="auto"/>
        </w:rPr>
      </w:pPr>
    </w:p>
    <w:p>
      <w:pPr>
        <w:ind w:left="2120" w:hanging="761"/>
        <w:spacing w:after="0"/>
        <w:tabs>
          <w:tab w:leader="none" w:pos="212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Section 2 of the Lease is hereby amended and restated to read in its entirety as follows:</w:t>
      </w:r>
    </w:p>
    <w:p>
      <w:pPr>
        <w:spacing w:after="0" w:line="233" w:lineRule="exact"/>
        <w:rPr>
          <w:sz w:val="20"/>
          <w:szCs w:val="20"/>
          <w:color w:val="auto"/>
        </w:rPr>
      </w:pPr>
    </w:p>
    <w:p>
      <w:pPr>
        <w:ind w:left="1980" w:right="660"/>
        <w:spacing w:after="0" w:line="274" w:lineRule="auto"/>
        <w:rPr>
          <w:sz w:val="20"/>
          <w:szCs w:val="20"/>
          <w:color w:val="auto"/>
        </w:rPr>
      </w:pPr>
      <w:r>
        <w:rPr>
          <w:rFonts w:ascii="Arial" w:cs="Arial" w:eastAsia="Arial" w:hAnsi="Arial"/>
          <w:sz w:val="19"/>
          <w:szCs w:val="19"/>
          <w:color w:val="auto"/>
        </w:rPr>
        <w:t xml:space="preserve">“4. </w:t>
      </w:r>
      <w:r>
        <w:rPr>
          <w:rFonts w:ascii="Arial" w:cs="Arial" w:eastAsia="Arial" w:hAnsi="Arial"/>
          <w:sz w:val="19"/>
          <w:szCs w:val="19"/>
          <w:u w:val="single" w:color="auto"/>
          <w:color w:val="auto"/>
        </w:rPr>
        <w:t>Maintenance and Services</w:t>
      </w:r>
      <w:r>
        <w:rPr>
          <w:rFonts w:ascii="Arial" w:cs="Arial" w:eastAsia="Arial" w:hAnsi="Arial"/>
          <w:sz w:val="19"/>
          <w:szCs w:val="19"/>
          <w:color w:val="auto"/>
        </w:rPr>
        <w:t xml:space="preserve">. Lessor shall maintain the Suite and provide all services and utilities with respect thereto in a manner consistent with the Resort’s standards;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Lessor shall only be obligated to provide maid service in the Suite on Saturdays and Sundays of each week during the Term. Lessee shall be responsible to arrange and pay for maid service in the Suite from Monday through Friday of each week during the Term. All taxes and utilities with respect to the Suite, other than personal long distance telephone charges and taxes associated with the maid service arranged by the Lessee, shall be paid by Lessor and deemed included in the rent payable by Lessee pursuant to Section 3 above. Lessee shall be responsible for payment of all personal long distance telephone charges, which shall be billed to him separately by the Resort in accordance with its customary practices.”</w:t>
      </w:r>
    </w:p>
    <w:p>
      <w:pPr>
        <w:spacing w:after="0" w:line="200" w:lineRule="exact"/>
        <w:rPr>
          <w:sz w:val="20"/>
          <w:szCs w:val="20"/>
          <w:color w:val="auto"/>
        </w:rPr>
      </w:pPr>
    </w:p>
    <w:p>
      <w:pPr>
        <w:spacing w:after="0" w:line="229" w:lineRule="exact"/>
        <w:rPr>
          <w:sz w:val="20"/>
          <w:szCs w:val="20"/>
          <w:color w:val="auto"/>
        </w:rPr>
      </w:pPr>
    </w:p>
    <w:p>
      <w:pPr>
        <w:ind w:left="2120" w:hanging="761"/>
        <w:spacing w:after="0"/>
        <w:tabs>
          <w:tab w:leader="none" w:pos="2120" w:val="left"/>
        </w:tabs>
        <w:numPr>
          <w:ilvl w:val="0"/>
          <w:numId w:val="4"/>
        </w:numPr>
        <w:rPr>
          <w:rFonts w:ascii="Arial" w:cs="Arial" w:eastAsia="Arial" w:hAnsi="Arial"/>
          <w:sz w:val="19"/>
          <w:szCs w:val="19"/>
          <w:color w:val="auto"/>
        </w:rPr>
      </w:pPr>
      <w:r>
        <w:rPr>
          <w:rFonts w:ascii="Arial" w:cs="Arial" w:eastAsia="Arial" w:hAnsi="Arial"/>
          <w:sz w:val="19"/>
          <w:szCs w:val="19"/>
          <w:color w:val="auto"/>
        </w:rPr>
        <w:t>Capitalized terms used herein and not otherwise defined shall have the meanings ascribed to them in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Lease.</w:t>
      </w:r>
    </w:p>
    <w:p>
      <w:pPr>
        <w:spacing w:after="0" w:line="215" w:lineRule="exact"/>
        <w:rPr>
          <w:sz w:val="20"/>
          <w:szCs w:val="20"/>
          <w:color w:val="auto"/>
        </w:rPr>
      </w:pPr>
    </w:p>
    <w:p>
      <w:pPr>
        <w:ind w:left="2120" w:hanging="761"/>
        <w:spacing w:after="0"/>
        <w:tabs>
          <w:tab w:leader="none" w:pos="2120" w:val="left"/>
        </w:tabs>
        <w:numPr>
          <w:ilvl w:val="0"/>
          <w:numId w:val="5"/>
        </w:numPr>
        <w:rPr>
          <w:rFonts w:ascii="Arial" w:cs="Arial" w:eastAsia="Arial" w:hAnsi="Arial"/>
          <w:sz w:val="19"/>
          <w:szCs w:val="19"/>
          <w:color w:val="auto"/>
        </w:rPr>
      </w:pPr>
      <w:r>
        <w:rPr>
          <w:rFonts w:ascii="Arial" w:cs="Arial" w:eastAsia="Arial" w:hAnsi="Arial"/>
          <w:sz w:val="19"/>
          <w:szCs w:val="19"/>
          <w:color w:val="auto"/>
        </w:rPr>
        <w:t>Except as modified by this Second Amendment, all of the terms and conditions of the Lease shall remain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full force and effect.</w:t>
      </w:r>
    </w:p>
    <w:p>
      <w:pPr>
        <w:spacing w:after="0" w:line="215"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IN WITNESS WHEREOF, the parties have executed this Second Amendment as of the day and year first written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240" w:type="dxa"/>
            <w:vAlign w:val="bottom"/>
            <w:gridSpan w:val="2"/>
          </w:tcPr>
          <w:p>
            <w:pPr>
              <w:spacing w:after="0"/>
              <w:rPr>
                <w:sz w:val="20"/>
                <w:szCs w:val="20"/>
                <w:color w:val="auto"/>
              </w:rPr>
            </w:pPr>
            <w:r>
              <w:rPr>
                <w:rFonts w:ascii="Arial" w:cs="Arial" w:eastAsia="Arial" w:hAnsi="Arial"/>
                <w:sz w:val="22"/>
                <w:szCs w:val="22"/>
                <w:color w:val="auto"/>
              </w:rPr>
              <w:t>By:   /s/ Andrew Pascal</w:t>
            </w:r>
          </w:p>
        </w:tc>
        <w:tc>
          <w:tcPr>
            <w:tcW w:w="940" w:type="dxa"/>
            <w:vAlign w:val="bottom"/>
          </w:tcPr>
          <w:p>
            <w:pPr>
              <w:spacing w:after="0"/>
              <w:rPr>
                <w:sz w:val="23"/>
                <w:szCs w:val="23"/>
                <w:color w:val="auto"/>
              </w:rPr>
            </w:pPr>
          </w:p>
        </w:tc>
        <w:tc>
          <w:tcPr>
            <w:tcW w:w="5240" w:type="dxa"/>
            <w:vAlign w:val="bottom"/>
          </w:tcPr>
          <w:p>
            <w:pPr>
              <w:spacing w:after="0"/>
              <w:rPr>
                <w:sz w:val="20"/>
                <w:szCs w:val="20"/>
                <w:color w:val="auto"/>
              </w:rPr>
            </w:pPr>
            <w:r>
              <w:rPr>
                <w:rFonts w:ascii="Arial" w:cs="Arial" w:eastAsia="Arial" w:hAnsi="Arial"/>
                <w:sz w:val="22"/>
                <w:szCs w:val="22"/>
                <w:color w:val="auto"/>
              </w:rPr>
              <w:t>/s/ Stephen A. Wynn</w:t>
            </w:r>
          </w:p>
        </w:tc>
      </w:tr>
      <w:tr>
        <w:trPr>
          <w:trHeight w:val="215"/>
        </w:trPr>
        <w:tc>
          <w:tcPr>
            <w:tcW w:w="620" w:type="dxa"/>
            <w:vAlign w:val="bottom"/>
          </w:tcPr>
          <w:p>
            <w:pPr>
              <w:spacing w:after="0"/>
              <w:rPr>
                <w:sz w:val="18"/>
                <w:szCs w:val="18"/>
                <w:color w:val="auto"/>
              </w:rPr>
            </w:pPr>
          </w:p>
        </w:tc>
        <w:tc>
          <w:tcPr>
            <w:tcW w:w="462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 Andrew Pascal</w:t>
            </w:r>
          </w:p>
        </w:tc>
        <w:tc>
          <w:tcPr>
            <w:tcW w:w="940" w:type="dxa"/>
            <w:vAlign w:val="bottom"/>
          </w:tcPr>
          <w:p>
            <w:pPr>
              <w:spacing w:after="0"/>
              <w:rPr>
                <w:sz w:val="18"/>
                <w:szCs w:val="18"/>
                <w:color w:val="auto"/>
              </w:rPr>
            </w:pPr>
          </w:p>
        </w:tc>
        <w:tc>
          <w:tcPr>
            <w:tcW w:w="524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Stephen A. Wynn</w:t>
            </w:r>
          </w:p>
        </w:tc>
      </w:tr>
      <w:tr>
        <w:trPr>
          <w:trHeight w:val="275"/>
        </w:trPr>
        <w:tc>
          <w:tcPr>
            <w:tcW w:w="620" w:type="dxa"/>
            <w:vAlign w:val="bottom"/>
          </w:tcPr>
          <w:p>
            <w:pPr>
              <w:spacing w:after="0"/>
              <w:rPr>
                <w:sz w:val="23"/>
                <w:szCs w:val="23"/>
                <w:color w:val="auto"/>
              </w:rPr>
            </w:pPr>
          </w:p>
        </w:tc>
        <w:tc>
          <w:tcPr>
            <w:tcW w:w="4620" w:type="dxa"/>
            <w:vAlign w:val="bottom"/>
          </w:tcPr>
          <w:p>
            <w:pPr>
              <w:spacing w:after="0"/>
              <w:rPr>
                <w:sz w:val="20"/>
                <w:szCs w:val="20"/>
                <w:color w:val="auto"/>
              </w:rPr>
            </w:pPr>
            <w:r>
              <w:rPr>
                <w:rFonts w:ascii="Arial" w:cs="Arial" w:eastAsia="Arial" w:hAnsi="Arial"/>
                <w:sz w:val="22"/>
                <w:szCs w:val="22"/>
                <w:color w:val="auto"/>
              </w:rPr>
              <w:t>Title: President</w:t>
            </w:r>
          </w:p>
        </w:tc>
        <w:tc>
          <w:tcPr>
            <w:tcW w:w="940" w:type="dxa"/>
            <w:vAlign w:val="bottom"/>
          </w:tcPr>
          <w:p>
            <w:pPr>
              <w:spacing w:after="0"/>
              <w:rPr>
                <w:sz w:val="23"/>
                <w:szCs w:val="23"/>
                <w:color w:val="auto"/>
              </w:rPr>
            </w:pPr>
          </w:p>
        </w:tc>
        <w:tc>
          <w:tcPr>
            <w:tcW w:w="524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1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4"/>
    </w:lvl>
  </w:abstractNum>
  <w:abstractNum w:abstractNumId="1">
    <w:nsid w:val="2AE8944A"/>
    <w:multiLevelType w:val="hybridMultilevel"/>
    <w:lvl w:ilvl="0">
      <w:lvlJc w:val="left"/>
      <w:lvlText w:val="%1."/>
      <w:numFmt w:val="upp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2019-12-15T06:36:25Z</dcterms:created>
  <dcterms:modified xsi:type="dcterms:W3CDTF">2019-12-15T06:36:25Z</dcterms:modified>
</cp:coreProperties>
</file>