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85.3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396,758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29,137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425,895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11,466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85.8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414,429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9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to satisfy tax withholding obligation upon vesting of restricted stock previously granted on January 11, 2021 and 2019, respectively.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to satisfy tax withholding obligation upon vesting of immediately vested stock granted on January 12,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2022-01-13T19:46:09Z</dcterms:created>
  <dcterms:modified xsi:type="dcterms:W3CDTF">2022-01-13T19:46:09Z</dcterms:modified>
</cp:coreProperties>
</file>