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00"/>
        <w:spacing w:after="0"/>
        <w:rPr>
          <w:sz w:val="20"/>
          <w:szCs w:val="20"/>
          <w:color w:val="auto"/>
        </w:rPr>
      </w:pPr>
      <w:r>
        <w:rPr>
          <w:rFonts w:ascii="Arial" w:cs="Arial" w:eastAsia="Arial" w:hAnsi="Arial"/>
          <w:sz w:val="25"/>
          <w:szCs w:val="25"/>
          <w:b w:val="1"/>
          <w:bCs w:val="1"/>
          <w:color w:val="auto"/>
        </w:rPr>
        <w:t>SCHEDULE 14A</w:t>
      </w:r>
    </w:p>
    <w:p>
      <w:pPr>
        <w:spacing w:after="0" w:line="228"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Proxy Statement Pursuant to Section 14(a) of</w:t>
      </w:r>
    </w:p>
    <w:p>
      <w:pPr>
        <w:spacing w:after="0" w:line="17" w:lineRule="exact"/>
        <w:rPr>
          <w:sz w:val="24"/>
          <w:szCs w:val="24"/>
          <w:color w:val="auto"/>
        </w:rPr>
      </w:pPr>
    </w:p>
    <w:p>
      <w:pPr>
        <w:jc w:val="center"/>
        <w:ind w:right="-200"/>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07" w:lineRule="exact"/>
        <w:rPr>
          <w:sz w:val="24"/>
          <w:szCs w:val="24"/>
          <w:color w:val="auto"/>
        </w:rPr>
      </w:pPr>
    </w:p>
    <w:p>
      <w:pPr>
        <w:ind w:left="1"/>
        <w:spacing w:after="0"/>
        <w:rPr>
          <w:sz w:val="20"/>
          <w:szCs w:val="20"/>
          <w:color w:val="auto"/>
        </w:rPr>
      </w:pPr>
      <w:r>
        <w:rPr>
          <w:rFonts w:ascii="Arial" w:cs="Arial" w:eastAsia="Arial" w:hAnsi="Arial"/>
          <w:sz w:val="18"/>
          <w:szCs w:val="18"/>
          <w:color w:val="auto"/>
        </w:rPr>
        <w:t>Filed by the Registrant o</w:t>
      </w:r>
    </w:p>
    <w:p>
      <w:pPr>
        <w:spacing w:after="0" w:line="218" w:lineRule="exact"/>
        <w:rPr>
          <w:sz w:val="24"/>
          <w:szCs w:val="24"/>
          <w:color w:val="auto"/>
        </w:rPr>
      </w:pPr>
    </w:p>
    <w:p>
      <w:pPr>
        <w:ind w:left="1"/>
        <w:spacing w:after="0"/>
        <w:rPr>
          <w:sz w:val="20"/>
          <w:szCs w:val="20"/>
          <w:color w:val="auto"/>
        </w:rPr>
      </w:pPr>
      <w:r>
        <w:rPr>
          <w:rFonts w:ascii="Arial" w:cs="Arial" w:eastAsia="Arial" w:hAnsi="Arial"/>
          <w:sz w:val="18"/>
          <w:szCs w:val="18"/>
          <w:color w:val="auto"/>
        </w:rPr>
        <w:t>Filed by a Party other than the Registrant x</w:t>
      </w:r>
    </w:p>
    <w:p>
      <w:pPr>
        <w:spacing w:after="0" w:line="218" w:lineRule="exact"/>
        <w:rPr>
          <w:sz w:val="24"/>
          <w:szCs w:val="24"/>
          <w:color w:val="auto"/>
        </w:rPr>
      </w:pPr>
    </w:p>
    <w:p>
      <w:pPr>
        <w:ind w:left="1"/>
        <w:spacing w:after="0"/>
        <w:rPr>
          <w:sz w:val="20"/>
          <w:szCs w:val="20"/>
          <w:color w:val="auto"/>
        </w:rPr>
      </w:pPr>
      <w:r>
        <w:rPr>
          <w:rFonts w:ascii="Arial" w:cs="Arial" w:eastAsia="Arial" w:hAnsi="Arial"/>
          <w:sz w:val="18"/>
          <w:szCs w:val="18"/>
          <w:color w:val="auto"/>
        </w:rPr>
        <w:t>Check the appropriate box:</w:t>
      </w:r>
    </w:p>
    <w:p>
      <w:pPr>
        <w:spacing w:after="0" w:line="17" w:lineRule="exact"/>
        <w:rPr>
          <w:sz w:val="24"/>
          <w:szCs w:val="24"/>
          <w:color w:val="auto"/>
        </w:rPr>
      </w:pPr>
    </w:p>
    <w:p>
      <w:pPr>
        <w:ind w:left="581" w:hanging="581"/>
        <w:spacing w:after="0"/>
        <w:tabs>
          <w:tab w:leader="none" w:pos="581"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 w:lineRule="exact"/>
        <w:rPr>
          <w:rFonts w:ascii="Arial" w:cs="Arial" w:eastAsia="Arial" w:hAnsi="Arial"/>
          <w:sz w:val="18"/>
          <w:szCs w:val="18"/>
          <w:color w:val="auto"/>
        </w:rPr>
      </w:pPr>
    </w:p>
    <w:p>
      <w:pPr>
        <w:ind w:left="581" w:hanging="581"/>
        <w:spacing w:after="0"/>
        <w:tabs>
          <w:tab w:leader="none" w:pos="58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 w:lineRule="exact"/>
        <w:rPr>
          <w:rFonts w:ascii="Arial" w:cs="Arial" w:eastAsia="Arial" w:hAnsi="Arial"/>
          <w:sz w:val="18"/>
          <w:szCs w:val="18"/>
          <w:color w:val="auto"/>
        </w:rPr>
      </w:pPr>
    </w:p>
    <w:p>
      <w:pPr>
        <w:ind w:left="581" w:hanging="581"/>
        <w:spacing w:after="0"/>
        <w:tabs>
          <w:tab w:leader="none" w:pos="581"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 w:lineRule="exact"/>
        <w:rPr>
          <w:sz w:val="24"/>
          <w:szCs w:val="24"/>
          <w:color w:val="auto"/>
        </w:rPr>
      </w:pPr>
    </w:p>
    <w:p>
      <w:pPr>
        <w:ind w:left="581" w:hanging="581"/>
        <w:spacing w:after="0"/>
        <w:tabs>
          <w:tab w:leader="none" w:pos="581"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 w:lineRule="exact"/>
        <w:rPr>
          <w:sz w:val="24"/>
          <w:szCs w:val="24"/>
          <w:color w:val="auto"/>
        </w:rPr>
      </w:pPr>
    </w:p>
    <w:p>
      <w:pPr>
        <w:ind w:left="581" w:hanging="581"/>
        <w:spacing w:after="0"/>
        <w:tabs>
          <w:tab w:leader="none" w:pos="581"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8"/>
          <w:szCs w:val="18"/>
          <w:color w:val="auto"/>
        </w:rPr>
        <w:t>(Name of Registrant as Specified In Its Charter)</w:t>
      </w:r>
    </w:p>
    <w:p>
      <w:pPr>
        <w:spacing w:after="0" w:line="218"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8" w:lineRule="exact"/>
        <w:rPr>
          <w:sz w:val="24"/>
          <w:szCs w:val="24"/>
          <w:color w:val="auto"/>
        </w:rPr>
      </w:pPr>
    </w:p>
    <w:p>
      <w:pPr>
        <w:ind w:left="1"/>
        <w:spacing w:after="0"/>
        <w:rPr>
          <w:sz w:val="20"/>
          <w:szCs w:val="20"/>
          <w:color w:val="auto"/>
        </w:rPr>
      </w:pPr>
      <w:r>
        <w:rPr>
          <w:rFonts w:ascii="Arial" w:cs="Arial" w:eastAsia="Arial" w:hAnsi="Arial"/>
          <w:sz w:val="18"/>
          <w:szCs w:val="18"/>
          <w:color w:val="auto"/>
        </w:rPr>
        <w:t>Payment of Filing Fee (Check the appropriate box):</w:t>
      </w:r>
    </w:p>
    <w:p>
      <w:pPr>
        <w:spacing w:after="0" w:line="17" w:lineRule="exact"/>
        <w:rPr>
          <w:sz w:val="24"/>
          <w:szCs w:val="24"/>
          <w:color w:val="auto"/>
        </w:rPr>
      </w:pPr>
    </w:p>
    <w:p>
      <w:pPr>
        <w:ind w:left="581" w:hanging="581"/>
        <w:spacing w:after="0"/>
        <w:tabs>
          <w:tab w:leader="none" w:pos="58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 w:lineRule="exact"/>
        <w:rPr>
          <w:sz w:val="24"/>
          <w:szCs w:val="24"/>
          <w:color w:val="auto"/>
        </w:rPr>
      </w:pPr>
    </w:p>
    <w:p>
      <w:pPr>
        <w:ind w:left="581" w:hanging="581"/>
        <w:spacing w:after="0"/>
        <w:tabs>
          <w:tab w:leader="none" w:pos="581"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5" w:lineRule="exact"/>
        <w:rPr>
          <w:rFonts w:ascii="Arial" w:cs="Arial" w:eastAsia="Arial" w:hAnsi="Arial"/>
          <w:sz w:val="18"/>
          <w:szCs w:val="18"/>
          <w:color w:val="auto"/>
        </w:rPr>
      </w:pPr>
    </w:p>
    <w:p>
      <w:pPr>
        <w:ind w:left="1121" w:hanging="537"/>
        <w:spacing w:after="0"/>
        <w:tabs>
          <w:tab w:leader="none" w:pos="1121"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0" w:lineRule="exact"/>
        <w:rPr>
          <w:rFonts w:ascii="Arial" w:cs="Arial" w:eastAsia="Arial" w:hAnsi="Arial"/>
          <w:sz w:val="18"/>
          <w:szCs w:val="18"/>
          <w:color w:val="auto"/>
        </w:rPr>
      </w:pPr>
    </w:p>
    <w:p>
      <w:pPr>
        <w:ind w:left="1121" w:hanging="537"/>
        <w:spacing w:after="0"/>
        <w:tabs>
          <w:tab w:leader="none" w:pos="1121"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1" w:lineRule="exact"/>
        <w:rPr>
          <w:rFonts w:ascii="Arial" w:cs="Arial" w:eastAsia="Arial" w:hAnsi="Arial"/>
          <w:sz w:val="18"/>
          <w:szCs w:val="18"/>
          <w:color w:val="auto"/>
        </w:rPr>
      </w:pPr>
    </w:p>
    <w:p>
      <w:pPr>
        <w:ind w:left="1121" w:hanging="537"/>
        <w:spacing w:after="0" w:line="266" w:lineRule="auto"/>
        <w:tabs>
          <w:tab w:leader="none" w:pos="1121"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2" w:lineRule="exact"/>
        <w:rPr>
          <w:rFonts w:ascii="Arial" w:cs="Arial" w:eastAsia="Arial" w:hAnsi="Arial"/>
          <w:sz w:val="18"/>
          <w:szCs w:val="18"/>
          <w:color w:val="auto"/>
        </w:rPr>
      </w:pPr>
    </w:p>
    <w:p>
      <w:pPr>
        <w:ind w:left="1121" w:hanging="537"/>
        <w:spacing w:after="0"/>
        <w:tabs>
          <w:tab w:leader="none" w:pos="1121"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1" w:lineRule="exact"/>
        <w:rPr>
          <w:rFonts w:ascii="Arial" w:cs="Arial" w:eastAsia="Arial" w:hAnsi="Arial"/>
          <w:sz w:val="18"/>
          <w:szCs w:val="18"/>
          <w:color w:val="auto"/>
        </w:rPr>
      </w:pPr>
    </w:p>
    <w:p>
      <w:pPr>
        <w:ind w:left="1121" w:hanging="537"/>
        <w:spacing w:after="0"/>
        <w:tabs>
          <w:tab w:leader="none" w:pos="112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8" w:lineRule="exact"/>
        <w:rPr>
          <w:rFonts w:ascii="Arial" w:cs="Arial" w:eastAsia="Arial" w:hAnsi="Arial"/>
          <w:sz w:val="18"/>
          <w:szCs w:val="18"/>
          <w:color w:val="auto"/>
        </w:rPr>
      </w:pPr>
    </w:p>
    <w:p>
      <w:pPr>
        <w:ind w:left="581" w:hanging="581"/>
        <w:spacing w:after="0"/>
        <w:tabs>
          <w:tab w:leader="none" w:pos="581"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6" w:lineRule="exact"/>
        <w:rPr>
          <w:rFonts w:ascii="Arial" w:cs="Arial" w:eastAsia="Arial" w:hAnsi="Arial"/>
          <w:sz w:val="18"/>
          <w:szCs w:val="18"/>
          <w:color w:val="auto"/>
        </w:rPr>
      </w:pPr>
    </w:p>
    <w:p>
      <w:pPr>
        <w:ind w:left="581" w:right="260" w:hanging="581"/>
        <w:spacing w:after="0" w:line="261" w:lineRule="auto"/>
        <w:tabs>
          <w:tab w:leader="none" w:pos="581"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1" w:hanging="497"/>
        <w:spacing w:after="0"/>
        <w:tabs>
          <w:tab w:leader="none" w:pos="1081"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0" w:lineRule="exact"/>
        <w:rPr>
          <w:rFonts w:ascii="Arial" w:cs="Arial" w:eastAsia="Arial" w:hAnsi="Arial"/>
          <w:sz w:val="18"/>
          <w:szCs w:val="18"/>
          <w:color w:val="auto"/>
        </w:rPr>
      </w:pPr>
    </w:p>
    <w:p>
      <w:pPr>
        <w:ind w:left="1081" w:hanging="497"/>
        <w:spacing w:after="0"/>
        <w:tabs>
          <w:tab w:leader="none" w:pos="1081"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1" w:lineRule="exact"/>
        <w:rPr>
          <w:rFonts w:ascii="Arial" w:cs="Arial" w:eastAsia="Arial" w:hAnsi="Arial"/>
          <w:sz w:val="18"/>
          <w:szCs w:val="18"/>
          <w:color w:val="auto"/>
        </w:rPr>
      </w:pPr>
    </w:p>
    <w:p>
      <w:pPr>
        <w:ind w:left="1081" w:hanging="497"/>
        <w:spacing w:after="0"/>
        <w:tabs>
          <w:tab w:leader="none" w:pos="1081"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1" w:lineRule="exact"/>
        <w:rPr>
          <w:rFonts w:ascii="Arial" w:cs="Arial" w:eastAsia="Arial" w:hAnsi="Arial"/>
          <w:sz w:val="18"/>
          <w:szCs w:val="18"/>
          <w:color w:val="auto"/>
        </w:rPr>
      </w:pPr>
    </w:p>
    <w:p>
      <w:pPr>
        <w:ind w:left="1081" w:hanging="497"/>
        <w:spacing w:after="0"/>
        <w:tabs>
          <w:tab w:leader="none" w:pos="1081"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683895</wp:posOffset>
            </wp:positionH>
            <wp:positionV relativeFrom="paragraph">
              <wp:posOffset>146685</wp:posOffset>
            </wp:positionV>
            <wp:extent cx="6557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7010"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-131445</wp:posOffset>
            </wp:positionV>
            <wp:extent cx="6557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010"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-409575</wp:posOffset>
            </wp:positionV>
            <wp:extent cx="6557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010"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-688340</wp:posOffset>
            </wp:positionV>
            <wp:extent cx="6557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010"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-1363345</wp:posOffset>
            </wp:positionV>
            <wp:extent cx="6539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-1642110</wp:posOffset>
            </wp:positionV>
            <wp:extent cx="6539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-1920240</wp:posOffset>
            </wp:positionV>
            <wp:extent cx="6539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-2333625</wp:posOffset>
            </wp:positionV>
            <wp:extent cx="6539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-2612390</wp:posOffset>
            </wp:positionV>
            <wp:extent cx="6539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355600</wp:posOffset>
            </wp:positionV>
            <wp:extent cx="727011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201"/>
          </w:cols>
          <w:pgMar w:left="259" w:top="440"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88900</wp:posOffset>
            </wp:positionV>
            <wp:extent cx="6936740" cy="535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36740" cy="535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2015 annual meeting of stockholders of Wynn Resorts, Limited, to be held on April 24, 2015. She intends to use such proxies to vote in favor of her re-election to the board of directors, and for the election of the company’s nominee other than John J. Hagenbuch.</w:t>
      </w:r>
    </w:p>
    <w:p>
      <w:pPr>
        <w:spacing w:after="0" w:line="17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27011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2019-12-08T02:09:32Z</dcterms:created>
  <dcterms:modified xsi:type="dcterms:W3CDTF">2019-12-08T02:09:32Z</dcterms:modified>
</cp:coreProperties>
</file>