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318135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165100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59"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2002</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40" w:right="360" w:hanging="532"/>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00"/>
          </w:cols>
          <w:pgMar w:left="240" w:top="679" w:right="259" w:bottom="1440" w:gutter="0" w:footer="0" w:header="0"/>
        </w:sectPr>
      </w:pPr>
    </w:p>
    <w:p>
      <w:pPr>
        <w:spacing w:after="0" w:line="108" w:lineRule="exact"/>
        <w:rPr>
          <w:sz w:val="24"/>
          <w:szCs w:val="24"/>
          <w:color w:val="auto"/>
        </w:rPr>
      </w:pPr>
    </w:p>
    <w:p>
      <w:pPr>
        <w:ind w:left="3600"/>
        <w:spacing w:after="0"/>
        <w:rPr>
          <w:sz w:val="20"/>
          <w:szCs w:val="20"/>
          <w:color w:val="auto"/>
        </w:rPr>
      </w:pPr>
      <w:r>
        <w:rPr>
          <w:rFonts w:ascii="Arial" w:cs="Arial" w:eastAsia="Arial" w:hAnsi="Arial"/>
          <w:sz w:val="16"/>
          <w:szCs w:val="16"/>
          <w:b w:val="1"/>
          <w:bCs w:val="1"/>
          <w:color w:val="auto"/>
        </w:rPr>
        <w:t>For the transition period</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03" w:lineRule="exact"/>
        <w:rPr>
          <w:sz w:val="24"/>
          <w:szCs w:val="24"/>
          <w:color w:val="auto"/>
        </w:rPr>
      </w:pPr>
    </w:p>
    <w:p>
      <w:pPr>
        <w:sectPr>
          <w:pgSz w:w="11900" w:h="16838" w:orient="portrait"/>
          <w:cols w:equalWidth="0" w:num="2">
            <w:col w:w="5880" w:space="720"/>
            <w:col w:w="4800"/>
          </w:cols>
          <w:pgMar w:left="240" w:top="679" w:right="259" w:bottom="1440" w:gutter="0" w:footer="0" w:header="0"/>
          <w:type w:val="continuous"/>
        </w:sectPr>
      </w:pPr>
    </w:p>
    <w:p>
      <w:pPr>
        <w:jc w:val="center"/>
        <w:ind w:right="-39"/>
        <w:spacing w:after="0"/>
        <w:rPr>
          <w:sz w:val="20"/>
          <w:szCs w:val="20"/>
          <w:color w:val="auto"/>
        </w:rPr>
      </w:pPr>
      <w:r>
        <w:rPr>
          <w:rFonts w:ascii="Arial" w:cs="Arial" w:eastAsia="Arial" w:hAnsi="Arial"/>
          <w:sz w:val="15"/>
          <w:szCs w:val="15"/>
          <w:b w:val="1"/>
          <w:bCs w:val="1"/>
          <w:color w:val="auto"/>
        </w:rPr>
        <w:t>Commission File No. 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148590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400"/>
          </w:cols>
          <w:pgMar w:left="240" w:top="679" w:right="259" w:bottom="1440" w:gutter="0" w:footer="0" w:header="0"/>
          <w:type w:val="continuous"/>
        </w:sectPr>
      </w:pPr>
    </w:p>
    <w:p>
      <w:pPr>
        <w:spacing w:after="0" w:line="31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WYNN RESORTS, LIMITED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1880" w:type="dxa"/>
        <w:tblCellMar>
          <w:top w:w="0" w:type="dxa"/>
          <w:left w:w="0" w:type="dxa"/>
          <w:bottom w:w="0" w:type="dxa"/>
          <w:right w:w="0" w:type="dxa"/>
        </w:tblCellMar>
      </w:tblPr>
      <w:tr>
        <w:trPr>
          <w:trHeight w:val="218"/>
        </w:trPr>
        <w:tc>
          <w:tcPr>
            <w:tcW w:w="6100" w:type="dxa"/>
            <w:vAlign w:val="bottom"/>
          </w:tcPr>
          <w:p>
            <w:pPr>
              <w:jc w:val="center"/>
              <w:ind w:right="4242"/>
              <w:spacing w:after="0"/>
              <w:rPr>
                <w:sz w:val="20"/>
                <w:szCs w:val="20"/>
                <w:color w:val="auto"/>
              </w:rPr>
            </w:pPr>
            <w:r>
              <w:rPr>
                <w:rFonts w:ascii="Arial" w:cs="Arial" w:eastAsia="Arial" w:hAnsi="Arial"/>
                <w:sz w:val="18"/>
                <w:szCs w:val="18"/>
                <w:b w:val="1"/>
                <w:bCs w:val="1"/>
                <w:color w:val="auto"/>
                <w:w w:val="97"/>
              </w:rPr>
              <w:t>NEVADA</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7"/>
              </w:rPr>
              <w:t>46-0484987</w:t>
            </w:r>
          </w:p>
        </w:tc>
      </w:tr>
      <w:tr>
        <w:trPr>
          <w:trHeight w:val="149"/>
        </w:trPr>
        <w:tc>
          <w:tcPr>
            <w:tcW w:w="6100" w:type="dxa"/>
            <w:vAlign w:val="bottom"/>
          </w:tcPr>
          <w:p>
            <w:pPr>
              <w:jc w:val="center"/>
              <w:ind w:right="424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100" w:type="dxa"/>
            <w:vAlign w:val="bottom"/>
          </w:tcPr>
          <w:p>
            <w:pPr>
              <w:jc w:val="center"/>
              <w:ind w:right="4242"/>
              <w:spacing w:after="0"/>
              <w:rPr>
                <w:sz w:val="20"/>
                <w:szCs w:val="20"/>
                <w:color w:val="auto"/>
              </w:rPr>
            </w:pPr>
            <w:r>
              <w:rPr>
                <w:rFonts w:ascii="Arial" w:cs="Arial" w:eastAsia="Arial" w:hAnsi="Arial"/>
                <w:sz w:val="14"/>
                <w:szCs w:val="14"/>
                <w:b w:val="1"/>
                <w:bCs w:val="1"/>
                <w:color w:val="auto"/>
                <w:w w:val="89"/>
              </w:rPr>
              <w:t>incorporation or organization)</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0"/>
              </w:rPr>
              <w:t>Identification Number)</w:t>
            </w:r>
          </w:p>
        </w:tc>
      </w:tr>
      <w:tr>
        <w:trPr>
          <w:trHeight w:val="350"/>
        </w:trPr>
        <w:tc>
          <w:tcPr>
            <w:tcW w:w="6100" w:type="dxa"/>
            <w:vAlign w:val="bottom"/>
          </w:tcPr>
          <w:p>
            <w:pPr>
              <w:ind w:left="1580"/>
              <w:spacing w:after="0"/>
              <w:rPr>
                <w:sz w:val="20"/>
                <w:szCs w:val="20"/>
                <w:color w:val="auto"/>
              </w:rPr>
            </w:pPr>
            <w:r>
              <w:rPr>
                <w:rFonts w:ascii="Arial" w:cs="Arial" w:eastAsia="Arial" w:hAnsi="Arial"/>
                <w:sz w:val="18"/>
                <w:szCs w:val="18"/>
                <w:b w:val="1"/>
                <w:bCs w:val="1"/>
                <w:color w:val="auto"/>
                <w:w w:val="86"/>
              </w:rPr>
              <w:t>3145 Las Vegas Boulevard South—Las Vegas, Nevada 89109</w:t>
            </w:r>
          </w:p>
        </w:tc>
        <w:tc>
          <w:tcPr>
            <w:tcW w:w="1340" w:type="dxa"/>
            <w:vAlign w:val="bottom"/>
          </w:tcPr>
          <w:p>
            <w:pPr>
              <w:spacing w:after="0"/>
              <w:rPr>
                <w:sz w:val="24"/>
                <w:szCs w:val="24"/>
                <w:color w:val="auto"/>
              </w:rPr>
            </w:pPr>
          </w:p>
        </w:tc>
      </w:tr>
    </w:tbl>
    <w:p>
      <w:pPr>
        <w:jc w:val="center"/>
        <w:ind w:right="-19"/>
        <w:spacing w:after="0"/>
        <w:rPr>
          <w:sz w:val="20"/>
          <w:szCs w:val="20"/>
          <w:color w:val="auto"/>
        </w:rPr>
      </w:pPr>
      <w:r>
        <w:rPr>
          <w:rFonts w:ascii="Arial" w:cs="Arial" w:eastAsia="Arial" w:hAnsi="Arial"/>
          <w:sz w:val="14"/>
          <w:szCs w:val="14"/>
          <w:b w:val="1"/>
          <w:bCs w:val="1"/>
          <w:color w:val="auto"/>
        </w:rPr>
        <w:t>(Address of principal executive office) (Zip Code)</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(702) 733-4444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104775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126365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$0.01 Par Value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w:t>
      </w:r>
    </w:p>
    <w:p>
      <w:pPr>
        <w:spacing w:after="0" w:line="130" w:lineRule="exact"/>
        <w:rPr>
          <w:sz w:val="24"/>
          <w:szCs w:val="24"/>
          <w:color w:val="auto"/>
        </w:rPr>
      </w:pPr>
    </w:p>
    <w:p>
      <w:pPr>
        <w:ind w:right="2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92" w:lineRule="exact"/>
        <w:rPr>
          <w:sz w:val="24"/>
          <w:szCs w:val="24"/>
          <w:color w:val="auto"/>
        </w:rPr>
      </w:pPr>
    </w:p>
    <w:p>
      <w:pPr>
        <w:ind w:left="460"/>
        <w:spacing w:after="0" w:line="184" w:lineRule="exact"/>
        <w:tabs>
          <w:tab w:leader="none" w:pos="8600" w:val="left"/>
        </w:tabs>
        <w:rPr>
          <w:sz w:val="20"/>
          <w:szCs w:val="20"/>
          <w:color w:val="auto"/>
        </w:rPr>
      </w:pPr>
      <w:r>
        <w:rPr>
          <w:rFonts w:ascii="Arial" w:cs="Arial" w:eastAsia="Arial" w:hAnsi="Arial"/>
          <w:sz w:val="16"/>
          <w:szCs w:val="16"/>
          <w:color w:val="auto"/>
        </w:rPr>
        <w:t xml:space="preserve">Indicate by check mark whether the registrant is an accelerated filer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13" w:lineRule="exact"/>
        <w:rPr>
          <w:sz w:val="24"/>
          <w:szCs w:val="24"/>
          <w:color w:val="auto"/>
        </w:rPr>
      </w:pPr>
    </w:p>
    <w:p>
      <w:pPr>
        <w:ind w:right="20" w:firstLine="456"/>
        <w:spacing w:after="0" w:line="268"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based on the closing price as reported on the Nasdaq Stock Market on March 10, 2003 was $387,332,484.</w:t>
      </w:r>
    </w:p>
    <w:p>
      <w:pPr>
        <w:spacing w:after="0" w:line="11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March 10, 2003, 79,162,234 shares of the Registrants Common Stock, $.01 par value, were outstanding.</w:t>
      </w:r>
    </w:p>
    <w:p>
      <w:pPr>
        <w:spacing w:after="0" w:line="158" w:lineRule="exact"/>
        <w:rPr>
          <w:sz w:val="24"/>
          <w:szCs w:val="24"/>
          <w:color w:val="auto"/>
        </w:rPr>
      </w:pPr>
    </w:p>
    <w:p>
      <w:pPr>
        <w:ind w:right="80" w:firstLine="456"/>
        <w:spacing w:after="0" w:line="268" w:lineRule="auto"/>
        <w:rPr>
          <w:sz w:val="20"/>
          <w:szCs w:val="20"/>
          <w:color w:val="auto"/>
        </w:rPr>
      </w:pPr>
      <w:r>
        <w:rPr>
          <w:rFonts w:ascii="Arial" w:cs="Arial" w:eastAsia="Arial" w:hAnsi="Arial"/>
          <w:sz w:val="18"/>
          <w:szCs w:val="18"/>
          <w:color w:val="auto"/>
        </w:rPr>
        <w:t>Portions of the Registrant’s Proxy Statement for its 2003 Annual Meeting of Stockholders to be filed not later than 120 days after the end of the fiscal year covered by this report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679" w:right="25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r>
    </w:p>
    <w:p>
      <w:pPr>
        <w:spacing w:after="0" w:line="15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Annual Report on Form 10-K contains statements that are forward-looking, including, but not limited to, statements relating to our business strategy and development activities including our opportunity in Macau, as well as other capital spending, financing sources, the effects of regulation (including gaming and tax regulations), expectations concerning future operations, margins, profitability and competition. Any statements contained in this Form 10-K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relating to competition, doing business in foreign countries such as Macau (including the risks associated with Macau’s new and largely untested gaming regulatory framework), new development and construction activities, our dependence on Stephen A. Wynn and existing management, leverage and debt service (including sensitivity to fluctuations in interest rates), levels of casino spending and vacationing, general domestic or international economic conditions, pending or future legal proceedings, changes in federal or state tax laws or the administration of such laws, changes in gaming laws or regulations (including the legalization of gaming in certain jurisdictions), application for licenses and approvals under applicable jurisdictional laws and regulations (including gaming laws and regulations) and the consequences of any future security alerts and/or terrorist attacks such as the attacks that occurred on September 11, 2001. Further information on potential factors which could affect our financial condition, results of operations and business are included in our filings with the Securities and Exchange Commission. Readers are cautioned not to place undue reliance on any forward-looking statements, which are based only on information currently available to us. We undertake no obligation to publicly release any revisions to such forward-looking statements to reflect events or circumstances after the date hereof.</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Wynn Resorts, Limited, a Nevada corporation (together with its subsidiaries (where applicable) “Wynn Resorts,” the “Company” or the “Registrant”, which may also be referred to as “we”, “us” or “our”) was formed in June 2002 to offer shares of its common stock for sale to the public in an initial public offering that was consummated in October 2002. Wynn Resorts’ predecessor, Valvino Lamore, LLC (“Valvino”), was formed in April 2000 as a Nevada limited liability company to acquire land and design, develop and finance a new resort casino/hotel project named “Le Rêve.” In June 2000, Valvino completed the purchase of the Desert Inn Resort and Casino for approximately $270 million plus an adjustment for working capital, and later purchased additional lots located in and around the Desert Inn Resort and Casino golf course for an additional $47.8 million. Valvino ceased the operations of the casino after approximately ten weeks to focus on the design and development of Le Rêve, which will be located on the site of the former Desert Inn Resort and Casino. Valvino continued to operate the golf course until Summer 2002. In June 2002, Valvino, through its majority owned indirect subsidiary, Wynn Resorts (Macau) S.A. (“Wynn Macau”), entered into an agreement with the government of Macau, granting Wynn Macau the right to construct and operate one or more casino gaming properties in the Macau Special Administrative Region of the People’s Republic of China (“Macau”).</w:t>
      </w:r>
    </w:p>
    <w:p>
      <w:pPr>
        <w:spacing w:after="0" w:line="109"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On September 24, 2002, Wynn Resorts became the parent company of Valvino when all the members of Valvino contributed 210,834 shares comprising 100% of the membership interests of Valvino to Wynn Resorts in exchange for 40,000,000 shares of the common stock of Wynn Resorts. Hereafter, all references to the “Company” refer to Wynn Resorts and its subsidiaries or Valvino and its subsidiaries, as its predecessor company.</w:t>
      </w:r>
    </w:p>
    <w:p>
      <w:pPr>
        <w:sectPr>
          <w:pgSz w:w="11900" w:h="16838" w:orient="portrait"/>
          <w:cols w:equalWidth="0" w:num="1">
            <w:col w:w="11380"/>
          </w:cols>
          <w:pgMar w:left="240" w:top="422" w:right="279" w:bottom="1440" w:gutter="0" w:footer="0" w:header="0"/>
        </w:sectPr>
      </w:pPr>
    </w:p>
    <w:bookmarkStart w:id="2" w:name="page3"/>
    <w:bookmarkEnd w:id="2"/>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efforts have been devoted principally to: (i) the design, development, financing and construction of Le Rêve, (ii) preparing and presenting to the Macau government a proposal resulting in obtaining a concession to engage in gaming activities in Macau, and (iii) the design and pre-construction efforts related to the anticipated casino in Macau.</w:t>
      </w:r>
    </w:p>
    <w:p>
      <w:pPr>
        <w:spacing w:after="0" w:line="12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 xml:space="preserve">Wynn Resorts has previously filed registration statements and other documents with the Securities and Exchange Commission (“SEC”). Any document Wynn Resorts files may be inspected, without charge, at the SEC’s public reference room at 450 Fifth Street, N.W. Washington, D.C. 20549 or at the SEC’s internet site address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In addition, through its own internet address at </w:t>
      </w:r>
      <w:r>
        <w:rPr>
          <w:rFonts w:ascii="Arial" w:cs="Arial" w:eastAsia="Arial" w:hAnsi="Arial"/>
          <w:sz w:val="16"/>
          <w:szCs w:val="16"/>
          <w:i w:val="1"/>
          <w:iCs w:val="1"/>
          <w:color w:val="auto"/>
        </w:rPr>
        <w:t>www.wynnresorts.com</w:t>
      </w:r>
      <w:r>
        <w:rPr>
          <w:rFonts w:ascii="Arial" w:cs="Arial" w:eastAsia="Arial" w:hAnsi="Arial"/>
          <w:sz w:val="16"/>
          <w:szCs w:val="16"/>
          <w:color w:val="auto"/>
        </w:rPr>
        <w:t>, Wynn Resorts provides a hyperlink to a third-party SEC filing website which posts these filings as soon as reasonably practicable, where they can be reviewed without charge.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Le Rêve Resort</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We, through our wholly owned indirect subsidiary Wynn Las Vegas, LLC (“Wynn Las Vegas”) are constructing and will own and operate Le</w:t>
      </w:r>
      <w:r>
        <w:rPr>
          <w:rFonts w:ascii="Arial" w:cs="Arial" w:eastAsia="Arial" w:hAnsi="Arial"/>
          <w:sz w:val="16"/>
          <w:szCs w:val="16"/>
          <w:i w:val="1"/>
          <w:iCs w:val="1"/>
          <w:color w:val="auto"/>
        </w:rPr>
        <w:t xml:space="preserve"> </w:t>
      </w:r>
      <w:r>
        <w:rPr>
          <w:rFonts w:ascii="Arial" w:cs="Arial" w:eastAsia="Arial" w:hAnsi="Arial"/>
          <w:sz w:val="16"/>
          <w:szCs w:val="16"/>
          <w:color w:val="auto"/>
        </w:rPr>
        <w:t>Rêve, which we have designed to be the preeminent luxury hotel and destination casino resort in Las Vegas. Le Rêve will be located on Las Vegas Boulevard (the “Las Vegas Strip” or, the “Strip”) on the site of the former Desert Inn Resort &amp; Casino, at the northeast corner of the intersection of the Strip and Sands Avenue, one-half block north of The Venetian and Treasure Island at The Mirage and across the Strip from the Fashion Show Mall. We expect Le Rêve to feature approximately 2,700 luxurious guest rooms, a casually elegant approximately 111,000 square foot casino, 18 distinctive dining outlets, an exclusive on-site 18-hole championship golf course and a new water-based entertainment production.</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expect Le Rêve, including the new golf course construction, to cost approximately $2.4 billion to design, construct, develop, equip and open, including the cost of all 212 acres of land, capitalized interest, pre-opening expenses and all financing fees. Ground-breaking for Le Rêve occurred on October 31, 2002, with an opening to the general public scheduled for April 2005. We cannot assure you that the construction, development and opening of Le Rêve will be completed by April 2005.</w:t>
      </w:r>
    </w:p>
    <w:p>
      <w:pPr>
        <w:spacing w:after="0" w:line="130"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Although we have determined the overall scope and general design of Le Rêve, we will continue to evaluate the Le Rêve project design in relation to its construction schedule and budget and the demands of the Las Vegas tourism and gaming market. All of the features of Le Rêve described in this Annual Report on Form 10-K are based on our current plans for the project, and, therefore, the design of individual elements of Le Rêve may be refined from the descriptions contained herein; however, project changes are limited in certain respects by the documents governing Wynn Las Vegas’ indebtedness.</w:t>
      </w:r>
    </w:p>
    <w:p>
      <w:pPr>
        <w:spacing w:after="0" w:line="99"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i w:val="1"/>
          <w:iCs w:val="1"/>
          <w:color w:val="auto"/>
        </w:rPr>
        <w:t xml:space="preserve">The Hotel. </w:t>
      </w:r>
      <w:r>
        <w:rPr>
          <w:rFonts w:ascii="Arial" w:cs="Arial" w:eastAsia="Arial" w:hAnsi="Arial"/>
          <w:sz w:val="16"/>
          <w:szCs w:val="16"/>
          <w:color w:val="auto"/>
        </w:rPr>
        <w:t>We have designed Le Rêve’s hotel tower to contain 45 floors of hotel rooms and suites on top of a three-story low-rise building housing</w:t>
      </w:r>
      <w:r>
        <w:rPr>
          <w:rFonts w:ascii="Arial" w:cs="Arial" w:eastAsia="Arial" w:hAnsi="Arial"/>
          <w:sz w:val="16"/>
          <w:szCs w:val="16"/>
          <w:i w:val="1"/>
          <w:iCs w:val="1"/>
          <w:color w:val="auto"/>
        </w:rPr>
        <w:t xml:space="preserve"> </w:t>
      </w:r>
      <w:r>
        <w:rPr>
          <w:rFonts w:ascii="Arial" w:cs="Arial" w:eastAsia="Arial" w:hAnsi="Arial"/>
          <w:sz w:val="16"/>
          <w:szCs w:val="16"/>
          <w:color w:val="auto"/>
        </w:rPr>
        <w:t>restaurants, retail outlets and the casino. The building will have a total area of approximately 5.2 million square feet. The high-rise building is configured in the shape of a gentle arc with the focal point of the arc being the Le Rêve lake, an approximately three-acre manmade lake situated in front of the hotel, and the manmade “mountain” in front of the lake along the Las Vegas Strip. The Le Rêve hotel guest main arrival area will feature an atrium garden adjacent to the registration desk with a view of the Le Rêve lake below. We are designing the Le Rêve lake and “mountain” to provide special effects intended to entertain our guests and the pedestrians who come to our hotel and casino.</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The Guest Rooms. </w:t>
      </w:r>
      <w:r>
        <w:rPr>
          <w:rFonts w:ascii="Arial" w:cs="Arial" w:eastAsia="Arial" w:hAnsi="Arial"/>
          <w:sz w:val="16"/>
          <w:szCs w:val="16"/>
          <w:color w:val="auto"/>
        </w:rPr>
        <w:t>We intend to decorate our approximately 2,400 standard guest rooms with sophisticated interior design elements and materials. The</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 guest rooms have been designed to have a floor layout of approximately 620 square feet, which is 100 to 125 square feet more than the industry standard for a standard guest room. The arc-shaped design of our high-rise building will provide rooms with a view of the golf course, the lake and “mountain” setting or the surrounding mountains. We also plan for Le Rêve to provide single and multiple bedroom luxury suites with superior amenities and furnishings designed to accommodate high-end hotel guests. Le Rêve also expects to offer 270 parlor and salon suites, 18 one- and two-bedroom fairway villas, and four two-bedroom and two four-bedroom private-entry villas averaging approximately 7,000 square feet.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28" w:right="259" w:bottom="1440" w:gutter="0" w:footer="0" w:header="0"/>
        </w:sectPr>
      </w:pPr>
    </w:p>
    <w:bookmarkStart w:id="3" w:name="page4"/>
    <w:bookmarkEnd w:id="3"/>
    <w:p>
      <w:pPr>
        <w:jc w:val="both"/>
        <w:ind w:right="100" w:firstLine="456"/>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Casino. </w:t>
      </w:r>
      <w:r>
        <w:rPr>
          <w:rFonts w:ascii="Arial" w:cs="Arial" w:eastAsia="Arial" w:hAnsi="Arial"/>
          <w:sz w:val="18"/>
          <w:szCs w:val="18"/>
          <w:color w:val="auto"/>
        </w:rPr>
        <w:t>We expect Le Rêve to have an approximately 111,000 square foot casino located in the center of the first level of the low-rise building.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casino’s main gaming area will contain an estimated 136 table games and 2,000 slot machines, a race and sports book, poker room, keno lounge, a baccarat salon and private gaming rooms. Our gaming limits will accommodate a full range of casino customers.</w:t>
      </w:r>
    </w:p>
    <w:p>
      <w:pPr>
        <w:spacing w:after="0" w:line="12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color w:val="auto"/>
        </w:rPr>
        <w:t xml:space="preserve">The Golf Course. </w:t>
      </w:r>
      <w:r>
        <w:rPr>
          <w:rFonts w:ascii="Arial" w:cs="Arial" w:eastAsia="Arial" w:hAnsi="Arial"/>
          <w:sz w:val="18"/>
          <w:szCs w:val="18"/>
          <w:color w:val="auto"/>
        </w:rPr>
        <w:t>We are constructing a world-class, 18-hole championship golf course at the site of the former Desert Inn golf course. When Le Rêve</w:t>
      </w:r>
      <w:r>
        <w:rPr>
          <w:rFonts w:ascii="Arial" w:cs="Arial" w:eastAsia="Arial" w:hAnsi="Arial"/>
          <w:sz w:val="18"/>
          <w:szCs w:val="18"/>
          <w:i w:val="1"/>
          <w:iCs w:val="1"/>
          <w:color w:val="auto"/>
        </w:rPr>
        <w:t xml:space="preserve"> </w:t>
      </w:r>
      <w:r>
        <w:rPr>
          <w:rFonts w:ascii="Arial" w:cs="Arial" w:eastAsia="Arial" w:hAnsi="Arial"/>
          <w:sz w:val="18"/>
          <w:szCs w:val="18"/>
          <w:color w:val="auto"/>
        </w:rPr>
        <w:t>opens, we believe this golf course will be the only golf course on the site of a hotel casino resort on the Las Vegas Strip. Tom Fazio and Mr. Wynn, the designers of the Shadow Creek golf course owned by MGM Mirage, have designed Le Rêve’s golf course, which will be accessible only to hotel guests of Le Rêve. We expect that the golf course will feature three lakes and a series of meandering streams that will carve their way from the west to east end of the property. We have designed the golf course with dramatic elevation changes and plan to include water on almost every hole. We expect that the golf course will be available for play when Le Rêve opens.</w:t>
      </w:r>
    </w:p>
    <w:p>
      <w:pPr>
        <w:spacing w:after="0" w:line="131"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i w:val="1"/>
          <w:iCs w:val="1"/>
          <w:color w:val="auto"/>
        </w:rPr>
        <w:t xml:space="preserve">Restaurants, Lounges, Bars and Nightclub. </w:t>
      </w:r>
      <w:r>
        <w:rPr>
          <w:rFonts w:ascii="Arial" w:cs="Arial" w:eastAsia="Arial" w:hAnsi="Arial"/>
          <w:sz w:val="18"/>
          <w:szCs w:val="18"/>
          <w:color w:val="auto"/>
        </w:rPr>
        <w:t>We plan to offer 18 food and beverage outlets, including six fine-dining restaurants and an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600-seat buffet, and expect signature chefs to provide unique restaurants and dining venues to appeal to our guests. We also expect Le Rêve to offer a full complement of lounges and bars and a nightclub.</w:t>
      </w:r>
    </w:p>
    <w:p>
      <w:pPr>
        <w:spacing w:after="0" w:line="12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The Showroom. </w:t>
      </w:r>
      <w:r>
        <w:rPr>
          <w:rFonts w:ascii="Arial" w:cs="Arial" w:eastAsia="Arial" w:hAnsi="Arial"/>
          <w:sz w:val="18"/>
          <w:szCs w:val="18"/>
          <w:color w:val="auto"/>
        </w:rPr>
        <w:t>Le Rêve’s showroom will be customized to accommodate the unveiling of Franco Dragone’s new water-based entertainment production.</w:t>
      </w:r>
      <w:r>
        <w:rPr>
          <w:rFonts w:ascii="Arial" w:cs="Arial" w:eastAsia="Arial" w:hAnsi="Arial"/>
          <w:sz w:val="18"/>
          <w:szCs w:val="18"/>
          <w:i w:val="1"/>
          <w:iCs w:val="1"/>
          <w:color w:val="auto"/>
        </w:rPr>
        <w:t xml:space="preserve"> </w:t>
      </w:r>
      <w:r>
        <w:rPr>
          <w:rFonts w:ascii="Arial" w:cs="Arial" w:eastAsia="Arial" w:hAnsi="Arial"/>
          <w:sz w:val="18"/>
          <w:szCs w:val="18"/>
          <w:color w:val="auto"/>
        </w:rPr>
        <w:t>Mr. Dragone is the creative force behind Bellagio’s production of “O” and Treasure Island at The Mirage’s production of “Mystère,” as well as Celine Dion’s new production at the approximately 4,000-seat performing arts “Colosseum” which opened in March of 2003. “O” and “Mystère” have consistently sold out since opening.</w:t>
      </w:r>
    </w:p>
    <w:p>
      <w:pPr>
        <w:spacing w:after="0" w:line="13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showroom will seat approximately 2,080 guests and will feature an approximately 1,000,000 gallon performance pool. The seating for the showroom is designed to extend around the performance area a full 360 degrees and to be suspended over the performance pool with no seat farther than approximately 42 feet from the performance area.</w:t>
      </w:r>
    </w:p>
    <w:p>
      <w:pPr>
        <w:spacing w:after="0" w:line="127" w:lineRule="exact"/>
        <w:rPr>
          <w:sz w:val="20"/>
          <w:szCs w:val="20"/>
          <w:color w:val="auto"/>
        </w:rPr>
      </w:pPr>
    </w:p>
    <w:p>
      <w:pPr>
        <w:ind w:right="20" w:firstLine="456"/>
        <w:spacing w:after="0" w:line="244" w:lineRule="auto"/>
        <w:rPr>
          <w:sz w:val="20"/>
          <w:szCs w:val="20"/>
          <w:color w:val="auto"/>
        </w:rPr>
      </w:pPr>
      <w:r>
        <w:rPr>
          <w:rFonts w:ascii="Arial" w:cs="Arial" w:eastAsia="Arial" w:hAnsi="Arial"/>
          <w:sz w:val="18"/>
          <w:szCs w:val="18"/>
          <w:i w:val="1"/>
          <w:iCs w:val="1"/>
          <w:color w:val="auto"/>
        </w:rPr>
        <w:t xml:space="preserve">The Art Gallery. </w:t>
      </w:r>
      <w:r>
        <w:rPr>
          <w:rFonts w:ascii="Arial" w:cs="Arial" w:eastAsia="Arial" w:hAnsi="Arial"/>
          <w:sz w:val="18"/>
          <w:szCs w:val="18"/>
          <w:color w:val="auto"/>
        </w:rPr>
        <w:t>Le Rêve will also offer an art gallery displaying rare paintings from The Wynn Collection. The Wynn Collection consists of works from</w:t>
      </w:r>
      <w:r>
        <w:rPr>
          <w:rFonts w:ascii="Arial" w:cs="Arial" w:eastAsia="Arial" w:hAnsi="Arial"/>
          <w:sz w:val="18"/>
          <w:szCs w:val="18"/>
          <w:i w:val="1"/>
          <w:iCs w:val="1"/>
          <w:color w:val="auto"/>
        </w:rPr>
        <w:t xml:space="preserve"> </w:t>
      </w:r>
      <w:r>
        <w:rPr>
          <w:rFonts w:ascii="Arial" w:cs="Arial" w:eastAsia="Arial" w:hAnsi="Arial"/>
          <w:sz w:val="18"/>
          <w:szCs w:val="18"/>
          <w:color w:val="auto"/>
        </w:rPr>
        <w:t>19</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and 20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century European and American masters, and at various times has included works by Paul Cézanne, Paul Gaugin, Édouard Manet, Henri Matisse, Amedeo Modigliani, Claude Monet, Pablo Picasso and Vincent Van Gogh. Subject to certain notice restrictions, Mr. and Mrs. Wynn will retain the right to remove or replace any or all of the works of art that will be displayed in the art gallery. We currently lease The Wynn Collection from Mr. and Mrs. Wynn under an arrangement whereby one-half of the net income of the gallery, if any, is retained by us. If the gallery incurs a net loss, Mr. and Mrs. Wynn have agreed to reimburse us to the extent of that loss. After specified notice periods, we or Mr. and Mrs. Wynn may terminate this lease. The terms of the lease are expected to be renegotiated prior to the opening of Le Rêve.</w:t>
      </w:r>
    </w:p>
    <w:p>
      <w:pPr>
        <w:spacing w:after="0" w:line="141"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i w:val="1"/>
          <w:iCs w:val="1"/>
          <w:color w:val="auto"/>
        </w:rPr>
        <w:t xml:space="preserve">The Ferrari and Maserati Dealership. </w:t>
      </w:r>
      <w:r>
        <w:rPr>
          <w:rFonts w:ascii="Arial" w:cs="Arial" w:eastAsia="Arial" w:hAnsi="Arial"/>
          <w:sz w:val="16"/>
          <w:szCs w:val="16"/>
          <w:color w:val="auto"/>
        </w:rPr>
        <w:t>We have entered into letters of intent with Ferrari North America, Inc. and Maserati North America, Inc. to open</w:t>
      </w:r>
      <w:r>
        <w:rPr>
          <w:rFonts w:ascii="Arial" w:cs="Arial" w:eastAsia="Arial" w:hAnsi="Arial"/>
          <w:sz w:val="16"/>
          <w:szCs w:val="16"/>
          <w:i w:val="1"/>
          <w:iCs w:val="1"/>
          <w:color w:val="auto"/>
        </w:rPr>
        <w:t xml:space="preserve"> </w:t>
      </w:r>
      <w:r>
        <w:rPr>
          <w:rFonts w:ascii="Arial" w:cs="Arial" w:eastAsia="Arial" w:hAnsi="Arial"/>
          <w:sz w:val="16"/>
          <w:szCs w:val="16"/>
          <w:color w:val="auto"/>
        </w:rPr>
        <w:t>an authorized on-site, full-service Ferrari and Maserati dealership. We expect that our franchises will include a service and maintenance facility, as well as a café and retail store, which will require separate agreements with Ferrari SpA. Currently, there are only 29 Ferrari dealerships in the United States and we expect ours to be the first in Nevada. The dealership will be located near the main entrance to the hotel.</w:t>
      </w:r>
    </w:p>
    <w:p>
      <w:pPr>
        <w:spacing w:after="0" w:line="99"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letters of intent, as amended, require us to submit designs and plans for the dealership to Ferrari North America and Maserati North America for approval and to satisfy certain financing and other ongoing conditions, including minimum working capital and net worth requirements. The letters of intent also require us to provide quarterly updates as to the status of construction of Le Rêve and to continuously meet all capital, facility, personnel, customer satisfaction and operational standards of Ferrari North America and Maserati North</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28" w:right="239" w:bottom="1440" w:gutter="0" w:footer="0" w:header="0"/>
        </w:sectPr>
      </w:pPr>
    </w:p>
    <w:bookmarkStart w:id="4" w:name="page5"/>
    <w:bookmarkEnd w:id="4"/>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America. If we are approved to operate the franchises, Ferrari North America and Maserati North America will have first and senior priority security interests in their respective franchises. Under these letters of intent, we are required to notify Ferrari North America and Maserati North America at least sixty days prior to the sale of any of our stock by Mr. Wynn and, if practicable, by Aruze USA, Inc. (“Aruze USA”), another of our major stockholders. If advance notification is not practicable, we must notify Ferrari North America and Maserati North America promptly after we learn of any sale of our stock by Aruze USA. Under these letters of intent, Mr. Wynn may not hold less than 50% of the voting power of our issued and outstanding voting stock without the prior written approval of Ferrari North America and Maserati North America. For the purpose of this requirement, under the letters of intent, Mr. Wynn is considered to hold all shares subject to the voting agreement contained in the stockholders agreement, including shares held by Aruze USA. Mr. Wynn currently meets and, is expected to continue to meet, this requirement. Under these letters of intent, we are also required, barring any unforeseen delays in the construction of Le Rêve, to commence dealership operations by December 31, 2004. If we are unable to open our permanent dealership by this date, it is currently contemplated that we may open a temporary dealership in our existing office building.</w:t>
      </w:r>
    </w:p>
    <w:p>
      <w:pPr>
        <w:spacing w:after="0" w:line="109"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 xml:space="preserve">Retail Space. </w:t>
      </w:r>
      <w:r>
        <w:rPr>
          <w:rFonts w:ascii="Arial" w:cs="Arial" w:eastAsia="Arial" w:hAnsi="Arial"/>
          <w:sz w:val="16"/>
          <w:szCs w:val="16"/>
          <w:color w:val="auto"/>
        </w:rPr>
        <w:t>We expect that Le Rêve will contain approximately 77,500 square feet dedicated to approximately 26 retail shops. We expect to lease eight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shops to tenants operating boutiques, including brand name and high-end boutiques. We plan to operate the remaining stores, including a golf shop and other shops selling, among other things, men’s clothing, women’s apparel and accessories, art, watches, sundries and proprietary Le Rêve products.</w:t>
      </w:r>
    </w:p>
    <w:p>
      <w:pPr>
        <w:spacing w:after="0" w:line="93"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i w:val="1"/>
          <w:iCs w:val="1"/>
          <w:color w:val="auto"/>
        </w:rPr>
        <w:t xml:space="preserve">Spa, Salon and Fitness Complex. </w:t>
      </w:r>
      <w:r>
        <w:rPr>
          <w:rFonts w:ascii="Arial" w:cs="Arial" w:eastAsia="Arial" w:hAnsi="Arial"/>
          <w:sz w:val="15"/>
          <w:szCs w:val="15"/>
          <w:color w:val="auto"/>
        </w:rPr>
        <w:t>We plan to own and operate an approximately 38,000 square foot world-class spa, salon and fitness complex offering</w:t>
      </w:r>
      <w:r>
        <w:rPr>
          <w:rFonts w:ascii="Arial" w:cs="Arial" w:eastAsia="Arial" w:hAnsi="Arial"/>
          <w:sz w:val="15"/>
          <w:szCs w:val="15"/>
          <w:i w:val="1"/>
          <w:iCs w:val="1"/>
          <w:color w:val="auto"/>
        </w:rPr>
        <w:t xml:space="preserve"> </w:t>
      </w:r>
      <w:r>
        <w:rPr>
          <w:rFonts w:ascii="Arial" w:cs="Arial" w:eastAsia="Arial" w:hAnsi="Arial"/>
          <w:sz w:val="15"/>
          <w:szCs w:val="15"/>
          <w:color w:val="auto"/>
        </w:rPr>
        <w:t>high-end spa treatments and fitness equipment and custom label and branded skin and body treatment products, as well as clothing, accessories, and athletic wear.</w:t>
      </w:r>
    </w:p>
    <w:p>
      <w:pPr>
        <w:spacing w:after="0" w:line="49"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 xml:space="preserve">Swimming Pools. </w:t>
      </w:r>
      <w:r>
        <w:rPr>
          <w:rFonts w:ascii="Arial" w:cs="Arial" w:eastAsia="Arial" w:hAnsi="Arial"/>
          <w:sz w:val="18"/>
          <w:szCs w:val="18"/>
          <w:color w:val="auto"/>
        </w:rPr>
        <w:t>Le Rêve will offer its guests four outdoor swimming pools and two whirlpool spas. Two swimming pools will be dedicated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exclusive use of our suite guests. All of the pool areas will feature private cabanas and lush landscaping.</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 xml:space="preserve">Convention, Meeting and Reception Facilities. </w:t>
      </w:r>
      <w:r>
        <w:rPr>
          <w:rFonts w:ascii="Arial" w:cs="Arial" w:eastAsia="Arial" w:hAnsi="Arial"/>
          <w:sz w:val="16"/>
          <w:szCs w:val="16"/>
          <w:color w:val="auto"/>
        </w:rPr>
        <w:t>Le Rêve expects to feature approximately 223,000 square feet of convention, meeting and reception space</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corridors and patio space), including a grand ballroom, a junior ballroom and meeting rooms with outdoor patios overlooking either the pool area or the golf course, as well as boardrooms and a business center. Covered patios off of the meeting rooms will be available as pre-function or break-out areas.</w:t>
      </w:r>
    </w:p>
    <w:p>
      <w:pPr>
        <w:spacing w:after="0" w:line="93" w:lineRule="exact"/>
        <w:rPr>
          <w:sz w:val="20"/>
          <w:szCs w:val="20"/>
          <w:color w:val="auto"/>
        </w:rPr>
      </w:pPr>
    </w:p>
    <w:p>
      <w:pPr>
        <w:ind w:left="460"/>
        <w:spacing w:after="0"/>
        <w:tabs>
          <w:tab w:leader="none" w:pos="1900" w:val="left"/>
        </w:tabs>
        <w:rPr>
          <w:sz w:val="20"/>
          <w:szCs w:val="20"/>
          <w:color w:val="auto"/>
        </w:rPr>
      </w:pPr>
      <w:r>
        <w:rPr>
          <w:rFonts w:ascii="Arial" w:cs="Arial" w:eastAsia="Arial" w:hAnsi="Arial"/>
          <w:sz w:val="18"/>
          <w:szCs w:val="18"/>
          <w:i w:val="1"/>
          <w:iCs w:val="1"/>
          <w:color w:val="auto"/>
        </w:rPr>
        <w:t>Wedding Chapels.</w:t>
      </w:r>
      <w:r>
        <w:rPr>
          <w:sz w:val="20"/>
          <w:szCs w:val="20"/>
          <w:color w:val="auto"/>
        </w:rPr>
        <w:tab/>
      </w:r>
      <w:r>
        <w:rPr>
          <w:rFonts w:ascii="Arial" w:cs="Arial" w:eastAsia="Arial" w:hAnsi="Arial"/>
          <w:sz w:val="16"/>
          <w:szCs w:val="16"/>
          <w:color w:val="auto"/>
        </w:rPr>
        <w:t>Le Rêve will include two intimate wedding chapels that we expect will accommodate 60 guests each.</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Parking. </w:t>
      </w:r>
      <w:r>
        <w:rPr>
          <w:rFonts w:ascii="Arial" w:cs="Arial" w:eastAsia="Arial" w:hAnsi="Arial"/>
          <w:sz w:val="18"/>
          <w:szCs w:val="18"/>
          <w:color w:val="auto"/>
        </w:rPr>
        <w:t>Our north parking garage, which will have easy access to our hotel, will provide approximately 1,840 parking spaces for our guests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visitors. The second level of the north parking garage will connect to a retail promenade that will lead to our casino. We will have valet parking for our guests and other visitors and a separate parking area for employees located on the 20-acre parcel next to Le Rêve. In total, we expect that there will be approximately 4,050 parking spaces available to guests, visitors and employees of Le Rêve.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Macau Opportunity</w:t>
      </w:r>
    </w:p>
    <w:p>
      <w:pPr>
        <w:spacing w:after="0" w:line="8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In June 2002, Wynn Macau entered into a 20-year concession agreement with the government of the Macau Special Administrative Region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People’s Republic of China to construct and operate one or more casino gaming properties in Macau. The Macau peninsula, located in southeast China on the South China Sea, is approximately 37 miles southwest of Hong Kong. Macau has been an established gaming market for at least 40 years and, according to the Statistics and Census Service of Macau, in 2001, casinos in Macau generated approximately US $2.3 billion in gaming revenue. Wynn Macau currently is one of three concessionaires permitted to operate a casino gaming business in Macau.</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5" w:name="page6"/>
    <w:bookmarkEnd w:id="5"/>
    <w:p>
      <w:pPr>
        <w:ind w:right="8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currently owns an approximately 82.5% economic interest in Wynn Macau indirectly through various subsidiaries and as a result of a holding company structure effectively controls 90% of the voting interest of Wynn Macau. Macau law requires that the position of executive director and at least 10% of the voting shares and capital of Wynn Macau be held by a resident of Macau. Mr. Wong Chi Seng, a Macau resident who is the executive director of Wynn Macau, owns in the aggregate approximately 10% of the rights to capital and dividends and effectively controls approximately 10% of the vote of Wynn Macau. Other investors through their ownership interests in various holding entities own indirectly approximately 7.5% of the rights to dividends and capital of Wynn Macau.</w:t>
      </w:r>
    </w:p>
    <w:p>
      <w:pPr>
        <w:spacing w:after="0" w:line="13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The Concession. </w:t>
      </w:r>
      <w:r>
        <w:rPr>
          <w:rFonts w:ascii="Arial" w:cs="Arial" w:eastAsia="Arial" w:hAnsi="Arial"/>
          <w:sz w:val="16"/>
          <w:szCs w:val="16"/>
          <w:color w:val="auto"/>
        </w:rPr>
        <w:t>The concession agreement requires Wynn Macau to construct and operate one or more casino gaming properties in Macau, including, at</w:t>
      </w:r>
      <w:r>
        <w:rPr>
          <w:rFonts w:ascii="Arial" w:cs="Arial" w:eastAsia="Arial" w:hAnsi="Arial"/>
          <w:sz w:val="16"/>
          <w:szCs w:val="16"/>
          <w:i w:val="1"/>
          <w:iCs w:val="1"/>
          <w:color w:val="auto"/>
        </w:rPr>
        <w:t xml:space="preserve"> </w:t>
      </w:r>
      <w:r>
        <w:rPr>
          <w:rFonts w:ascii="Arial" w:cs="Arial" w:eastAsia="Arial" w:hAnsi="Arial"/>
          <w:sz w:val="16"/>
          <w:szCs w:val="16"/>
          <w:color w:val="auto"/>
        </w:rPr>
        <w:t>a minimum, one full-service casino resort by the end of December 2006, and invest not less than a total of 4 billion patacas (approximately US $515.6 million) in Macau-related projects by June 26, 2009. If Wynn Macau does not invest 4 billion patacas in casino projects by June 26, 2009, it is obligated to invest the remaining amount in projects related to its gaming operations in Macau that the Macau government approves, or in projects of public interest designated by the Macau government. The currency used in the concession agreement is the Macau pataca. We have converted all pataca references into U.S. dollars using an exchange rate of approximately 7.76 Macau patacas to one U.S. dollar (which was the rate of exchange on March 10, 2003).</w:t>
      </w:r>
    </w:p>
    <w:p>
      <w:pPr>
        <w:spacing w:after="0" w:line="107" w:lineRule="exact"/>
        <w:rPr>
          <w:sz w:val="20"/>
          <w:szCs w:val="20"/>
          <w:color w:val="auto"/>
        </w:rPr>
      </w:pPr>
    </w:p>
    <w:p>
      <w:pPr>
        <w:ind w:right="120" w:firstLine="456"/>
        <w:spacing w:after="0" w:line="310" w:lineRule="auto"/>
        <w:rPr>
          <w:sz w:val="20"/>
          <w:szCs w:val="20"/>
          <w:color w:val="auto"/>
        </w:rPr>
      </w:pPr>
      <w:r>
        <w:rPr>
          <w:rFonts w:ascii="Arial" w:cs="Arial" w:eastAsia="Arial" w:hAnsi="Arial"/>
          <w:sz w:val="15"/>
          <w:szCs w:val="15"/>
          <w:color w:val="auto"/>
        </w:rPr>
        <w:t>Wynn Macau is obligated by the concession agreement, to obtain the necessary financing to carry out its investment plan and maintain the financial capacity to adequately operate its gaming business in Macau. In compliance with the concession agreement, Wynn Macau has obtained an uncollateralized bank guarantee from Banco National Ultramarino, S.A. in the required amount of 700 million patacas (approximately US $90.2 million) for the period from the execution of the concession agreement until March 31, 2007. The amount of this required guarantee will be reduced to 300 million patacas (approximately US $38.7 million) for the period from April 1, 2007 until 180 days after the end of the term of the concession agreement. Wynn Macau pays a commission to the bank in the amount of 0.5% per year of the guarantee amount. This bank guarantee is also intended to satisfy the requirement imposed by Macau law that a controlling stockholder of Wynn Macau obtain a bank guarantee for the benefit of the government of Macau. The purpose of this bank guarantee is to guarantee Wynn Macau’s performance of the concession agreement, the payment of premiums and any fines or indemnity for failure to perform the concession agreement.</w:t>
      </w:r>
    </w:p>
    <w:p>
      <w:pPr>
        <w:spacing w:after="0" w:line="9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concession agreement permits the government of Macau to withdraw amounts from the bank guarantee for any of these purposes without prior adjudication. Wynn Macau is obligated to reimburse the bank and reinstate the guarantee in full if any amounts are withdrawn for payment of its obligations. Wynn Macau may not cancel the bank guarantee without government approval, but the government may allow Wynn Macau to substitute a bond or other contract for the guarantee. Wynn Macau must bear any costs incurred for the issuance, maintenance and cancellation of the bank guarantee.</w:t>
      </w:r>
    </w:p>
    <w:p>
      <w:pPr>
        <w:spacing w:after="0" w:line="99"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In connection with the commencement of construction, or otherwise, Wynn Macau may be required to obtain at its cost a replacement guarantee or bond and/or modify the existing bank guarantee in a manner that requires it to provide certain security or other financial commitments.</w:t>
      </w:r>
    </w:p>
    <w:p>
      <w:pPr>
        <w:spacing w:after="0" w:line="72"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The concession agreement requires Wynn Macau to adhere to an agreed-upon construction schedule for the completion of the first casino resort, but the agreement provides that the deadlines in the construction schedule may be extended with governmental approval. The government of Macau may suspend construction of a casino if it determines that Wynn Macau has failed to adequately implement the construction plans or violated the concession agreement or applicable law.</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government of Macau may assume temporary custody and control over the operation of a concession in certain circumstances. During any such period, the costs of operations must be borne by Wynn Macau. The government of Macau also may redeem a concession starting at an established date after the entering into of 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28" w:right="259" w:bottom="1440" w:gutter="0" w:footer="0" w:header="0"/>
        </w:sectPr>
      </w:pPr>
    </w:p>
    <w:bookmarkStart w:id="6" w:name="page7"/>
    <w:bookmarkEnd w:id="6"/>
    <w:p>
      <w:pPr>
        <w:ind w:right="5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concession. With respect to Wynn Macau’s concession, the government of Macau’s right to redeem the concession begins fifteen years from the date of the concession agreement and entitles Wynn Macau to certain compensation.</w:t>
      </w:r>
    </w:p>
    <w:p>
      <w:pPr>
        <w:spacing w:after="0" w:line="118" w:lineRule="exact"/>
        <w:rPr>
          <w:sz w:val="20"/>
          <w:szCs w:val="20"/>
          <w:color w:val="auto"/>
        </w:rPr>
      </w:pPr>
    </w:p>
    <w:p>
      <w:pPr>
        <w:ind w:right="420" w:firstLine="456"/>
        <w:spacing w:after="0" w:line="347" w:lineRule="auto"/>
        <w:rPr>
          <w:sz w:val="20"/>
          <w:szCs w:val="20"/>
          <w:color w:val="auto"/>
        </w:rPr>
      </w:pPr>
      <w:r>
        <w:rPr>
          <w:rFonts w:ascii="Arial" w:cs="Arial" w:eastAsia="Arial" w:hAnsi="Arial"/>
          <w:sz w:val="15"/>
          <w:szCs w:val="15"/>
          <w:color w:val="auto"/>
        </w:rPr>
        <w:t>The government of Macau may unilaterally rescind the concession if Wynn Macau fails to fulfill its fundamental obligations under the concession agreement. The concession agreement expressly provides that the government of Macau may unilaterally rescind the concession agreement if Wynn Macau:</w:t>
      </w:r>
    </w:p>
    <w:p>
      <w:pPr>
        <w:spacing w:after="0" w:line="1" w:lineRule="exact"/>
        <w:rPr>
          <w:sz w:val="20"/>
          <w:szCs w:val="20"/>
          <w:color w:val="auto"/>
        </w:rPr>
      </w:pPr>
    </w:p>
    <w:p>
      <w:pPr>
        <w:ind w:left="880" w:hanging="42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conducts non-authorized games or activities excluded from its corporate purpose;</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suspends gaming operations in Macau for more than seven consecutive days without justification;</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defaults in payment of taxes, premiums, contributions or other required amounts;</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does not comply with government inspections or supervision;</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systematically fails to observe its obligations under the concession system;</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fails to maintain bank guarantees or bonds satisfactory to the government;</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is the subject of bankruptcy proceedings or becomes insolvent;</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engages in serious fraudulent activity, damaging to the public interest; or</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repeatedly violates applicable gaming laws.</w:t>
      </w:r>
    </w:p>
    <w:p>
      <w:pPr>
        <w:spacing w:after="0" w:line="1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If the government of Macau unilaterally rescinds the concession agreement, Wynn Macau will be required to compensate the government in accordance with applicable law, and the areas defined as casino under Macau law and all of the gaming equipment pertaining to the gaming operations of Wynn Macau will be transferred to the government without compensation. In addition, the government of Macau may, in the public interest, unilaterally terminate the concession at any time, in which case Wynn Macau would be entitled to reasonable compensation.</w:t>
      </w:r>
    </w:p>
    <w:p>
      <w:pPr>
        <w:spacing w:after="0" w:line="9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 xml:space="preserve">Development. </w:t>
      </w:r>
      <w:r>
        <w:rPr>
          <w:rFonts w:ascii="Arial" w:cs="Arial" w:eastAsia="Arial" w:hAnsi="Arial"/>
          <w:sz w:val="16"/>
          <w:szCs w:val="16"/>
          <w:color w:val="auto"/>
        </w:rPr>
        <w:t>Wynn Macau has not yet determined the cost of construction of its first casino resort. If the financing arrangements for the construction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casino resort are completed and if certain necessary legislative changes have been enacted by the Macau government, we expect that Wynn Macau will begin construction in 2003. We currently contemplate that Wynn Macau will open its first casino resort in phases, with the first phase consisting of a casino, several food and beverage outlets retail space and a multi-purpose entertainment facility. If Wynn Macau is able to begin construction in the second or third quarter of 2003, the first phase could open as early as 2004, and the second phase, which includes approximately 650 hotel rooms and additional food and beverage outlets, could open six to nine months after the first opening. Wynn Macau has entered into a $574,000 pre-construction services agreement with a third-party joint venture for: (i) development of a proposal for a construction contract for the construction of the casino in Macau (the “Contractors Proposal”), (ii) negotiation of the Contractor’s Proposal, and (iii) negotiation and execution of the construction contract. The Macau government has granted to Wynn Macau the right to lease a parcel of land for its first permanent casino operations. We believe that this land, located in the outer harbor of downtown Macau opposite the largest, best-known casino, the Hotel Lisboa, is an attractive location for Wynn Macau’s first Macau casino. After construction of Wynn Macau’s first casino resort, Wynn Macau intends to satisfy its remaining financial obligations under the concession agreement, if any, through the development of future phased expansions and, possibly, additional casino resorts.</w:t>
      </w:r>
    </w:p>
    <w:p>
      <w:pPr>
        <w:spacing w:after="0" w:line="11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intend to invest at least $40 million of the net proceeds from the initial public offering our common stock in Wynn Macau as part of the financing of the Macau opportunity, in addition to the approximately $23.8 million we have already invested in Wynn Macau. The indirect minority investors in Wynn Macau have agreed to participate in this additional investment along with Wynn Resorts to the extent of their proportionate economic interests in Wynn Macau. Wynn Macau has begun preliminary discussions to arrange the additional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7" w:name="page8"/>
    <w:bookmarkEnd w:id="7"/>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financing that would be required to complete Wynn Macau’s first casino resort. At the present time, Wynn Macau has not yet determined the amount of financing that will be required to complete the project.</w:t>
      </w:r>
    </w:p>
    <w:p>
      <w:pPr>
        <w:spacing w:after="0" w:line="118"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Wynn Macau will not begin construction or operation of any casino in Macau until a number of objectives and conditions are met, including: obtaining sufficient financing, obtaining the ability to extend credit to gaming customers and enforce gaming debts in Macau, which are not currently permitted under present Macau law, and obtaining relief from the complementary income tax and the withholding tax on dividends imposed in Macau. Based on our discussions with government officials, we believe legislative changes relating to these matters will be enacted in 2003. However, we cannot assure you that such proposed legislative changes will be enacted. If Wynn Macau determines not to go forward with the Macau opportunity, we may lose our significant investment in Wynn Macau. In addition, the concession agreement does not contain a provision permitting Wynn Macau to terminate the concession agreement unilaterally or permitting Wynn Macau to cease the development or operation of casinos in Macau. Accordingly, Wynn Macau might be found liable for the balance of its obligation to invest a total of 4 billion patacas (approximately US $515.6 million) in Macau related projects, which liability it may not be able to satisfy. In such circumstances, Wynn Resorts would lose its entire investment in Wynn Macau.</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8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color w:val="auto"/>
        </w:rPr>
        <w:t xml:space="preserve">Showcase the “Wynn Brand.” </w:t>
      </w:r>
      <w:r>
        <w:rPr>
          <w:rFonts w:ascii="Arial" w:cs="Arial" w:eastAsia="Arial" w:hAnsi="Arial"/>
          <w:sz w:val="16"/>
          <w:szCs w:val="16"/>
          <w:color w:val="auto"/>
        </w:rPr>
        <w:t>We believe that Mr. Wynn’s involvement with Le Rêve and the Macau opportunity provides a distinct advantage over other</w:t>
      </w:r>
      <w:r>
        <w:rPr>
          <w:rFonts w:ascii="Arial" w:cs="Arial" w:eastAsia="Arial" w:hAnsi="Arial"/>
          <w:sz w:val="16"/>
          <w:szCs w:val="16"/>
          <w:i w:val="1"/>
          <w:iCs w:val="1"/>
          <w:color w:val="auto"/>
        </w:rPr>
        <w:t xml:space="preserve"> </w:t>
      </w:r>
      <w:r>
        <w:rPr>
          <w:rFonts w:ascii="Arial" w:cs="Arial" w:eastAsia="Arial" w:hAnsi="Arial"/>
          <w:sz w:val="16"/>
          <w:szCs w:val="16"/>
          <w:color w:val="auto"/>
        </w:rPr>
        <w:t>gaming enterprises in Las Vegas and Macau. We believe that Mr. Wynn is widely viewed as the premier designer, developer and operator of destination casino resorts in Las Vegas and, as such, has in effect developed a “brand name” status in the gaming industry.</w:t>
      </w:r>
    </w:p>
    <w:p>
      <w:pPr>
        <w:spacing w:after="0" w:line="9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While Mr. Wynn was Chairman of the Board of Mirage Resorts, he conceived of and oversaw the development and operation of some of the most successful, well-known casino-based entertainment resorts in the world, including Bellagio, The Mirage, Treasure Island at The Mirage, the Golden Nugget—Las Vegas in Las Vegas, Nevada, as well as the Atlantic City Golden Nugget in New Jersey and the Beau Rivage in Biloxi, Mississippi. Mr. Wynn served as Chairman of the Board, President and Chief Executive Officer of Mirage Resorts and its predecessor for 27 years, until 2000, when MGM Grand acquired Mirage Resorts for approximately $6.4 billion. The public filings and press releases of Mirage Resorts and MGM Mirage report that in fiscal year 1999, the last full year of Mr. Wynn’s tenure with Mirage Resorts, the company had grown to own and operate eight hotel casino resort properties totaling 630,000 square feet of casino gaming space and 16,577 hotel rooms that generated approximately $2.4 billion in revenue, $573 million in earnings before depreciation, interest, taxes and pre-opening costs and $110.4 million in net income.</w:t>
      </w:r>
    </w:p>
    <w:p>
      <w:pPr>
        <w:spacing w:after="0" w:line="10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major hotel destination casino resorts he has previously developed, Mr. Wynn has successfully employed a formula which integrates luxurious surroundings, upscale design, distinctive entertainment and superior amenities, including fine dining and high-end retail offerings, to create resorts that appeal to a variety of customers, especially high-end customers. We believe that Le Rêve will be Mr. Wynn’s most innovative work to date and will set a new standard of luxury and elegance for destination casino resorts in Las Vegas, much as Bellagio and The Mirage, did when they were built by Mirage Resorts under the guidance of Mr. Wynn.</w:t>
      </w:r>
    </w:p>
    <w:p>
      <w:pPr>
        <w:spacing w:after="0" w:line="12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Create the Preeminent Destination Casino Resort on the Las Vegas Strip. </w:t>
      </w:r>
      <w:r>
        <w:rPr>
          <w:rFonts w:ascii="Arial" w:cs="Arial" w:eastAsia="Arial" w:hAnsi="Arial"/>
          <w:sz w:val="16"/>
          <w:szCs w:val="16"/>
          <w:color w:val="auto"/>
        </w:rPr>
        <w:t>We believe that Le Rêve will represent a natural extension of the concepts Mr.</w:t>
      </w:r>
      <w:r>
        <w:rPr>
          <w:rFonts w:ascii="Arial" w:cs="Arial" w:eastAsia="Arial" w:hAnsi="Arial"/>
          <w:sz w:val="16"/>
          <w:szCs w:val="16"/>
          <w:i w:val="1"/>
          <w:iCs w:val="1"/>
          <w:color w:val="auto"/>
        </w:rPr>
        <w:t xml:space="preserve"> </w:t>
      </w:r>
      <w:r>
        <w:rPr>
          <w:rFonts w:ascii="Arial" w:cs="Arial" w:eastAsia="Arial" w:hAnsi="Arial"/>
          <w:sz w:val="16"/>
          <w:szCs w:val="16"/>
          <w:color w:val="auto"/>
        </w:rPr>
        <w:t>Wynn has utilized in developing other major destination casino resorts. Following Mr. Wynn’s formula, we plan to attract a range of customers, including middle market customers and high-roller and premium gaming patrons to Le Rêve by offering a premium level of luxury and high-quality, non-gaming amenities such as a world-class golf course, fine dining, premier retail shopping and distinctive entertainment in intimate, luxurious surroundings. We believe that the level of luxury, sophistication and service we intend to offer at Le Rêve, together with Mr. Wynn’s experience and reputation in building and operating premier Las Vegas destination casino resorts, will appeal to high-roller international and domestic gaming patrons. In addition to the main casino, Le Rêve will offer a baccarat salon and private high-limit gaming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8" w:name="page9"/>
    <w:bookmarkEnd w:id="8"/>
    <w:p>
      <w:pPr>
        <w:ind w:right="1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rooms designed to create a sense of comfort and exclusivity for high-end gaming customers. Le Rêve will have a sophisticated, casually elegant ambience rather than being focused on a highly themed experience like many other hotel casino resorts on the Las Vegas Strip. We believe that, over time, Le Rêve’s more generally themed casually elegant environment, together with its high-quality amenities, superior level of service and distinctive attractions, will have greater lasting appeal to customers than a resort with a particular theme and numerous attractions based on that theme.</w:t>
      </w:r>
    </w:p>
    <w:p>
      <w:pPr>
        <w:spacing w:after="0" w:line="9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the time of Le Rêve’s planned opening in April 2005, we believe that it will have been almost five years since a major new hotel casino resort opened on the Las Vegas Strip. As a result, we expect that there will be a high level of anticipation for Le Rêve.</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Capitalize on the Attractive Location of Le Rêve. </w:t>
      </w:r>
      <w:r>
        <w:rPr>
          <w:rFonts w:ascii="Arial" w:cs="Arial" w:eastAsia="Arial" w:hAnsi="Arial"/>
          <w:sz w:val="16"/>
          <w:szCs w:val="16"/>
          <w:color w:val="auto"/>
        </w:rPr>
        <w:t>Le Rêve will have approximately 1,350 feet of frontage on the Las Vegas Strip at the site of the former</w:t>
      </w:r>
      <w:r>
        <w:rPr>
          <w:rFonts w:ascii="Arial" w:cs="Arial" w:eastAsia="Arial" w:hAnsi="Arial"/>
          <w:sz w:val="16"/>
          <w:szCs w:val="16"/>
          <w:i w:val="1"/>
          <w:iCs w:val="1"/>
          <w:color w:val="auto"/>
        </w:rPr>
        <w:t xml:space="preserve"> </w:t>
      </w:r>
      <w:r>
        <w:rPr>
          <w:rFonts w:ascii="Arial" w:cs="Arial" w:eastAsia="Arial" w:hAnsi="Arial"/>
          <w:sz w:val="16"/>
          <w:szCs w:val="16"/>
          <w:color w:val="auto"/>
        </w:rPr>
        <w:t>Desert Inn Resort &amp; Casino on the northeast corner of the intersection of the Strip and Sands Avenue. The Le Rêve site consists of approximately 55 acres of land, where the hotel complex will be built, and approximately 137 acres of land behind the hotel site dedicated to the new golf course. Le Rêve will be directly across the Strip from The Rouse Company’s Fashion Show Mall which contains premium retail stores and anchor tenants such as Neiman Marcus, Saks Fifth Avenue and Macy’s and is currently undergoing a substantial remodeling and expansion program expected to be completed by October 2003. Le Rêve will also be across the street from two of the nation’s largest convention centers: the Las Vegas Convention Center and the Sands Expo and Convention Center. The back of the Le Rêve property runs along Paradise Road, a major artery in the resort corridor that leads directly to and from McCarran International Airport.</w:t>
      </w:r>
    </w:p>
    <w:p>
      <w:pPr>
        <w:spacing w:after="0" w:line="105"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We believe that our location provides a distinct competitive advantage. Le Rêve will be conveniently accessible in an average of approximately four minutes from the Spring Mountain Road exit off of Interstate 15, and in an average of approximately ten minutes from McCarran International Airport. We anticipate that shuttle service running along the north perimeter of the golf course will provide convention and trade show attendees and other Le Rêve visitors with quick and convenient transportation to and from the convention center and we also anticipate that Le Rêve will be connected to the mall by a pedestrian bridge which we understand Clark County plans to build.</w:t>
      </w:r>
    </w:p>
    <w:p>
      <w:pPr>
        <w:spacing w:after="0" w:line="12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Pursue the Macau Opportunity. </w:t>
      </w:r>
      <w:r>
        <w:rPr>
          <w:rFonts w:ascii="Arial" w:cs="Arial" w:eastAsia="Arial" w:hAnsi="Arial"/>
          <w:sz w:val="16"/>
          <w:szCs w:val="16"/>
          <w:color w:val="auto"/>
        </w:rPr>
        <w:t>Currently, Wynn Macau is one of only three concessionaires permitted to operate casinos in Macau, an established</w:t>
      </w:r>
      <w:r>
        <w:rPr>
          <w:rFonts w:ascii="Arial" w:cs="Arial" w:eastAsia="Arial" w:hAnsi="Arial"/>
          <w:sz w:val="16"/>
          <w:szCs w:val="16"/>
          <w:i w:val="1"/>
          <w:iCs w:val="1"/>
          <w:color w:val="auto"/>
        </w:rPr>
        <w:t xml:space="preserve"> </w:t>
      </w:r>
      <w:r>
        <w:rPr>
          <w:rFonts w:ascii="Arial" w:cs="Arial" w:eastAsia="Arial" w:hAnsi="Arial"/>
          <w:sz w:val="16"/>
          <w:szCs w:val="16"/>
          <w:color w:val="auto"/>
        </w:rPr>
        <w:t>gaming market with access to gaming patrons principally from Hong Kong and mainland China. The government of Macau is encouraging significant foreign and domestic investment in new and expanded casino entertainment facilities in Macau to enhance its reputation as a casino resort destination and to attract additional tourists and lengthen stays. We believe that these efforts will provide an opportunity for growth in the Macau gaming and resort market. Gaming customers from Hong Kong, southeast China, Taiwan and other locations in Asia can reach Macau in a relatively short period of time, and visitors from more distant locations in Asia can take advantage of short travel times by air to Macau or to Hong Kong. The relatively easy access from major population centers promotes Macau as a popular gaming destination in Asia. We plan to capitalize on these favorable market trends, utilizing our significant experience in Las Vegas by providing a Steve Wynn-designed property with appropriately high service standards.</w:t>
      </w:r>
    </w:p>
    <w:p>
      <w:pPr>
        <w:spacing w:after="0" w:line="10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Explore Opportunities for Future Growth. </w:t>
      </w:r>
      <w:r>
        <w:rPr>
          <w:rFonts w:ascii="Arial" w:cs="Arial" w:eastAsia="Arial" w:hAnsi="Arial"/>
          <w:sz w:val="16"/>
          <w:szCs w:val="16"/>
          <w:color w:val="auto"/>
        </w:rPr>
        <w:t>We currently own approximately 212 acres of land, comprised of an approximately 55-acre plot on which Le</w:t>
      </w:r>
      <w:r>
        <w:rPr>
          <w:rFonts w:ascii="Arial" w:cs="Arial" w:eastAsia="Arial" w:hAnsi="Arial"/>
          <w:sz w:val="16"/>
          <w:szCs w:val="16"/>
          <w:i w:val="1"/>
          <w:iCs w:val="1"/>
          <w:color w:val="auto"/>
        </w:rPr>
        <w:t xml:space="preserve"> </w:t>
      </w:r>
      <w:r>
        <w:rPr>
          <w:rFonts w:ascii="Arial" w:cs="Arial" w:eastAsia="Arial" w:hAnsi="Arial"/>
          <w:sz w:val="16"/>
          <w:szCs w:val="16"/>
          <w:color w:val="auto"/>
        </w:rPr>
        <w:t>Rêve is being constructed, an approximately 137-acre plot located behind the hotel on which the new golf course is being built and an additional parcel of approximately 20 acres fronting the Strip next to the Le Rêve site. We will use the 20-acre parcel while we are constructing Le Rêve for our corporate offices, pre-opening activities, recruiting and employment purposes and employee parking. If Wynn Las Vegas meets prescribed cash flow tests for four consecutive calendar quarters after commencement of operations at Le Rêve and Wynn Las Vegas satisfies certain conditions relating to water required for the golf course, the 20-acre parcel will be released from certain liens under documents governing Wynn Las Vegas’ indebtedness. In the event of such a release, we may decide to develop the parcel in the future, either on our own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9" w:name="page10"/>
    <w:bookmarkEnd w:id="9"/>
    <w:p>
      <w:pPr>
        <w:jc w:val="both"/>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through a joint venture. For example, in the future, we may decide to develop a second hotel casino as a Phase II development on the parcel to take advantage of the substantial infrastructure and amenities planned for Le Rêve. The Le Rêve design includes a major access corridor that could be used to connect a Phase II development to Le Rêve.</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Similarly, three years after commencement of operations at Le Rêve and upon Wynn Las Vegas’ satisfaction of prescribed maximum leverage ratio and minimum credit rating requirements and provided Wynn Las Vegas satisfies certain conditions relating to water requirements, the land underlying the golf course, which is owned by Wynn Resorts Holdings, LLC (“Wynn Resorts Holdings”), a wholly owned indirect subsidiary of Wynn Resorts, will be released from certain liens under documents governing Wynn Las Vegas’ indebtedness and could be transferred by Wynn Resorts Holdings to Wynn Resorts or another entity. Should the land be released from the liens, the golf course parcel and our related property rights present further opportunities for future development. In addition, portions of the golf course land may be released from the liens to permit residential or other non-gaming development if Wynn Las Vegas satisfies prescribed cash flow tests for a full fiscal year after Le Rêve commences operation and the development does not interfere with the use of the golf course and otherwise could not reasonably be expected to materially impair the overall value of Le Rêve.</w:t>
      </w:r>
    </w:p>
    <w:p>
      <w:pPr>
        <w:spacing w:after="0" w:line="105"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We continue to explore opportunities to develop additional gaming or related businesses in Las Vegas, Illinois or other domestic or international markets, whether through acquisition, investment or development. Any such development would require us to obtain additional financing. We may also decide to conduct any such development through Wynn Resorts or through a line of subsidiaries separate from the Le Rêve entities.</w:t>
      </w:r>
    </w:p>
    <w:p>
      <w:pPr>
        <w:spacing w:after="0" w:line="9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Marketing</w:t>
      </w:r>
      <w:r>
        <w:rPr>
          <w:rFonts w:ascii="Arial" w:cs="Arial" w:eastAsia="Arial" w:hAnsi="Arial"/>
          <w:sz w:val="16"/>
          <w:szCs w:val="16"/>
          <w:color w:val="auto"/>
        </w:rPr>
        <w:t>. Our marketing strategy consists of positioning our properties as full-service luxury resorts and casinos in the leisure, convention and tour and</w:t>
      </w:r>
      <w:r>
        <w:rPr>
          <w:rFonts w:ascii="Arial" w:cs="Arial" w:eastAsia="Arial" w:hAnsi="Arial"/>
          <w:sz w:val="16"/>
          <w:szCs w:val="16"/>
          <w:i w:val="1"/>
          <w:iCs w:val="1"/>
          <w:color w:val="auto"/>
        </w:rPr>
        <w:t xml:space="preserve"> </w:t>
      </w:r>
      <w:r>
        <w:rPr>
          <w:rFonts w:ascii="Arial" w:cs="Arial" w:eastAsia="Arial" w:hAnsi="Arial"/>
          <w:sz w:val="16"/>
          <w:szCs w:val="16"/>
          <w:color w:val="auto"/>
        </w:rPr>
        <w:t>travel markets. Prior to the opening of Le Rêve and our Macau property, we will create general market awareness about product offerings through conventions and media, including television, radio, newspapers, magazines, the internet, direct mail and billboards.</w:t>
      </w:r>
    </w:p>
    <w:p>
      <w:pPr>
        <w:spacing w:after="0" w:line="93"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We will market the casinos directly to gaming customers using database marketing techniques, traditional incentives, such as reduced room rates and complimentary meals and suites and we will offer high-roller gaming customers premium suites and special hotel services. We also plan to develop a guest loyalty program at Le Rêve that will integrate in real-time all gaming, hotel, food, beverage and retail revenue generated by a particular guest and compare it against incurred expenses to determine the profitability of that guest. We will use this program to implement a rewards system that offers discounted and complimentary meals, lodging and entertainment for our guests. We will also use that information to develop an integrated database that will allow us to target specific customers for promotions that might induce them to visit Le Rêve.</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also expect to capitalize on the substantial network of international and domestic high-roller and premium customers who are familiar with Mr. Wynn from his tenure at Mirage Resorts. We believe that in operating some of the signature properties in Las Vegas, Mr. Wynn has developed a high degree of customer recognition and guest loyalty and therefore believe that Le Rêve and our Macau property will attract wealthy international and domestic gaming customers. Furthermore, we believe that Mr. Wynn’s reputation will attract experienced, high-level international and domestic casino marketing executives to work with the Company. We plan to have marketing executives located in local offices in Tokyo, Hong Kong, Macau, Singapore, Taiwan, Europe, New York and southern California, as well as independent marketing representatives in major U.S. and foreign cities.</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will also implement cross-marketing strategies between our Le Rêve and Macau properties to encourage international business between the Macau and Las Vegas markets.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 Rêve Construction Schedule and Budget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Groundbreaking for Le Rêve occurred on October 31, 2002, with an opening to the general public scheduled for April 2005.</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0" w:name="page11"/>
    <w:bookmarkEnd w:id="10"/>
    <w:p>
      <w:pPr>
        <w:ind w:right="8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Wynn is overseeing Wynn Design &amp; Development, LLC (“Wynn Design &amp; Development”), a wholly owned indirect subsidiary of Wynn Resorts, in designing Le Rêve. Wynn Design &amp; Development is responsible for the design and architecture of Le Rêve (except for the showroom, the golf course and the parking garage) and for managing construction costs and risks associated with the Le Rêve project. Nevada law requires that a firm licensed as a professional architectural organization certify architectural plans. These architectural services for the Le Rêve project are provided by the firm of Butler/Ashworth Architects, Ltd., LLC. The principals of the Butler/Ashworth firm are DeRuyter O. Butler and Glen Ashworth, both of whom are employees of Wynn Design &amp; Development. Mr. Butler is Executive Vice President of Wynn Design &amp; Development. Wynn Design &amp; Development is the only client of the Butler/Ashworth firm and pays the salaries and benefits of Messrs. Butler and Ashworth. Neither we, nor Mr. Wynn, nor any other officer or director of Wynn Resorts or its subsidiaries have an ownership interest in Butler/Ashworth.</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Marnell Corrao is the builder and general contractor for Le Rêve (except for the principal parking garage and the golf course). Marnell Corrao has extensive experience in building large Las Vegas destination resorts, including Bellagio, The Mirage, Treasure Island at The Mirage and New York-New York Hotel and Casino. We expect the total development cost of Le Rêve to be approximately $2.4 billion, including the budgeted design and construction costs, cost of the land, capitalized interest, pre-opening expenses and all financing fees. The proceeds from the initial public offering of our common stock, the issuance of 12% second mortgage notes (the “Notes”), a $750 million senior secured revolving credit facility (the “Revolver”), a $250 million delay draw senior secured term loan facility (the “Term Loan, “ and together with the Revolver, the “Credit Facilities”) and a $188.5 million FF&amp;E facility (the “FF&amp;E Facility”) will provide the necessary funding. The required cash interest payments and commitment fees on the Credit Facilities, the FF&amp;E Facility, the Notes and any other indebtedness and obligations of ours, which will be due before the estimated commencement date of operations of Le Rêve, have been included in our estimate of the total development cost.</w:t>
      </w:r>
    </w:p>
    <w:p>
      <w:pPr>
        <w:spacing w:after="0" w:line="10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Of the estimated $2.4 billion total development cost for Le Rêve, the design and construction costs are budgeted to be approximately $1.4 billion, including the cost of constructing the golf course and principal parking garage. The remaining approximately $1 billion of development costs includes costs such as pre-opening costs, entertainment production costs, land acquisition costs, construction period interest, financing fees and certain furniture, fixtures and equipment, such as slot machines, computer equipment and kitchen and dining supplies.</w:t>
      </w:r>
    </w:p>
    <w:p>
      <w:pPr>
        <w:spacing w:after="0" w:line="9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an effort to manage our construction risk, we have entered into a guaranteed maximum price construction contract with Marnell Corrao guaranteeing timely construction and covering approximately $919 million of the budgeted $1.4 billion design and construction cost. The $919 million guaranteed maximum includes:</w:t>
      </w:r>
    </w:p>
    <w:p>
      <w:pPr>
        <w:spacing w:after="0" w:line="46" w:lineRule="exact"/>
        <w:rPr>
          <w:sz w:val="20"/>
          <w:szCs w:val="20"/>
          <w:color w:val="auto"/>
        </w:rPr>
      </w:pPr>
    </w:p>
    <w:p>
      <w:pPr>
        <w:ind w:left="880" w:hanging="426"/>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fixed lump sum contractor’s fee in the amount of $30 million;</w:t>
      </w:r>
    </w:p>
    <w:p>
      <w:pPr>
        <w:spacing w:after="0" w:line="103" w:lineRule="exact"/>
        <w:rPr>
          <w:rFonts w:ascii="Arial" w:cs="Arial" w:eastAsia="Arial" w:hAnsi="Arial"/>
          <w:sz w:val="18"/>
          <w:szCs w:val="18"/>
          <w:color w:val="auto"/>
        </w:rPr>
      </w:pPr>
    </w:p>
    <w:p>
      <w:pPr>
        <w:ind w:left="880" w:right="80" w:hanging="426"/>
        <w:spacing w:after="0" w:line="268"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necessarily incurred by Marnell Corrao in the performance of its obligations under the construction contract, including the cost of payment and performance bonds for Marnell Corrao and subcontractors required by the construction contract;</w:t>
      </w:r>
    </w:p>
    <w:p>
      <w:pPr>
        <w:spacing w:after="0" w:line="37" w:lineRule="exact"/>
        <w:rPr>
          <w:rFonts w:ascii="Arial" w:cs="Arial" w:eastAsia="Arial" w:hAnsi="Arial"/>
          <w:sz w:val="18"/>
          <w:szCs w:val="18"/>
          <w:color w:val="auto"/>
        </w:rPr>
      </w:pPr>
    </w:p>
    <w:p>
      <w:pPr>
        <w:ind w:left="880" w:right="80" w:hanging="426"/>
        <w:spacing w:after="0" w:line="268"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approximately $7.6 million owner-controlled contingency to cover, among other items, owner-created delays and owner-originated changes in the scope of work; and</w:t>
      </w:r>
    </w:p>
    <w:p>
      <w:pPr>
        <w:spacing w:after="0" w:line="37" w:lineRule="exact"/>
        <w:rPr>
          <w:rFonts w:ascii="Arial" w:cs="Arial" w:eastAsia="Arial" w:hAnsi="Arial"/>
          <w:sz w:val="18"/>
          <w:szCs w:val="18"/>
          <w:color w:val="auto"/>
        </w:rPr>
      </w:pPr>
    </w:p>
    <w:p>
      <w:pPr>
        <w:ind w:left="880" w:hanging="426"/>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portion of the cost of insurance obtained by Marnell Corrao on which we will be named as an additional insured.</w:t>
      </w:r>
    </w:p>
    <w:p>
      <w:pPr>
        <w:spacing w:after="0" w:line="18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guaranteed maximum price is subject to increases upon certain occurrences including, among other things, scope changes to the project. Although we have determined the overall scope and design of Le Rêve, not all of the plans and specifications for the construction components that are the subject of the guaranteed maximum price contract have been finalized and, under certain circumstances, we will be responsible for excess costs with respect to these components.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28" w:right="259" w:bottom="1440" w:gutter="0" w:footer="0" w:header="0"/>
        </w:sectPr>
      </w:pPr>
    </w:p>
    <w:bookmarkStart w:id="11" w:name="page12"/>
    <w:bookmarkEnd w:id="11"/>
    <w:p>
      <w:pPr>
        <w:ind w:right="6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Approximately $488 million of the $1.4 billion budgeted design and construction cost expenditures are not part of the Marnell Corrao guaranteed maximum price contract. These budgeted costs include:</w:t>
      </w:r>
    </w:p>
    <w:p>
      <w:pPr>
        <w:spacing w:after="0" w:line="37" w:lineRule="exact"/>
        <w:rPr>
          <w:sz w:val="20"/>
          <w:szCs w:val="20"/>
          <w:color w:val="auto"/>
        </w:rPr>
      </w:pPr>
    </w:p>
    <w:p>
      <w:pPr>
        <w:ind w:left="880" w:right="800" w:hanging="426"/>
        <w:spacing w:after="0" w:line="325" w:lineRule="auto"/>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owner-managed interior design and related furniture, fixtures and equipment, construction of restaurant and retail spaces, including tenant allowances, signage and electronic systems, site work and exterior features at a budgeted cost of approximately $303.0 million;</w:t>
      </w:r>
    </w:p>
    <w:p>
      <w:pPr>
        <w:spacing w:after="0" w:line="1" w:lineRule="exact"/>
        <w:rPr>
          <w:rFonts w:ascii="Arial" w:cs="Arial" w:eastAsia="Arial" w:hAnsi="Arial"/>
          <w:sz w:val="16"/>
          <w:szCs w:val="16"/>
          <w:color w:val="auto"/>
        </w:rPr>
      </w:pPr>
    </w:p>
    <w:p>
      <w:pPr>
        <w:ind w:left="880" w:hanging="426"/>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construction of the new golf course at a budgeted cost of approximately $21.5 million;</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construction of the principal parking garage at a budgeted cost of approximately $11.5 million;</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estimated design and engineering professional fees of approximately $67.4 million;</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of obtaining required governmental approvals and permits and utility service connection fees of approximately $13.8 million;</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of miscellaneous capital projects, including demolition and mock-up costs, of approximately $23.8 million;</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utilities and security costs during construction of approximately $6.3 million;</w:t>
      </w:r>
    </w:p>
    <w:p>
      <w:pPr>
        <w:spacing w:after="0" w:line="103" w:lineRule="exact"/>
        <w:rPr>
          <w:rFonts w:ascii="Arial" w:cs="Arial" w:eastAsia="Arial" w:hAnsi="Arial"/>
          <w:sz w:val="18"/>
          <w:szCs w:val="18"/>
          <w:color w:val="auto"/>
        </w:rPr>
      </w:pPr>
    </w:p>
    <w:p>
      <w:pPr>
        <w:ind w:left="880" w:right="580" w:hanging="426"/>
        <w:spacing w:after="0" w:line="325" w:lineRule="auto"/>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estimated insurance costs of approximately $13.9 million for builder’s risk insurance, fees and reserves under the owner-controlled insurance program, umbrella and excess liability insurance and design professional liability insurance during the construction period; and</w:t>
      </w:r>
    </w:p>
    <w:p>
      <w:pPr>
        <w:spacing w:after="0" w:line="1" w:lineRule="exact"/>
        <w:rPr>
          <w:rFonts w:ascii="Arial" w:cs="Arial" w:eastAsia="Arial" w:hAnsi="Arial"/>
          <w:sz w:val="16"/>
          <w:szCs w:val="16"/>
          <w:color w:val="auto"/>
        </w:rPr>
      </w:pPr>
    </w:p>
    <w:p>
      <w:pPr>
        <w:ind w:left="880" w:hanging="426"/>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contingency of approximately $26.7 million of the total owner’s contingency of $34.3 million.</w:t>
      </w:r>
    </w:p>
    <w:p>
      <w:pPr>
        <w:spacing w:after="0" w:line="18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are responsible for these components of the budget, including any cost overruns with respect to these components. Of this remaining $488 million of budgeted design and construction costs, we have spent approximately 13.4% through February 28, 2003. In addition, as of February 28, 2003, we had received bids with respect to items comprising another approximately 13.3% of these remaining budgeted costs. Accordingly, we have spent money or received non-binding bids for a total of approximately 26.7% of these remaining budgeted costs.</w:t>
      </w:r>
    </w:p>
    <w:p>
      <w:pPr>
        <w:spacing w:after="0" w:line="99"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We have entered into a separate design/build contract with Bomel Construction Company, Inc. for the design and construction of the principal parking garage for a lump sum of $9.9 million, subject to certain exceptions, including any changes in the scope of work, force majeure or owner delays. Bomel has extensive experience constructing parking structures, including garages at Paris Las Vegas, Green Valley Ranch Station and The Palms Casino Resort. Design work for the construction is complete. Construction on the parking garage began in October 2002.</w:t>
      </w:r>
    </w:p>
    <w:p>
      <w:pPr>
        <w:spacing w:after="0" w:line="99"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are also currently finalizing a contract for the construction of the golf course, and expect that the newly constructed golf course will be available for play when Le Rêve opens.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expect to lease eight of the retail shops at Le Rêve to third parties and intend to provide some of our retail tenants an allowance for improvements as part of the lease arrangements. We will own and operate the remaining retail shops at Le Rêve and will be responsible for constructing any improvements. These construction costs and allowances are included in our design and construction budget for Le Rêve. Design and/or construction costs in excess of an allowance are intended to be the responsibility of the particular retail tenant. Nevertheless, if we are unable to successfully negotiate leases consistent with our design and construction budget, we may have to fund or construct, at our cost, additional improvements in connection with the leases relating to the space.</w:t>
      </w:r>
    </w:p>
    <w:p>
      <w:pPr>
        <w:spacing w:after="0" w:line="10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intend to operate most of the restaurants at Le Rêve. We plan to construct the improvements for all of the restaurants, whether managed by us or by third parties, and the costs of those improvements are included in our design and construction budget.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28" w:right="299" w:bottom="1440" w:gutter="0" w:footer="0" w:header="0"/>
        </w:sectPr>
      </w:pPr>
    </w:p>
    <w:bookmarkStart w:id="12" w:name="page13"/>
    <w:bookmarkEnd w:id="12"/>
    <w:p>
      <w:pPr>
        <w:ind w:right="340" w:firstLine="456"/>
        <w:spacing w:after="0" w:line="32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believe that the overall design and construction budget of $1.4 billion is reasonable. In addition to the guaranteed maximum price provisions of the construction contract, we have implemented specific mechanisms that are intended to reduce the risk of construction cost overruns and delays, including:</w:t>
      </w:r>
    </w:p>
    <w:p>
      <w:pPr>
        <w:spacing w:after="0" w:line="1" w:lineRule="exact"/>
        <w:rPr>
          <w:sz w:val="20"/>
          <w:szCs w:val="20"/>
          <w:color w:val="auto"/>
        </w:rPr>
      </w:pPr>
    </w:p>
    <w:p>
      <w:pPr>
        <w:ind w:left="880" w:hanging="426"/>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$150 million contractor performance and payment bond securing Marnell Corrao’s obligations under the construction contract;</w:t>
      </w:r>
    </w:p>
    <w:p>
      <w:pPr>
        <w:spacing w:after="0" w:line="103" w:lineRule="exact"/>
        <w:rPr>
          <w:rFonts w:ascii="Arial" w:cs="Arial" w:eastAsia="Arial" w:hAnsi="Arial"/>
          <w:sz w:val="18"/>
          <w:szCs w:val="18"/>
          <w:color w:val="auto"/>
        </w:rPr>
      </w:pPr>
    </w:p>
    <w:p>
      <w:pPr>
        <w:ind w:left="880" w:right="400" w:hanging="426"/>
        <w:spacing w:after="0" w:line="268"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of Marnell Corrao’s full performance under the construction contract until final payment under that contract;</w:t>
      </w:r>
    </w:p>
    <w:p>
      <w:pPr>
        <w:spacing w:after="0" w:line="37" w:lineRule="exact"/>
        <w:rPr>
          <w:rFonts w:ascii="Arial" w:cs="Arial" w:eastAsia="Arial" w:hAnsi="Arial"/>
          <w:sz w:val="18"/>
          <w:szCs w:val="18"/>
          <w:color w:val="auto"/>
        </w:rPr>
      </w:pPr>
    </w:p>
    <w:p>
      <w:pPr>
        <w:ind w:left="880" w:right="260" w:hanging="426"/>
        <w:spacing w:after="0" w:line="255"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$50 million completion guarantee in favor of the lenders under Wynn Las Vegas’ Credit Facilities and the holders of Wynn Las Vegas and Wynn Las Vegas Capital Corp.’s (“Wynn Capital”) Notes by a special purpose subsidiary of Wynn Las Vegas, which completion guarantee is secured by $50 million of the net proceeds of our initial public offering contributed to the special purpose subsidiary, deposited in a collateral account and pledged to the lenders under the Credit Facilities and the holders of the Notes, to be applied to the costs of the project in accordance with the disbursement agreement;</w:t>
      </w:r>
    </w:p>
    <w:p>
      <w:pPr>
        <w:spacing w:after="0" w:line="48" w:lineRule="exact"/>
        <w:rPr>
          <w:rFonts w:ascii="Arial" w:cs="Arial" w:eastAsia="Arial" w:hAnsi="Arial"/>
          <w:sz w:val="18"/>
          <w:szCs w:val="18"/>
          <w:color w:val="auto"/>
        </w:rPr>
      </w:pPr>
    </w:p>
    <w:p>
      <w:pPr>
        <w:jc w:val="both"/>
        <w:ind w:left="880" w:right="240" w:hanging="426"/>
        <w:spacing w:after="0" w:line="259"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$30 million liquidity reserve account held by Wynn Las Vegas which was funded by $30 million of the net proceeds of our initial public offering pledged to the lenders under the Credit Facilities and holders of the Notes to secure Wynn Las Vegas’ obligation to develop and construct Le Rêve and to be applied to the costs of the project in accordance with the disbursement agreement;</w:t>
      </w:r>
    </w:p>
    <w:p>
      <w:pPr>
        <w:spacing w:after="0" w:line="45" w:lineRule="exact"/>
        <w:rPr>
          <w:rFonts w:ascii="Arial" w:cs="Arial" w:eastAsia="Arial" w:hAnsi="Arial"/>
          <w:sz w:val="18"/>
          <w:szCs w:val="18"/>
          <w:color w:val="auto"/>
        </w:rPr>
      </w:pPr>
    </w:p>
    <w:p>
      <w:pPr>
        <w:ind w:left="880" w:right="220" w:hanging="426"/>
        <w:spacing w:after="0" w:line="256"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$34.3 million owner’s contingency that we may use, subject to the limitations set forth in the disbursement agreement, to cover owner-created delays and owner-originated changes in the scope of the work and other cost overruns; a liquidated damages provision requiring Marnell Corrao to pay us $300,000 for each day the completion of construction is delayed, following a five-day grace period and subject to force majeure and other permitted extensions, up to a maximum amount of $9 million; and</w:t>
      </w:r>
    </w:p>
    <w:p>
      <w:pPr>
        <w:spacing w:after="0" w:line="48" w:lineRule="exact"/>
        <w:rPr>
          <w:rFonts w:ascii="Arial" w:cs="Arial" w:eastAsia="Arial" w:hAnsi="Arial"/>
          <w:sz w:val="18"/>
          <w:szCs w:val="18"/>
          <w:color w:val="auto"/>
        </w:rPr>
      </w:pPr>
    </w:p>
    <w:p>
      <w:pPr>
        <w:ind w:left="880" w:right="60" w:hanging="426"/>
        <w:spacing w:after="0" w:line="259"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anticipated remaining availability of approximately $20.6 million under Wynn Las Vegas’ Revolver that may be used to pay interest under the Credit Facilities and the Notes as well as other financing fees if completion is delayed, and another $3.0 million under the Revolver for general corporate purposes.</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further ensure that there are sufficient funds to construct Le Rêve as planned and that such funds are disbursed appropriately, we, the indenture trustee for the Notes, and the agents of the lenders under the Credit Facilities have entered into a Master Disbursement Agreement (the “Disbursement Agreement”) to (i) regulate the holding and investment of the proceeds of the Credit Facilities and the Notes as well as certain of the capital contributions made by Wynn Resorts to Wynn Las Vegas and its subsidiaries (collectively, the “financing proceeds”), and (ii) establish the restrictive conditions for, and sequencing of, funding construction costs and procedures for approving, and limitations and restrictions on, change orders and amendments to the construction schedule and budget. The Disbursement Agreement restricts the Company’s investment of the financing proceeds to relatively short-term government-backed debt securities and restricts the use of the proceeds of the Notes and the Credit Facilities to only project costs related to Le Rêve and, subject to certain limitations, corporate overhead and related costs. The Disbursement Agreement also prohibits use of the proceeds from the debt financings until proceeds from the initial public offering that were included in the financing proceeds have been largely exhausted. Project costs will generally be funded first from the proceeds of our initial public offering that were included in the financing proceeds, next from the proceeds of the Notes and last from borrowings under the Credit Facilities. In addition, before we are permitted to receive funds from escrowed disbursement accounts in which our funding proceeds are deposited, the Disbursement Agreement requires us to deliver an officer-certified disbursement request, with amounts and documentation corroborated by a third-party construction consultant appointed by the disbursement agent.</w:t>
      </w:r>
    </w:p>
    <w:p>
      <w:pPr>
        <w:spacing w:after="0" w:line="107"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Under the Disbursement Agreement, all contracts and agreements incurring obligations in excess of $5,000,000 are considered to be Material Project Documents, as defined in the Disbursement Agreement. Information supporting the amounts, nature and purpose of Material Project Documents must be corroborated by the third-party construction consultant and then pre-approved by the disbursement agent prior to execution.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28"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Material Project Documents change orders, regardless of the amount, must be reviewed and approved in the same manner.</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Disbursement Agreement also indicates that any change in the plans and specifications or any other change to the design, layout, architecture or quality of Le Rêve from the design, layout, architecture and quality contemplated upon the execution of the Disbursement Agreement is a Scope Change in accordance with the Disbursement Agreement. Information supporting the amount, nature and purpose of any Scope Change in excess of $250,000 must be corroborated and pre-approved in the same manner as a Material Project Document. Although Scope Changes that are less than $250,000 are considered de minimus and are not required to be pre-approved in the same manner, such de minimus Scope Changes are reviewed by the disbursement agent and monitored to ensure that they do not exceed an aggregate maximum of $10,000,000 over the life of the project.</w:t>
      </w:r>
    </w:p>
    <w:p>
      <w:pPr>
        <w:spacing w:after="0" w:line="107"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Despite these protections, design and construction costs may be significantly higher than expected. Furthermore, if we do not complete construction of Le Rêve by the scheduled completion date (which may be extended in accordance with the Disbursement Agreement to as late as September 30, 2005) except for certain limited permitted extensions due to force majeure events, Wynn Las Vegas will be in default under the Credit Facilities and the Notes and the holders of the indebtedness will have the right to accelerate the indebtedness and exercise other rights and remedies against Wynn Las Vegas and certain of our subsidiaries.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 Rêve Water Show Entertainment Production</w:t>
      </w:r>
    </w:p>
    <w:p>
      <w:pPr>
        <w:spacing w:after="0" w:line="8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Wynn Las Vegas has entered into (i) a license agreement with Calitri Services and Licensing Limited Liability Company (“Calitri”) under which Calitri will create, develop and produce the show to be presented in the Le Rêve showroom, and (ii) a production services agreement with Productions du Dragon, S.A. whereby, Productions du Dragon employs Franco Dragone as the executive producer and principal creator of the show. The concept of the show, which involves a water-based production in Le Rêve’s showroom, has already been approved by Mr. Wynn and is under development and pre-production.</w:t>
      </w:r>
    </w:p>
    <w:p>
      <w:pPr>
        <w:spacing w:after="0" w:line="9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Wynn Las Vegas has paid Calitri a $2 million up-front creation fee. In addition to the creation fee, Calitri will receive 10% of the net ticket revenue and 30% of the show’s net profits. The show’s net profits will include net ticket revenue and revenue from food and beverages sold in or immediately adjacent to the showroom, less (i) the 10% of the net ticket revenue fee paid to Calitri, (ii) amortization of construction costs, and (iii) other operating expenses. Productions du Dragon will receive an additional 20% of the show’s net profits. Under the license agreement, Wynn Las Vegas will have the sole and exclusive right to license and/or manufacture and sell products and souvenirs related to the show. In return for this right, Calitri will receive 10% of the retail selling price, less certain costs, of all retail sales of these products, and 50% of the before tax profits, less certain costs, generated by all non-retail sales of these products. However, if the production fails to satisfy certain revenue requirements, Wynn Las Vegas will be able to terminate both of the agreements prior to the end of the term. The term of both agreements is ten years after the opening date of the show, which will coincide with the opening of Le Rêve. Wynn Las Vegas also has an option to renew both of the agreements for an additional five-year term. The production services agreement terminates upon termination of the license agreement unless the option for the second production or other project described below is exercised and a separate production services agreement for that second production or other show has not been executed.</w:t>
      </w:r>
    </w:p>
    <w:p>
      <w:pPr>
        <w:spacing w:after="0" w:line="11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Wynn Las Vegas also has an option with respect to a second production for Le Rêve or for another project. Wynn Las Vegas or one of our other subsidiaries will be required to pay $1 million if we exercise the option. If the option is exercised, the optionee will be obligated to use Productions du Dragon for production services.</w:t>
      </w:r>
    </w:p>
    <w:p>
      <w:pPr>
        <w:spacing w:after="0" w:line="127"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We have also granted Calitri an award of 189,723 shares of restricted stock as part of the compensation for its development of the production. The restricted stock will vest on June 30, 2006. However, the restricted stock will not vest, but instead will be immediately cancelled and retired, if, as of June 30, 2006: (1) the entertainment production at Le Rêve has not commenced or has been cancelled due to any act or omission of Calitri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4" w:name="page15"/>
    <w:bookmarkEnd w:id="14"/>
    <w:p>
      <w:pPr>
        <w:jc w:val="both"/>
        <w:ind w:right="200" w:firstLine="8"/>
        <w:spacing w:after="0" w:line="256"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Calitri has not successfully opened another production show for us in another venue or, if opened, the other show has been cancelled due to any act or omission of Calitri. This compensation, estimated based on the fair value of the stock grant at December 31, 2002, of approximately $2.5 million will be amortized over the period through the date of vesting and adjusted for changes in the market price of the stock until vested. This compensation is capitalized as part of the cost of constructing the entertainment production.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w:t>
      </w:r>
    </w:p>
    <w:p>
      <w:pPr>
        <w:spacing w:after="0" w:line="7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Las Vegas is one of the fastest growing leisure, lodging and entertainment markets in the country, has one of the strongest and most resilient hotel markets in the country and, according to the American Gaming Association, has the highest casino gaming revenue in the United States. Major properties on the Las Vegas Strip have opened over the past ten years including Bellagio, Mandalay Bay Resort &amp; Casino, New York-New York Hotel and Casino, Paris Las Vegas, Aladdin Resort &amp; Casino and The Venetian. In addition, a number of existing properties on the Las Vegas Strip embarked on expansions during this period including MGM Grand Hotel and Casino, Luxor Hotel and Casino, Circus Circus Hotel, Casino and Theme Park, Mandalay Bay Resort &amp; Casino and Caesars Palace. As a result, the casino/hotel industry in Las Vegas is highly competitive. Le Rêve, which will be located on the Las Vegas Strip, will compete with these and other high-quality resorts and hotel casinos on the Las Vegas Strip and those in downtown Las Vegas, as well as a large number of hotels and motels in and near Las Vegas.</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June 2003, The Venetian expects to complete a 1,000-room hotel tower on top of the resort’s existing parking garage. Also, Mandalay Bay Resort &amp; Casino has announced that it expects to complete construction of and open a 1,122-room, all-suite tower connected to the current hotel casino resort in October 2003. MGM Mirage has announced that it will begin construction in mid-2003 of an approximately 925-room “spa tower” addition to Bellagio, as well as expand Bellagio’s spa and salon, meeting space and retail space, with an expected completion in December 2004. Other than the expansions of The Venetian, Mandalay Bay Resort &amp; Casino and Bellagio, we are not aware of any significant additions of hotel rooms to major hotel casino resort properties in Las Vegas or any developments of new major hotel casino resort properties in Las Vegas in the near future.</w:t>
      </w:r>
    </w:p>
    <w:p>
      <w:pPr>
        <w:spacing w:after="0" w:line="10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Many competing properties, such as Bellagio, Caesars Palace, Luxor Hotel and Casino, Mandalay Bay Resort &amp; Casino, the MGM Grand Hotel and Casino, The Mirage, Monte Carlo Hotel and Casino, New York-New York Hotel and Casino, Paris Las Vegas, Rio All-Suite Hotel &amp; Casino, Treasure Island at The Mirage and The Venetian, have themes and attractions which draw a significant number of visitors and will directly compete with our operations. Some of these facilities are operated by companies that have more than one operating facility and may have greater name recognition and financial and marketing resources than we will and target the same demographic group as we will. We will seek to differentiate Le Rêve from other major Las Vegas resorts by concentrating on our fundamental elements of design, atmosphere, personal service and level of luxury.</w:t>
      </w:r>
    </w:p>
    <w:p>
      <w:pPr>
        <w:spacing w:after="0" w:line="10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Las Vegas casinos also compete, to some extent, with other hotel/casino facilities in Nevada and in Atlantic City, riverboat gaming facilities in other states, hotel/casino facilities elsewhere in the world, state lotteries, Internet gaming and other forms of gaming. In addition, certain states recently have legalized, and others may or are likely to legalize, casino gaming in specific areas. Passage of the Tribal Government Gaming and Economic Self-Sufficiency Act in 1988 has led to rapid increases in Native American gaming 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As a result, casino-style gaming on tribal lands is growing and could become a significant competitive force. The proliferation of Native American gaming in California could have a negative impact on our operations. The proliferation of gaming activities in other areas could significantly harm our business as well. In particular, the legalization of casino gaming in or near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15" w:name="page16"/>
    <w:bookmarkEnd w:id="15"/>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metropolitan areas, such as New York, Los Angeles, San Francisco and Boston, from which we intend to attract customers, could have a substantial negative effect on our business. In addition, new or renovated casinos in Macau or elsewhere in Asia could draw Asian gaming customers, including high-rollers, away from Las Vegas.</w:t>
      </w:r>
    </w:p>
    <w:p>
      <w:pPr>
        <w:spacing w:after="0" w:line="12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casino will also compete, to some extent, with other forms of gaming on both a local and national level, including state-sponsored lotteries, on- and off-track wagering and card parlors. The expansion of legalized gaming to new jurisdictions throughout the United States will also increase competition we face and will continue to do so in the future. We will face additional competition if gaming is legalized in jurisdictions near our property or our target markets where it currently is not permitted.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w:t>
      </w:r>
    </w:p>
    <w:p>
      <w:pPr>
        <w:spacing w:after="0" w:line="8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Macau, which was a Portuguese colony for approximately 450 years, was transferred in December 1999 from Portugal to Chinese administration. Macau is located approximately 37 miles southwest of Hong Kong and has been a gaming destination for more than 40 years. According to the Macau Statistics and Census Service Monthly Bulletin of Statistics, more than 10 million people visited Macau in 2001 and casinos in Macau generated approximately US $2.3 billion in gaming revenue. Macau casinos are primarily table game-oriented and include many private VIP rooms, but contain relatively few slot machines.</w:t>
      </w:r>
    </w:p>
    <w:p>
      <w:pPr>
        <w:spacing w:after="0" w:line="9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Macau’s gaming market is primarily dependent on tourists. According to Macau Statistics and Census Service Monthly Bulletin of Statistics, from 1999 through 2001 less than one-third of visitors traveling to Macau stayed overnight in hotels and guestrooms and, for those who stayed overnight in hotels and guestrooms, the average length of stay was only one to two nights. Gaming customers traveling to Macau typically come from nearby destinations in Asia such as Hong Kong, mainland China, Taiwan, South Korea and Japan. According to the Macau Statistics and Census Service Monthly Bulletin of Statistics, 90% of the tourists who visited Macau in 2001 came from Hong Kong, mainland China or Taiwan, with over 50% coming from Hong Kong.</w:t>
      </w:r>
    </w:p>
    <w:p>
      <w:pPr>
        <w:spacing w:after="0" w:line="10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Macau completed construction of an international airport in 1995 that provides direct air service to many major cities in Asia such as Manila, Singapore, Taipei, Bangkok, Beijing and Shanghai. The Macau International Airport can accommodate large commercial aircraft and directly serves at least 20 cities, including at least 12 in China, with links to numerous other major Asian destinations.</w:t>
      </w:r>
    </w:p>
    <w:p>
      <w:pPr>
        <w:spacing w:after="0" w:line="12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Macau government is encouraging significant foreign and domestic investment in new and expanded casino and entertainment facilities in Macau that are intended to promote Macau as a casino resort destination and enhance tourism and lengthen stays. Examples of recent investment activity in Macau include the reported development of an entertainment complex that will include gaming amenities in the Fisherman’s Wharf area of Macau planned by Sociedade de Jogos de Macau (“SJM”), and the Casino Pharaoh’s Palace recently opened in the Landmark Building by SJM; the casino resort on Taipa reportedly planned by Galaxy Casino, Ltd., an affiliate of Venetian Resorts; the proposed casino reportedly to be constructed by Venetian Resorts in Macau adjacent to the Mandarin Oriental Hotel; and Wynn Macau’s proposed casino resort. In addition, the development of Hong Kong Disneyland scheduled to open in 2005 on Lantau Island near Macau is expected to increase the number of visitors to Macau.</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economy of Macau relies heavily on the economy of Hong Kong because the majority of the visitors who travel to Macau are from Hong Kong. As a result, economic slowdowns in Hong Kong affect the number of visitors who travel to Macau and the profitability of Macau businesses that rely on tourism. The Macau pataca and the Hong Kong dollar are linked to each other and, in many cases, are used interchangeably in Macau. See “Quantitative and Qualitative Disclosures about Market Risk—Foreign Currency Risk.” However, currency exchange controls and restrictions on the export of currency by certain countries may negatively impact the success of Wynn Macau. For example, there are currently existing currency exchange controls and restrictions on the export of the renminbi, the currency of China. Restrictions on the export of the renminbi may impede the flow of gaming customers from China to Macau, inhibit the growth of gaming in Macau and negatively impact Wynn Macau’s gaming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6" w:name="page17"/>
    <w:bookmarkEnd w:id="16"/>
    <w:p>
      <w:pPr>
        <w:ind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past, gaming in Macau was administered as a government-sanctioned monopoly concession awarded to a single concessionaire. However, under the authority of the Chief Executive and the Casino Tender Commission of Macau, the government of Macau recently liberalized the gaming industry by granting concessions to operate casinos to three concessionaires. SJM, has been granted one of the concessions. SJM is controlled by Stanley Ho, who through another entity has controlled the monopoly concession to conduct gaming operations in Macau for more than 40 years. Galaxy Casino Company Limited, referred to as Galaxy, also has been awarded a concession to operate casinos in Macau. Galaxy is a joint venture between an affiliate of the operators of The Venetian in Las Vegas and a group of Hong Kong investors headed by Lui Chi-woo. Reportedly, Venetian Resorts has also entered into a subconcession agreement with Galaxy to independently develop and operate casinos in Macau. Wynn Macau was awarded the third concession. Wynn Macau’s gaming business will compete with businesses to be operated by the two other casino concessionaires and one sub-concessionaire in Macau. In addition, the concession agreement into which Wynn Macau has entered with the Macau government permits the government to grant additional concessions for the operation of casinos after April 1, 2009. If the government of Macau awards additional concessions, Wynn Macau will face increased competition from local casino operators in Macau.</w:t>
      </w:r>
    </w:p>
    <w:p>
      <w:pPr>
        <w:spacing w:after="0" w:line="109"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SJM has the benefit of being the established gaming enterprise already in existence at twelve locations in Macau. Most of these twelve casinos are relatively small facilities which are offered as amenities in hotels, however a few are substantial operations enjoying recognition by gaming customers. Three of the largest hotels with casinos in Macau are the Hotel Lisboa, Mandarin Oriental and the Hyatt Regency. Seven of the twelve casinos in Macau are located in hotels. In addition, an affiliate of Mr. Ho owns substantially all of the water ferry services and the helicopter shuttle service that link Macau to Hong Kong and Kowloon.</w:t>
      </w:r>
    </w:p>
    <w:p>
      <w:pPr>
        <w:spacing w:after="0" w:line="129"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Wynn Macau will face increased competition if SJM, Galaxy or Venetian Resorts constructs new, or renovates existing, casinos in Macau. As previously noted, SJM recently opened Pharaoh’s Palace in the Landmark Building and is reported to be planning a major remodeling of the Hotel Lisboa and a new Fisherman’s Wharf entertainment complex, which will include gaming amenities, in the area of the Macau ferry terminal. SJM is obligated to invest at least approximately 4.7 billion patacas (approximately US $605.8 million) by December 2004 under its concession agreement with the government of Macau. Additionally, according to news reports, Galaxy intends to build a major casino resort on Taipa, the island where Macau’s international airport is located, and possibly other casinos. Together, Galaxy and its subconcessionaire are obligated to invest at least 8.8 billion patacas (approximately US $1.1 billion) by June 2012 under Galaxy’s concession agreement with the government of Macau.</w:t>
      </w:r>
    </w:p>
    <w:p>
      <w:pPr>
        <w:spacing w:after="0" w:line="10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Wynn Macau will also face competition from casinos located in other areas of Asia, such as Genting Highlands Resort, a major gaming and resort destination located outside of Kuala Lumpur, Malaysia and casinos in South Korea and the Philippines, as well as pachinko and pachislot parlors in Japan. Wynn Macau also will encounter competition from other major gaming centers located around the world, such as Australia and Las Vegas, cruise ships in Asia that offer gaming, and illegal casinos throughout Asia. Further, if current efforts to legalize gaming in Thailand or Penghu, Taiwan are successful or if the reported large-scale new casino entertainment complex proposed in Manila, Philippines is developed, Wynn Macau will face additional regional competition.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Licensing</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gaming industry is highly regulated. Gaming registrations, licenses and approvals, once obtained, can be suspended or revoked for a variety of reasons. We cannot assure you that we will obtain all required registrations, licenses and approvals on a timely basis or at all, or that, once obtained, the registrations, findings of suitability, licenses and approvals will not be suspended, conditioned, limited or revoked. If we ever are prohibited from operating one of our gaming facilities, we would, to the extent permitted by law, seek to recover our investment by selling the property affected, but we cannot assure you that we would recover its full value.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28"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Nevada</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Introduction</w:t>
      </w:r>
      <w:r>
        <w:rPr>
          <w:rFonts w:ascii="Arial" w:cs="Arial" w:eastAsia="Arial" w:hAnsi="Arial"/>
          <w:sz w:val="18"/>
          <w:szCs w:val="18"/>
          <w:color w:val="auto"/>
        </w:rPr>
        <w:t>. The ownership and operation of casino gaming facilities in the State of Nevada are subject to the Nevada Gaming Control Act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made under the Act, as well as to various local ordinances. Once the resort is open, Le Rêve’s operations will be subject to the licensing and regulatory control of the Nevada Gaming Commission, the Nevada State Gaming Control Board and the Clark County Liquor and Gaming License Board, which we refer to herein collectively as the Nevada Gaming Authorities.</w:t>
      </w:r>
    </w:p>
    <w:p>
      <w:pPr>
        <w:spacing w:after="0" w:line="13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 xml:space="preserve">Policy Concerns of Gaming Laws. </w:t>
      </w:r>
      <w:r>
        <w:rPr>
          <w:rFonts w:ascii="Arial" w:cs="Arial" w:eastAsia="Arial" w:hAnsi="Arial"/>
          <w:sz w:val="18"/>
          <w:szCs w:val="18"/>
          <w:color w:val="auto"/>
        </w:rPr>
        <w:t>The laws, regulations and supervisory procedures of the Nevada Gaming Authorities are based upon declarations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public policy. These public policy concerns include, among other things:</w:t>
      </w:r>
    </w:p>
    <w:p>
      <w:pPr>
        <w:spacing w:after="0" w:line="37" w:lineRule="exact"/>
        <w:rPr>
          <w:sz w:val="20"/>
          <w:szCs w:val="20"/>
          <w:color w:val="auto"/>
        </w:rPr>
      </w:pPr>
    </w:p>
    <w:p>
      <w:pPr>
        <w:ind w:left="880" w:hanging="426"/>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103" w:lineRule="exact"/>
        <w:rPr>
          <w:rFonts w:ascii="Arial" w:cs="Arial" w:eastAsia="Arial" w:hAnsi="Arial"/>
          <w:sz w:val="18"/>
          <w:szCs w:val="18"/>
          <w:color w:val="auto"/>
        </w:rPr>
      </w:pPr>
    </w:p>
    <w:p>
      <w:pPr>
        <w:ind w:left="880" w:right="120" w:hanging="426"/>
        <w:spacing w:after="0" w:line="325" w:lineRule="auto"/>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1" w:lineRule="exact"/>
        <w:rPr>
          <w:rFonts w:ascii="Arial" w:cs="Arial" w:eastAsia="Arial" w:hAnsi="Arial"/>
          <w:sz w:val="16"/>
          <w:szCs w:val="16"/>
          <w:color w:val="auto"/>
        </w:rPr>
      </w:pPr>
    </w:p>
    <w:p>
      <w:pPr>
        <w:ind w:left="880" w:hanging="426"/>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18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Changes in these laws, regulations and procedures could have significant negative effects on Le Rêve’s proposed gaming operations and our financial condition and results of operations.</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Owner and Operator Licensing Requirements. </w:t>
      </w:r>
      <w:r>
        <w:rPr>
          <w:rFonts w:ascii="Arial" w:cs="Arial" w:eastAsia="Arial" w:hAnsi="Arial"/>
          <w:sz w:val="16"/>
          <w:szCs w:val="16"/>
          <w:color w:val="auto"/>
        </w:rPr>
        <w:t>Before Le Rêve opens, Wynn Las Vegas, as the owner and operator of Le Rêve, will be required to seek</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from, and be licensed by, the Nevada Gaming Authorities as a limited liability company licensee, referred to as a company licensee. If Wynn Las Vegas is granted gaming licenses, it will have to pay periodic fees and taxes. The gaming licenses will not be transferable. We cannot assure you that Wynn Las Vegas will be able to obtain all approvals and licenses from the Nevada Gaming Authorities on a timely basis or at all.</w:t>
      </w:r>
    </w:p>
    <w:p>
      <w:pPr>
        <w:spacing w:after="0" w:line="9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Company Registration Requirements. </w:t>
      </w:r>
      <w:r>
        <w:rPr>
          <w:rFonts w:ascii="Arial" w:cs="Arial" w:eastAsia="Arial" w:hAnsi="Arial"/>
          <w:sz w:val="16"/>
          <w:szCs w:val="16"/>
          <w:color w:val="auto"/>
        </w:rPr>
        <w:t>Before Le Rêve opens, Wynn Resorts will be required to apply to, and be found suitable by, the Nevada Gaming</w:t>
      </w:r>
      <w:r>
        <w:rPr>
          <w:rFonts w:ascii="Arial" w:cs="Arial" w:eastAsia="Arial" w:hAnsi="Arial"/>
          <w:sz w:val="16"/>
          <w:szCs w:val="16"/>
          <w:i w:val="1"/>
          <w:iCs w:val="1"/>
          <w:color w:val="auto"/>
        </w:rPr>
        <w:t xml:space="preserve"> </w:t>
      </w:r>
      <w:r>
        <w:rPr>
          <w:rFonts w:ascii="Arial" w:cs="Arial" w:eastAsia="Arial" w:hAnsi="Arial"/>
          <w:sz w:val="16"/>
          <w:szCs w:val="16"/>
          <w:color w:val="auto"/>
        </w:rPr>
        <w:t>Commission to own the equity interests of Valvino and to be registered by the Nevada Gaming Commission as a publicly traded corporation, referred to as a registered company, for the purposes of the Nevada Gaming Control Act. Valvino will be required to apply to, and be found suitable by, the Nevada Gaming Commission to own the equity interests of Wynn Resorts Holdings and to be registered by the Nevada Gaming Commission as an intermediary company. Wynn Resorts Holdings will also be required to apply to, and be found suitable by, the Nevada Gaming Commission to own the equity interests of Wynn Las Vegas and to be registered by the Nevada Gaming Commission as an intermediary company. Wynn Las Vegas, as an issuer of the Notes, will also qualify as a registered company and, in addition to being licensed, will be required to be registered by the Nevada Gaming Commission as a registered company. Wynn Capital will not be required to be registered or licensed, but may be required to be found suitable as a lender or financing source. We cannot assure you that the registrations, licenses and findings of suitability from the Nevada Gaming Authorities will be obtained on a timely basis or at all.</w:t>
      </w:r>
    </w:p>
    <w:p>
      <w:pPr>
        <w:spacing w:after="0" w:line="10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Periodically, we will be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or approved by, the Nevada Gaming Commission.</w:t>
      </w:r>
    </w:p>
    <w:p>
      <w:pPr>
        <w:spacing w:after="0" w:line="12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 xml:space="preserve">Individual Licensing Requirements. </w:t>
      </w:r>
      <w:r>
        <w:rPr>
          <w:rFonts w:ascii="Arial" w:cs="Arial" w:eastAsia="Arial" w:hAnsi="Arial"/>
          <w:sz w:val="18"/>
          <w:szCs w:val="18"/>
          <w:color w:val="auto"/>
        </w:rPr>
        <w:t>No person may become a stockholder or member of, or receive any percentage of the profits of, an intermediary</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company licensee without first obtaining licenses and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22" w:right="319" w:bottom="1440" w:gutter="0" w:footer="0" w:header="0"/>
        </w:sectPr>
      </w:pPr>
    </w:p>
    <w:bookmarkStart w:id="18" w:name="page19"/>
    <w:bookmarkEnd w:id="18"/>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We and our officers, directors and certain key employees will be required to file applications with the Nevada Gaming Authorities and may be required to be licensed or found suitable by the Nevada Gaming Authorities. The Nevada Gaming Authorities may deny an application for licensing for any cause which they deem reasonable.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0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3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 xml:space="preserve">Redemption of Securities Owned By an Unsuitable Person. </w:t>
      </w:r>
      <w:r>
        <w:rPr>
          <w:rFonts w:ascii="Arial" w:cs="Arial" w:eastAsia="Arial" w:hAnsi="Arial"/>
          <w:sz w:val="16"/>
          <w:szCs w:val="16"/>
          <w:color w:val="auto"/>
        </w:rPr>
        <w:t>Wynn Resorts’ articles of incorporation provide that, to the extent a gaming authority makes a</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determination of unsuitability or to the extent deemed necessary or advisable by the board of directors, Wynn Resorts may redeem shares of its capital stock that are owned or controlled by an unsuitable person or its affiliates. The redemption price will be the amount, if any, required by the gaming authority or, if the gaming authority does not determine the price, the sum deemed by the board of directors to be the fair value of the securities to be redeemed. If Wynn Resorts determines the redemption price, the redemption price will be capped at the closing price of the shares on the principal national securities exchange on which the shares are listed on the trading date before the redemption notice is given. If the shares are not listed on a national securities exchange, the redemption price will be capped at the closing sale price of the shares as quoted on The Nasdaq National Market or SmallCap Market, or if the closing price is not reported, the mean between the bid and asked prices, as quoted by any other generally recognized reporting system. Wynn Resorts’ right of redemption is not exclusive of any other rights that it may have or later acquire under any agreement, its bylaws or otherwise. Pursuant to the applicable restricted stock agreement, the redemption price for shares of unvested restricted stock will be a nominal amount. The redemption price may be paid in cash, by promissory note, or both, as required, and pursuant to the terms established by, the applicable gaming authority and, if not, as Wynn Resorts elects.</w:t>
      </w:r>
    </w:p>
    <w:p>
      <w:pPr>
        <w:spacing w:after="0" w:line="11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Aruze USA, which owns approximately 31% of Wynn Resorts’ common stock, will be required to apply to, and be licensed or found suitable by, the Nevada Gaming Commission and be registered as a holding company of Wynn Resorts prior to the opening of Le Rêve. Kazuo Okada is the owner of a controlling interest in Aruze Corp., the parent company of Aruze USA, and will also be required to be licensed or found suitable in respect of Wynn Resorts. Aruze Corp. will qualify as a publicly traded corporation under the terms of the Nevada Gaming Control Act and will be required to apply to, and be registered by, the Nevada Gaming Commission as a registered company and to be found suitable to own the stock of Aruze USA. Any beneficial owner of more than 10% of Aruze Corp.’s voting securities must also be licensed or found suitable, including Kazuo Okada and his son, Tomohiro Okada. Kazuo Okada is currently licensed by the Nevada Gaming Commission to own the shares of Universal Distributing of Nevada, Inc., a gaming machine manufacturer and distributor. Kazuo Okada and Tomohiro Okada previously sought approval from the Nevada Gaming Commission in connection with the proposed transfer of Universal Distributing to Aruze Corp. In connection with this application, the Nevada State Gaming Control Board raised certain concerns, including transactions which were then the subject of a pending tax case in Japan which involved Universal Distributing, Aruze Corp. and other related parties. The lower court in the Japanese tax case ruled in Aruze Corp.’s favor, which ruling was upheld on appeal. However, it is unclear whether or how these events will affect the Nevada Gaming Commission’s consideration of suitability with respect to Aruze USA’s ownership of Wynn Resorts’ stock.</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19" w:name="page20"/>
    <w:bookmarkEnd w:id="19"/>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Aruze Corp. has informed us that there are a number of other outstanding issues in the Nevada State Gaming Control Board’s investigation of the proposed transfer of Universal Distributing. These issues could result in the denial of the application. In addition, on January 22, 2003, the Missouri Gaming Commission denied the renewal of a supplier’s gaming license to Sigma Game, Inc., a slot machine manufacturer with which Kazuo Okada has financial ties and with respect to which Kazuo Okada is considered by that commission to be a “key person”, on the basis that Kazuo Okada and Aruze Corp. failed to complete key person application forms for licensing in the state of Missouri as requested. We have been further informed that the Missouri gaming applications were not filed by Kazuo Okada and Aruze Corp. on advice of their legal counsel. Subsequently, Sigma Game, Inc. obtained a Missouri state court preliminary injunction reinstating its supplier’s gaming license. No formal action of any kind has been taken by the Nevada State Gaming Control Board or the Nevada Gaming Commission in connection with any of these issues. The Nevada State Gaming Control Board and Aruze Corp. have agreed to defer the pursuit of the proposed transfer of Universal Distributing until or after the applications regarding Le Rêve have been acted upon, although it was recently reported that the Chairman of the Nevada Gaming Control Board suggested that the resolution of the Japanese tax case might trigger an earlier resumption of the pending Universal Distributing licensing proceeding. If the Nevada State Gaming Control Board or the Nevada Gaming Commission were to act adversely with respect to the pending proceeding involving Universal Distributing, that decision could adversely affect an application filed by Aruze USA, Aruze Corp., Kazuo Okada or Tomohiro Okada in respect of Wynn Resorts.</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any gaming application of Aruze USA, Aruze Corp. or Kazuo Okada concerning Aruze USA’s ownership of Wynn Resorts’ stock is denied by Nevada gaming authorities or requested to be withdrawn or is not filed within 90 days after the filing of Wynn Resorts’ application, then, under certain circumstances, Wynn Resorts has the right to (i) require Mr. Wynn to purchase the shares owned by Aruze USA in Wynn Resorts or (ii) purchase the shares directly. In either circumstance, Wynn Resorts and Mr. Wynn have the option to purchase the shares with a promissory note unless the Nevada Gaming Commission determines that Aruze USA is unsuitable to hold a note as described in more detail below. If we are required to purchase the shares held by Aruze USA, we may have to seek equity financing for such a purchase or issue a promissory note and therefore incur an indebtedness obligation to Aruze USA, which we are permitted to do under our articles of incorporation. Any such debt obligation on our balance sheet may negatively affect the price of our common stock.</w:t>
      </w:r>
    </w:p>
    <w:p>
      <w:pPr>
        <w:spacing w:after="0" w:line="105"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Moreover, if the Nevada Gaming Commission were to determine that Aruze USA is unsuitable to hold a promissory note issued by Wynn Resorts or Mr. Wynn, the Nevada Gaming Commission could order Aruze USA or its affiliate to dispose of its voting securities within a prescribed period of time that may not be sufficient to dispose of the securities in an orderly manner, which could have a negative effect on the price of our common stock.</w:t>
      </w:r>
    </w:p>
    <w:p>
      <w:pPr>
        <w:spacing w:after="0" w:line="93"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If Aruze USA or its affiliate were unable to dispose of its voting securities within the prescribed period of time, or if Wynn Resorts failed to pursue all lawful efforts to require Aruze USA or its affiliate to relinquish its voting securities, including, if necessary, the immediate purchase of the voting securities for cash at fair market value, the Nevada Gaming Commission could determine that Wynn Resorts was unsuitable or could take disciplinary action against Wynn Resorts. Disciplinary action could result in the limitation, conditioning, suspension or revocation of any approvals or gaming licenses held by Wynn Resorts and/or the imposition of a significant monetary fine against Wynn Resorts. Any such disciplinary action could significantly impair our operations.</w:t>
      </w:r>
    </w:p>
    <w:p>
      <w:pPr>
        <w:spacing w:after="0" w:line="10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Consequences of Violating Gaming Laws. </w:t>
      </w:r>
      <w:r>
        <w:rPr>
          <w:rFonts w:ascii="Arial" w:cs="Arial" w:eastAsia="Arial" w:hAnsi="Arial"/>
          <w:sz w:val="16"/>
          <w:szCs w:val="16"/>
          <w:color w:val="auto"/>
        </w:rPr>
        <w:t>If the Nevada Gaming Commission decides that we have violated the Nevada Gaming Control Act or any of its</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Le Rêve and, under specified circumstances, earnings generated during the supervisor’s appointment (except for the reasonable rental value of the premises) could be forfeited to the State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28" w:right="239" w:bottom="1440" w:gutter="0" w:footer="0" w:header="0"/>
        </w:sectPr>
      </w:pPr>
    </w:p>
    <w:bookmarkStart w:id="20" w:name="page21"/>
    <w:bookmarkEnd w:id="20"/>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Nevada. Limitation, conditioning or suspension of any of our gaming licenses and the appointment of a supervisor could, and revocation of any gaming license would, have a significant negative effect on our gaming operations.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Requirements for Beneficial Securities Holders. </w:t>
      </w:r>
      <w:r>
        <w:rPr>
          <w:rFonts w:ascii="Arial" w:cs="Arial" w:eastAsia="Arial" w:hAnsi="Arial"/>
          <w:sz w:val="16"/>
          <w:szCs w:val="16"/>
          <w:color w:val="auto"/>
        </w:rPr>
        <w:t>Regardless of the number of shares held, any beneficial holder of Wynn Resorts’ voting securities, may</w:t>
      </w:r>
      <w:r>
        <w:rPr>
          <w:rFonts w:ascii="Arial" w:cs="Arial" w:eastAsia="Arial" w:hAnsi="Arial"/>
          <w:sz w:val="16"/>
          <w:szCs w:val="16"/>
          <w:i w:val="1"/>
          <w:iCs w:val="1"/>
          <w:color w:val="auto"/>
        </w:rPr>
        <w:t xml:space="preserve"> </w:t>
      </w:r>
      <w:r>
        <w:rPr>
          <w:rFonts w:ascii="Arial" w:cs="Arial" w:eastAsia="Arial" w:hAnsi="Arial"/>
          <w:sz w:val="16"/>
          <w:szCs w:val="16"/>
          <w:color w:val="auto"/>
        </w:rPr>
        <w:t>be required to file an application, be investigated and have that person’s suitability as a beneficial holder of voting securities determined if the Nevada Gaming Commission has reason to believe that the ownership would otherwise be inconsistent with the declared policies of the State of Nevada. If the beneficial holder of the 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Under certain circumstances, an “institutional investor,” as defined in the Nevada Gaming Control Act, which acquires more than 10%, but not more than 15%, of the registered company’s voting securities may apply to the Nevada Gaming Commission for a waiver of a finding of suitability if the institutional investor holds the voting securities for investment purposes only.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at directors of the registered company, a change in the corporate charter, bylaws, management, policies or operations of the registered company, or any of its gaming affiliates, or any other action which the Nevada Gaming Commission finds to be inconsistent with holding the registered company’s voting securities for investment purposes only. Activities which are not deemed to be inconsistent with holding voting securities for investment purposes only include:</w:t>
      </w:r>
    </w:p>
    <w:p>
      <w:pPr>
        <w:spacing w:after="0" w:line="33" w:lineRule="exact"/>
        <w:rPr>
          <w:sz w:val="20"/>
          <w:szCs w:val="20"/>
          <w:color w:val="auto"/>
        </w:rPr>
      </w:pPr>
    </w:p>
    <w:p>
      <w:pPr>
        <w:ind w:left="880" w:hanging="426"/>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103" w:lineRule="exact"/>
        <w:rPr>
          <w:rFonts w:ascii="Arial" w:cs="Arial" w:eastAsia="Arial" w:hAnsi="Arial"/>
          <w:sz w:val="18"/>
          <w:szCs w:val="18"/>
          <w:color w:val="auto"/>
        </w:rPr>
      </w:pPr>
    </w:p>
    <w:p>
      <w:pPr>
        <w:ind w:left="880" w:right="200" w:hanging="426"/>
        <w:spacing w:after="0" w:line="268"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37" w:lineRule="exact"/>
        <w:rPr>
          <w:rFonts w:ascii="Arial" w:cs="Arial" w:eastAsia="Arial" w:hAnsi="Arial"/>
          <w:sz w:val="18"/>
          <w:szCs w:val="18"/>
          <w:color w:val="auto"/>
        </w:rPr>
      </w:pPr>
    </w:p>
    <w:p>
      <w:pPr>
        <w:ind w:left="880" w:hanging="426"/>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articles of incorporation of Wynn Resorts include provisions intended to help it implement the above restrictions.</w:t>
      </w:r>
    </w:p>
    <w:p>
      <w:pPr>
        <w:spacing w:after="0" w:line="15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Consequences of Being Found Unsuitable. </w:t>
      </w:r>
      <w:r>
        <w:rPr>
          <w:rFonts w:ascii="Arial" w:cs="Arial" w:eastAsia="Arial" w:hAnsi="Arial"/>
          <w:sz w:val="16"/>
          <w:szCs w:val="16"/>
          <w:color w:val="auto"/>
        </w:rPr>
        <w:t>Any person who fails or refuses to apply for a finding of suitability or a license within 30 days after being</w:t>
      </w:r>
      <w:r>
        <w:rPr>
          <w:rFonts w:ascii="Arial" w:cs="Arial" w:eastAsia="Arial" w:hAnsi="Arial"/>
          <w:sz w:val="16"/>
          <w:szCs w:val="16"/>
          <w:i w:val="1"/>
          <w:iCs w:val="1"/>
          <w:color w:val="auto"/>
        </w:rPr>
        <w:t xml:space="preserve"> </w:t>
      </w:r>
      <w:r>
        <w:rPr>
          <w:rFonts w:ascii="Arial" w:cs="Arial" w:eastAsia="Arial" w:hAnsi="Arial"/>
          <w:sz w:val="16"/>
          <w:szCs w:val="16"/>
          <w:color w:val="auto"/>
        </w:rPr>
        <w:t>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we:</w:t>
      </w:r>
    </w:p>
    <w:p>
      <w:pPr>
        <w:spacing w:after="0" w:line="24" w:lineRule="exact"/>
        <w:rPr>
          <w:sz w:val="20"/>
          <w:szCs w:val="20"/>
          <w:color w:val="auto"/>
        </w:rPr>
      </w:pPr>
    </w:p>
    <w:p>
      <w:pPr>
        <w:ind w:left="880" w:hanging="426"/>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1" w:name="page22"/>
    <w:bookmarkEnd w:id="21"/>
    <w:p>
      <w:pPr>
        <w:ind w:left="880" w:hanging="426"/>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 remuneration in any form to that person for services rendered or otherwise; or</w:t>
      </w:r>
    </w:p>
    <w:p>
      <w:pPr>
        <w:spacing w:after="0" w:line="103" w:lineRule="exact"/>
        <w:rPr>
          <w:rFonts w:ascii="Arial" w:cs="Arial" w:eastAsia="Arial" w:hAnsi="Arial"/>
          <w:sz w:val="18"/>
          <w:szCs w:val="18"/>
          <w:color w:val="auto"/>
        </w:rPr>
      </w:pPr>
    </w:p>
    <w:p>
      <w:pPr>
        <w:ind w:left="880" w:right="300" w:hanging="426"/>
        <w:spacing w:after="0" w:line="268"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Gaming Laws Relating to Securities Ownership. </w:t>
      </w:r>
      <w:r>
        <w:rPr>
          <w:rFonts w:ascii="Arial" w:cs="Arial" w:eastAsia="Arial" w:hAnsi="Arial"/>
          <w:sz w:val="16"/>
          <w:szCs w:val="16"/>
          <w:color w:val="auto"/>
        </w:rPr>
        <w:t>The Nevada Gaming Commission may, in its discretion, require the holder of any debt or similar</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of a registered company, such as the Notes,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21" w:lineRule="exact"/>
        <w:rPr>
          <w:sz w:val="20"/>
          <w:szCs w:val="20"/>
          <w:color w:val="auto"/>
        </w:rPr>
      </w:pPr>
    </w:p>
    <w:p>
      <w:pPr>
        <w:ind w:left="880" w:hanging="426"/>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20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Wynn Resorts will be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the disclosure may be grounds for finding the record holder unsuitable. We will be required to render maximum assistance in determining the identity of the beneficial owner of any of Wynn Resorts’ voting securities. The Nevada Gaming Commission has the power to require the stock certificates of any registered company to bear a legend indicating that the securities are subject to the Nevada Gaming Control Act. We do not know whether this requirement will be imposed on us. However, the certificates representing shares of Wynn Resorts’ common stock note that the shares are subject to a right of redemption and other restrictions set forth in Wynn Resorts’ articles of incorporation and bylaws and that the shares are, or may become, subject to restrictions imposed by applicable gaming laws.</w:t>
      </w:r>
    </w:p>
    <w:p>
      <w:pPr>
        <w:spacing w:after="0" w:line="10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Approval of Public Offerings. </w:t>
      </w:r>
      <w:r>
        <w:rPr>
          <w:rFonts w:ascii="Arial" w:cs="Arial" w:eastAsia="Arial" w:hAnsi="Arial"/>
          <w:sz w:val="16"/>
          <w:szCs w:val="16"/>
          <w:color w:val="auto"/>
        </w:rPr>
        <w:t>Once Wynn Resorts becomes a registered company, it may not make a public offering of its securities without the prior</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of the Nevada Gaming Commission if it intends to use the proceeds from the offering to construct, acquire or finance gaming facilities in Nevada, or to retire or extend obligations incurred for those purposes or for similar transactions. Any approval that we might receive in the future relating to future offerings will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0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regulations of the Nevada Gaming Commission also provide that any entity which is not an “affiliated company,” as that term is defined in the Nevada Gaming Control Act, or which is not otherwise subject to the provisions of the Nevada Gaming Control Act or regulations, such as Wynn Resorts and Wynn Las Vegas, that plans to make a public offering of securities intending to use such securities, or the proceeds from the sale thereof, for the construction or operation of gaming facilities in Nevada, or to retire or extend obligations incurred for such purposes, may apply to the Nevada Gaming Commission for prior approval of such offering. The Nevada Gaming Commission may find an applicant unsuitable based solely on the fact that it did not submit such an application, unless upon a written request for a ruling, referred to as a ruling request, the Nevada State Gaming Control Board Chairman has ruled that it is not necessary to submit an application. Our initial public offering of common stock did qualify as a public offering. The Nevada State Gaming Control Board Chairman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347" w:right="259" w:bottom="1440" w:gutter="0" w:footer="0" w:header="0"/>
        </w:sectPr>
      </w:pPr>
    </w:p>
    <w:bookmarkStart w:id="22" w:name="page23"/>
    <w:bookmarkEnd w:id="22"/>
    <w:p>
      <w:pPr>
        <w:ind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considered our ruling request and has issued an administrative ruling that it was not necessary to submit an application for prior approval of the initial public offering or the offering of Notes by Wynn Las Vegas.</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 xml:space="preserve">Approval of Changes in Control. </w:t>
      </w:r>
      <w:r>
        <w:rPr>
          <w:rFonts w:ascii="Arial" w:cs="Arial" w:eastAsia="Arial" w:hAnsi="Arial"/>
          <w:sz w:val="18"/>
          <w:szCs w:val="18"/>
          <w:color w:val="auto"/>
        </w:rPr>
        <w:t>Once Wynn Resorts becomes a registered company, it must obtain prior approval of the Nevada Gaming Commission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a change in control through:</w:t>
      </w:r>
    </w:p>
    <w:p>
      <w:pPr>
        <w:spacing w:after="0" w:line="37" w:lineRule="exact"/>
        <w:rPr>
          <w:sz w:val="20"/>
          <w:szCs w:val="20"/>
          <w:color w:val="auto"/>
        </w:rPr>
      </w:pPr>
    </w:p>
    <w:p>
      <w:pPr>
        <w:ind w:left="880" w:hanging="426"/>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merger;</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consolidation;</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stock or asset acquisitions;</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management or consulting agreements; or</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act or conduct by a person by which the person obtains control of us.</w:t>
      </w:r>
    </w:p>
    <w:p>
      <w:pPr>
        <w:spacing w:after="0" w:line="1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30" w:lineRule="exact"/>
        <w:rPr>
          <w:sz w:val="20"/>
          <w:szCs w:val="20"/>
          <w:color w:val="auto"/>
        </w:rPr>
      </w:pPr>
    </w:p>
    <w:p>
      <w:pPr>
        <w:jc w:val="both"/>
        <w:ind w:right="300" w:firstLine="456"/>
        <w:spacing w:after="0" w:line="298" w:lineRule="auto"/>
        <w:rPr>
          <w:sz w:val="20"/>
          <w:szCs w:val="20"/>
          <w:color w:val="auto"/>
        </w:rPr>
      </w:pPr>
      <w:r>
        <w:rPr>
          <w:rFonts w:ascii="Arial" w:cs="Arial" w:eastAsia="Arial" w:hAnsi="Arial"/>
          <w:sz w:val="16"/>
          <w:szCs w:val="16"/>
          <w:i w:val="1"/>
          <w:iCs w:val="1"/>
          <w:color w:val="auto"/>
        </w:rPr>
        <w:t xml:space="preserve">Approval of Defensive Tactics. </w:t>
      </w:r>
      <w:r>
        <w:rPr>
          <w:rFonts w:ascii="Arial" w:cs="Arial" w:eastAsia="Arial" w:hAnsi="Arial"/>
          <w:sz w:val="16"/>
          <w:szCs w:val="16"/>
          <w:color w:val="auto"/>
        </w:rPr>
        <w:t>The Nevada legislature has declared that some corporate acquisitions opposed by management, repurchases of voting</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and corporate defense tactics affecting Nevada gaming licenses or affecting registered companies that are affiliated with the operations permitted by Nevada gaming licenses may be harmful to stable and productive corporate gaming. The Nevada Gaming Commission has established a regulatory scheme to reduce the potentially adverse effects of these business practices upon Nevada’s gaming industry and to further Nevada’s policy to:</w:t>
      </w:r>
    </w:p>
    <w:p>
      <w:pPr>
        <w:spacing w:after="0" w:line="18" w:lineRule="exact"/>
        <w:rPr>
          <w:sz w:val="20"/>
          <w:szCs w:val="20"/>
          <w:color w:val="auto"/>
        </w:rPr>
      </w:pPr>
    </w:p>
    <w:p>
      <w:pPr>
        <w:ind w:left="880" w:hanging="426"/>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operators and their affiliates;</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185"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Once we become a registered company, approvals may be required from the Nevada Gaming Commission before we can make exceptional repurchases of voting securities above their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3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 xml:space="preserve">Fees and Taxes. </w:t>
      </w:r>
      <w:r>
        <w:rPr>
          <w:rFonts w:ascii="Arial" w:cs="Arial" w:eastAsia="Arial" w:hAnsi="Arial"/>
          <w:sz w:val="18"/>
          <w:szCs w:val="18"/>
          <w:color w:val="auto"/>
        </w:rPr>
        <w:t>License fees and taxes, computed in various ways depending on the type of gaming or activity involved, are payable to the State of</w:t>
      </w:r>
      <w:r>
        <w:rPr>
          <w:rFonts w:ascii="Arial" w:cs="Arial" w:eastAsia="Arial" w:hAnsi="Arial"/>
          <w:sz w:val="18"/>
          <w:szCs w:val="18"/>
          <w:i w:val="1"/>
          <w:iCs w:val="1"/>
          <w:color w:val="auto"/>
        </w:rPr>
        <w:t xml:space="preserve"> </w:t>
      </w:r>
      <w:r>
        <w:rPr>
          <w:rFonts w:ascii="Arial" w:cs="Arial" w:eastAsia="Arial" w:hAnsi="Arial"/>
          <w:sz w:val="18"/>
          <w:szCs w:val="18"/>
          <w:color w:val="auto"/>
        </w:rPr>
        <w:t>Nevada and to the counties and cities in which the licensed subsidiaries respective operations are conducted. Depending upon the particular fee or tax involved, these fees and taxes are payable either monthly, quarterly or annually and are based upon either:</w:t>
      </w:r>
    </w:p>
    <w:p>
      <w:pPr>
        <w:spacing w:after="0" w:line="46" w:lineRule="exact"/>
        <w:rPr>
          <w:sz w:val="20"/>
          <w:szCs w:val="20"/>
          <w:color w:val="auto"/>
        </w:rPr>
      </w:pPr>
    </w:p>
    <w:p>
      <w:pPr>
        <w:ind w:left="880" w:hanging="426"/>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185"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A casino entertainment tax is also paid by casino operations where entertainment is furnished in connection with the selling or serving of food or refreshments or the selling of merchandise.</w:t>
      </w:r>
    </w:p>
    <w:p>
      <w:pPr>
        <w:spacing w:after="0" w:line="11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i w:val="1"/>
          <w:iCs w:val="1"/>
          <w:color w:val="auto"/>
        </w:rPr>
        <w:t xml:space="preserve">Foreign Gaming Investigations. </w:t>
      </w:r>
      <w:r>
        <w:rPr>
          <w:rFonts w:ascii="Arial" w:cs="Arial" w:eastAsia="Arial" w:hAnsi="Arial"/>
          <w:sz w:val="18"/>
          <w:szCs w:val="18"/>
          <w:color w:val="auto"/>
        </w:rPr>
        <w:t>Any person who is licensed, required to be licensed, registered, required to be registered, or is under common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with those persons (collectively, “licensees”), and who proposes to become involved in a gaming venture outside of Nevada, is required to deposit with the Nevada State Gaming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3" w:name="page24"/>
    <w:bookmarkEnd w:id="23"/>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Control Board, and thereafter maintain, a revolving fund in the amount of $10,000 to pay the expenses of investigation of the Nevada State Gaming Control Board of the licensee’s or registrant’s participation in such foreign gaming. The revolving fund is subject to increase or decrease in the discretion of the Nevada Gaming Commission. Licensees and registrants are required to comply with the reporting requirements imposed by the Nevada Gaming Control Act. A licensee or registrant is also subject to disciplinary action by the Nevada Gaming Commission if it:</w:t>
      </w:r>
    </w:p>
    <w:p>
      <w:pPr>
        <w:spacing w:after="0" w:line="18" w:lineRule="exact"/>
        <w:rPr>
          <w:sz w:val="20"/>
          <w:szCs w:val="20"/>
          <w:color w:val="auto"/>
        </w:rPr>
      </w:pPr>
    </w:p>
    <w:p>
      <w:pPr>
        <w:ind w:left="880" w:hanging="426"/>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126" w:lineRule="exact"/>
        <w:rPr>
          <w:rFonts w:ascii="Arial" w:cs="Arial" w:eastAsia="Arial" w:hAnsi="Arial"/>
          <w:sz w:val="16"/>
          <w:szCs w:val="16"/>
          <w:color w:val="auto"/>
        </w:rPr>
      </w:pPr>
    </w:p>
    <w:p>
      <w:pPr>
        <w:ind w:left="880" w:right="220" w:hanging="426"/>
        <w:spacing w:after="0" w:line="347" w:lineRule="auto"/>
        <w:tabs>
          <w:tab w:leader="none" w:pos="8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ind w:left="880" w:hanging="426"/>
        <w:spacing w:after="0"/>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126" w:lineRule="exact"/>
        <w:rPr>
          <w:rFonts w:ascii="Arial" w:cs="Arial" w:eastAsia="Arial" w:hAnsi="Arial"/>
          <w:sz w:val="16"/>
          <w:szCs w:val="16"/>
          <w:color w:val="auto"/>
        </w:rPr>
      </w:pPr>
    </w:p>
    <w:p>
      <w:pPr>
        <w:ind w:left="880" w:right="140" w:hanging="426"/>
        <w:spacing w:after="0" w:line="268"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License for Conduct of Gaming and Sale of Alcoholic Beverages. </w:t>
      </w:r>
      <w:r>
        <w:rPr>
          <w:rFonts w:ascii="Arial" w:cs="Arial" w:eastAsia="Arial" w:hAnsi="Arial"/>
          <w:sz w:val="16"/>
          <w:szCs w:val="16"/>
          <w:color w:val="auto"/>
        </w:rPr>
        <w:t>The conduct of gaming activities and the service and sale of alcoholic beverages at Le</w:t>
      </w:r>
      <w:r>
        <w:rPr>
          <w:rFonts w:ascii="Arial" w:cs="Arial" w:eastAsia="Arial" w:hAnsi="Arial"/>
          <w:sz w:val="16"/>
          <w:szCs w:val="16"/>
          <w:i w:val="1"/>
          <w:iCs w:val="1"/>
          <w:color w:val="auto"/>
        </w:rPr>
        <w:t xml:space="preserve"> </w:t>
      </w:r>
      <w:r>
        <w:rPr>
          <w:rFonts w:ascii="Arial" w:cs="Arial" w:eastAsia="Arial" w:hAnsi="Arial"/>
          <w:sz w:val="16"/>
          <w:szCs w:val="16"/>
          <w:color w:val="auto"/>
        </w:rPr>
        <w:t>Rêve will be subject to licensing, control and regulation by the Clark County Liquor and Gaming Licensing Board. In addition to approving Wynn Las Vegas, the Clark County Liquor and Gaming License Board has the authority to approve all persons owning or controlling the stock of any corporation controlling a gaming license. All licenses are revocable and are not transferable. The county agency has full power to limit, condition, suspend or revoke any license. Any disciplinary action could, and revocation would, have a substantial negative impact upon our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concessionaire of the Government of Macau, Wynn Macau is subject to the regulatory control of the Government of Macau.</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Macau government has adopted Laws and Administrative Regulations governing the operation of casinos in Macau. Only concessionaires are permitted to operate casinos. To compete for concessions, candidates must tender proposals pursuant to procedures prescribing the content and timing of submissions and the evaluation criteria involved in the selection process. Applicants are evaluated according to suitability criteria including their financial capacity, business experience and reputation, and the reputation of their affiliates and associates. Applicants are required to pay the costs of investigation and to make a deposit against such costs as part of the submission of proposals. The selection process includes consultation and negotiation between the applicants and the Macau government, which selects the applicants that are awarded concessions. Under the current Law and Administrative Regulations, a maximum of three such concessions can be awarded. Each concessionaire is required to enter into a concession agreement with the Macau government which, together with the Law and Administrative Regulations, forms the framework for the regulation of the activities of the concessionaire.</w:t>
      </w:r>
    </w:p>
    <w:p>
      <w:pPr>
        <w:spacing w:after="0" w:line="10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Under the Laws and Administrative Regulations, concessionaires are subject to suitability requirements in terms of background, associations and reputation, as are stockholders of 5% or more of a concessionaire’s equity securities, officers, directors and key employees. The same requirements apply to any entity engaged by a concessionaire to manage casino operations. Concessionaires also are required to satisfy minimum capitalization requirements, to demonstrate and maintain adequate financial capacity to operate the concession, and to submit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80" w:right="279" w:bottom="1440" w:gutter="0" w:footer="0" w:header="0"/>
        </w:sectPr>
      </w:pPr>
    </w:p>
    <w:bookmarkStart w:id="24" w:name="page25"/>
    <w:bookmarkEnd w:id="24"/>
    <w:p>
      <w:pPr>
        <w:jc w:val="both"/>
        <w:ind w:right="30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continuous monitoring of its casino operations by the Macau government. Concessionaires also are subject to periodic financial reporting requirements and reporting obligations with respect to, among other things, certain contracts, financing activities and transactions with directors, financiers and key employees. Transfers or the encumbering of interests in concessionaires must be reported to the Macau government and are ineffective without government approval.</w:t>
      </w:r>
    </w:p>
    <w:p>
      <w:pPr>
        <w:spacing w:after="0" w:line="75"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Each concessionaire is required to engage an executive director who must be a permanent resident of Macau and the holder of at least 10% of the capital stock of the concessionaire. The appointment of the executive director and of any successor is ineffective without the approval of the Macau government. All contracts for the management of a concessionaire’s casino operation also are ineffective without the approval of the Macau government.</w:t>
      </w:r>
    </w:p>
    <w:p>
      <w:pPr>
        <w:spacing w:after="0" w:line="9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Concessionaires are subject to a special gaming tax of 35% of gross gaming revenue, and must also make an annual contribution of up to 5% of gross gaming revenue (Wynn Macau must pay 4% under its concession agreement) for the promotion of public interests, infrastructure and tourism. Concessionaires also are obligated to withhold, subject to partial exemption, a 5% tax from commissions paid to junket representatives. A junket representative is a person who, for the purpose of promoting casino gaming activity, arranges customer transportation, accommodations, food and beverage services and entertainment in exchange for commissions or other compensation from a concessionaire.</w:t>
      </w:r>
    </w:p>
    <w:p>
      <w:pPr>
        <w:spacing w:after="0" w:line="102"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Junket representatives must be licensed by the Macau government in order to do business with and receive compensation from concessionaires. For a license to be obtained, direct and indirect stockholders of 5% or more of a junket representative’s equity securities (where applicable), its directors and its key employees must be found suitable. Applicants are required to pay the cost of license investigations, and are required to maintain suitability standards during the period of licensure. The term of a junket representative license is one year, and licenses can be renewed for additional periods upon the submission of renewal applications. Natural person junket representative licensees are subject to a suitability verification process every three years and business entity licensees are subject to the same requirement every six years.</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Licensed junket representatives must identify outside contractors who assist them in junket activity to the Macau government. Such contractors are subject to disapproval by the Macau government. Changes in the management structure of business entity licensees must be reported to the Macau government and transfers or the encumbering of interests in such licensees are void without prior government approval. To conduct junket activity, junket representative licensees must be registered with one or more concessionaires and must have written contracts with such concessionaires, copies of which must be submitted to the Macau government.</w:t>
      </w:r>
    </w:p>
    <w:p>
      <w:pPr>
        <w:spacing w:after="0" w:line="129"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Concessionaires are jointly responsible with their junket representatives for the activities of such representatives and their employees and contractors in the concessionaires’ casinos, and for their compliance with applicable laws and regulations. Concessionaires must submit annual lists of their junket representatives for the following year, and must update such lists on a quarterly basis. The Macau government may designate a maximum number of junket representatives and specify the junket representatives a concessionaire is permitted to engage. Concessionaires are subject to periodic reporting requirements with respect to commissions paid to their junket representatives and are required to oversee their activities and report instances of non-compliance or unlawful activity.</w:t>
      </w:r>
    </w:p>
    <w:p>
      <w:pPr>
        <w:spacing w:after="0" w:line="8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government of Macau may assume temporary custody and control over the operation of a concession in certain circumstances. During any such period, the costs of operations must be borne by the concessionaire. The government of Macau also may redeem a concession starting at an established date after the entering into of a concession. With respect to Wynn Macau’s concession, the government of Macau’s right to redeem the concession begins fifteen years from the date of the concession agreement and entitles Wynn Macau to certain compensation. The government of Macau also may terminate a concession for cause, including, without limitation, failure of the concessionaire to fulfill its obligations under law or the concession contract,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25" w:name="page26"/>
    <w:bookmarkEnd w:id="25"/>
    <w:p>
      <w:pPr>
        <w:jc w:val="both"/>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abandonment or suspension of operations or failure to pay taxes and other monetary obligations to the government of Macau, in which case no compensation is due to the concessionaire. In addition, the government of Macau may, in the public interest, unilaterally terminate the concession at any time, in which case the concessionaire is entitled to reasonable compensation.</w:t>
      </w:r>
    </w:p>
    <w:p>
      <w:pPr>
        <w:spacing w:after="0" w:line="12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government of Macau is currently considering various proposed changes to its laws and regulations relating to casino gaming. Such changes could affect the viability and profitability of contemplated casino operations in Macau. In addition, many of the laws and regulations summarized above have not yet been applied by the government of Macau to an operating concessionaire. Therefore, the effectiveness, reasonableness and fairness of the regulatory system cannot be assessed at this time.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8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Upon opening Le Rêve certain months may experience fluctuations in revenues and cash flows, however, we do not expect that our gaming business will be unusually impacted by seasonality.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currently employ approximately 200 employees in the U.S. We anticipate that when Le Rêve opens, we will employ nearly 8,000 employees in connection with the operation of Le Rêve. In addition, we expect that Wynn Macau will employ approximately 3,700 employees by the opening of both phases of our casino resort in Macau. As a result, we will need to undertake a major recruiting and training program before the opening of the resorts. However, we believe that we will be able to attract and retain a sufficient number of qualified individuals to operate the hotel and casino. We will pay competitive market wages to our employees.</w:t>
      </w:r>
    </w:p>
    <w:p>
      <w:pPr>
        <w:spacing w:after="0" w:line="129"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Currently, Valvino is a party to three collective bargaining agreements with three different unions which it assumed in connection with the acquisition of the Desert Inn Resort &amp; Casino. All of these agreements will expire before the scheduled opening of Le Rêve. However, the unions may seek to organize the workers at Le Rêve or claim that the agreements assumed in connection with Valvino’s acquisition of the Desert Inn Resort &amp; Casino obligate Wynn Las Vegas to enter into negotiations with one or more of the unions to represent the workers at Le Rêve. Unionization or pressure to unionize could increase our labor costs.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Service Marks</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most important marks are LE RÊVE for hotel services and LE RÊVE for casino services. We have purchased the common-law name and mark “LE REVE” from a California trust which has been operating a hotel by that name since the late 1980’s. This purchase removed the California trust as a prior user with superior rights. We have also applied to register the “LE RÊVE” service mark in the United States Patent and Trademark Office (the “PTO”), for hotel services. Our application for the LE RÊVE hotel mark cleared the PTO examination process and was “published for opposition.” Domaine Carneros, a registrant of the “Le Reve” mark for sparkling wines since 1998 filed an opposition to our application based upon an alleged connection between wines and restaurant services, bar services and lounge services. We have entered two stipulations to extend our time to file an answer and counterclaim for cancellation of the Domaine Carneros registration pending global settlement discussions involving the use of Domaine Carneros as a non-exclusive vendor of products for the hotel’s restaurants, bars and lounges. If a global resolution is not reached, we will file our answer and counterclaim for cancellation of the Domaine Carneros registration on or before April 1, 2003.</w:t>
      </w:r>
    </w:p>
    <w:p>
      <w:pPr>
        <w:spacing w:after="0" w:line="10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also applied to register the LE RÊVE service mark with the PTO for combined casino and entertainment services. Because the PTO translates “Le Rêve” as “The Dream,” it has cited certain “Dream” marks as a basis for preliminarily refusing to allow some of our “LE RÊVE” applications, including this application, to proceed toward registration. The PTO’s objection to this application appears to relate solely to entertainment services, and not casino services. Accordingly, we have divided the application to register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26" w:name="page27"/>
    <w:bookmarkEnd w:id="26"/>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 RÊVE for casino services separately from entertainment services. The application for casino services should not be subject to the objections which relate to entertainment services. We have also entered into various consent agreements with the owners of many of the “Dream” marks cited against us, thus clearing some of the PTO’s objections. We will present these consent agreements to the PTO to overcome the translation citations.</w:t>
      </w:r>
    </w:p>
    <w:p>
      <w:pPr>
        <w:spacing w:after="0" w:line="9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addition, we have applied to register this mark for other uses, including gift shop items, retail services, clothing, golf balls and golf accessories, toys, tote bags, mugs, and others, none of which, individually, will be material to our business. Our application for LE RÊVE retail services was preliminarily refused based on a prior registration for “Le Reve,” for wines, and registrations for “Dream” and “The Dream,” for various other goods. We have received the right to register LE RÊVE for metal goods, and the remaining applications are pending. None of the non-hotel and non-casino applications for LE RÊVE are for goods or services that would, if finally rejected, have a material impact on our business.</w:t>
      </w:r>
    </w:p>
    <w:p>
      <w:pPr>
        <w:spacing w:after="0" w:line="10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Even if we are able to obtain registration of the LE RÊVE mark for the above-described applications, such federal registration is not completely dispositive of the right to such trademarks. Third parties who claim prior rights with respect to “Dream” marks or to marks similar to LE RÊVE may nonetheless challenge our use of LE RÊVE and seek to overcome the presumptions afforded by such registrations. They could also attempt to prevent our use of LE RÊVE and/or seek monetary damages as a result of our use. To date, no entity has notified us that they object to our actual use of the LE RÊVE mark for hotel or casino services. Federal registration with the U.S. Patent &amp; Trademark Office is not a requirement for our use but is helpful in enforcing our growing rights in the LE RÊVE mark.</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8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following risk factors, among others, could cause our financial performance to differ significantly from the goals, plans, objectives, intentions and expectations expressed in this Annual Report on Form 10-K. If any of the following risks and uncertainties or other risks and uncertainties not currently known to us or not currently considered to be material actually occur, our business, financial condition or operating results could be harmed substantially.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Associated with Our Construction of Le Rêve</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There are significant conditions to the funding of the remaining components of the financing for the Le Rêve project.</w:t>
      </w:r>
    </w:p>
    <w:p>
      <w:pPr>
        <w:spacing w:after="0" w:line="77" w:lineRule="exact"/>
        <w:rPr>
          <w:sz w:val="20"/>
          <w:szCs w:val="20"/>
          <w:color w:val="auto"/>
        </w:rPr>
      </w:pPr>
    </w:p>
    <w:p>
      <w:pPr>
        <w:jc w:val="both"/>
        <w:ind w:right="660" w:firstLine="456"/>
        <w:spacing w:after="0" w:line="259" w:lineRule="auto"/>
        <w:rPr>
          <w:sz w:val="20"/>
          <w:szCs w:val="20"/>
          <w:color w:val="auto"/>
        </w:rPr>
      </w:pPr>
      <w:r>
        <w:rPr>
          <w:rFonts w:ascii="Arial" w:cs="Arial" w:eastAsia="Arial" w:hAnsi="Arial"/>
          <w:sz w:val="18"/>
          <w:szCs w:val="18"/>
          <w:color w:val="auto"/>
        </w:rPr>
        <w:t>Wynn Las Vegas has entered into agreements governing the Credit Facilities which provide for borrowings up to $1 billion and the FF&amp;E Facility providing for additional loans up to $188.5 million, which Wynn Las Vegas may request the FF&amp;E lenders to increase to $198.5 million if we purchase a replacement corporate aircraft.</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Wynn Resorts has contributed $386.7 million of the net proceeds of its initial public offering and Valvino Lamore, LLC has contributed all of its existing cash on hand to Wynn Las Vegas. Wynn Las Vegas has entered into the Disbursement Agreement with the agents under the Credit Facilities and the FF&amp;E Facility and the trustee of the Notes. Under the Disbursement Agreement, Wynn Las Vegas is required to first use equity proceeds and the cash on hand that Wynn Resorts and Valvino contributed to Wynn Las Vegas, other than the funds contributed to the completion guarantor and held in the liquidity reserve account, to fund the development, construction and pre-opening costs of Le Rêve. When those funds are depleted as expected in the third or fourth quarter of 2003, Wynn Las Vegas will be permitted to use the proceeds of the Notes. Wynn Las Vegas will not be permitted to borrow under the Credit facilities or the FF&amp;E Facility until it has applied all of the proceeds of the Notes, which is expected to be during the first quarter of 2004.</w:t>
      </w:r>
    </w:p>
    <w:p>
      <w:pPr>
        <w:spacing w:after="0" w:line="105"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Wynn Las Vegas’ ability to, from time to time, obtain a disbursement of the proceeds of the Notes or borrow under the Credit Facilities and the FF&amp;E Facility is subject to various conditions precedent. As such, 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7" w:name="page28"/>
    <w:bookmarkEnd w:id="27"/>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substantial portion of the funds will have been spent before we know whether the conditions to disbursement of funds under Wynn Las Vegas’ debt facilities will have been satisfied. In addition to other customary conditions to funding for these types of facilities, Wynn Las Vegas’ ability to obtain a disbursement of the funds under its debt instruments is subject to the following conditions:</w:t>
      </w:r>
    </w:p>
    <w:p>
      <w:pPr>
        <w:spacing w:after="0" w:line="46" w:lineRule="exact"/>
        <w:rPr>
          <w:sz w:val="20"/>
          <w:szCs w:val="20"/>
          <w:color w:val="auto"/>
        </w:rPr>
      </w:pPr>
    </w:p>
    <w:p>
      <w:pPr>
        <w:ind w:left="880" w:right="160" w:hanging="426"/>
        <w:spacing w:after="0" w:line="298" w:lineRule="auto"/>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Wynn Las Vegas, Marnell Corrao Associates, Inc., the lenders’ independent construction consultant and certain other third parties must certify as to various matters regarding the progress of construction, as to the conformity of the portions of the project then completed with the plans and specifications and that the Le Rêve project will be completed by the scheduled completion date, which may be extended in accordance with the disbursement agreement, but not beyond September 30, 2005, except for certain limited permitted extensions due to force majeure events;</w:t>
      </w:r>
    </w:p>
    <w:p>
      <w:pPr>
        <w:spacing w:after="0" w:line="18" w:lineRule="exact"/>
        <w:rPr>
          <w:rFonts w:ascii="Arial" w:cs="Arial" w:eastAsia="Arial" w:hAnsi="Arial"/>
          <w:sz w:val="16"/>
          <w:szCs w:val="16"/>
          <w:color w:val="auto"/>
        </w:rPr>
      </w:pPr>
    </w:p>
    <w:p>
      <w:pPr>
        <w:jc w:val="both"/>
        <w:ind w:left="880" w:right="200" w:hanging="426"/>
        <w:spacing w:after="0" w:line="347" w:lineRule="auto"/>
        <w:tabs>
          <w:tab w:leader="none" w:pos="8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Wynn Resorts and its principal stockholders must maintain in full force and effect the existing arrangements among Wynn Resorts’ stockholders to facilitate obtaining the gaming license for the Le Rêve project in the event that one of our major stockholders is unable to qualify for such license;</w:t>
      </w:r>
    </w:p>
    <w:p>
      <w:pPr>
        <w:ind w:left="880" w:right="240" w:hanging="426"/>
        <w:spacing w:after="0" w:line="259"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construction of Le Rêve must be “in balance,” meaning that the undisbursed portions of the proceeds of the Notes, the Credit Facilities and the FF&amp;E Facility, together with certain other funds available to Wynn Las Vegas, must equal or exceed the remaining costs to complete Le Rêve’s construction plus a required contingency; and</w:t>
      </w:r>
    </w:p>
    <w:p>
      <w:pPr>
        <w:spacing w:after="0" w:line="45" w:lineRule="exact"/>
        <w:rPr>
          <w:rFonts w:ascii="Arial" w:cs="Arial" w:eastAsia="Arial" w:hAnsi="Arial"/>
          <w:sz w:val="18"/>
          <w:szCs w:val="18"/>
          <w:color w:val="auto"/>
        </w:rPr>
      </w:pPr>
    </w:p>
    <w:p>
      <w:pPr>
        <w:ind w:left="880" w:hanging="426"/>
        <w:spacing w:after="0" w:line="259"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Wynn Las Vegas and the general contractor must have entered into subcontracts in respect of specified percentages of the total construction cost of Le Rêve to be managed by each of them, which percentages are to be mutually agreed upon by Wynn Las Vegas and the lenders under the Credit Facilities.</w:t>
      </w:r>
    </w:p>
    <w:p>
      <w:pPr>
        <w:spacing w:after="0" w:line="12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cannot assure you that Wynn Las Vegas will be able to satisfy the conditions to funding at the time disbursements or drawdowns are required to make payments of our construction costs. Satisfaction of various conditions is subject to the discretion of the lenders under the Credit Facilities and their consultants and is therefore beyond Wynn Las Vegas’ control.</w:t>
      </w:r>
    </w:p>
    <w:p>
      <w:pPr>
        <w:spacing w:after="0" w:line="127"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Any failure to satisfy the conditions to the release of the proceeds of the Notes or drawdowns under the Credit Facilities or the FF&amp;E Facility could severely impact our ability to complete Le Rêve and could arise before or after some or all of the proceeds of Wynn Resorts’ initial public offering intended for the development and construction of Le Rêve have been expended on the project. We may not have access to alternative sources of funds necessary to complete Le Rêve on satisfactory terms or at all. If we seek additional equity capital as a funding alternative, the interests of Wynn Resorts’ stockholders could be diluted.</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development costs of Le Rêve are estimates only, and actual development costs may be higher than expected.</w:t>
      </w:r>
    </w:p>
    <w:p>
      <w:pPr>
        <w:spacing w:after="0" w:line="77"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Not all of the plans and specifications for Le Rêve have been finalized. We expect the total development cost of Le Rêve to be approximately $2.4 billion, including the budgeted design and construction costs, cost of the land, capitalized interest, pre-opening expenses and all financing fees. The required cash interest payments and commitment fees on the Credit Facilities, FF&amp;E Facility, Notes and any other indebtedness and obligations of Wynn Las Vegas which will become due through the estimated commencement date of operations of Le Rêve have been included in our estimate of the total development cost.</w:t>
      </w:r>
    </w:p>
    <w:p>
      <w:pPr>
        <w:spacing w:after="0" w:line="99"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While we believe that the overall budget for the development costs for Le Rêve is reasonable, these development costs are estimates and the actual development costs may be higher than expected. Although Wynn Las Vegas has a $34.3 million owners’ contingency, a $50 million completion guarantee and a $30 million liquidity reserve to cover cost overruns, these contingencies may not be sufficient to cover the full amount of such overruns. Moreover, the Disbursement Agreement imposes conditions on the use of these contingencies, including that the completion guarantee and the liquidity reserve are only available to Wynn Las Vegas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28" w:name="page29"/>
    <w:bookmarkEnd w:id="28"/>
    <w:p>
      <w:pPr>
        <w:jc w:val="both"/>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incrementally once the project is halfway completed. If Wynn Las Vegas is unable to use these contingencies or if these contingencies are not sufficient to cover these costs, we may not have the funds required to pay the excess costs. Wynn Las Vegas’ inability to pay development costs as they are incurred will negatively affect our ability to complete Le Rêve and thus may significantly impair our business operations and prospects.</w:t>
      </w:r>
    </w:p>
    <w:p>
      <w:pPr>
        <w:spacing w:after="0" w:line="9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Cost overruns could cause Wynn Las Vegas to be out of “balance” under the disbursement agreement and, consequently, prevent it from obtaining funds from the proceeds of the Notes or, after those funds are exhausted, to draw down under the Credit Facilities and the FF&amp;E Facility. If Wynn Las Vegas cannot obtain these funds, it will not be able to open Le Rêve to the general public on schedule or at all, which would have a significant negative impact on our financial condition and results of operations.</w:t>
      </w:r>
    </w:p>
    <w:p>
      <w:pPr>
        <w:spacing w:after="0" w:line="130" w:lineRule="exact"/>
        <w:rPr>
          <w:sz w:val="20"/>
          <w:szCs w:val="20"/>
          <w:color w:val="auto"/>
        </w:rPr>
      </w:pPr>
    </w:p>
    <w:p>
      <w:pPr>
        <w:ind w:left="240" w:right="420"/>
        <w:spacing w:after="0" w:line="268" w:lineRule="auto"/>
        <w:rPr>
          <w:sz w:val="20"/>
          <w:szCs w:val="20"/>
          <w:color w:val="auto"/>
        </w:rPr>
      </w:pPr>
      <w:r>
        <w:rPr>
          <w:rFonts w:ascii="Arial" w:cs="Arial" w:eastAsia="Arial" w:hAnsi="Arial"/>
          <w:sz w:val="18"/>
          <w:szCs w:val="18"/>
          <w:i w:val="1"/>
          <w:iCs w:val="1"/>
          <w:color w:val="auto"/>
        </w:rPr>
        <w:t>Not all of the construction costs of Le Rêve are covered by our guaranteed maximum price construction contract, and we will be responsible for any cost overruns of these excluded items.</w:t>
      </w:r>
    </w:p>
    <w:p>
      <w:pPr>
        <w:spacing w:after="0" w:line="3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entered into a guaranteed maximum price construction contract with Marnell Corrao covering approximately $919 million of the budgeted $1.4 billion design and construction costs for Le Rêve. We are responsible for cost overruns with respect to the remaining approximately $488 million of the $1.4 billion of budgeted components that are not part of the guaranteed maximum price contract. The guaranteed maximum price contract does not include items such as the costs of construction of the new golf course and the principal parking garage and approximately $303 million in interior design and related furniture, fixtures and equipment. While we may in the future enter into other agreements that may seek to limit our exposure to construction cost increases, the actual costs for these items may exceed budgeted costs.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The guaranteed maximum price under the Marnell Corrao construction contract may increase, and we would be responsible for the amount of any increase.</w:t>
      </w:r>
    </w:p>
    <w:p>
      <w:pPr>
        <w:spacing w:after="0" w:line="10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Although we have a $919 million guaranteed maximum price construction contract with Marnell Corrao, it provides that the guaranteed maximum price will be appropriately increased, and the deadline for the contractor’s obligation to complete construction will be appropriately adjusted, on account of, among other things:</w:t>
      </w:r>
    </w:p>
    <w:p>
      <w:pPr>
        <w:spacing w:after="0" w:line="46" w:lineRule="exact"/>
        <w:rPr>
          <w:sz w:val="20"/>
          <w:szCs w:val="20"/>
          <w:color w:val="auto"/>
        </w:rPr>
      </w:pPr>
    </w:p>
    <w:p>
      <w:pPr>
        <w:ind w:left="880" w:hanging="426"/>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architect-prepared design documents or deficiencies in the design documents;</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requested or directed by us in the scope of the work to be performed pursuant to the construction contract;</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legal requirements;</w:t>
      </w:r>
    </w:p>
    <w:p>
      <w:pPr>
        <w:spacing w:after="0" w:line="103" w:lineRule="exact"/>
        <w:rPr>
          <w:rFonts w:ascii="Arial" w:cs="Arial" w:eastAsia="Arial" w:hAnsi="Arial"/>
          <w:sz w:val="18"/>
          <w:szCs w:val="18"/>
          <w:color w:val="auto"/>
        </w:rPr>
      </w:pPr>
    </w:p>
    <w:p>
      <w:pPr>
        <w:ind w:left="880" w:right="280" w:hanging="426"/>
        <w:spacing w:after="0" w:line="268"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natural disasters, unavoidable casualties, industry-wide labor disputes affecting the general Las Vegas area and not limited to the project and other force majeure events that are unforeseeable and beyond the reasonable control of Marnell Corrao; and</w:t>
      </w:r>
    </w:p>
    <w:p>
      <w:pPr>
        <w:spacing w:after="0" w:line="37" w:lineRule="exact"/>
        <w:rPr>
          <w:rFonts w:ascii="Arial" w:cs="Arial" w:eastAsia="Arial" w:hAnsi="Arial"/>
          <w:sz w:val="18"/>
          <w:szCs w:val="18"/>
          <w:color w:val="auto"/>
        </w:rPr>
      </w:pPr>
    </w:p>
    <w:p>
      <w:pPr>
        <w:ind w:left="880" w:hanging="426"/>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caused by us, including delays in completing the drawings and specifications.</w:t>
      </w:r>
    </w:p>
    <w:p>
      <w:pPr>
        <w:spacing w:after="0" w:line="185"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Although we have determined the overall scope and general design of Le Rêve, not all of the detailed plans and specifications have been finalized. We do not have final plans for construction components comprising approximately $310.7 million of the approximately $919 million Marnell Corrao construction contract. With respect to the construction components for which plans and specifications have not been finalized, the guaranteed maximum price is based on master concept plans and agreed upon design and other premises and assumptions for the detailed plans to be created. Construction has commenced before completion of all drawings and specifications.</w:t>
      </w:r>
    </w:p>
    <w:p>
      <w:pPr>
        <w:spacing w:after="0" w:line="12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Inconsistencies between the completed drawings and specifications and the premises and assumptions on which the approximately $919 million guaranteed maximum price was based could, under specific circumstances, cause us to be responsible for costs in excess of the guaranteed maximum price. For example, if the initial drawings, when finalized, are inconsistent with the premises and assumptions, we will be responsible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29" w:name="page30"/>
    <w:bookmarkEnd w:id="29"/>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increase, if any, in the cost to construct the work covered by those drawings over the previously agreed upon amounts designated for such work in the guaranteed maximum price. Furthermore, the premises and assumptions may not be sufficiently specific to determine, as between the contractor and us, who is responsible for cost overruns in specific situations.</w:t>
      </w:r>
    </w:p>
    <w:p>
      <w:pPr>
        <w:spacing w:after="0" w:line="127"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i w:val="1"/>
          <w:iCs w:val="1"/>
          <w:color w:val="auto"/>
        </w:rPr>
        <w:t>The liquidated damages provision in our guaranteed maximum price construction contract likely will not be sufficient to protect us against exposure to actual damages we may suffer for delay in completion of the project.</w:t>
      </w:r>
    </w:p>
    <w:p>
      <w:pPr>
        <w:spacing w:after="0" w:line="3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the construction contract with Marnell Corrao, the guaranteed date of substantial completion is 910 calendar days from the date we directed Marnell Corrao by written notice to commence construction. The contract provides for liquidated damages in the amount of $300,000 per day to be imposed on Marnell Corrao on a daily basis, up to a maximum of 30 days, for a maximum amount of $9 million, if all work required by the construction contract is not substantially completed by the deadline, following a five-day grace period and subject to force majeure and other permitted extensions. We cannot assure you that construction will be completed on schedule and, if completion of the construction were delayed beyond the grace period, our actual damages would likely exceed $300,000 per day.</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if the contractor defaults under the construction contract, we may be unable to complete Le Rêve on schedule or within the amount budgeted.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Failure to complete construction on schedule may have a significant negative impact on our operations and financial condition.</w:t>
      </w:r>
    </w:p>
    <w:p>
      <w:pPr>
        <w:spacing w:after="0" w:line="151" w:lineRule="exact"/>
        <w:rPr>
          <w:sz w:val="20"/>
          <w:szCs w:val="20"/>
          <w:color w:val="auto"/>
        </w:rPr>
      </w:pPr>
    </w:p>
    <w:p>
      <w:pPr>
        <w:ind w:left="240" w:right="340"/>
        <w:spacing w:after="0" w:line="268" w:lineRule="auto"/>
        <w:rPr>
          <w:sz w:val="20"/>
          <w:szCs w:val="20"/>
          <w:color w:val="auto"/>
        </w:rPr>
      </w:pPr>
      <w:r>
        <w:rPr>
          <w:rFonts w:ascii="Arial" w:cs="Arial" w:eastAsia="Arial" w:hAnsi="Arial"/>
          <w:sz w:val="18"/>
          <w:szCs w:val="18"/>
          <w:i w:val="1"/>
          <w:iCs w:val="1"/>
          <w:color w:val="auto"/>
        </w:rPr>
        <w:t>The financial resources of our contractor may be insufficient to fund cost overruns or liquidated damages for which it is responsible under the guaranteed maximum price contract.</w:t>
      </w:r>
    </w:p>
    <w:p>
      <w:pPr>
        <w:spacing w:after="0" w:line="3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Under the terms of the construction contract with Marnell Corrao, Marnell Corrao is, subject to specific conditions and limitations, responsible for all construction costs covered by the construction contract that exceed the approximately $919 million guaranteed maximum price contained in the contract.</w:t>
      </w:r>
    </w:p>
    <w:p>
      <w:pPr>
        <w:spacing w:after="0" w:line="7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Austi, the parent company of the contractor, which is a private company controlled by the Anthony A. Marnell II family, has agreed to provide a continuing guaranty by which Austi guarantees Marnell Corrao’s full performance under the construction contract until final payment under that contract. In addition, Marnell Corrao is obligated to obtain and provide a $150 million contractor performance and payment bond.</w:t>
      </w:r>
    </w:p>
    <w:p>
      <w:pPr>
        <w:spacing w:after="0" w:line="12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cannot assure you that Marnell Corrao and Austi will have sufficient financial resources to fund any cost overruns or liquidated damages for which Marnell Corrao is responsible under the guaranteed maximum price contract. Furthermore, neither Marnell Corrao nor Austi is contractually obligated to maintain its financial resources to cover cost overruns. If Marnell Corrao and Austi do not have the resources to meet their obligations and we are unable to obtain funds under the performance and payment bond in a timely manner, or if the performance and payment bond is insufficient to cover any shortfall, we may need to pay these excess costs in order to complete construction of Le Rêve.</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Certain provisions in the construction contract with Marnell Corrao for construction of Le Rêve may be unenforceable.</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Recently enacted Nevada statutes have substantially impaired, and in some cases eliminated, an owner’s ability to withhold funds from a contractor or subcontractor, even when there may be defective work or a dispute about amounts owed. The new laws also limit an owner’s ability to terminate, suspend or interrupt the construction, and in several circumstances, entitle the contractor and subcontractor to payment of their full unearned fee, following a brief notice period, if the owner suspends, terminates or interrupts the construction or fails to make payment or withholds amounts claimed to be due. In addition, Nevada law permits contractors and subcontractors to terminate construction contracts upon very short notice periods if any payments are not timely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30" w:name="page31"/>
    <w:bookmarkEnd w:id="30"/>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made to the contractors. The construction contract with Marnell Corrao contains provisions that provide us with rights and protections that in some circumstances may be inconsistent with these new laws. While it appears that some of the new laws can be waived, others expressly prohibit waiver. The effect of the new laws on the provisions of the construction contract is not completely clear. Therefore, while we have negotiated with Marnell Corrao for specific rights and obligations, including with respect to damages, termination and suspension of construction, those provisions of the construction contract may not be enforceable to the extent they conflict with non-waivable provisions of applicable laws. If the provisions of the construction contract are not enforceable, delays or suspensions in the work initiated by the owner or other events may expose us to increased costs. We cannot assure you that we will have sufficient funds to pay these increased costs.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There are significant risks associated with major construction projects that may prevent completion of Le Rêve on budget and on schedule.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Major construction projects of the scope and scale of Le Rêve entail significant risks, including:</w:t>
      </w:r>
    </w:p>
    <w:p>
      <w:pPr>
        <w:spacing w:after="0" w:line="77" w:lineRule="exact"/>
        <w:rPr>
          <w:sz w:val="20"/>
          <w:szCs w:val="20"/>
          <w:color w:val="auto"/>
        </w:rPr>
      </w:pPr>
    </w:p>
    <w:p>
      <w:pPr>
        <w:ind w:left="880" w:hanging="426"/>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shortages of materials or skilled labor;</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unforeseen engineering, environmental and/or geological problems;</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weather interference;</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cost increases; and</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unavailability of construction equipment.</w:t>
      </w:r>
    </w:p>
    <w:p>
      <w:pPr>
        <w:spacing w:after="0" w:line="185" w:lineRule="exact"/>
        <w:rPr>
          <w:sz w:val="20"/>
          <w:szCs w:val="20"/>
          <w:color w:val="auto"/>
        </w:rPr>
      </w:pPr>
    </w:p>
    <w:p>
      <w:pPr>
        <w:ind w:right="760" w:firstLine="456"/>
        <w:spacing w:after="0" w:line="332" w:lineRule="auto"/>
        <w:rPr>
          <w:sz w:val="20"/>
          <w:szCs w:val="20"/>
          <w:color w:val="auto"/>
        </w:rPr>
      </w:pPr>
      <w:r>
        <w:rPr>
          <w:rFonts w:ascii="Arial" w:cs="Arial" w:eastAsia="Arial" w:hAnsi="Arial"/>
          <w:sz w:val="16"/>
          <w:szCs w:val="16"/>
          <w:color w:val="auto"/>
        </w:rPr>
        <w:t>Construction, equipment or staffing problems or difficulties in obtaining any of the requisite licenses, permits and authorizations from regulatory authorities could increase the total cost, delay or prevent the construction or opening or otherwise affect the design and features of Le Rêve.</w:t>
      </w:r>
    </w:p>
    <w:p>
      <w:pPr>
        <w:spacing w:after="0" w:line="7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anticipate that only some of the subcontractors engaged by the contractor to perform work and/or supply materials in connection with the construction of Le Rêve will post bonds guaranteeing timely completion of a subcontractor’s work and payment for all of that subcontractor’s labor and materials. We cannot assure you that these bonds will be adequate to ensure completion of the work.</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cannot assure you that Le Rêve will commence operations on schedule or that construction costs for Le Rêve will not exceed budgeted amounts.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Failure to complete Le Rêve on budget or on schedule may have a significant negative effect on us.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Simultaneous construction of Le Rêve and the Macau casino(s) may stretch management time and resources.</w:t>
      </w:r>
    </w:p>
    <w:p>
      <w:pPr>
        <w:spacing w:after="0" w:line="77" w:lineRule="exact"/>
        <w:rPr>
          <w:sz w:val="20"/>
          <w:szCs w:val="20"/>
          <w:color w:val="auto"/>
        </w:rPr>
      </w:pPr>
    </w:p>
    <w:p>
      <w:pPr>
        <w:jc w:val="both"/>
        <w:ind w:right="120" w:firstLine="456"/>
        <w:spacing w:after="0" w:line="303" w:lineRule="auto"/>
        <w:rPr>
          <w:sz w:val="20"/>
          <w:szCs w:val="20"/>
          <w:color w:val="auto"/>
        </w:rPr>
      </w:pPr>
      <w:r>
        <w:rPr>
          <w:rFonts w:ascii="Arial" w:cs="Arial" w:eastAsia="Arial" w:hAnsi="Arial"/>
          <w:sz w:val="15"/>
          <w:szCs w:val="15"/>
          <w:color w:val="auto"/>
        </w:rPr>
        <w:t>Le Rêve is scheduled to open in April 2005, and our subsidiary Wynn Macau may pursue development of its first permanent casino resort in Macau in the same time period. If both projects are being built simultaneously, members of our senior management will be involved in planning and developing both projects. Developing the Macau opportunity simultaneously with Le Rêve may divert management resources from the construction and/or opening of either project.</w:t>
      </w:r>
    </w:p>
    <w:p>
      <w:pPr>
        <w:spacing w:after="0" w:line="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Management’s inability to devote sufficient time and attention to either project may delay the construction or opening of either project. This type of delay could have a negative effect on our business and operations.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Risks Related to Our Substantial Indebtedness</w:t>
      </w:r>
    </w:p>
    <w:p>
      <w:pPr>
        <w:spacing w:after="0" w:line="77" w:lineRule="exact"/>
        <w:rPr>
          <w:sz w:val="20"/>
          <w:szCs w:val="20"/>
          <w:color w:val="auto"/>
        </w:rPr>
      </w:pPr>
    </w:p>
    <w:p>
      <w:pPr>
        <w:ind w:left="240" w:right="40"/>
        <w:spacing w:after="0" w:line="268" w:lineRule="auto"/>
        <w:rPr>
          <w:sz w:val="20"/>
          <w:szCs w:val="20"/>
          <w:color w:val="auto"/>
        </w:rPr>
      </w:pPr>
      <w:r>
        <w:rPr>
          <w:rFonts w:ascii="Arial" w:cs="Arial" w:eastAsia="Arial" w:hAnsi="Arial"/>
          <w:sz w:val="18"/>
          <w:szCs w:val="18"/>
          <w:i w:val="1"/>
          <w:iCs w:val="1"/>
          <w:color w:val="auto"/>
        </w:rPr>
        <w:t>We are highly leveraged and future cash flow may not be sufficient for our subsidiaries to meet their obligations, and we might have difficulty obtaining more financing.</w:t>
      </w:r>
    </w:p>
    <w:p>
      <w:pPr>
        <w:spacing w:after="0" w:line="3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As we progress toward the completion of the construction of Le Rêve, we will have a substantial amount of consolidated debt in relation to our equity, which debt will increase during the construction period. Wynn Las Vegas has entered into debt facilities that will result in total outstanding indebtedness of approximately $1.5 billion by the time Le Rêve is completed.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subsidiaries’ substantial indebtedness could have important consequences. For example:</w:t>
      </w:r>
    </w:p>
    <w:p>
      <w:pPr>
        <w:spacing w:after="0" w:line="77" w:lineRule="exact"/>
        <w:rPr>
          <w:sz w:val="20"/>
          <w:szCs w:val="20"/>
          <w:color w:val="auto"/>
        </w:rPr>
      </w:pPr>
    </w:p>
    <w:p>
      <w:pPr>
        <w:ind w:left="880" w:hanging="426"/>
        <w:spacing w:after="0" w:line="288" w:lineRule="auto"/>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Wynn Las Vegas does not complete construction of Le Rêve by the scheduled completion date, which may be extended in accordance with the Disbursement Agreement, but not beyond September 30, 2005, except for certain limited permitted exceptions due to force majeure events, fails to meet its payment obligations or otherwise defaults under the agreements governing the indebtedness, the lenders under those agreements will have the right to accelerate the indebtedness and exercise other rights and remedies against Wynn Las Vegas and the guarantors of the indebtedness. These rights and remedies include the rights to: repossess and foreclose upon the assets that serve as collateral, initiate judicial foreclosure against Wynn Las Vegas and the guarantors, petition a court to appoint a receiver for Wynn Las Vegas and the guarantors or for substantially all of their assets, and if they are insolvent, to initiate involuntary bankruptcy proceedings against Wynn Las Vegas and the guarantors, in each case, subject to procedural restraints and limitations applicable to secured creditors generally and also those imposed by applicable gaming laws, rules and regulations and the rules and regulations of the Public Utilities Commission of Nevada;</w:t>
      </w:r>
    </w:p>
    <w:p>
      <w:pPr>
        <w:spacing w:after="0" w:line="25" w:lineRule="exact"/>
        <w:rPr>
          <w:rFonts w:ascii="Arial" w:cs="Arial" w:eastAsia="Arial" w:hAnsi="Arial"/>
          <w:sz w:val="16"/>
          <w:szCs w:val="16"/>
          <w:color w:val="auto"/>
        </w:rPr>
      </w:pPr>
    </w:p>
    <w:p>
      <w:pPr>
        <w:ind w:left="880" w:right="80" w:hanging="426"/>
        <w:spacing w:after="0" w:line="259"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Once Le Rêve is operating, Wynn Las Vegas will be required to use a substantial portion of its cash flow from operations to service and amortize its indebtedness, which will reduce the available cash flow to fund working capital, capital expenditures and other general corporate purposes and distributions up to Wynn Resorts;</w:t>
      </w:r>
    </w:p>
    <w:p>
      <w:pPr>
        <w:spacing w:after="0" w:line="45" w:lineRule="exact"/>
        <w:rPr>
          <w:rFonts w:ascii="Arial" w:cs="Arial" w:eastAsia="Arial" w:hAnsi="Arial"/>
          <w:sz w:val="18"/>
          <w:szCs w:val="18"/>
          <w:color w:val="auto"/>
        </w:rPr>
      </w:pPr>
    </w:p>
    <w:p>
      <w:pPr>
        <w:ind w:left="880" w:right="200" w:hanging="426"/>
        <w:spacing w:after="0" w:line="268"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37" w:lineRule="exact"/>
        <w:rPr>
          <w:rFonts w:ascii="Arial" w:cs="Arial" w:eastAsia="Arial" w:hAnsi="Arial"/>
          <w:sz w:val="18"/>
          <w:szCs w:val="18"/>
          <w:color w:val="auto"/>
        </w:rPr>
      </w:pPr>
    </w:p>
    <w:p>
      <w:pPr>
        <w:ind w:left="880" w:right="880" w:hanging="426"/>
        <w:spacing w:after="0" w:line="268"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have a limited ability to obtain additional financing, if needed, to fund Le Rêve’s design and construction costs, working capital requirements, capital expenditures, debt service, general corporate or other obligations;</w:t>
      </w:r>
    </w:p>
    <w:p>
      <w:pPr>
        <w:spacing w:after="0" w:line="37" w:lineRule="exact"/>
        <w:rPr>
          <w:rFonts w:ascii="Arial" w:cs="Arial" w:eastAsia="Arial" w:hAnsi="Arial"/>
          <w:sz w:val="18"/>
          <w:szCs w:val="18"/>
          <w:color w:val="auto"/>
        </w:rPr>
      </w:pPr>
    </w:p>
    <w:p>
      <w:pPr>
        <w:ind w:left="880" w:right="380" w:hanging="426"/>
        <w:spacing w:after="0" w:line="325" w:lineRule="auto"/>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Under the Credit Facilities and the FF&amp;E Facility, a substantial portion of the interest rates Wynn Las Vegas pays will fluctuate with the current market rates and, accordingly, Wynn Las Vegas’ interest expense will increase if market interest rates increase;</w:t>
      </w:r>
    </w:p>
    <w:p>
      <w:pPr>
        <w:spacing w:after="0" w:line="1" w:lineRule="exact"/>
        <w:rPr>
          <w:rFonts w:ascii="Arial" w:cs="Arial" w:eastAsia="Arial" w:hAnsi="Arial"/>
          <w:sz w:val="16"/>
          <w:szCs w:val="16"/>
          <w:color w:val="auto"/>
        </w:rPr>
      </w:pPr>
    </w:p>
    <w:p>
      <w:pPr>
        <w:ind w:left="880" w:hanging="426"/>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subsidiaries’ substantial indebtedness will increase their vulnerability to general adverse economic and industry conditions; and</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placed at a competitive disadvantage to our competitors who are not as highly leveraged.</w:t>
      </w:r>
    </w:p>
    <w:p>
      <w:pPr>
        <w:spacing w:after="0" w:line="185"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Wynn Resorts is a guarantor of the indebtedness under the Credit Facilities, the FF&amp;E Facility and the Notes and as a result, Wynn Resorts is obligated to make payments to the lenders and the holders of the Notes if Wynn Las Vegas and the other guarantors of the indebtedness fail to satisfy their obligations under the Credit Facilities, the FF&amp;E Facility or the Notes.</w:t>
      </w:r>
    </w:p>
    <w:p>
      <w:pPr>
        <w:spacing w:after="0" w:line="127" w:lineRule="exact"/>
        <w:rPr>
          <w:sz w:val="20"/>
          <w:szCs w:val="20"/>
          <w:color w:val="auto"/>
        </w:rPr>
      </w:pPr>
    </w:p>
    <w:p>
      <w:pPr>
        <w:ind w:left="240" w:right="480"/>
        <w:spacing w:after="0" w:line="268" w:lineRule="auto"/>
        <w:rPr>
          <w:sz w:val="20"/>
          <w:szCs w:val="20"/>
          <w:color w:val="auto"/>
        </w:rPr>
      </w:pPr>
      <w:r>
        <w:rPr>
          <w:rFonts w:ascii="Arial" w:cs="Arial" w:eastAsia="Arial" w:hAnsi="Arial"/>
          <w:sz w:val="18"/>
          <w:szCs w:val="18"/>
          <w:i w:val="1"/>
          <w:iCs w:val="1"/>
          <w:color w:val="auto"/>
        </w:rPr>
        <w:t>As a holding company, Wynn Resorts is entirely dependent upon the operations of its subsidiaries and their ability to make dividends or distributions to provide cash flow at Wynn Resorts.</w:t>
      </w:r>
    </w:p>
    <w:p>
      <w:pPr>
        <w:spacing w:after="0" w:line="3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Wynn Resorts is a holding company and its assets consist primarily of investments in its subsidiaries, including Valvino, Wynn Resorts Holdings, Wynn Las Vegas and Wynn Macau.</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428" w:right="319" w:bottom="1440" w:gutter="0" w:footer="0" w:header="0"/>
        </w:sectPr>
      </w:pPr>
    </w:p>
    <w:bookmarkStart w:id="32" w:name="page33"/>
    <w:bookmarkEnd w:id="32"/>
    <w:p>
      <w:pPr>
        <w:ind w:right="5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subsidiaries will conduct substantially all of our consolidated operations and own substantially all of our consolidated assets. As a result, Wynn Resorts’ cash flow will depend upon:</w:t>
      </w:r>
    </w:p>
    <w:p>
      <w:pPr>
        <w:spacing w:after="0" w:line="37" w:lineRule="exact"/>
        <w:rPr>
          <w:sz w:val="20"/>
          <w:szCs w:val="20"/>
          <w:color w:val="auto"/>
        </w:rPr>
      </w:pPr>
    </w:p>
    <w:p>
      <w:pPr>
        <w:ind w:left="880" w:hanging="426"/>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cash flow of our subsidiaries; and</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of those subsidiaries to provide funds to us in the form of dividends, distributions, loans or otherwise.</w:t>
      </w:r>
    </w:p>
    <w:p>
      <w:pPr>
        <w:spacing w:after="0" w:line="1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Credit Facilities, the FF&amp;E Facility and the indenture governing the Notes significantly restrict the ability of Wynn Las Vegas to make any dividends or distributions to Wynn Resorts. In addition, we expect that any financing arrangements entered into by Wynn Macau or one of its intermediary holding companies will contain similar restrictions. As a result of these restrictions, or for other reasons, cash flow generated by the Macau casinos operated by Wynn Macau may not be available to service the debt of the subsidiaries developing the Le Rêve project. Similarly, any cash flow generated by the Le Rêve project may not be available to service any debt of the subsidiaries developing the Macau opportunity. See also “Part II, Item 5—Market for Registrant’s Common Equity and Related Stockholder Matters—</w:t>
      </w:r>
      <w:r>
        <w:rPr>
          <w:rFonts w:ascii="Arial" w:cs="Arial" w:eastAsia="Arial" w:hAnsi="Arial"/>
          <w:sz w:val="18"/>
          <w:szCs w:val="18"/>
          <w:i w:val="1"/>
          <w:iCs w:val="1"/>
          <w:color w:val="auto"/>
        </w:rPr>
        <w:t>Dividends</w:t>
      </w:r>
      <w:r>
        <w:rPr>
          <w:rFonts w:ascii="Arial" w:cs="Arial" w:eastAsia="Arial" w:hAnsi="Arial"/>
          <w:sz w:val="18"/>
          <w:szCs w:val="18"/>
          <w:color w:val="auto"/>
        </w:rPr>
        <w:t>.”</w:t>
      </w:r>
    </w:p>
    <w:p>
      <w:pPr>
        <w:spacing w:after="0" w:line="13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Although Wynn Las Vegas will be permitted to distribute funds to Wynn Resorts to cover certain corporate overhead, and, following completion of Le Rêve, will be permitted to pay limited management fees to Wynn Resorts if Wynn Las Vegas achieves certain financial ratios and there is not a default under the Credit Facilities or the indenture governing the Notes, we do not expect to have any significant cash flow at Wynn Resorts from Wynn Las Vegas for a considerable period of time.</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subsidiaries may not generate sufficient cash flow to meet their substantial debt service and other obligations.</w:t>
      </w:r>
    </w:p>
    <w:p>
      <w:pPr>
        <w:spacing w:after="0" w:line="7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Before the opening of Le Rêve, which is expected to occur in April 2005, and the possible opening of one or more casinos in Macau, we and our subsidiaries will have no material operations or earnings. Consequently, we will be dependent on the proceeds of our initial public offering, borrowings under the Credit Facilities and the FF&amp;E Facility and the proceeds of the Notes to meet all of Wynn Las Vegas’ construction, debt service and other obligations.</w:t>
      </w:r>
    </w:p>
    <w:p>
      <w:pPr>
        <w:spacing w:after="0" w:line="9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After Le Rêve opens, Wynn Las Vegas’ ability to make interest payments under the Credit Facilities, the FF&amp;E Facility, the Notes and other indebtedness will depend on its ability to generate sufficient cash flow from operations. We cannot assure you that Wynn Las Vegas will begin operations by the scheduled opening date or at all, or that it will be able to generate sufficient cash flow to meet its expenses, including its debt service requirements. Wynn Las Vegas’ ability to generate cash flow will depend upon many factors, including:</w:t>
      </w:r>
    </w:p>
    <w:p>
      <w:pPr>
        <w:spacing w:after="0" w:line="49" w:lineRule="exact"/>
        <w:rPr>
          <w:sz w:val="20"/>
          <w:szCs w:val="20"/>
          <w:color w:val="auto"/>
        </w:rPr>
      </w:pPr>
    </w:p>
    <w:p>
      <w:pPr>
        <w:ind w:left="880" w:hanging="426"/>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its future operating performance;</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demand for services that it provides;</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conditions and economic conditions affecting Nevada or the casino industry in particular;</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its ability to hire and retain employees at a reasonable cost;</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legislative and regulatory factors affecting its operations and business.</w:t>
      </w:r>
    </w:p>
    <w:p>
      <w:pPr>
        <w:spacing w:after="0" w:line="18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Some of these factors are beyond our subsidiaries’ control. Any inability of Wynn Las Vegas to meet its debt service obligations would have a material adverse effect on us.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28" w:right="259" w:bottom="1440" w:gutter="0" w:footer="0" w:header="0"/>
        </w:sectPr>
      </w:pPr>
    </w:p>
    <w:bookmarkStart w:id="33" w:name="page34"/>
    <w:bookmarkEnd w:id="33"/>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subsidiaries’ indebtedness is secured by a substantial portion of their assets.</w:t>
      </w:r>
    </w:p>
    <w:p>
      <w:pPr>
        <w:spacing w:after="0" w:line="7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Subject to applicable laws, including gaming laws, and certain agreed upon exceptions, the Credit Facilities and Notes are secured by liens on substantially all of the assets of our Nevada subsidiaries that are necessary for the development, construction or operation of Le Rêve. We expect that the financing documents for the Macau opportunity will similarly involve the granting of security interests in substantially all of the assets of Wynn Macau.</w:t>
      </w:r>
    </w:p>
    <w:p>
      <w:pPr>
        <w:spacing w:after="0" w:line="9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the event of a default by any of our subsidiaries under their financing documents, or if certain of our subsidiaries experience insolvency, liquidation, dissolution or reorganization, the holders of indebtedness under the Credit Facilities, the FF&amp;E Facility, the indenture governing the Notes and any other secured debt instruments would be entitled to payment from their collateral security, and holders of the unsecured debt of both us and our subsidiaries, if any, would then be entitled to payment in full from our remaining assets before distributions, if any, were made to Wynn Resorts’ stockholders.</w:t>
      </w:r>
    </w:p>
    <w:p>
      <w:pPr>
        <w:spacing w:after="0" w:line="9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Credit Facilities, the FF&amp;E Facility and the indenture governing the Notes contain covenants that restrict our Nevada subsidiaries’ ability to engage in certain transactions and may impair our ability to respond to changing business and economic conditions.</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Credit Facilities, the FF&amp;E Facility and the indenture governing the Notes impose operating and financial restrictions on Wynn Las Vegas, Wynn Capital and specified affiliates designated as restricted entities. The restrictions imposed under these debt instruments include, among other things, limitations on the restricted entities’ ability to:</w:t>
      </w:r>
    </w:p>
    <w:p>
      <w:pPr>
        <w:spacing w:after="0" w:line="46" w:lineRule="exact"/>
        <w:rPr>
          <w:sz w:val="20"/>
          <w:szCs w:val="20"/>
          <w:color w:val="auto"/>
        </w:rPr>
      </w:pPr>
    </w:p>
    <w:p>
      <w:pPr>
        <w:ind w:left="880" w:hanging="426"/>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dividends or distributions on their capital stock or repurchase their capital stock;</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create liens on their assets to secure debt;</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 preferred stock;</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 and</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 and sell equity interests in wholly owned subsidiaries.</w:t>
      </w:r>
    </w:p>
    <w:p>
      <w:pPr>
        <w:spacing w:after="0" w:line="1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Credit Facilities require Wynn Las Vegas and the restricted entities to satisfy various financial covenants, including maximum total leverage, minimum fixed charge coverage, minimum earnings before interest, tax, depreciation and amortization and minimum net worth requirements. Future indebtedness or other contracts could contain financial or other covenants more restrictive than those applicable to the Credit Facilities, the FF&amp;E Facility and the Notes.</w:t>
      </w:r>
    </w:p>
    <w:p>
      <w:pPr>
        <w:spacing w:after="0" w:line="93"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The ability of Wynn Las Vegas and the restricted entities to comply with these provisions may be affected by general economic conditions, industry conditions, other events beyond their control and delayed completion of Le Rêve. As a result, we cannot assure you that Wynn Las Vegas and the restricted entities will be able to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28" w:right="259" w:bottom="1440" w:gutter="0" w:footer="0" w:header="0"/>
        </w:sectPr>
      </w:pPr>
    </w:p>
    <w:bookmarkStart w:id="34" w:name="page35"/>
    <w:bookmarkEnd w:id="34"/>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comply with these covenants. Failure by Wynn Las Vegas and the restricted entities to comply with the covenants contained in the Credit Facilities, the FF&amp;E Facility or the indenture governing the Notes, including failure as a result of events beyond their control, could result in an event of default, which could materially and adversely affect our operating results and our financial condition. If Wynn Las Vegas and the restricted entities fail to comply with a financial covenant or other restriction contained in the Credit Facilities, the FF&amp;E Facility, the indenture governing the Notes or any future financing agreements, an event of default could occur, which could result in acceleration of all of Wynn Las Vegas’ and the restricted entities’ indebtedness.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Risks Associated with Our Business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have no operating history.</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were formed principally to develop and operate Le Rêve in Las Vegas and to pursue the Macau opportunity. Le Rêve and the Macau opportunity will be new developments with no history of operations. We cannot assure you that we will be able to attract a sufficient number of hotel guests, gaming customers and other visitors to Le Rêve or the Macau casino(s) to make their operations profitable, either independently in Las Vegas or Macau or as a whole.</w:t>
      </w:r>
    </w:p>
    <w:p>
      <w:pPr>
        <w:spacing w:after="0" w:line="9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operations will be subject to the significant business, economic, regulatory and competitive uncertainties and contingencies frequently encountered by new businesses in competitive environments, many of which are beyond our control. Because we have no operating history, it may be more difficult for us to prepare for and respond to these types of risks and the risks described elsewhere in this Annual Report on Form 10-K than for a company with an established business and operating cash flow. If we are not able to manage these risks successfully, it could negatively impact our operations.</w:t>
      </w:r>
    </w:p>
    <w:p>
      <w:pPr>
        <w:spacing w:after="0" w:line="99"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intend to lease approximately eight of the retail spaces at Le Rêve and will own and operate the remaining approximately 18 retail spaces. We have entered into one restaurant management agreement, and we may enter into others with respect to one or more of the restaurants at Le Rêve. We have not yet entered into binding agreements with any retail tenants or other restaurant operators, and we may not be able to obtain the number or quality of retail tenants or restaurant operators for the retail and restaurant portions of Le Rêve that currently are planned. If we do not obtain tenants and operators in sufficient number or of sufficient quality, it could impair the competitive position of Le Rêve and affect our operating performance.</w:t>
      </w:r>
    </w:p>
    <w:p>
      <w:pPr>
        <w:spacing w:after="0" w:line="10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Until construction of Le Rêve is close to completion, we do not believe that we will require extensive operational management. Accordingly, we have kept and intend to keep our permanent management staff at relatively low levels. We will be required to undertake a major recruiting program before Le Rêve opens. However, the pool of experienced gaming and other personnel is limited and competition to recruit and retain gaming and other personnel is likely to intensify as competition in the Las Vegas hotel casino market increases. We cannot assure you that we will be able to attract and retain a sufficient number of qualified individuals to operate Le Rêve on acceptable terms.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loss of Stephen A. Wynn could significantly harm our business.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ability to maintain our competitive position is dependent to a large degree on the efforts and skills of Stephen A. Wynn, the Chairman of the Board and Chief Executive Officer and one of the principal stockholders of Wynn Resorts. We have entered into an employment agreement with Mr. Wynn. However, we cannot assure you that Mr. Wynn will remain with us. If we lose the services of Mr. Wynn, or if he is unable to devote sufficient attention to our operations, our business may be significantly impaired. In addition, if Mr. Wynn is no longer either employed by us as Chief Executive Officer or serving as Chairman of the Board of Wynn Resorts, other than as a result of death or disability or other limited circumstances, it would constitute a change of control that requires us to repay the Notes and would constitute an event of default under the Credit Facilities and the FF&amp;E Facility.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35" w:name="page36"/>
    <w:bookmarkEnd w:id="35"/>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casino, hotel, convention and other facilities at Le Rêve will face intense competition.</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 xml:space="preserve">Las Vegas Casino/Hotel Competition. </w:t>
      </w:r>
      <w:r>
        <w:rPr>
          <w:rFonts w:ascii="Arial" w:cs="Arial" w:eastAsia="Arial" w:hAnsi="Arial"/>
          <w:sz w:val="18"/>
          <w:szCs w:val="18"/>
          <w:color w:val="auto"/>
        </w:rPr>
        <w:t>The casino/hotel industry is highly competitive. Resorts located on or near the Las Vegas Strip compete with other</w:t>
      </w:r>
      <w:r>
        <w:rPr>
          <w:rFonts w:ascii="Arial" w:cs="Arial" w:eastAsia="Arial" w:hAnsi="Arial"/>
          <w:sz w:val="18"/>
          <w:szCs w:val="18"/>
          <w:i w:val="1"/>
          <w:iCs w:val="1"/>
          <w:color w:val="auto"/>
        </w:rPr>
        <w:t xml:space="preserve"> </w:t>
      </w:r>
      <w:r>
        <w:rPr>
          <w:rFonts w:ascii="Arial" w:cs="Arial" w:eastAsia="Arial" w:hAnsi="Arial"/>
          <w:sz w:val="18"/>
          <w:szCs w:val="18"/>
          <w:color w:val="auto"/>
        </w:rPr>
        <w:t>Las Vegas Strip hotels and with other hotel casinos in Las Vegas on the basis of overall atmosphere, range of amenities, level of service, price, location, entertainment, theme and size. Le Rêve also will compete with a large number of other hotels and motels located in and near Las Vegas, as well as other resort destinations. Many of our competitors have established gaming operations, are subsidiaries or divisions of large public companies and may have greater financial and other resources than we do.</w:t>
      </w:r>
    </w:p>
    <w:p>
      <w:pPr>
        <w:spacing w:after="0" w:line="12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According to the Las Vegas Convention and Visitors Authority, there were approximately 94,277 hotel rooms on or around the Las Vegas Strip as of December 31, 2001. Competitors of Le Rêve will include resorts on the Las Vegas Strip, among which are Bally’s Las Vegas, Bellagio, Caesars Palace, Harrah’s Las Vegas Hotel and Casino, Luxor Hotel and Casino, Mandalay Bay Resort &amp; Casino, MGM Grand Hotel and Casino, The Mirage, Monte Carlo Hotel and Casino, New York-New York Hotel and Casino, Paris Las Vegas, Treasure Island at The Mirage and The Venetian, and resorts off the Las Vegas Strip, such as Las Vegas Hilton, The Palms Casino Resort and Rio All-Suite Hotel &amp; Casino. The Venetian has begun an expansion anticipated to consist of an approximately 1,000-room hotel tower on top of the resort’s existing parking garage and approximately 150,000 square feet of additional meeting and conference space. The Venetian’s expansion is expected to be completed by June 2003. In addition, Mandalay Bay Resort &amp; Casino constructed a 1,122-room, all-suite tower connected to the pre-existing hotel casino resort and a new convention and meeting complex. Caesars Palace is also currently constructing an approximately 4,000-seat performing arts “Colosseum,” which is scheduled to soon be completed. Moreover, MGM Mirage has announced that it will begin construction in mid-2003 of an approximately 925-room “spa tower” addition to Bellagio, as well as expand Bellagio’s spa and salon, meeting space and retail space, with an expected completion in December 2004.</w:t>
      </w:r>
    </w:p>
    <w:p>
      <w:pPr>
        <w:spacing w:after="0" w:line="114"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construction and expansion of these properties during the time that Le Rêve is being constructed may affect the availability of construction labor and supplies, resulting in increased costs. We cannot assure you that the Las Vegas market will continue to grow or that hotel casino resorts will continue to be popular. A decline or leveling off of the growth or popularity of hotel casino resorts or the appeal of the features offered by Le Rêve would impair our financial condition and future results of operations.</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Le Rêve will be different from many other Las Vegas resorts in that it will not focus on a highly themed experience. Instead, Le Rêve will offer an environment having a sophisticated, casually elegant ambience. Le Rêve’s environment may not appeal to customers. In addition, customer preferences and trends can change, often without warning, and we may not be able to predict or respond to changes in customer preferences in time to adapt Le Rêve and the attractions and amenities it offers to address new trends.</w:t>
      </w:r>
    </w:p>
    <w:p>
      <w:pPr>
        <w:spacing w:after="0" w:line="13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i w:val="1"/>
          <w:iCs w:val="1"/>
          <w:color w:val="auto"/>
        </w:rPr>
        <w:t xml:space="preserve">Other Competition for Le Rêve. </w:t>
      </w:r>
      <w:r>
        <w:rPr>
          <w:rFonts w:ascii="Arial" w:cs="Arial" w:eastAsia="Arial" w:hAnsi="Arial"/>
          <w:sz w:val="16"/>
          <w:szCs w:val="16"/>
          <w:color w:val="auto"/>
        </w:rPr>
        <w:t>Le Rêve also will compete, to some extent, with other hotel/casino facilities in Nevada and in Atlantic City, with</w:t>
      </w:r>
      <w:r>
        <w:rPr>
          <w:rFonts w:ascii="Arial" w:cs="Arial" w:eastAsia="Arial" w:hAnsi="Arial"/>
          <w:sz w:val="16"/>
          <w:szCs w:val="16"/>
          <w:i w:val="1"/>
          <w:iCs w:val="1"/>
          <w:color w:val="auto"/>
        </w:rPr>
        <w:t xml:space="preserve"> </w:t>
      </w:r>
      <w:r>
        <w:rPr>
          <w:rFonts w:ascii="Arial" w:cs="Arial" w:eastAsia="Arial" w:hAnsi="Arial"/>
          <w:sz w:val="16"/>
          <w:szCs w:val="16"/>
          <w:color w:val="auto"/>
        </w:rPr>
        <w:t>riverboat gaming facilities in other states, with hotel/casino facilities elsewhere in the world, with state lotteries and with Internet gaming. In addition, certain states recently have legalized, and others may or are likely to legalize, casino gaming in specific areas. Passage of the Tribal Government Gaming and Economic Self-Sufficiency Act in 1988 has led to rapid increases in Native American gaming 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As a result, casino-style gaming on tribal lands is growing and could become a significant competitive force. The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Los Angeles, San Francisco and Boston, from which we intend to attract customers, could have a substantial negative effect on our business. In addition, new or renovated casinos in Macau or elsewhere in Asia could draw Asian gaming customers, including high-rollers, away from Las Vegas.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28" w:right="239" w:bottom="1440" w:gutter="0" w:footer="0" w:header="0"/>
        </w:sectPr>
      </w:pPr>
    </w:p>
    <w:bookmarkStart w:id="36" w:name="page37"/>
    <w:bookmarkEnd w:id="36"/>
    <w:p>
      <w:pPr>
        <w:ind w:left="240"/>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Because we may be entirely dependent upon a limited number of properties for all of our cash flow, we will be subject to greater risks than a gaming company with more operating properties.</w:t>
      </w:r>
    </w:p>
    <w:p>
      <w:pPr>
        <w:spacing w:after="0" w:line="3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do not expect to have material assets or operations other than Le Rêve and Wynn Macau’s casino(s) for the foreseeable future. As a result, we likely will be entirely dependent upon Le Rêve and the Macau casino(s) for all of our cash flow.</w:t>
      </w:r>
    </w:p>
    <w:p>
      <w:pPr>
        <w:spacing w:after="0" w:line="118" w:lineRule="exact"/>
        <w:rPr>
          <w:sz w:val="20"/>
          <w:szCs w:val="20"/>
          <w:color w:val="auto"/>
        </w:rPr>
      </w:pPr>
    </w:p>
    <w:p>
      <w:pPr>
        <w:ind w:right="240" w:firstLine="456"/>
        <w:spacing w:after="0" w:line="325" w:lineRule="auto"/>
        <w:rPr>
          <w:sz w:val="20"/>
          <w:szCs w:val="20"/>
          <w:color w:val="auto"/>
        </w:rPr>
      </w:pPr>
      <w:r>
        <w:rPr>
          <w:rFonts w:ascii="Arial" w:cs="Arial" w:eastAsia="Arial" w:hAnsi="Arial"/>
          <w:sz w:val="16"/>
          <w:szCs w:val="16"/>
          <w:color w:val="auto"/>
        </w:rPr>
        <w:t>Given that our operations initially will only focus on one property in Las Vegas and one property in Macau, we will be subject to greater degrees of risk than a gaming company with more operating properties. The risks to which we will have a greater degree of exposure include the following:</w:t>
      </w:r>
    </w:p>
    <w:p>
      <w:pPr>
        <w:spacing w:after="0" w:line="1" w:lineRule="exact"/>
        <w:rPr>
          <w:sz w:val="20"/>
          <w:szCs w:val="20"/>
          <w:color w:val="auto"/>
        </w:rPr>
      </w:pPr>
    </w:p>
    <w:p>
      <w:pPr>
        <w:ind w:left="880" w:hanging="426"/>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inaccessibility due to inclement weather, road construction or closure of primary access routes;</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103" w:lineRule="exact"/>
        <w:rPr>
          <w:rFonts w:ascii="Arial" w:cs="Arial" w:eastAsia="Arial" w:hAnsi="Arial"/>
          <w:sz w:val="18"/>
          <w:szCs w:val="18"/>
          <w:color w:val="auto"/>
        </w:rPr>
      </w:pPr>
    </w:p>
    <w:p>
      <w:pPr>
        <w:ind w:left="880" w:right="180" w:hanging="426"/>
        <w:spacing w:after="0" w:line="268"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in the cost of electrical power for Le Rêve as a result of, among other things, power shortages in California or other western states with which Nevada shares a single regional power grid;</w:t>
      </w:r>
    </w:p>
    <w:p>
      <w:pPr>
        <w:spacing w:after="0" w:line="37" w:lineRule="exact"/>
        <w:rPr>
          <w:rFonts w:ascii="Arial" w:cs="Arial" w:eastAsia="Arial" w:hAnsi="Arial"/>
          <w:sz w:val="18"/>
          <w:szCs w:val="18"/>
          <w:color w:val="auto"/>
        </w:rPr>
      </w:pPr>
    </w:p>
    <w:p>
      <w:pPr>
        <w:ind w:left="880" w:hanging="426"/>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decline in the number of visitors to Las Vegas or Macau; and</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decrease in gaming and non-gaming activities at Le Rêve or Wynn Macau’s casino(s).</w:t>
      </w:r>
    </w:p>
    <w:p>
      <w:pPr>
        <w:spacing w:after="0" w:line="185"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Any of the factors outlined above could negatively affect our subsidiaries’ ability to generate sufficient cash flow to make payments on the second mortgage notes pursuant to the indenture, on borrowings under the Credit Facilities or the FF&amp;E Facility or with respect to our subsidiaries’ other debt.</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Terrorism and the uncertainty of war, as well as other factors affecting discretionary consumer spending, may harm our operating results.</w:t>
      </w:r>
    </w:p>
    <w:p>
      <w:pPr>
        <w:spacing w:after="0" w:line="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strength and profitability of our business will depend on consumer demand for hotel casino resorts in general and for the type of luxury amenities Le Rêve will offer. Changes in consumer preferences or discretionary consumer spending could harm our business. The terrorist attacks of September 11, 2001, and ongoing terrorist and war activities in the United States and elsewhere, have had a negative impact on travel and leisure expenditures, including lodging, gaming and tourism. We cannot predict the extent to which the events of September 11, 2001 may continue to affect us, directly or indirectly, in the future. An extended period of reduced discretionary spending and/or disruptions or declines in airline travel and business conventions could significantly harm our operations. In particular, because we expect that our business will rely heavily upon high-end credit customers, particularly international customers, factors resulting in a decreased propensity to travel internationally, like the terrorist attacks of September 11, 2001, could have a negative impact on our operations.</w:t>
      </w:r>
    </w:p>
    <w:p>
      <w:pPr>
        <w:spacing w:after="0" w:line="10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to fears of war and future acts of terrorism, other factors affecting discretionary consumer spending, including general economic conditions, disposable consumer income, fears of recession and consumer confidence in the economy, may negatively impact our business. Negative changes in factors affecting discretionary spending could reduce customer demand for the products and services we will offer, thus imposing practical limits on pricing and harming our operations.</w:t>
      </w:r>
    </w:p>
    <w:p>
      <w:pPr>
        <w:spacing w:after="0" w:line="13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Also, the terrorist attacks of September 11, 2001 have substantially affected the availability of insurance coverage for certain types of damages or occurrences. We do not have insurance coverage for occurrences of terrorist acts with respect to our Le Rêve project and any losses that could result from these acts. The lack of sufficient insurance for these types of acts could expose us to heavy losses in the event that any damages occur, directly or indirectly, as a result of terrorist attacks and have a significant negative impact on our operations.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28" w:right="299" w:bottom="1440" w:gutter="0" w:footer="0" w:header="0"/>
        </w:sectPr>
      </w:pPr>
    </w:p>
    <w:bookmarkStart w:id="37" w:name="page38"/>
    <w:bookmarkEnd w:id="37"/>
    <w:p>
      <w:pPr>
        <w:ind w:left="240" w:right="20"/>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 Rêve and Wynn Macau’s casino(s) will be subject to extensive state and local regulation, and licensing and gaming authorities have significant control over their operations, which could have a negative effect on our business.</w:t>
      </w:r>
    </w:p>
    <w:p>
      <w:pPr>
        <w:spacing w:after="0" w:line="3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opening and operation of Le Rêve and Wynn Macau’s casino(s) will be contingent upon our receipt and maintenance of all regulatory 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 Failure to obtain or maintain the necessary approvals could prevent or delay the completion or opening of all or part of the facility or otherwise affect the design and features of Le Rêve or the Macau casino(s). We do not currently hold any state and local licenses and related approvals necessary to conduct our planned gaming operations in Nevada and we cannot be certain that we will obtain at all, or on a timely basis, all required approvals and licenses. Failure to obtain or maintain any of the required gaming approvals and licenses could significantly impair our financial position and results of operations.</w:t>
      </w:r>
    </w:p>
    <w:p>
      <w:pPr>
        <w:spacing w:after="0" w:line="105"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Nevada Gaming Commission may, in its discretion, require the holder of any securities we issue, including our common stock, to file applications, be investigated and be found suitable to own Wynn Resorts’ securities if it has reason to believe that the security ownership would be inconsistent with the declared policies of the State of Nevada.</w:t>
      </w:r>
    </w:p>
    <w:p>
      <w:pPr>
        <w:spacing w:after="0" w:line="12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Macau, concessionaires are subject to ongoing suitability requirements in terms of background, business experience, associations and reputation, as are stockholders of 5% or more of the concessionaire’s equity securities, officers, directors and key employees. The government of Macau also evaluates concessionaires in terms of financial capability to sustain a gaming business in Macau. Failure to maintain the government’s requirements to own or operate a gaming concession could prevent Wynn Macau from opening or continuing to operate casinos in Macau.</w:t>
      </w:r>
    </w:p>
    <w:p>
      <w:pPr>
        <w:spacing w:after="0" w:line="99"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 could require us to make substantial expenditures or could otherwise negatively affect our gaming operations.</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Wynn Resorts’ articles of incorporation provide that, to the extent a gaming authority makes a determination of unsuitability or to the extent deemed necessary or advisable by the board of directors, Wynn Resorts may redeem shares of its capital stock that are owned or controlled by an unsuitable person or its affiliates. The redemption price may be paid in cash, by promissory note, or both, as required, and pursuant to the terms established by, the applicable gaming authority and, if not, as Wynn Resorts elects.</w:t>
      </w:r>
    </w:p>
    <w:p>
      <w:pPr>
        <w:spacing w:after="0" w:line="130"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i w:val="1"/>
          <w:iCs w:val="1"/>
          <w:color w:val="auto"/>
        </w:rPr>
        <w:t>The Nevada Gaming Commission may require the disposition of shares of certain stockholders of Wynn Resorts in a manner that may cause us to incur debt or disrupt our stock price.</w:t>
      </w:r>
    </w:p>
    <w:p>
      <w:pPr>
        <w:spacing w:after="0" w:line="37"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Kazuo Okada is the owner of a controlling interest in Aruze Corp., the parent company of Aruze USA, Inc., referred to as Aruze USA, which owns approximately 31% of Wynn Resorts’ common stock. Under the Nevada gaming regulations, any beneficial owner of more than 10% of Aruze Corp.’s voting securities must be licensed or found suitable in respect of Aruze USA’s ownership interest in Wynn Resorts, including Kazuo Okada and his son, Tomohiro Okada. Kazuo Okada is currently licensed by the Nevada Gaming Commission to own the shares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28" w:right="239" w:bottom="1440" w:gutter="0" w:footer="0" w:header="0"/>
        </w:sectPr>
      </w:pPr>
    </w:p>
    <w:bookmarkStart w:id="38" w:name="page39"/>
    <w:bookmarkEnd w:id="38"/>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Universal Distributing of Nevada, Inc., referred to as Universal Distributing, a gaming machine manufacturer and distributor. Kazuo Okada and his son previously sought approval from the Nevada Gaming Commission in connection with the proposed transfer of Universal Distributing to Aruze Corp. In connection with this application, the Nevada State Gaming Control Board raised certain concerns, including transactions which were then the subject of a pending tax case in Japan which involved Universal Distributing, Aruze Corp. and other related parties. The lower court in the Japanese tax case ruled in Aruze Corp.’s favor, which ruling was upheld on appeal. However, it is unclear whether or how these events will affect the Nevada Gaming Commission’s consideration of suitability with respect to Aruze USA’s ownership of Wynn Resorts’ stock.</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Aruze Corp. has informed us that there are a number of other outstanding issues in the Nevada State Gaming Control Board’s investigation of the proposed transfer of Universal Distributing. These issues could result in the denial of the application. In addition, on January 22, 2003, the Missouri Gaming Commission denied the renewal of a supplier’s gaming license to Sigma Game, Inc., a slot machine manufacturer with which Kazuo Okada has financial ties and with respect to which Kazuo Okada is considered by that commission to be a “key person”, on the basis that Kazuo Okada and Aruze Corp. failed to complete key person application forms for licensing in the state of Missouri as requested. We have been further informed that the Missouri gaming applications were not filed by Kazuo Okada and Aruze Corp. on advice of their legal counsel. Subsequently, Sigma Game, Inc. obtained a Missouri state court preliminary injunction reinstating its supplier’s gaming license. No formal action of any kind has been taken by the Nevada State Gaming Control Board or the Nevada Gaming Commission in connection with any of these issues. The Nevada State Gaming Control Board and Aruze Corp. have agreed to defer the pursuit of the proposed transfer of Universal Distributing until or after the applications regarding Le Rêve have been acted upon, although it was recently reported that the Chairman of the Nevada Gaming Control Board suggested that the resolution of the Japanese tax case might trigger an earlier resumption of the pending Universal Distributing licensing proceeding. If the Nevada State Gaming Control Board or the Nevada Gaming Commission were to act adversely with respect to the pending proceeding involving Universal Distributing, that decision could adversely affect an application filed by Aruze USA, Aruze Corp., Kazuo Okada or Tomohiro Okada in respect of Wynn Resorts.</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any gaming application of Aruze USA, Aruze Corp. or Kazuo Okada concerning Aruze USA’s ownership of Wynn Resorts’ stock is denied by Nevada gaming authorities or requested to be withdrawn or is not filed within 90 days after the filing of Wynn Resorts’ application, then, under certain circumstances, Wynn Resorts has the right to (i) require Mr. Wynn to purchase the shares owned by Aruze USA in Wynn Resorts or (ii) purchase the shares directly. In either circumstance, Wynn Resorts and Mr. Wynn have the option to purchase the shares with a promissory note unless the Nevada Gaming Commission determines that Aruze USA is unsuitable to hold a note as described in more detail below. If we are required to purchase the shares held by Aruze USA, we may have to seek equity financing for such a purchase or issue a promissory note and therefore incur an indebtedness obligation to Aruze USA, which we are permitted to do under our articles of incorporation. Any such debt obligation on our balance sheet may negatively affect the price of our common stock.</w:t>
      </w:r>
    </w:p>
    <w:p>
      <w:pPr>
        <w:spacing w:after="0" w:line="105"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Moreover, if the Nevada Gaming Commission were to determine that Aruze USA is unsuitable to hold a promissory note issued by Wynn Resorts or Mr. Wynn, the Nevada Gaming Commission could order Aruze USA or its affiliate to dispose of its voting securities within a prescribed period of time that may not be sufficient to dispose of the securities in an orderly manner, which could have a negative effect on the price of our common stock.</w:t>
      </w:r>
    </w:p>
    <w:p>
      <w:pPr>
        <w:spacing w:after="0" w:line="93"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If Aruze USA or its affiliate were unable to dispose of its voting securities within the prescribed period of time, or if Wynn Resorts failed to pursue all lawful efforts to require Aruze USA or its affiliate to relinquish its voting securities, including, if necessary, the immediate purchase of the voting securities for cash at fair market value, the Nevada Gaming Commission could determine that Wynn Resorts was unsuitable or could take disciplinary action against Wynn Resorts. Disciplinary action could result in the limitation, conditioning, suspension or revocation of any approvals or gaming licenses held by Wynn Resorts and/or the imposition of a significant monetary fine against Wynn Resorts. Any such disciplinary action could significantly impair our operations.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39" w:name="page40"/>
    <w:bookmarkEnd w:id="39"/>
    <w:p>
      <w:pPr>
        <w:ind w:left="240" w:right="80"/>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Las Vegas business will rely on high-end, international customers to whom we may extend credit, and we may not be able to collect gaming receivables from our credit players.</w:t>
      </w:r>
    </w:p>
    <w:p>
      <w:pPr>
        <w:spacing w:after="0" w:line="3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expect that a significant portion of our table game revenue at Le Rêve will be attributable to the play of a limited number of international customers. The loss or a reduction in the play of the most significant of these customers could have a substantial negative effect on our future operating results. A downturn in economic conditions in the countries in which these customers reside could cause a reduction in the frequency of visits and revenue generated by these customers.</w:t>
      </w:r>
    </w:p>
    <w:p>
      <w:pPr>
        <w:spacing w:after="0" w:line="13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will conduct our gaming activities at Le Rêve on a credit as well as a cash basis. This credit will be unsecured. Table games players typically will be extended more credit than slot players, and high-stakes players typically will be extended more credit than patrons who tend to wager lower amounts. High-end gaming is more volatile than other forms of gaming, and variances in win-loss results attributable to high-end gaming may have a positive or negative impact on cash flow and earnings in a particular quarter.</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collectibility of receivables from international customers could be negatively affected by future business or economic trends or by significant events in the countries in which these customers reside. We will extend credit to those customers whose level of play and financial resources warrant, in the opinion of management, an extension of credit.</w:t>
      </w:r>
    </w:p>
    <w:p>
      <w:pPr>
        <w:spacing w:after="0" w:line="127"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While gaming debts evidenced by a credit instrument, including what is commonly referred to as a “marker,” and judgments on gaming debts are enforceable under the current laws of Nevada, and judgments on gaming debts are enforceable in all states under the Full Faith and Credit Clause of the United States Constitution, other jurisdictions may determine that direct enforcement of gaming debts is against public policy. Although courts of some foreign nations will enforce gaming debts directly and the assets in the United States of foreign debtors may be reached to satisfy a judgment, judgments on gaming debts from U.S. courts are not binding on the courts of many foreign nations. We cannot assure you that we will be able to collect the full amount of gaming debts owed to us, even in jurisdictions that enforce gaming debts. Our inability to collect gaming debts could have a significant negative impact on our operating results.</w:t>
      </w:r>
    </w:p>
    <w:p>
      <w:pPr>
        <w:spacing w:after="0" w:line="91" w:lineRule="exact"/>
        <w:rPr>
          <w:sz w:val="20"/>
          <w:szCs w:val="20"/>
          <w:color w:val="auto"/>
        </w:rPr>
      </w:pPr>
    </w:p>
    <w:p>
      <w:pPr>
        <w:ind w:left="240" w:right="80"/>
        <w:spacing w:after="0" w:line="268" w:lineRule="auto"/>
        <w:rPr>
          <w:sz w:val="20"/>
          <w:szCs w:val="20"/>
          <w:color w:val="auto"/>
        </w:rPr>
      </w:pPr>
      <w:r>
        <w:rPr>
          <w:rFonts w:ascii="Arial" w:cs="Arial" w:eastAsia="Arial" w:hAnsi="Arial"/>
          <w:sz w:val="18"/>
          <w:szCs w:val="18"/>
          <w:i w:val="1"/>
          <w:iCs w:val="1"/>
          <w:color w:val="auto"/>
        </w:rPr>
        <w:t>Because we own real property, we are subject to extensive environmental regulation, which creates uncertainty regarding future environmental expenditures and liabilities.</w:t>
      </w:r>
    </w:p>
    <w:p>
      <w:pPr>
        <w:spacing w:after="0" w:line="37"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We have incurred costs and expended funds to comply with environmental requirements, such as those relating to discharges to air, water and land, the handling and disposal of solid and hazardous waste and the cleanup of properties affected by hazardous substances. Under these and other environmental requirements, we, as the owner of the property on which Le Rêve is situated, may be required to investigate and clean up hazardous or toxic substances or chemical releases at that property. As an owner or operator, we could also be held responsible to a governmental entity or third parties for property damage, personal injury and investigation and cleanup costs incurred by them in connection with any contamination.</w:t>
      </w:r>
    </w:p>
    <w:p>
      <w:pPr>
        <w:spacing w:after="0" w:line="10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rent or otherwise use our property.</w:t>
      </w:r>
    </w:p>
    <w:p>
      <w:pPr>
        <w:spacing w:after="0" w:line="99"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believe that we have remediated all material environmental risks of which we are currently aware at the Le Rêve hotel site and on the existing golf course. However, in connection with constructing the new golf course, which will require significant grading, we may discover unforeseen environmental risks which we will need to incur costs to remediate. In addition, we will incur costs associated with asbestos removal from an existing office</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80"/>
          </w:cols>
          <w:pgMar w:left="240" w:top="428" w:right="379" w:bottom="1440" w:gutter="0" w:footer="0" w:header="0"/>
        </w:sectPr>
      </w:pPr>
    </w:p>
    <w:bookmarkStart w:id="40" w:name="page41"/>
    <w:bookmarkEnd w:id="40"/>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building in the event we decide to develop the 20-acre parcel of land located north of Le Rêve along Las Vegas Boulevard that will be available for future development should it be released from the liens under the Credit Facilities and the Notes. We may be required to incur costs to remediate these or other potential environmental hazards or to mitigate environmental risks.</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Wynn Macau will be subject to environmental laws and regulations in Macau, including laws and regulations relating to the prevention and control of noise during construction. Costs expended by Wynn Macau to comply with these Macau environmental laws and regulations, such as to implement control procedures to prevent unlawful noise levels, may have a significant negative effect on the operating results of Wynn Macau. In addition, if the government of Macau holds Wynn Macau accountable and assesses penalties or imposes restrictions on Wynn Macau for non-compliance with environmental laws or regulations, Wynn Macau’s results of operations could be negatively impacted or it could lose flexibility to adapt to changes affecting the operation of its business.</w:t>
      </w:r>
    </w:p>
    <w:p>
      <w:pPr>
        <w:spacing w:after="0" w:line="102" w:lineRule="exact"/>
        <w:rPr>
          <w:sz w:val="20"/>
          <w:szCs w:val="20"/>
          <w:color w:val="auto"/>
        </w:rPr>
      </w:pPr>
    </w:p>
    <w:p>
      <w:pPr>
        <w:ind w:left="240" w:right="280"/>
        <w:spacing w:after="0" w:line="268" w:lineRule="auto"/>
        <w:rPr>
          <w:sz w:val="20"/>
          <w:szCs w:val="20"/>
          <w:color w:val="auto"/>
        </w:rPr>
      </w:pPr>
      <w:r>
        <w:rPr>
          <w:rFonts w:ascii="Arial" w:cs="Arial" w:eastAsia="Arial" w:hAnsi="Arial"/>
          <w:sz w:val="18"/>
          <w:szCs w:val="18"/>
          <w:i w:val="1"/>
          <w:iCs w:val="1"/>
          <w:color w:val="auto"/>
        </w:rPr>
        <w:t>If a third party successfully challenges our ownership of, or right to use, the Le Rêve service marks with respect to casino or hotel services, our business or results of operations could be harmed.</w:t>
      </w:r>
    </w:p>
    <w:p>
      <w:pPr>
        <w:spacing w:after="0" w:line="37"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We applied to register the “LE RÊVE” service mark with the United States Patent and Trademark Office, referred to as the PTO, for casino and hotel services, as well as for other ancillary uses. Our application for the LE RÊVE hotel mark cleared the PTO examination process and was “published for opposition.” Domaine Carneros, a registrant of the “Le Reve” mark for sparkling wines since 1998 filed an opposition to our application based upon an alleged connection between wines and restaurant services, bar services and lounge services. We have entered two stipulations to extend our time to file an answer and counterclaim for cancellation of the Domaine Carneros registration pending global settlement discussions involving the use of Domaine Carneros as a non-exclusive vendor of products for the hotel’s restaurants, bars and lounges. If a global resolution is not reached, we will file our answer and counterclaim for cancellation of the Domaine Carneros registration on or before April 1, 2003.</w:t>
      </w:r>
    </w:p>
    <w:p>
      <w:pPr>
        <w:spacing w:after="0" w:line="105" w:lineRule="exact"/>
        <w:rPr>
          <w:sz w:val="20"/>
          <w:szCs w:val="20"/>
          <w:color w:val="auto"/>
        </w:rPr>
      </w:pPr>
    </w:p>
    <w:p>
      <w:pPr>
        <w:jc w:val="both"/>
        <w:ind w:right="100" w:firstLine="456"/>
        <w:spacing w:after="0" w:line="294" w:lineRule="auto"/>
        <w:rPr>
          <w:sz w:val="20"/>
          <w:szCs w:val="20"/>
          <w:color w:val="auto"/>
        </w:rPr>
      </w:pPr>
      <w:r>
        <w:rPr>
          <w:rFonts w:ascii="Arial" w:cs="Arial" w:eastAsia="Arial" w:hAnsi="Arial"/>
          <w:sz w:val="16"/>
          <w:szCs w:val="16"/>
          <w:color w:val="auto"/>
        </w:rPr>
        <w:t>Even if we are able to obtain registration of the “LE RÊVE” mark for the above described services, such federal registration is not completely dispositive of the right to such service marks. Third parties who claim prior rights with respect to marks similar to “LE RÊVE”, or the English translation “THE DREAM,” may nonetheless challenge our use of “LE RÊVE” and seek to overcome the presumptions afforded by such registrations. They also could attempt to prevent our use of “LE RÊVE” and/or seek monetary damages as a result of our use. A successful challenge by a third party with respect to our ownership of, or right to use, the mark could have a material impact on our business or results of operation.</w:t>
      </w:r>
    </w:p>
    <w:p>
      <w:pPr>
        <w:spacing w:after="0" w:line="102"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i w:val="1"/>
          <w:iCs w:val="1"/>
          <w:color w:val="auto"/>
        </w:rPr>
        <w:t>Our subsidiaries will need to recruit a substantial number of new employees before Le Rêve or Wynn Macau’s Macau project(s) open and these employees may seek unionization.</w:t>
      </w:r>
    </w:p>
    <w:p>
      <w:pPr>
        <w:spacing w:after="0" w:line="3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subsidiaries will need to recruit a substantial number of new employees before Le Rêve or Wynn Macau’s casino(s) open and the employees in Las Vegas and Macau may seek union representation. We cannot be certain that our subsidiaries will be able to recruit a sufficient number of qualified employees. Currently, Valvino is a party to three collective bargaining agreements with three different unions, which it assumed in connection with the acquisition of the Desert Inn Resort &amp; Casino. All of these agreements will expire before the scheduled opening of Le Rêve. However, the unions may seek to organize the workers at Le Rêve or claim that the agreements assumed in connection with Valvino’s acquisition of the Desert Inn Resort &amp; Casino obligate Wynn Las Vegas to enter into negotiations with one or more of the unions to represent the workers at Le Rêve. In addition, any employees that Wynn Resorts’ Macau-related subsidiaries might employ could also seek to collectively negotiate the terms and conditions of their employment with Wynn Resorts’ Macau-related subsidiaries. Unionization, pressure to unionize or other forms of collective bargaining could increase our subsidiaries’ labor costs.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41" w:name="page42"/>
    <w:bookmarkEnd w:id="41"/>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will be subject to regulatory control by the Public Utilities Commission of Nevada.</w:t>
      </w:r>
    </w:p>
    <w:p>
      <w:pPr>
        <w:spacing w:after="0" w:line="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Desert Inn Improvement Co., a direct subsidiary of Desert Inn Water Company and an indirect subsidiary of Wynn Resorts, provides water service to the existing office building on the site of the former Desert Inn Resort &amp; Casino and the remaining homes around the Desert Inn golf course. As a result of its service obligations to the remaining homes, Desert Inn Improvement Co. is a public utility under Nevada law and will be subject to typical public utility regulation. For example, if Desert Inn Improvement Co. desires to change its filed rates or tariffs or encumber, sell or lease its real property, it will likely be required to obtain the prior approval of the Public Utilities Commission of Nevada. The public utility status of Desert Inn Improvement Co. also imposes broader regulatory restrictions on us. For example, if we decide to make changes to our ownership structure, such as in a merger or acquisition transaction or a significant stock issuance, or a sale of Aruze USA’s shares of Wynn Resorts’ common stock in the event that Aruze USA is found to be unsuitable to own such stock, we will likely be required to obtain the prior approval of the Public Utilities Commission of Nevada. We cannot assure you that any such approvals will be obtained. Further, with respect to any other changes or transactions which we may enter into in the future, we cannot assure you that regulatory requirements will not delay or prevent us from entering into transactions or conducting our business in a manner that might be beneficial to our stockholders.</w:t>
      </w:r>
    </w:p>
    <w:p>
      <w:pPr>
        <w:spacing w:after="0" w:line="109"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i w:val="1"/>
          <w:iCs w:val="1"/>
          <w:color w:val="auto"/>
        </w:rPr>
        <w:t>The Le Rêve golf course land may be subject to restrictions which could prevent us from constructing the new golf course in accordance with our current plans and may inhibit future development of that land.</w:t>
      </w:r>
    </w:p>
    <w:p>
      <w:pPr>
        <w:spacing w:after="0" w:line="3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constructing the new golf course on an approximately 137-acre parcel of land located behind the hotel. Valvino acquired a portion of this parcel in connection with its purchase of the Desert Inn Resort &amp; Casino and acquired the remainder when it purchased the residential lots located in the interior of, and some, but not all, of the lots around the former Desert Inn golf course. The residential lots, previously known as the Desert Inn Country Club Estates, were subject to various conditions, covenants and restrictions recorded against the lots in 1956 and amended from time to time since then. We believe that these conditions, covenants and restrictions were terminated in accordance with Nevada law in June 2001. However, some of the remaining homeowners have brought a lawsuit against Valvino challenging, among other things, the termination of the covenants, conditions and restrictions. If the plaintiffs prevail on their claims and the conditions, covenants and restrictions remain in effect, we may have to adjust our current plans for the construction of the golf course by redesigning some of the holes located on the periphery of the course.</w:t>
      </w:r>
    </w:p>
    <w:p>
      <w:pPr>
        <w:spacing w:after="0" w:line="105"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addition, at least two of the homeowners have alleged the existence of an equitable implied restriction prohibiting any alternative commercial development of the golf course. If the plaintiffs prevail on this claim, any future development of the golf course parcel for an alternative use may be restricted. Valvino is vigorously contesting the homeowners’ claims and will continue to do so.</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We continue to explore opportunities to develop additional gaming or related businesses that could have an adverse impact on our business if unsuccessful.</w:t>
      </w:r>
    </w:p>
    <w:p>
      <w:pPr>
        <w:spacing w:after="0" w:line="10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continue to explore opportunities to develop additional gaming or related businesses in Las Vegas or other markets, whether through acquisition, investment or development. Any acquisition, investment or development could be expensive, disrupt our ongoing business, distract our management and employees and/or adversely affect our financial results. In addition, any expansion of our business through acquisition, investment or development would likely require us to obtain additional financing and/or consent from the lenders under the Credit Facilities and the holders of the Notes. Acquisitions also may present other risks, such as exposing our company to potential unknown liabilities associated with acquired businesses. Any acquisition or development may not be successful in achieving our desired strategic objectives, which also would cause our business to suffer.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28" w:right="239" w:bottom="1440" w:gutter="0" w:footer="0" w:header="0"/>
        </w:sectPr>
      </w:pPr>
    </w:p>
    <w:bookmarkStart w:id="42" w:name="page43"/>
    <w:bookmarkEnd w:id="42"/>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downturn in general economic conditions may adversely affect our results of operations.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business operations will be affected by international, national and local economic conditions. A recession or downturn in the general economy, or in a region constituting a significant source of customers for our property, could result in fewer customers visiting our property, which would adversely affect our 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the Macau Opportunity</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Wynn Macau may determine not to go forward with the Macau opportunity at any time, possibly resulting in the loss of a significant investment.</w:t>
      </w:r>
    </w:p>
    <w:p>
      <w:pPr>
        <w:spacing w:after="0" w:line="10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have already invested a total of $23.8 million in Wynn Macau. In addition, we will invest at least $40 million of the net proceeds from Wynn Resorts’ initial public offering in Wynn Macau and to arrange for significant additional financing.</w:t>
      </w:r>
    </w:p>
    <w:p>
      <w:pPr>
        <w:spacing w:after="0" w:line="118" w:lineRule="exact"/>
        <w:rPr>
          <w:sz w:val="20"/>
          <w:szCs w:val="20"/>
          <w:color w:val="auto"/>
        </w:rPr>
      </w:pPr>
    </w:p>
    <w:p>
      <w:pPr>
        <w:ind w:right="40" w:firstLine="456"/>
        <w:spacing w:after="0" w:line="325" w:lineRule="auto"/>
        <w:rPr>
          <w:sz w:val="20"/>
          <w:szCs w:val="20"/>
          <w:color w:val="auto"/>
        </w:rPr>
      </w:pPr>
      <w:r>
        <w:rPr>
          <w:rFonts w:ascii="Arial" w:cs="Arial" w:eastAsia="Arial" w:hAnsi="Arial"/>
          <w:sz w:val="16"/>
          <w:szCs w:val="16"/>
          <w:color w:val="auto"/>
        </w:rPr>
        <w:t>Wynn Macau has begun planning the development of the initial phase of its first casino resort. However, it will not begin construction or operation of any casino in Macau until a number of objectives and conditions are met. Such objectives and conditions include, among other things, the following:</w:t>
      </w:r>
    </w:p>
    <w:p>
      <w:pPr>
        <w:spacing w:after="0" w:line="1" w:lineRule="exact"/>
        <w:rPr>
          <w:sz w:val="20"/>
          <w:szCs w:val="20"/>
          <w:color w:val="auto"/>
        </w:rPr>
      </w:pPr>
    </w:p>
    <w:p>
      <w:pPr>
        <w:ind w:left="880" w:hanging="426"/>
        <w:spacing w:after="0"/>
        <w:tabs>
          <w:tab w:leader="none" w:pos="8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obtaining the necessary debt and/or additional equity financing to fund the development, design and construction of any casino or casinos in Macau;</w:t>
      </w:r>
    </w:p>
    <w:p>
      <w:pPr>
        <w:spacing w:after="0" w:line="138" w:lineRule="exact"/>
        <w:rPr>
          <w:rFonts w:ascii="Arial" w:cs="Arial" w:eastAsia="Arial" w:hAnsi="Arial"/>
          <w:sz w:val="15"/>
          <w:szCs w:val="15"/>
          <w:color w:val="auto"/>
        </w:rPr>
      </w:pPr>
    </w:p>
    <w:p>
      <w:pPr>
        <w:ind w:left="880" w:hanging="426"/>
        <w:spacing w:after="0"/>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obtaining the ability, through legislative and regulatory changes, to extend credit to gaming customers and enforce gaming debts in Macau; and</w:t>
      </w:r>
    </w:p>
    <w:p>
      <w:pPr>
        <w:spacing w:after="0" w:line="126" w:lineRule="exact"/>
        <w:rPr>
          <w:rFonts w:ascii="Arial" w:cs="Arial" w:eastAsia="Arial" w:hAnsi="Arial"/>
          <w:sz w:val="16"/>
          <w:szCs w:val="16"/>
          <w:color w:val="auto"/>
        </w:rPr>
      </w:pPr>
    </w:p>
    <w:p>
      <w:pPr>
        <w:ind w:left="880" w:right="80" w:hanging="426"/>
        <w:spacing w:after="0" w:line="268"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relief, through legislative and/or executive actions, from the complementary income tax and the withholding tax on dividends imposed in Macau.</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Based on discussions with Macau government officials, we understand that the Macau government will introduce proposed legislation in 2003 that, if passed, would enable Wynn Macau to extend credit to gaming customers and enforce gaming debts in Macau, and would provide tax relief from the complementary income tax and withholding tax on dividends imposed in Macau. However, we cannot assure you that such proposed legislative changes will be enacted.</w:t>
      </w:r>
    </w:p>
    <w:p>
      <w:pPr>
        <w:spacing w:after="0" w:line="13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Wynn Macau will not begin construction or operation of any casino in Macau if any of these objectives and conditions cannot be adequately resolved. If Wynn Macau determines not to go forward with the Macau opportunity, Wynn Resorts may lose its significant investment in Wynn Macau.</w:t>
      </w:r>
    </w:p>
    <w:p>
      <w:pPr>
        <w:spacing w:after="0" w:line="72" w:lineRule="exact"/>
        <w:rPr>
          <w:sz w:val="20"/>
          <w:szCs w:val="20"/>
          <w:color w:val="auto"/>
        </w:rPr>
      </w:pPr>
    </w:p>
    <w:p>
      <w:pPr>
        <w:ind w:right="180" w:firstLine="456"/>
        <w:spacing w:after="0" w:line="318" w:lineRule="auto"/>
        <w:rPr>
          <w:sz w:val="20"/>
          <w:szCs w:val="20"/>
          <w:color w:val="auto"/>
        </w:rPr>
      </w:pPr>
      <w:r>
        <w:rPr>
          <w:rFonts w:ascii="Arial" w:cs="Arial" w:eastAsia="Arial" w:hAnsi="Arial"/>
          <w:sz w:val="15"/>
          <w:szCs w:val="15"/>
          <w:color w:val="auto"/>
        </w:rPr>
        <w:t>The concession agreement does not contain a provision permitting Wynn Macau to terminate the concession agreement unilaterally or permitting Wynn Macau to cease the development or operation of casino(s) in Macau for any of the reasons described above. The obligations under the Macau concession agreement are those of Wynn Resorts’ indirect subsidiary, Wynn Macau. Accordingly, Wynn Macau might be found liable for the balance of its obligation to invest a total of 4 billion patacas (approximately US $515.6 million) in Macau-related projects. Depending on the amount of Wynn Macau’s liability, Wynn Macau may not have sufficient assets to satisfy such liability. In such circumstances, Wynn Resorts would lose its entire investment in Wynn Macau.</w:t>
      </w:r>
    </w:p>
    <w:p>
      <w:pPr>
        <w:spacing w:after="0" w:line="86" w:lineRule="exact"/>
        <w:rPr>
          <w:sz w:val="20"/>
          <w:szCs w:val="20"/>
          <w:color w:val="auto"/>
        </w:rPr>
      </w:pPr>
    </w:p>
    <w:p>
      <w:pPr>
        <w:ind w:left="240" w:right="540"/>
        <w:spacing w:after="0" w:line="268" w:lineRule="auto"/>
        <w:rPr>
          <w:sz w:val="20"/>
          <w:szCs w:val="20"/>
          <w:color w:val="auto"/>
        </w:rPr>
      </w:pPr>
      <w:r>
        <w:rPr>
          <w:rFonts w:ascii="Arial" w:cs="Arial" w:eastAsia="Arial" w:hAnsi="Arial"/>
          <w:sz w:val="18"/>
          <w:szCs w:val="18"/>
          <w:i w:val="1"/>
          <w:iCs w:val="1"/>
          <w:color w:val="auto"/>
        </w:rPr>
        <w:t>If Wynn Macau builds and operates one or more casinos in Macau, it will be subject to considerable risks, including risks related to Macau’s untested regulatory framework.</w:t>
      </w:r>
    </w:p>
    <w:p>
      <w:pPr>
        <w:spacing w:after="0" w:line="3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Untested Foreign Regulatory Framework. </w:t>
      </w:r>
      <w:r>
        <w:rPr>
          <w:rFonts w:ascii="Arial" w:cs="Arial" w:eastAsia="Arial" w:hAnsi="Arial"/>
          <w:sz w:val="18"/>
          <w:szCs w:val="18"/>
          <w:color w:val="auto"/>
        </w:rPr>
        <w:t>If Wynn Macau constructs or operates one or more casinos in Macau, its operations will be subject to unique</w:t>
      </w:r>
      <w:r>
        <w:rPr>
          <w:rFonts w:ascii="Arial" w:cs="Arial" w:eastAsia="Arial" w:hAnsi="Arial"/>
          <w:sz w:val="18"/>
          <w:szCs w:val="18"/>
          <w:i w:val="1"/>
          <w:iCs w:val="1"/>
          <w:color w:val="auto"/>
        </w:rPr>
        <w:t xml:space="preserve"> </w:t>
      </w:r>
      <w:r>
        <w:rPr>
          <w:rFonts w:ascii="Arial" w:cs="Arial" w:eastAsia="Arial" w:hAnsi="Arial"/>
          <w:sz w:val="18"/>
          <w:szCs w:val="18"/>
          <w:color w:val="auto"/>
        </w:rPr>
        <w:t>risks, including risks related to Macau’s untested regulatory framework. In light of the untested regulatory framework, Wynn Macau may need to develop operating procedures which are different from those used in United States casinos. Failure to adapt to the regulatory and gaming environment in Macau could result in the revocation of Wynn Macau’s concession or otherwise</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00"/>
          </w:cols>
          <w:pgMar w:left="240" w:top="428" w:right="359" w:bottom="1440" w:gutter="0" w:footer="0" w:header="0"/>
        </w:sectPr>
      </w:pPr>
    </w:p>
    <w:bookmarkStart w:id="43" w:name="page44"/>
    <w:bookmarkEnd w:id="43"/>
    <w:p>
      <w:pPr>
        <w:ind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negatively affect its operations in Macau. Moreover, Wynn Resorts would be subject to the risk that Macau’s gaming regulatory framework will not develop in a way that would permit Wynn Resorts, as the parent entity of a United States gaming operator, to have its affiliates conduct operations in Macau in a manner consistent with the way in which Wynn Resorts intends, or the Nevada gaming authorities require Wynn Resorts, to conduct its operations in the United States.</w:t>
      </w:r>
    </w:p>
    <w:p>
      <w:pPr>
        <w:spacing w:after="0" w:line="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Political and Economic Conditions. </w:t>
      </w:r>
      <w:r>
        <w:rPr>
          <w:rFonts w:ascii="Arial" w:cs="Arial" w:eastAsia="Arial" w:hAnsi="Arial"/>
          <w:sz w:val="18"/>
          <w:szCs w:val="18"/>
          <w:color w:val="auto"/>
        </w:rPr>
        <w:t>The success of Wynn Macau’s operations in Macau would also depend on political and economic conditions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Macau. In December 1999, after approximately 450 years of Portuguese control, Portugal returned Macau to Chinese administration. The People’s Republic of China re-established Macau as a special administrative region. As a result of this change in control, Macau’s legislative, regulatory, legal, economic and cultural institutions are in a period of transition. We cannot predict how these systems and cultural institutions will develop or how developments would affect any gaming business Wynn Macau would conduct in Macau.</w:t>
      </w:r>
    </w:p>
    <w:p>
      <w:pPr>
        <w:spacing w:after="0" w:line="129"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If Wynn Macau constructs and operates one or more casinos in Macau, its operations will be subject to significant political, economic and social risks inherent in doing business in an emerging market such as China. For example, fiscal decline and civil, domestic or international unrest in Macau, China or the surrounding region could significantly harm Wynn Macau’s business, not only by reducing customer demand for casino resorts of the kind it would operate in Macau, but also by increasing the risk of imposition of taxes and exchange controls or other governmental restrictions that might impede its ability to repatriate funds. Some of the other risks involved in operating a business in Macau include:</w:t>
      </w:r>
    </w:p>
    <w:p>
      <w:pPr>
        <w:spacing w:after="0" w:line="21" w:lineRule="exact"/>
        <w:rPr>
          <w:sz w:val="20"/>
          <w:szCs w:val="20"/>
          <w:color w:val="auto"/>
        </w:rPr>
      </w:pPr>
    </w:p>
    <w:p>
      <w:pPr>
        <w:ind w:left="880" w:hanging="426"/>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taking of Wynn Macau’s property without payment of fair compensation;</w:t>
      </w:r>
    </w:p>
    <w:p>
      <w:pPr>
        <w:spacing w:after="0" w:line="103" w:lineRule="exact"/>
        <w:rPr>
          <w:rFonts w:ascii="Arial" w:cs="Arial" w:eastAsia="Arial" w:hAnsi="Arial"/>
          <w:sz w:val="18"/>
          <w:szCs w:val="18"/>
          <w:color w:val="auto"/>
        </w:rPr>
      </w:pPr>
    </w:p>
    <w:p>
      <w:pPr>
        <w:ind w:left="880" w:right="40" w:hanging="426"/>
        <w:spacing w:after="0" w:line="268"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impositions of restrictions on foreign partnerships and alliances, foreign ownership and/or possible discrimination against foreign-owned business;</w:t>
      </w:r>
    </w:p>
    <w:p>
      <w:pPr>
        <w:spacing w:after="0" w:line="37" w:lineRule="exact"/>
        <w:rPr>
          <w:rFonts w:ascii="Arial" w:cs="Arial" w:eastAsia="Arial" w:hAnsi="Arial"/>
          <w:sz w:val="18"/>
          <w:szCs w:val="18"/>
          <w:color w:val="auto"/>
        </w:rPr>
      </w:pPr>
    </w:p>
    <w:p>
      <w:pPr>
        <w:ind w:left="880" w:right="120" w:hanging="426"/>
        <w:spacing w:after="0" w:line="268"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inability to implement effective controls against infiltration by persons associated with, and effective methods to protect Wynn Resorts’ Macau subsidiaries from unknowingly doing business with, reputed criminal organizations;</w:t>
      </w:r>
    </w:p>
    <w:p>
      <w:pPr>
        <w:spacing w:after="0" w:line="37" w:lineRule="exact"/>
        <w:rPr>
          <w:rFonts w:ascii="Arial" w:cs="Arial" w:eastAsia="Arial" w:hAnsi="Arial"/>
          <w:sz w:val="18"/>
          <w:szCs w:val="18"/>
          <w:color w:val="auto"/>
        </w:rPr>
      </w:pPr>
    </w:p>
    <w:p>
      <w:pPr>
        <w:ind w:left="880" w:hanging="426"/>
        <w:spacing w:after="0"/>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potential economic slowdowns in Hong Kong or China, on which Macau heavily relies for tourism and patronage of its existing casinos;</w:t>
      </w:r>
    </w:p>
    <w:p>
      <w:pPr>
        <w:spacing w:after="0" w:line="126" w:lineRule="exact"/>
        <w:rPr>
          <w:rFonts w:ascii="Arial" w:cs="Arial" w:eastAsia="Arial" w:hAnsi="Arial"/>
          <w:sz w:val="16"/>
          <w:szCs w:val="16"/>
          <w:color w:val="auto"/>
        </w:rPr>
      </w:pPr>
    </w:p>
    <w:p>
      <w:pPr>
        <w:ind w:left="880" w:hanging="426"/>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conflicts between local and national governments;</w:t>
      </w:r>
    </w:p>
    <w:p>
      <w:pPr>
        <w:spacing w:after="0" w:line="103" w:lineRule="exact"/>
        <w:rPr>
          <w:rFonts w:ascii="Arial" w:cs="Arial" w:eastAsia="Arial" w:hAnsi="Arial"/>
          <w:sz w:val="18"/>
          <w:szCs w:val="18"/>
          <w:color w:val="auto"/>
        </w:rPr>
      </w:pPr>
    </w:p>
    <w:p>
      <w:pPr>
        <w:jc w:val="both"/>
        <w:ind w:left="880" w:right="240" w:hanging="426"/>
        <w:spacing w:after="0" w:line="259"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possible competitive disadvantage due to the ownership of substantially all of the water ferry services and the helicopter shuttle service that link Macau to Hong Kong and Kowloon by Stanley Ho, who controls Sociedade de Jogos de Macau, the existing casino concessionaire and operator in Macau and one of Wynn Macau’s competitors; and</w:t>
      </w:r>
    </w:p>
    <w:p>
      <w:pPr>
        <w:spacing w:after="0" w:line="45" w:lineRule="exact"/>
        <w:rPr>
          <w:rFonts w:ascii="Arial" w:cs="Arial" w:eastAsia="Arial" w:hAnsi="Arial"/>
          <w:sz w:val="18"/>
          <w:szCs w:val="18"/>
          <w:color w:val="auto"/>
        </w:rPr>
      </w:pPr>
    </w:p>
    <w:p>
      <w:pPr>
        <w:ind w:left="880" w:hanging="426"/>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risks inherent in construction projects.</w:t>
      </w:r>
    </w:p>
    <w:p>
      <w:pPr>
        <w:spacing w:after="0" w:line="185" w:lineRule="exact"/>
        <w:rPr>
          <w:sz w:val="20"/>
          <w:szCs w:val="20"/>
          <w:color w:val="auto"/>
        </w:rPr>
      </w:pPr>
    </w:p>
    <w:p>
      <w:pPr>
        <w:ind w:left="240" w:right="300"/>
        <w:spacing w:after="0" w:line="268" w:lineRule="auto"/>
        <w:rPr>
          <w:sz w:val="20"/>
          <w:szCs w:val="20"/>
          <w:color w:val="auto"/>
        </w:rPr>
      </w:pPr>
      <w:r>
        <w:rPr>
          <w:rFonts w:ascii="Arial" w:cs="Arial" w:eastAsia="Arial" w:hAnsi="Arial"/>
          <w:sz w:val="18"/>
          <w:szCs w:val="18"/>
          <w:i w:val="1"/>
          <w:iCs w:val="1"/>
          <w:color w:val="auto"/>
        </w:rPr>
        <w:t>Any potential investment in Macau could be jeopardized by future developments, and we cannot assure you that activities Wynn Macau may plan in Macau will be permitted or feasible.</w:t>
      </w:r>
    </w:p>
    <w:p>
      <w:pPr>
        <w:spacing w:after="0" w:line="3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Collection of Gaming Receivables. </w:t>
      </w:r>
      <w:r>
        <w:rPr>
          <w:rFonts w:ascii="Arial" w:cs="Arial" w:eastAsia="Arial" w:hAnsi="Arial"/>
          <w:sz w:val="16"/>
          <w:szCs w:val="16"/>
          <w:color w:val="auto"/>
        </w:rPr>
        <w:t>Currently, Macau law does not permit casinos to extend credit or to enforce gaming debts. Even if the law in Macau is</w:t>
      </w:r>
      <w:r>
        <w:rPr>
          <w:rFonts w:ascii="Arial" w:cs="Arial" w:eastAsia="Arial" w:hAnsi="Arial"/>
          <w:sz w:val="16"/>
          <w:szCs w:val="16"/>
          <w:i w:val="1"/>
          <w:iCs w:val="1"/>
          <w:color w:val="auto"/>
        </w:rPr>
        <w:t xml:space="preserve"> </w:t>
      </w:r>
      <w:r>
        <w:rPr>
          <w:rFonts w:ascii="Arial" w:cs="Arial" w:eastAsia="Arial" w:hAnsi="Arial"/>
          <w:sz w:val="16"/>
          <w:szCs w:val="16"/>
          <w:color w:val="auto"/>
        </w:rPr>
        <w:t>changed to permit casino operators to extend credit to gaming customers, Wynn Macau may not be able to collect all of its gaming receivables from its credit players. We expect that if Wynn Macau obtains the right to extend credit to its gaming customers, it will be able to enforce these obligations only in a limited number of jurisdictions, including Macau. To the extent that gaming customers of Wynn Macau are expected to be visitors from other jurisdictions, Wynn Macau may not have access to a forum in which it will be able to collect all of its gaming receivables and because, among other reasons, courts of many jurisdictions do not enforce gaming debts, Wynn Macau may encounter forums that will refuse to enforce such debts. Wynn Macau’s inability to collect gaming debts could have a significant negative impact on its operating results.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44" w:name="page45"/>
    <w:bookmarkEnd w:id="44"/>
    <w:p>
      <w:pPr>
        <w:ind w:right="60" w:firstLine="456"/>
        <w:spacing w:after="0" w:line="298"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Necessity of Expanding Transportation. </w:t>
      </w:r>
      <w:r>
        <w:rPr>
          <w:rFonts w:ascii="Arial" w:cs="Arial" w:eastAsia="Arial" w:hAnsi="Arial"/>
          <w:sz w:val="16"/>
          <w:szCs w:val="16"/>
          <w:color w:val="auto"/>
        </w:rPr>
        <w:t>Because of additional casino projects which may be developed in the future, the hydrofoil ferry and helicopter</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which provide transportation to and from Hong Kong may need to be expanded to service the increased visitation of Macau. If transportation facilities to and from Macau are inadequate to meet the demands of an increased volume of gaming customers visiting Macau, the desirability of Macau as a gaming destination, as well as the results of operations of Wynn Macau’s casino resort(s) in Macau, could be negatively impacted.</w:t>
      </w:r>
    </w:p>
    <w:p>
      <w:pPr>
        <w:spacing w:after="0" w:line="9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Extreme Weather Conditions. </w:t>
      </w:r>
      <w:r>
        <w:rPr>
          <w:rFonts w:ascii="Arial" w:cs="Arial" w:eastAsia="Arial" w:hAnsi="Arial"/>
          <w:sz w:val="18"/>
          <w:szCs w:val="18"/>
          <w:color w:val="auto"/>
        </w:rPr>
        <w:t>Macau’s subtropical climate and location on the South China Sea are subject to extreme weather conditions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typhoons and heavy rainstorms. Unfavorable weather conditions could negatively affect the profitability of Wynn Macau’s casino resort(s) by disrupting its ability to timely construct its casino project(s) and by preventing guests from traveling to Macau.</w:t>
      </w:r>
    </w:p>
    <w:p>
      <w:pPr>
        <w:spacing w:after="0" w:line="127"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i w:val="1"/>
          <w:iCs w:val="1"/>
          <w:color w:val="auto"/>
        </w:rPr>
        <w:t xml:space="preserve">Potential Taxation of Investment in Macau. </w:t>
      </w:r>
      <w:r>
        <w:rPr>
          <w:rFonts w:ascii="Arial" w:cs="Arial" w:eastAsia="Arial" w:hAnsi="Arial"/>
          <w:sz w:val="15"/>
          <w:szCs w:val="15"/>
          <w:color w:val="auto"/>
        </w:rPr>
        <w:t>Wynn Resorts’ investment in Macau is owned through a number of wholly owned and partially owned</w:t>
      </w:r>
      <w:r>
        <w:rPr>
          <w:rFonts w:ascii="Arial" w:cs="Arial" w:eastAsia="Arial" w:hAnsi="Arial"/>
          <w:sz w:val="15"/>
          <w:szCs w:val="15"/>
          <w:i w:val="1"/>
          <w:iCs w:val="1"/>
          <w:color w:val="auto"/>
        </w:rPr>
        <w:t xml:space="preserve"> </w:t>
      </w:r>
      <w:r>
        <w:rPr>
          <w:rFonts w:ascii="Arial" w:cs="Arial" w:eastAsia="Arial" w:hAnsi="Arial"/>
          <w:sz w:val="15"/>
          <w:szCs w:val="15"/>
          <w:color w:val="auto"/>
        </w:rPr>
        <w:t>domestic and foreign entities. Although we believe that transfers to these entities of the assets and stock of Wynn Macau were accomplished on a tax-free basis, there is a risk that the Internal Revenue Service could assert that any appreciation in the transferred assets or stock was taxable at the time of such transfers.</w:t>
      </w:r>
    </w:p>
    <w:p>
      <w:pPr>
        <w:spacing w:after="0" w:line="7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 xml:space="preserve">Currency Exchange Controls and Currency Export Restrictions. </w:t>
      </w:r>
      <w:r>
        <w:rPr>
          <w:rFonts w:ascii="Arial" w:cs="Arial" w:eastAsia="Arial" w:hAnsi="Arial"/>
          <w:sz w:val="18"/>
          <w:szCs w:val="18"/>
          <w:color w:val="auto"/>
        </w:rPr>
        <w:t>Currency exchange controls and restrictions on the export of currency by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countries may negatively impact the success of Wynn Macau. For example, there are currently existing currency exchange controls and restrictions on the export of the renminbi, the currency of China. Restrictions on the export of the renminbi may impede the flow of gaming customers from China to Macau, inhibit the growth of gaming in Macau and negatively impact Wynn Macau’s gaming operations.</w:t>
      </w:r>
    </w:p>
    <w:p>
      <w:pPr>
        <w:spacing w:after="0" w:line="13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i w:val="1"/>
          <w:iCs w:val="1"/>
          <w:color w:val="auto"/>
        </w:rPr>
        <w:t xml:space="preserve">Foreign Corrupt Practices Act. </w:t>
      </w:r>
      <w:r>
        <w:rPr>
          <w:rFonts w:ascii="Arial" w:cs="Arial" w:eastAsia="Arial" w:hAnsi="Arial"/>
          <w:sz w:val="18"/>
          <w:szCs w:val="18"/>
          <w:color w:val="auto"/>
        </w:rPr>
        <w:t>Wynn Resorts is subject to regulations imposed by the Foreign Corrupt Practices Act, or the FCPA, which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prohibits U.S. companies and their intermediaries from making improper payments to foreign officials for the purpose of obtaining or retaining business. Any determination that Wynn Resorts has violated the FCPA could have a material adverse effect on us.</w:t>
      </w:r>
    </w:p>
    <w:p>
      <w:pPr>
        <w:spacing w:after="0" w:line="127" w:lineRule="exact"/>
        <w:rPr>
          <w:sz w:val="20"/>
          <w:szCs w:val="20"/>
          <w:color w:val="auto"/>
        </w:rPr>
      </w:pPr>
    </w:p>
    <w:p>
      <w:pPr>
        <w:ind w:left="240" w:right="40"/>
        <w:spacing w:after="0" w:line="268" w:lineRule="auto"/>
        <w:rPr>
          <w:sz w:val="20"/>
          <w:szCs w:val="20"/>
          <w:color w:val="auto"/>
        </w:rPr>
      </w:pPr>
      <w:r>
        <w:rPr>
          <w:rFonts w:ascii="Arial" w:cs="Arial" w:eastAsia="Arial" w:hAnsi="Arial"/>
          <w:sz w:val="18"/>
          <w:szCs w:val="18"/>
          <w:i w:val="1"/>
          <w:iCs w:val="1"/>
          <w:color w:val="auto"/>
        </w:rPr>
        <w:t>If Wynn Macau builds and operates one or more casinos in Macau, certain Nevada gaming laws would apply to its planned gaming activities and associations in Macau.</w:t>
      </w:r>
    </w:p>
    <w:p>
      <w:pPr>
        <w:spacing w:after="0" w:line="37"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Certain Nevada gaming laws also apply to gaming activities and associations in jurisdictions outside the State of Nevada. As Wynn Macau develops its opportunity in Macau, Wynn Resorts and its subsidiaries that are licensed to conduct gaming operations in Nevada will be required to comply with certain reporting requirements concerning gaming activities and associations in Macau proposed to be conducted by Wynn Resorts’ Macau related subsidiaries. Wynn Resorts and its licensed Nevada subsidiaries also will be subject to disciplinary action by the Nevada Gaming Commission if Wynn Resorts’ Macau-related subsidiaries:</w:t>
      </w:r>
    </w:p>
    <w:p>
      <w:pPr>
        <w:spacing w:after="0" w:line="48" w:lineRule="exact"/>
        <w:rPr>
          <w:sz w:val="20"/>
          <w:szCs w:val="20"/>
          <w:color w:val="auto"/>
        </w:rPr>
      </w:pPr>
    </w:p>
    <w:p>
      <w:pPr>
        <w:ind w:left="880" w:hanging="426"/>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knowingly violate any Macau laws relating to their Macau gaming operations;</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fail to conduct the Macau operations in accordance with the standards of honesty and integrity required of Nevada gaming operations;</w:t>
      </w:r>
    </w:p>
    <w:p>
      <w:pPr>
        <w:spacing w:after="0" w:line="126" w:lineRule="exact"/>
        <w:rPr>
          <w:rFonts w:ascii="Arial" w:cs="Arial" w:eastAsia="Arial" w:hAnsi="Arial"/>
          <w:sz w:val="16"/>
          <w:szCs w:val="16"/>
          <w:color w:val="auto"/>
        </w:rPr>
      </w:pPr>
    </w:p>
    <w:p>
      <w:pPr>
        <w:ind w:left="880" w:right="260" w:hanging="426"/>
        <w:spacing w:after="0" w:line="347" w:lineRule="auto"/>
        <w:tabs>
          <w:tab w:leader="none" w:pos="8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engage in any activity or enter into any association that is unsuitable for us because it poses an unreasonable threat to the control of gaming in Nevada, reflects or tends to reflect discredit or disrepute upon the State of Nevada or gaming in Nevada, or is contrary to Nevada gaming policies;</w:t>
      </w:r>
    </w:p>
    <w:p>
      <w:pPr>
        <w:ind w:left="880" w:hanging="426"/>
        <w:spacing w:after="0"/>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engage in any activity or enter into any association that interferes with the ability of the State of Nevada to collect gaming taxes and fees; or</w:t>
      </w:r>
    </w:p>
    <w:p>
      <w:pPr>
        <w:spacing w:after="0" w:line="126" w:lineRule="exact"/>
        <w:rPr>
          <w:rFonts w:ascii="Arial" w:cs="Arial" w:eastAsia="Arial" w:hAnsi="Arial"/>
          <w:sz w:val="16"/>
          <w:szCs w:val="16"/>
          <w:color w:val="auto"/>
        </w:rPr>
      </w:pPr>
    </w:p>
    <w:p>
      <w:pPr>
        <w:ind w:left="880" w:right="580" w:hanging="426"/>
        <w:spacing w:after="0" w:line="268"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employ, contract with or associate with any person in the foreign gaming operation who has been denied a license or a finding of suitability in Nevada on the ground of unsuitability, or who has been found guilty of cheating at gambling.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28" w:right="239" w:bottom="1440" w:gutter="0" w:footer="0" w:header="0"/>
        </w:sectPr>
      </w:pPr>
    </w:p>
    <w:bookmarkStart w:id="45" w:name="page46"/>
    <w:bookmarkEnd w:id="45"/>
    <w:p>
      <w:pPr>
        <w:ind w:right="2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disciplinary action could include suspension, conditioning, limitation or revocation of the registration, licenses or approvals held by Wynn Resorts and its licensed Nevada subsidiaries, including Wynn Las Vegas, and the imposition of substantial fines.</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addition, if the Nevada State Gaming Control Board determines that any actual or intended activities or associations of Wynn Resorts’ Macau-related subsidiaries may be prohibited pursuant to one or more of the standards described above, the Nevada State Gaming Control Board can require Wynn Resorts and its licensed Nevada subsidiaries to file an application with the Nevada Gaming Commission for a finding of suitability of the activity or association. If the Nevada Gaming Commission finds that the activity or association in Macau is unsuitable or prohibited, Wynn Resorts’ Macau-related subsidiaries will either be required to terminate the activity or association, or will be prohibited from undertaking the activity or association. Consequently, should the Nevada Gaming Commission find that Wynn Resorts’ Macau-related subsidiaries’ gaming activities or associations in Macau are unsuitable, those subsidiaries may be prohibited from undertaking their planned gaming activities or associations in Macau, or be required to divest their investment in Macau, possibly on unfavorable terms.</w:t>
      </w:r>
    </w:p>
    <w:p>
      <w:pPr>
        <w:spacing w:after="0" w:line="10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concession agreement into which Wynn Macau has entered with the government of Macau requires Wynn Macau to inform the government in the event that a stockholder owning 5% or more of the stock of Wynn Macau is subject to an investigation by a gaming authority outside of Macau that could lead to the suspension or revocation of any gaming license. The concession agreement also requires Wynn Macau to inform the government of Macau in the event that a stockholder owning 5% or more of the stock of Wynn Macau loses a gaming license.</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Macau casinos would face intense competition.</w:t>
      </w:r>
    </w:p>
    <w:p>
      <w:pPr>
        <w:spacing w:after="0" w:line="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Macau government has granted concessions to operate casinos to three companies. Sociedade de Jogos de Macau, referred to as SJM, has been granted one of the concessions. SJM is controlled by Stanley Ho, who through another entity had controlled the monopoly concession to conduct the only gaming operations in Macau for approximately 40 years. SJM has the benefit of being the established gaming enterprise already in existence at eleven locations in Macau. SJM’s casinos at the Hotel Lisboa and at the converted Jai Alai fronton are the largest casino facilities in Macau. In addition, SJM is reported to be planning a major remodeling of the Hotel Lisboa and, through a related entity, a new Fisherman’s Wharf development, which will include a casino, in the vicinity of the Macau ferry terminal. Galaxy Casino Company Limited, referred to as Galaxy, also has been awarded a concession to operate casinos in Macau. Galaxy is a joint venture between an affiliate of the operators of The Venetian in Las Vegas and a group of Hong Kong investors, which, according to news reports, has plans to build a major casino on Taipa, the island where Macau’s international airport is located, and possibly other casinos. Although Wynn Macau’s gaming business initially would compete with businesses to be operated by the two other casino concessionaires in Macau, the concession agreement into which Wynn Macau has entered with the Macau government permits the government to grant additional concessions for the operation of casinos after April 1, 2009. If the government of Macau awards additional concessions, Wynn Macau will face increased competition from local casino operators in Macau.</w:t>
      </w:r>
    </w:p>
    <w:p>
      <w:pPr>
        <w:spacing w:after="0" w:line="11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New or renovated casinos in Macau operated by the other concessionaires would present increased competition and could negatively impact Wynn Macau’s gaming business. SJM’s concession permits it to renovate its existing casinos, as well as to develop new casinos.</w:t>
      </w:r>
    </w:p>
    <w:p>
      <w:pPr>
        <w:spacing w:after="0" w:line="118"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Mr. Ho also controls, through affiliates, substantially all of the water ferry services and the helicopter shuttle service that link Macau to Hong Kong and Kowloon. In addition, affiliates of Stanley Ho control certain real estate and other assets, such as the Mandarin Oriental Hotel in Macau. Such businesses and assets could provide a competitive advantage for SJM.</w:t>
      </w:r>
    </w:p>
    <w:p>
      <w:pPr>
        <w:spacing w:after="0" w:line="12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Wynn Macau’s gaming business would also face significant regional competition from casinos located in Asia, as well as from other major casino destinations around the world. For example, Genting Highlands Resort,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28" w:right="239" w:bottom="1440" w:gutter="0" w:footer="0" w:header="0"/>
        </w:sectPr>
      </w:pPr>
    </w:p>
    <w:bookmarkStart w:id="46" w:name="page47"/>
    <w:bookmarkEnd w:id="46"/>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entertainment complex just outside of Kuala Lumpur, Malaysia, which currently has five hotels, a casino, a theme park, a golf and country club and other amenities, would compete with Wynn Resorts’ casinos in Macau for travelers deciding among gaming destinations in Asia. In the event that new casino projects in Asia are completed, such as the proposed large-scale casino and entertainment complex to be built in Manila, Philippines, fewer gaming customers might visit Macau and the results of operations of Wynn Macau’s casinos could be negatively affected.</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There are significant risks associated with construction projects that may prevent completion of Wynn Macau’s casino(s) on budget and on schedule.</w:t>
      </w:r>
    </w:p>
    <w:p>
      <w:pPr>
        <w:spacing w:after="0" w:line="10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Wynn Macau’s construction of one or more casinos in Macau would entail significant risks associated with construction projects. These risks are similar to the risks we face in constructing Le Rêve. We cannot assure you that Wynn Macau’s casino(s) will commence operations on schedule or that construction costs for the Macau casino(s) will not exceed budgeted amounts. Failure to complete Wynn Macau’s casino(s) on budget or on schedule could have a significant negative effect on us.</w:t>
      </w:r>
    </w:p>
    <w:p>
      <w:pPr>
        <w:spacing w:after="0" w:line="130" w:lineRule="exact"/>
        <w:rPr>
          <w:sz w:val="20"/>
          <w:szCs w:val="20"/>
          <w:color w:val="auto"/>
        </w:rPr>
      </w:pPr>
    </w:p>
    <w:p>
      <w:pPr>
        <w:ind w:left="240" w:right="40"/>
        <w:spacing w:after="0" w:line="268" w:lineRule="auto"/>
        <w:rPr>
          <w:sz w:val="20"/>
          <w:szCs w:val="20"/>
          <w:color w:val="auto"/>
        </w:rPr>
      </w:pPr>
      <w:r>
        <w:rPr>
          <w:rFonts w:ascii="Arial" w:cs="Arial" w:eastAsia="Arial" w:hAnsi="Arial"/>
          <w:sz w:val="18"/>
          <w:szCs w:val="18"/>
          <w:i w:val="1"/>
          <w:iCs w:val="1"/>
          <w:color w:val="auto"/>
        </w:rPr>
        <w:t>Unfavorable changes in currency exchange rates may increase Wynn Macau’s obligations under the concession agreement and cause fluctuations in the value of our investment in Macau.</w:t>
      </w:r>
    </w:p>
    <w:p>
      <w:pPr>
        <w:spacing w:after="0" w:line="3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currency used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 Because Wynn Macau’s payment and expenditure obligations under the concession agreement are in Macau patacas, in the event of unfavorable Macau pataca or Hong Kong dollar rate changes, Wynn Macau’s obligations, as denominated in U.S. dollars, would increase. In addition, because we expect that most of the revenue for any casino that Wynn Macau operates in Macau will be in Hong Kong dollars, we are subject to foreign exchange risk with respect to the exchange rate between the Hong Kong dollar and the U.S. dollar. We have not yet determined whether we will engage in hedging activities to protect against foreign currency risk.</w:t>
      </w:r>
    </w:p>
    <w:p>
      <w:pPr>
        <w:spacing w:after="0" w:line="10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Land</w:t>
      </w:r>
    </w:p>
    <w:p>
      <w:pPr>
        <w:spacing w:after="0" w:line="8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currently own approximately 212 acres of land on or near the Las Vegas Strip on the site of the former Desert Inn Resort &amp; Casino. Le Rêve will total approximately 192 acres consisting of approximately 55 acres owned by Wynn Las Vegas at the northeast corner of the intersection of Las Vegas Boulevard and Sands Avenue and the approximately 137-acre golf course, owned by Wynn Resorts Holdings and leased to Wynn Las Vegas, to be constructed behind the hotel. The balance of the 212 acres consists of an additional parcel of approximately 20 acres fronting Las Vegas Boulevard next to the Le Rêve site, owned by Valvino, that will be available for future development upon its release from the liens under the Credit Facilities and the Notes.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Water Rights</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own approximately 949 acre-feet of certificated water rights through our subsidiary, Desert Inn Improvement Co. We plan to use this water for general irrigation purposes including irrigation of the golf course. Desert Inn Improvement Co. also currently provides water service to the existing office building on the site of the former Desert Inn Resort &amp; Casino and the remaining homes around the golf course. As a result of its service obligations to the remaining homes, Desert Inn Improvement Co. is a public utility under Nevada law and is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280" w:right="279" w:bottom="1440" w:gutter="0" w:footer="0" w:header="0"/>
        </w:sectPr>
      </w:pPr>
    </w:p>
    <w:bookmarkStart w:id="47" w:name="page48"/>
    <w:bookmarkEnd w:id="47"/>
    <w:p>
      <w:pPr>
        <w:ind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subject to regulatory restrictions imposed by the Public Utilities Commission of Nevada. Desert Inn Improvement Co. does not use its water rights to provide water to its public utility customers.</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also own an additional approximately 36 acre-feet of certificated water rights. This water will be used to supply the water for the Le Rêve lake, subject to the approval of the Nevada State Engineer. There are significant cost savings and conservation benefits associated with using water supplied pursuant to our water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Lease</w:t>
      </w:r>
    </w:p>
    <w:p>
      <w:pPr>
        <w:spacing w:after="0" w:line="8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Macau Special Administrative Region owns most of the land in Macau and, in most cases, private interests in real property located in Macau are obtained only through long-term leases and other grants of rights to use land from the government. The government of Macau has granted to Wynn Macau the right to lease a parcel of land of approximately 14 acres located in the outer harbor of downtown Macau opposite the Hotel Lisboa on which Wynn Macau intends to construct and operate its initial casino resort. If Wynn Macau ultimately signs a land concession agreement exercising its leasing right, the amount of the rent and other terms and conditions of the land concession will be fixed in that agreement. The term of the land concession would be 25 years, commencing on the date it is published in the Macau Official Gazette, and may be renewed at the option of Wynn Macau for successive periods terminating no later than December 19, 2049. In exchange, Wynn Macau would be obligated to pay a premium of approximately 318 million patacas (approximately US $41 million). In addition, once the land concession agreement is entered into, Wynn Macau would become obligated to pay an entity affiliated with Stanley Ho, approximately 160 million patacas (approximately US $20.6 million) for relinquishing its rights to use a portion of that site. Wynn Macau would be able to credit both this land concession premium and the payment to the former concessionaire toward its 4 billion pataca required investment in Macau.</w:t>
      </w:r>
    </w:p>
    <w:p>
      <w:pPr>
        <w:spacing w:after="0" w:line="10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8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Wynn Resorts, Limited and our subsidiaries are defendants in various lawsuits relating to routine matters incidental to our business. As with all litigation, no assurance can be provided as to the outcome of the following matters. We also note that litigation inherently involves significant costs.</w:t>
      </w:r>
    </w:p>
    <w:p>
      <w:pPr>
        <w:spacing w:after="0" w:line="7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Valvino is currently involved in litigation related to its ownership and development of the former Desert Inn golf course and the residential lots around the golf course. Valvino acquired some, but not all, of the residential lots located in the interior of and around the former Desert Inn golf course when it acquired the former Desert Inn Resort &amp; Casino from Starwood Hotels &amp; Resorts Worldwide, Inc. Valvino later acquired all of the remaining lots located in the interior of, and some of the remaining lots around, the former Desert Inn golf course. In total, Valvino acquired 63 of the 75 residential lots, with Clark County having acquired two of the lots through eminent domain in 1994 as part of the widening of Desert Inn Road. The residential lots, previously known collectively as the Desert Inn Country Club Estates, were subject to various conditions, covenants and restrictions recorded against the lots in 1956 and amended from time to time since then.</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October 31, 2000, Ms. Stephanie Swain, as trustee of the Mark Swain Revocable Trust, filed an action in Clark County District Court against Valvino and the then directors of the Desert Inn Country Club Estates Homeowners’ Association. Subsequently, the other remaining homeowners were joined in this lawsuit and asserted claims against Valvino. The plaintiffs are seeking various forms of declaratory relief concerning the continued existence and governance of the homeowners’ association. In addition, the plaintiffs have challenged the termination in June 2001 of the conditions, covenants and restrictions recorded against the residential lots. The plaintiffs also seek to establish certain easement rights that Ms. Swain and the other homeowners claim to possess. Specifically, the remaining homeowners seek to establish implied easement rights to enter upon the golf course for exercise and other leisure purposes, and to use the perimeter roadways for entrance and exit purposes. Additionally, plaintiffs claim that they are entitled to maintain their view of the golf course property. At least two of the plaintiffs also have alleged the existence of an equitable implied restriction prohibiting any alternative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48" w:name="page49"/>
    <w:bookmarkEnd w:id="48"/>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commercial development of the golf course. Due to plaintiffs’ failure to properly frame all of the issues and to assert claims against all necessary parties, Valvino filed an action seeking damages based upon a number of legal theories, including abuse of process. This action was consolidated with the action filed by Ms. Swain. Two subsequent actions were filed, one by Ms. Swain against certain homeowners’ association officers and directors and one by Valvino seeking declaratory and injunctive relief similar to the original action. Because the issues in the subsequent actions are present in the original action, both of the subsequent actions have been stayed pending the outcome of the original action. In addition, three of Valvino’s subsidiaries which now own the golf course land and several of the residential lots, have been substituted into the original action as counter-defendants and plaintiffs.</w:t>
      </w:r>
    </w:p>
    <w:p>
      <w:pPr>
        <w:spacing w:after="0" w:line="107"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The trial in this matter is scheduled for October 2003. The court has, nonetheless, entered several preliminary injunction orders concerning the parties’ respective property rights. Among other things, the court has ordered that Valvino is free to develop the golf course and the remainder of its property as it deems fit, subject to all applicable legal restraints. In that regard, Valvino was permitted to remove all homes and structures on its properties surrounding the golf course and those located on the Country Club Lane cul de sac, which ran to the interior of the golf course. Valvino has removed all structures that were on its lots, together with the cul-de-sac, and has relandscaped the property to blend into the existing golf course. The court has also entered an order prohibiting Ms. Swain from filing a lis pendens against the golf course property and expunging the lis pendens that was filed against the residential lots. A lis pendens is a notice filed on public records to warn all persons that the title to certain property is in litigation and that the effect of such litigation will be binding on the owner of the property. The court has also permitted construction of Le Rêve utilities in Country Club Lane, resulting in temporary closure of one of three access gates for the plaintiffs.</w:t>
      </w:r>
    </w:p>
    <w:p>
      <w:pPr>
        <w:spacing w:after="0" w:line="9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plaintiffs have sought, and successfully obtained, a preliminary injunction to compel Valvino to subsidize security to homeowners who reside near the project. Valvino has appealed this ruling to the Nevada Supreme Court. The appeal has now been submitted, without oral argument, to the Southern Nevada Panel of the Nevada Supreme Court.</w:t>
      </w:r>
    </w:p>
    <w:p>
      <w:pPr>
        <w:spacing w:after="0" w:line="12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Discovery in this case is currently ongoing. While no assurances can be made with respect to any litigation, Valvino is vigorously contesting all of the homeowners’ claims and will continue to do so. However, if the plaintiffs prevail on their claims and the conditions, covenants and restrictions on the lots remain in effect, we may have to adjust our current plans for the construction of the Le Rêve golf course by redesigning some of the holes located on the periphery of the course. In addition, if the court finds that there is an implied equitable restriction on the golf course lots, any future development of the golf course parcel for an alternative use may be restricted.</w:t>
      </w:r>
    </w:p>
    <w:p>
      <w:pPr>
        <w:spacing w:after="0" w:line="129"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Several of the remaining homeowners have also filed two separate actions seeking judicial review and/or a petition for a writ of mandamus and/or prohibition against Clark County and the Clark County Commissioners in Clark County District Court. One action concerns the Clark County Planning Commission’s approval of Valvino’s application for a use permit. Valvino is not a party to this action. The other action concerns the Clark County Planning Commission’s approval of Valvino’s application for design review of a maintenance facility that Valvino intends to build on the perimeter of the golf course property. Valvino and Wynn Resorts, Limited are parties to this action. Both of these actions are in the initial stages of litigation. Valvino intends to vigorously contest the homeowners’ claims.</w:t>
      </w:r>
    </w:p>
    <w:p>
      <w:pPr>
        <w:spacing w:after="0" w:line="1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matters submitted to a vote of our security holders during the fourth quarter of 2002.</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sectPr>
      </w:pPr>
    </w:p>
    <w:bookmarkStart w:id="49" w:name="page50"/>
    <w:bookmarkEnd w:id="4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w:t>
      </w:r>
    </w:p>
    <w:p>
      <w:pPr>
        <w:spacing w:after="0" w:line="158" w:lineRule="exact"/>
        <w:rPr>
          <w:sz w:val="20"/>
          <w:szCs w:val="20"/>
          <w:color w:val="auto"/>
        </w:rPr>
      </w:pPr>
    </w:p>
    <w:p>
      <w:pPr>
        <w:ind w:right="2540"/>
        <w:spacing w:after="0" w:line="332" w:lineRule="auto"/>
        <w:rPr>
          <w:sz w:val="20"/>
          <w:szCs w:val="20"/>
          <w:color w:val="auto"/>
        </w:rPr>
      </w:pPr>
      <w:r>
        <w:rPr>
          <w:rFonts w:ascii="Arial" w:cs="Arial" w:eastAsia="Arial" w:hAnsi="Arial"/>
          <w:sz w:val="18"/>
          <w:szCs w:val="18"/>
          <w:b w:val="1"/>
          <w:bCs w:val="1"/>
          <w:color w:val="auto"/>
        </w:rPr>
        <w:t>ITEM 5. MARKET FOR REGISTRANT’S COMMON EQUITY AND RELATED STOCKHOLDER MATTERS Market Information</w:t>
      </w:r>
    </w:p>
    <w:p>
      <w:pPr>
        <w:spacing w:after="0" w:line="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Our common stock began trading on the NASDAQ National Market under the symbol “WYNN” on October 25, 2002 at a price of $13.00 per share. The high and low sale prices for our common stock as reported by the NASDAQ National Market during the period from the start of trading through December 31, 2002 was $13.74 per share and $11.09 per share,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approximately 3,075 holders of our common stock as of January 23, 2003.</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never declared or paid cash dividends on any shares of our common stock. We currently intend to retain all available funds and any future consolidated earnings to fund the development and growth of our business and therefore do not anticipate paying any cash dividends in the foreseeable future. In addition, Wynn Resorts is a holding company and, as a result, its ability to pay dividends is dependent on its subsidiaries’ ability to provide funds to it. Restrictions imposed by our debt instruments significantly restrict certain key subsidiaries holding a majority of our assets, including Wynn Las Vegas, from making any dividends or distributions to Wynn Resorts. Specifically, Wynn Las Vegas and Wynn Capital, the issuers of the Notes, are restricted under the indenture (the “Indenture”) governing the Notes from making certain “restricted payments” as defined in the Indenture. These restricted payments, which are also prohibited of Valvino; Desert Inn Water Company, LLC; Wynn Design and Development, LLC; Wynn Resorts Holdings; Palo, LLC; World Travel, LLC and Las Vegas Jet, LLC (collectively defined as “restricted entities” in the Indenture), include the payment of any dividend or distribution to any direct or indirect holders of equity interests of either the issuers or the restricted entities. These restricted payments may not be made until Le Rêve has been completed and certain other financial and non-financial thresholds have been exceeded.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8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 xml:space="preserve">The following table summarizes compensation plans under which our equity securities are authorized for issuance, aggregated as to: (i) all compensation plans previously approved by stockholders, and (ii) all compensation plans not previously approved by stockholders. These plans are described in Item 8. “Financial Statements” of Part II (see Note 8. to Financial Statements—“Benefit Plans; </w:t>
      </w:r>
      <w:r>
        <w:rPr>
          <w:rFonts w:ascii="Arial" w:cs="Arial" w:eastAsia="Arial" w:hAnsi="Arial"/>
          <w:sz w:val="16"/>
          <w:szCs w:val="16"/>
          <w:i w:val="1"/>
          <w:iCs w:val="1"/>
          <w:color w:val="auto"/>
        </w:rPr>
        <w:t>Stock Based Compensation Plan</w:t>
      </w:r>
      <w:r>
        <w:rPr>
          <w:rFonts w:ascii="Arial" w:cs="Arial" w:eastAsia="Arial" w:hAnsi="Arial"/>
          <w:sz w:val="16"/>
          <w:szCs w:val="16"/>
          <w:color w:val="auto"/>
        </w:rPr>
        <w:t>”).</w:t>
      </w:r>
    </w:p>
    <w:p>
      <w:pPr>
        <w:spacing w:after="0" w:line="7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 Securities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20" w:type="dxa"/>
            <w:vAlign w:val="bottom"/>
            <w:gridSpan w:val="2"/>
          </w:tcPr>
          <w:p>
            <w:pPr>
              <w:jc w:val="center"/>
              <w:ind w:left="197"/>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Available for Future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Issued Upon Exercise of</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2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Issuance Under Equity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center"/>
              <w:ind w:right="105"/>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2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Options, Warrants and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88"/>
              </w:rPr>
              <w:t>Outstanding Options,</w:t>
            </w:r>
          </w:p>
        </w:tc>
        <w:tc>
          <w:tcPr>
            <w:tcW w:w="2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Plans (excluding securities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Rights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2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reflected in column (a))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540" w:type="dxa"/>
            <w:vAlign w:val="bottom"/>
            <w:gridSpan w:val="2"/>
          </w:tcPr>
          <w:p>
            <w:pPr>
              <w:ind w:left="140"/>
              <w:spacing w:after="0"/>
              <w:rPr>
                <w:sz w:val="20"/>
                <w:szCs w:val="20"/>
                <w:color w:val="auto"/>
              </w:rPr>
            </w:pPr>
            <w:r>
              <w:rPr>
                <w:rFonts w:ascii="Arial" w:cs="Arial" w:eastAsia="Arial" w:hAnsi="Arial"/>
                <w:sz w:val="14"/>
                <w:szCs w:val="14"/>
                <w:b w:val="1"/>
                <w:bCs w:val="1"/>
                <w:color w:val="auto"/>
              </w:rPr>
              <w:t>Plan Category</w:t>
            </w:r>
          </w:p>
        </w:tc>
        <w:tc>
          <w:tcPr>
            <w:tcW w:w="28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1"/>
              </w:rPr>
              <w:t>(a)</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jc w:val="center"/>
              <w:ind w:right="105"/>
              <w:spacing w:after="0"/>
              <w:rPr>
                <w:sz w:val="20"/>
                <w:szCs w:val="20"/>
                <w:color w:val="auto"/>
              </w:rPr>
            </w:pPr>
            <w:r>
              <w:rPr>
                <w:rFonts w:ascii="Arial" w:cs="Arial" w:eastAsia="Arial" w:hAnsi="Arial"/>
                <w:sz w:val="14"/>
                <w:szCs w:val="14"/>
                <w:b w:val="1"/>
                <w:bCs w:val="1"/>
                <w:color w:val="auto"/>
                <w:w w:val="89"/>
              </w:rPr>
              <w:t>(b)</w:t>
            </w:r>
          </w:p>
        </w:tc>
        <w:tc>
          <w:tcPr>
            <w:tcW w:w="28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60" w:type="dxa"/>
            <w:vAlign w:val="bottom"/>
            <w:gridSpan w:val="3"/>
            <w:shd w:val="clear" w:color="auto" w:fill="CCEEFF"/>
          </w:tcPr>
          <w:p>
            <w:pPr>
              <w:jc w:val="center"/>
              <w:ind w:right="3320"/>
              <w:spacing w:after="0"/>
              <w:rPr>
                <w:sz w:val="20"/>
                <w:szCs w:val="20"/>
                <w:color w:val="auto"/>
              </w:rPr>
            </w:pPr>
            <w:r>
              <w:rPr>
                <w:rFonts w:ascii="Arial" w:cs="Arial" w:eastAsia="Arial" w:hAnsi="Arial"/>
                <w:sz w:val="18"/>
                <w:szCs w:val="18"/>
                <w:color w:val="auto"/>
                <w:w w:val="88"/>
              </w:rPr>
              <w:t>holders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8,236,662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w w:val="94"/>
              </w:rPr>
              <w:t>Equity compensation plans not approved by security</w:t>
            </w: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gridSpan w:val="3"/>
          </w:tcPr>
          <w:p>
            <w:pPr>
              <w:jc w:val="center"/>
              <w:ind w:right="3320"/>
              <w:spacing w:after="0"/>
              <w:rPr>
                <w:sz w:val="20"/>
                <w:szCs w:val="20"/>
                <w:color w:val="auto"/>
              </w:rPr>
            </w:pPr>
            <w:r>
              <w:rPr>
                <w:rFonts w:ascii="Arial" w:cs="Arial" w:eastAsia="Arial" w:hAnsi="Arial"/>
                <w:sz w:val="18"/>
                <w:szCs w:val="18"/>
                <w:color w:val="auto"/>
                <w:w w:val="88"/>
              </w:rPr>
              <w:t>holders</w:t>
            </w:r>
          </w:p>
        </w:tc>
        <w:tc>
          <w:tcPr>
            <w:tcW w:w="280" w:type="dxa"/>
            <w:vAlign w:val="bottom"/>
          </w:tcPr>
          <w:p>
            <w:pPr>
              <w:spacing w:after="0"/>
              <w:rPr>
                <w:sz w:val="19"/>
                <w:szCs w:val="19"/>
                <w:color w:val="auto"/>
              </w:rPr>
            </w:pPr>
          </w:p>
        </w:tc>
        <w:tc>
          <w:tcPr>
            <w:tcW w:w="1540" w:type="dxa"/>
            <w:vAlign w:val="bottom"/>
          </w:tcPr>
          <w:p>
            <w:pPr>
              <w:jc w:val="right"/>
              <w:ind w:right="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2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shd w:val="clear" w:color="auto" w:fill="CCEEFF"/>
          </w:tcPr>
          <w:p>
            <w:pPr>
              <w:jc w:val="center"/>
              <w:ind w:right="3320"/>
              <w:spacing w:after="0"/>
              <w:rPr>
                <w:sz w:val="20"/>
                <w:szCs w:val="20"/>
                <w:color w:val="auto"/>
              </w:rPr>
            </w:pPr>
            <w:r>
              <w:rPr>
                <w:rFonts w:ascii="Arial" w:cs="Arial" w:eastAsia="Arial" w:hAnsi="Arial"/>
                <w:sz w:val="18"/>
                <w:szCs w:val="18"/>
                <w:color w:val="auto"/>
                <w:w w:val="89"/>
              </w:rPr>
              <w:t>Total</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8,236,662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20" w:type="dxa"/>
            <w:vAlign w:val="bottom"/>
            <w:gridSpan w:val="2"/>
          </w:tcPr>
          <w:p>
            <w:pPr>
              <w:jc w:val="right"/>
              <w:ind w:right="789"/>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4222115</wp:posOffset>
            </wp:positionH>
            <wp:positionV relativeFrom="paragraph">
              <wp:posOffset>-325755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-325755</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-325755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-325755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-325755</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-325755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Sales of Unregistered Securities</w:t>
      </w:r>
    </w:p>
    <w:p>
      <w:pPr>
        <w:spacing w:after="0" w:line="8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is a summary of the transactions by the Registrant during the past three years involving sales of the Registrant’s securities that were not registered under the Securities Act:</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April 2000, Stephen A. Wynn formed Valvino, as its sole member. Between April and September 2000, Mr. Wynn made equity contributions to Valvino in an aggregate amount of $220.7 million. Until immediately prior to the consummation of our initial public offering, our assets and operations were held and conducted by Valvino and its subsidiaries.</w:t>
      </w:r>
    </w:p>
    <w:p>
      <w:pPr>
        <w:spacing w:after="0" w:line="12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In October 2000, Aruze USA, Inc., a Nevada corporation, contributed $260 million in cash to Valvino in exchange for 100,000 common shares, which represented a 50% interest in the profits and losses of Valvino, and was admitted as a member of Valvino. In connection with such contribution by Aruze USA, Valvino also issued 100,000 common shares, representing a 50% interest in Valvino’s profits and losses, to Mr. Wynn to evidence his ownership interest in the limited liability company.</w:t>
      </w:r>
    </w:p>
    <w:p>
      <w:pPr>
        <w:spacing w:after="0" w:line="13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In April 2001, Baron Asset Fund, a Massachusetts business trust, contributed $20.8 million in cash to Valvino in exchange for 7,692.31 common shares, which represented approximately a 3.70% interest in the profits and losses of Valvino, and was admitted as a member of Valvino.</w:t>
      </w:r>
    </w:p>
    <w:p>
      <w:pPr>
        <w:spacing w:after="0" w:line="72"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April 2002: (1) Baron Asset Fund contributed an additional approximately $20.3 million in cash to Valvino, (2) Aruze USA contributed an additional $120 million in cash to Valvino, (3) Mr. Wynn contributed an additional approximately $32 million in cash to Valvino and (4) Mr. Wynn contributed his interest in Wynn Resorts (Macau) S.A., which was valued at approximately $56 million by the parties in the negotiation of Mr. Wynn’s contribution of his interest, to Valvino. As a result of these capital contributions, Baron Asset Fund was issued an additional 2,834.01 common shares and its interest in Valvino’s profits and losses increased to 5%. Aruze USA and Mr. Wynn received no additional shares as a result of the April 2002 capital contributions. Immediately following these capital contributions, each of Mr. Wynn and Aruze USA held a 47.5% interest in Valvino’s profits and losses.</w:t>
      </w:r>
    </w:p>
    <w:p>
      <w:pPr>
        <w:spacing w:after="0" w:line="10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June 2002, the Kenneth R. Wynn Family Trust contributed $1.2 million in cash to Valvino in exchange for 307.38 common shares, which represented approximately a 0.146% interest in the profits and losses of Valvino, and was admitted as a member of Valvino.</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September 2002, in exchange for the contribution of all of their respective membership interests in Valvino, the Registrant issued shares of its common stock to each of Mr. Wynn, Aruze USA, Baron Asset Fund and the Kenneth R. Wynn Family Trust.</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and the Registrant believes that each transaction was exempt from the registration requirements of the Securities Act by virtue of Section 4(2) thereof and Regulation D promulgated thereunder or Rule 701 pursuant to compensatory benefit plans and contracts relating to compensation as provided under Rule 701.</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Sales of Registered Securities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October 25, 2002, we completed an initial public offering of 34,615,000 shares of our common stock at a price of $13 per share. The underwriters in the offering were Deutsche Bank Securities; Bear, Stearns &amp; Co. Inc.; Banc of America Securities LLC; JP Morgan; Dresdner Kleinwort Wasserstein; Jefferies &amp; Company, Inc.; Lazard; SG Cowen; and Thomas Weisel Partners LLC. Stephen A. Wynn, Chairman of the Board, CEO and a principal stockholder of Wynn Resorts, and Aruze USA, another principal stockholder of Wynn Resorts, also collectively purchased approximately 11,150,000 of these shares at the $13 per share purchase price. The shares were registered under the Securities Act of 1933, as amended, on a Registration Statement on Form S-1</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22" w:right="239" w:bottom="1440" w:gutter="0" w:footer="0" w:header="0"/>
        </w:sectPr>
      </w:pPr>
    </w:p>
    <w:bookmarkStart w:id="51" w:name="page52"/>
    <w:bookmarkEnd w:id="51"/>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(Registration No. 333-90600) that was declared effective by the SEC on October 25, 2002. On November 11, 2002, the underwriters of the initial public offering also exercised a 3,219,173 share over-allotment option in full.</w:t>
      </w:r>
    </w:p>
    <w:p>
      <w:pPr>
        <w:spacing w:after="0" w:line="11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aggregate proceeds of the offering and the exercise over-allotment option was approximately $491.8 million. We paid approximately $22.4 million in underwriting discounts and commissions and approximately $4.1 million in legal, accounting and other professional expenses directly incurred with respect to the offering. After deducting the underwriting discounts and commissions and the other offering expenses we received net proceeds of approximately $465.3 million.</w:t>
      </w:r>
    </w:p>
    <w:p>
      <w:pPr>
        <w:spacing w:after="0" w:line="9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Concurrent with the initial public offering of our common stock, two of our wholly-owned subsidiaries (Wynn Las Vegas and Wynn Capital) completed an offering to the public of $370 million aggregate principal amount of the Notes under the Securities Act of 1933, as amended, on a Registration Statement on Form S-1 (Registration No. 333-98369). The underwriters of the offering were Deutsche Bank Securities; Bear, Stearns &amp; Co. Inc.; Banc of America Securities LLC; Dresdner Kleinwort Wasserstein; Jefferies &amp; Company, Inc.; SG Cowen; Fleet Securities, Inc.; and Scotia Capital.</w:t>
      </w:r>
    </w:p>
    <w:p>
      <w:pPr>
        <w:spacing w:after="0" w:line="99"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The Notes were issued on October 30, 2002, for proceeds of approximately $343.3 million, which was net of an original issue discount of approximately $26.7 million. We paid approximately $10.1 million of underwriting discounts and commissions and approximately $4.3 million for legal, accounting and other professional expenses. After deducting the underwriting discounts and commissions and the other offering expenses, we received net proceeds of approximately $328.9 million.</w:t>
      </w:r>
    </w:p>
    <w:p>
      <w:pPr>
        <w:spacing w:after="0" w:line="13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None of the proceeds of either the initial public offering of our common stock or the issuance of the Notes were paid directly or indirectly, to any of our directors, officers, partners or affiliates or any of their associates, or any persons or entities owning 10% or more of our common stock. To date, other than in connection with capital contributions made to wholly owned subsidiaries, we have not used any of the net proceeds. The net proceeds have been temporarily invested in government-backed debt securities as required by the Disbursement Agreement (See Part I, Item I—“Construction Schedule and Budget). The Disbursement Agreement generally prohibits use of these proceeds until our initial cash contributions of Mr. Wynn, Aruze USA, Baron Asset Fund and the Kenneth R. Wynn Family Trust are largely utilized. Afterwards, project costs will, generally, be funded first from the proceeds of the initial public offering that were included in the financing proceeds prior to using the proceeds of the Notes. Ultimately, the proceeds of the Notes and the proceeds of the initial public offering that were contributed to Wynn Las Vegas or its direct or indirect subsidiaries will be used to finance the development and construction of Le Rêve, to pay pre-opening expenses and meet debt service obligations as discussed in the Registration Statements on Forms S-1 as discussed above and as approved under the conditions required by the Disbursement Agreement.</w:t>
      </w:r>
    </w:p>
    <w:p>
      <w:pPr>
        <w:spacing w:after="0" w:line="10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8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Valvino, a development stage company, was formed in April 2000 as a Nevada limited liability company to acquire land and design, develop and finance a new resort casino/hotel project named “Le Rêve”. On September 24, 2002, Wynn Resorts, a development stage company, became the parent company of Valvino when all the members of Valvino contributed 210,834 shares comprising 100% of the membership interests of Valvino to Wynn Resorts in exchange for 40,000,000 shares of the common stock of Wynn Resorts. The following reflects the selected consolidated financial data of Wynn Resorts and its subsidiaries or its predecessor Valvino and its subsidiaries. This data should be read together with Wynn Resorts’ consolidated financial statements and notes thereto, “Item 7. Management’s Discussion and Analysis of Financial Condition and Results of Operations” and the other information contained in this Annual Report on Form 10-K.</w:t>
      </w:r>
    </w:p>
    <w:p>
      <w:pPr>
        <w:spacing w:after="0" w:line="13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selected data presented below as of December 31, 2002, 2001 and 2000, and for the years ended December 31, 2002 and 2001 and the periods from inception (April 21, 2000) through December 31, 2002 and 2000 is derived from the consolidated financial statements of Wynn Resorts or Valvino as its predecessor, which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80" w:right="259" w:bottom="1440" w:gutter="0" w:footer="0" w:header="0"/>
        </w:sectPr>
      </w:pPr>
    </w:p>
    <w:bookmarkStart w:id="52" w:name="page53"/>
    <w:bookmarkEnd w:id="52"/>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have been audited by Deloitte &amp; Touche LLP, independent auditors. The consolidated financial statements as of December 31, 2002 and 2001, and for the years ended December 31, 2002 and 2001 and the periods from inception through December 31, 2002 and 2000, and the auditors’ report thereon, are included elsewhere in this Annual Report on Form 10-K.</w:t>
      </w:r>
    </w:p>
    <w:p>
      <w:pPr>
        <w:spacing w:after="0" w:line="110"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9"/>
              </w:rPr>
              <w:t>Period from</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Period from</w:t>
            </w: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2"/>
                <w:szCs w:val="12"/>
                <w:color w:val="auto"/>
              </w:rPr>
            </w:pPr>
          </w:p>
        </w:tc>
        <w:tc>
          <w:tcPr>
            <w:tcW w:w="130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Inception to</w:t>
            </w: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60" w:type="dxa"/>
            <w:vAlign w:val="bottom"/>
          </w:tcPr>
          <w:p>
            <w:pPr>
              <w:spacing w:after="0"/>
              <w:rPr>
                <w:sz w:val="12"/>
                <w:szCs w:val="12"/>
                <w:color w:val="auto"/>
              </w:rPr>
            </w:pPr>
          </w:p>
        </w:tc>
        <w:tc>
          <w:tcPr>
            <w:tcW w:w="130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jc w:val="right"/>
              <w:ind w:right="280"/>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74"/>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60"/>
              <w:spacing w:after="0"/>
              <w:rPr>
                <w:sz w:val="20"/>
                <w:szCs w:val="20"/>
                <w:color w:val="auto"/>
              </w:rPr>
            </w:pPr>
            <w:r>
              <w:rPr>
                <w:rFonts w:ascii="Arial" w:cs="Arial" w:eastAsia="Arial" w:hAnsi="Arial"/>
                <w:sz w:val="14"/>
                <w:szCs w:val="14"/>
                <w:b w:val="1"/>
                <w:bCs w:val="1"/>
                <w:color w:val="auto"/>
                <w:w w:val="89"/>
              </w:rPr>
              <w:t>2002</w:t>
            </w:r>
          </w:p>
        </w:tc>
        <w:tc>
          <w:tcPr>
            <w:tcW w:w="200" w:type="dxa"/>
            <w:vAlign w:val="bottom"/>
          </w:tcPr>
          <w:p>
            <w:pPr>
              <w:spacing w:after="0"/>
              <w:rPr>
                <w:sz w:val="15"/>
                <w:szCs w:val="15"/>
                <w:color w:val="auto"/>
              </w:rPr>
            </w:pPr>
          </w:p>
        </w:tc>
        <w:tc>
          <w:tcPr>
            <w:tcW w:w="1240" w:type="dxa"/>
            <w:vAlign w:val="bottom"/>
            <w:gridSpan w:val="4"/>
          </w:tcPr>
          <w:p>
            <w:pPr>
              <w:jc w:val="center"/>
              <w:ind w:left="76"/>
              <w:spacing w:after="0"/>
              <w:rPr>
                <w:sz w:val="20"/>
                <w:szCs w:val="20"/>
                <w:color w:val="auto"/>
              </w:rPr>
            </w:pPr>
            <w:r>
              <w:rPr>
                <w:rFonts w:ascii="Arial" w:cs="Arial" w:eastAsia="Arial" w:hAnsi="Arial"/>
                <w:sz w:val="14"/>
                <w:szCs w:val="14"/>
                <w:b w:val="1"/>
                <w:bCs w:val="1"/>
                <w:color w:val="auto"/>
                <w:w w:val="89"/>
              </w:rPr>
              <w:t>2001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ind w:left="300"/>
              <w:spacing w:after="0"/>
              <w:rPr>
                <w:sz w:val="20"/>
                <w:szCs w:val="20"/>
                <w:color w:val="auto"/>
              </w:rPr>
            </w:pPr>
            <w:r>
              <w:rPr>
                <w:rFonts w:ascii="Arial" w:cs="Arial" w:eastAsia="Arial" w:hAnsi="Arial"/>
                <w:sz w:val="14"/>
                <w:szCs w:val="14"/>
                <w:b w:val="1"/>
                <w:bCs w:val="1"/>
                <w:color w:val="auto"/>
              </w:rPr>
              <w:t>2000</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356"/>
              <w:spacing w:after="0"/>
              <w:rPr>
                <w:sz w:val="20"/>
                <w:szCs w:val="20"/>
                <w:color w:val="auto"/>
              </w:rPr>
            </w:pPr>
            <w:r>
              <w:rPr>
                <w:rFonts w:ascii="Arial" w:cs="Arial" w:eastAsia="Arial" w:hAnsi="Arial"/>
                <w:sz w:val="14"/>
                <w:szCs w:val="14"/>
                <w:b w:val="1"/>
                <w:bCs w:val="1"/>
                <w:color w:val="auto"/>
                <w:w w:val="96"/>
              </w:rPr>
              <w:t>2002</w:t>
            </w:r>
          </w:p>
        </w:tc>
        <w:tc>
          <w:tcPr>
            <w:tcW w:w="10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380" w:type="dxa"/>
            <w:vAlign w:val="bottom"/>
            <w:gridSpan w:val="2"/>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60" w:type="dxa"/>
            <w:vAlign w:val="bottom"/>
            <w:gridSpan w:val="10"/>
          </w:tcPr>
          <w:p>
            <w:pPr>
              <w:jc w:val="right"/>
              <w:ind w:right="380"/>
              <w:spacing w:after="0"/>
              <w:rPr>
                <w:sz w:val="20"/>
                <w:szCs w:val="20"/>
                <w:color w:val="auto"/>
              </w:rPr>
            </w:pPr>
            <w:r>
              <w:rPr>
                <w:rFonts w:ascii="Arial" w:cs="Arial" w:eastAsia="Arial" w:hAnsi="Arial"/>
                <w:sz w:val="14"/>
                <w:szCs w:val="14"/>
                <w:b w:val="1"/>
                <w:bCs w:val="1"/>
                <w:color w:val="auto"/>
                <w:w w:val="88"/>
              </w:rPr>
              <w:t>(in thousands, except per share amounts)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Net revenues</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1,159</w:t>
            </w:r>
          </w:p>
        </w:tc>
        <w:tc>
          <w:tcPr>
            <w:tcW w:w="200" w:type="dxa"/>
            <w:vAlign w:val="bottom"/>
          </w:tcPr>
          <w:p>
            <w:pPr>
              <w:spacing w:after="0"/>
              <w:rPr>
                <w:sz w:val="18"/>
                <w:szCs w:val="18"/>
                <w:color w:val="auto"/>
              </w:rPr>
            </w:pPr>
          </w:p>
        </w:tc>
        <w:tc>
          <w:tcPr>
            <w:tcW w:w="54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1,157</w:t>
            </w:r>
          </w:p>
        </w:tc>
        <w:tc>
          <w:tcPr>
            <w:tcW w:w="22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w:t>
            </w:r>
          </w:p>
        </w:tc>
        <w:tc>
          <w:tcPr>
            <w:tcW w:w="30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2,403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(25,147)</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(11,862)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(42,715)</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(34,400)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(20,060)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(12,033)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(66,493)</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w w:val="91"/>
              </w:rPr>
              <w:t>Net loss accumulated during the development stage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(31,713)</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(17,726)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(10,616)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(60,055)</w:t>
            </w:r>
          </w:p>
        </w:tc>
      </w:tr>
      <w:tr>
        <w:trPr>
          <w:trHeight w:val="222"/>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Basic and diluted loss per share</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(0.68)</w:t>
            </w:r>
          </w:p>
        </w:tc>
        <w:tc>
          <w:tcPr>
            <w:tcW w:w="54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(0.45)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(0.28)</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r>
      <w:tr>
        <w:trPr>
          <w:trHeight w:val="304"/>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5"/>
              </w:rPr>
              <w:t>As of December 31,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5"/>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196"/>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22"/>
                <w:szCs w:val="22"/>
                <w:color w:val="auto"/>
              </w:rPr>
            </w:pPr>
          </w:p>
        </w:tc>
      </w:tr>
      <w:tr>
        <w:trPr>
          <w:trHeight w:val="95"/>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Borders>
              <w:bottom w:val="single" w:sz="8" w:color="auto"/>
            </w:tcBorders>
            <w:gridSpan w:val="3"/>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Cash and cash equivalents(1)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109,644</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39,268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54,429</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90,189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8,484</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1,398,601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388,543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387,084</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obligations(2)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382,191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22"/>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991,613</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384,230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381,956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right="60" w:hanging="452"/>
        <w:spacing w:after="0" w:line="291"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Excludes approximately $792.9 million and $524,000 of restricted cash and investments as of December 31, 2002 and 2001, respectively. As of December 31, 2001, restricted cash and investments balances related primarily to certain certificates of deposits to collateralize certain construction insurance claims as well as required sales tax deposits. At December 31, 2002, in addition to these deposits, cash and cash equivalents excludes the majority of the proceeds of the initial public offering of our common stock and the issuance of the Notes, which are restricted by various agreements, including the Disbursement Agreement, which govern the availability of and generally restrict such funds for construction costs of Le Rêve. These funds are held in relatively short-term government-backed debt securities.</w:t>
      </w:r>
    </w:p>
    <w:p>
      <w:pPr>
        <w:spacing w:after="0" w:line="25" w:lineRule="exact"/>
        <w:rPr>
          <w:rFonts w:ascii="Arial" w:cs="Arial" w:eastAsia="Arial" w:hAnsi="Arial"/>
          <w:sz w:val="16"/>
          <w:szCs w:val="16"/>
          <w:color w:val="auto"/>
        </w:rPr>
      </w:pPr>
    </w:p>
    <w:p>
      <w:pPr>
        <w:ind w:left="460" w:right="54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the current portion of long-term debt amounting to approximately $38,000, $35,000 and $32,000 as of December 31, 2002, 2001 and 2000, respectively.</w:t>
      </w:r>
    </w:p>
    <w:p>
      <w:pPr>
        <w:spacing w:after="0" w:line="112" w:lineRule="exact"/>
        <w:rPr>
          <w:sz w:val="20"/>
          <w:szCs w:val="20"/>
          <w:color w:val="auto"/>
        </w:rPr>
      </w:pPr>
    </w:p>
    <w:p>
      <w:pPr>
        <w:ind w:left="1020" w:right="2500" w:hanging="1012"/>
        <w:spacing w:after="0" w:line="275"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included elsewhere in this Annual Report on Form 10-K. Certain statements in this “Management’s Discussion and Analysis of Financial Condition and Results of Operations” are forward-looking statements. See “Forward-Looking Statements” in Part I, Item. 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June 2000, the Company acquired the Desert Inn Resort &amp; Casino (the “Desert Inn”) assets from Starwood Hotels &amp; Resorts Worldwide, Inc. and ceased operations of the Desert Inn after approximately ten weeks. The Company has demolished some of the buildings that constituted the Desert Inn in anticipation of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80" w:right="259" w:bottom="1440" w:gutter="0" w:footer="0" w:header="0"/>
        </w:sectPr>
      </w:pPr>
    </w:p>
    <w:bookmarkStart w:id="53" w:name="page54"/>
    <w:bookmarkEnd w:id="53"/>
    <w:p>
      <w:pPr>
        <w:ind w:right="2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construction of Le Rêve. The remaining structures have been and will continue to be utilized as offices at least through the completion of Le Rêve. Since the Company ceased operating the Desert Inn, our efforts have been devoted principally to the development activities described below with respect to Le Rêve and Wynn Macau’s opportunity in Macau. In addition, the financial position and operating results of World Travel, LLC and Las Vegas Jet, LLC which comprise principally the ownership and operation of a corporate aircraft, are included in the Company’s financial statements. Moreover, we continue to operate an art gallery displaying works from The Wynn Collection, which consists of artwork from the personal art collection of Stephen A. and Elaine Wynn. Through June 2002, we also operated the golf course located on the site of the Desert Inn.</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At December 31, 2002, the Company’s principal assets included the proceeds of the initial public offering of its common stock and its debt financing subject to various restrictions on the use of such proceeds, the Desert Inn site and equity interests in the Company’s various subsidiaries, including a majority interest in Wynn Macau, a foreign subsidiary that has entered into a concession agreement with the government of Macau permitting it to conduct casino gaming operations in Macau.</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and Construction Activities</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activities have included arranging the design, construction and financing of Le Rêve and applying for certain permits, licenses and approvals necessary for the development and operation of Le Rêve. We are constructing and plan to operate Le Rêve as part of a world-class destination casino resort which, together with the new golf course located behind the hotel, will occupy approximately 192 acres of a 212-acre parcel of land on the Las Vegas Strip in Las Vegas, Nevada. Construction of Le Rêve began with groundbreaking in October 2002 and we expect Le Rêve to commence operations in April 2005. The Company is subject to a number of uncertainties relating to the development of the Le Rêve project, including, but not limited to, the timing of the construction, changes in the guaranteed maximum price contract due to delays or certain other issues and completion guarantees. Construction projects of this nature entail significant risks, and the anticipated costs and construction schedule are based upon budgets, conceptual design documents and schedule estimates. As construction progresses, there is always a possibility that delays and construction change orders may occur. Such delays or change orders could have a material adverse affect on our liquidity and operations.</w:t>
      </w:r>
    </w:p>
    <w:p>
      <w:pPr>
        <w:spacing w:after="0" w:line="10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also spent considerable time preparing and presenting to the Macau government a proposal that ultimately resulted in obtaining a concession to engage in gaming activities in Macau. On June 24, 2002, Wynn Macau entered into a 20-year concession agreement with the government of Macau granting Wynn Macau the right to construct and operate one or more casinos in Macau. The concession agreement obligates Wynn Macau to invest no less than a total of 4 billion patacas (approximately US $515.6 million at the March 10, 2003 exchange rate) in Macau-related projects by June 26, 2009 and to commence operations of its first permanent casino resort in Macau no later than December 2006. Wynn Macau has entered into a $574,000 pre-construction services agreement with a third-party joint venture for: (i) development of the Contractors Proposal, (ii) negotiation of the Contractor’s Proposal, and (iii) negotiation and execution of the construction contract. If Wynn Macau does not invest 4 billion patacas by June 26, 2009, it is obligated to invest the remaining amount in projects related to its gaming operations in Macau that the Macau government approves, or in projects of public interest designated by the Macau government. However, Wynn Macau will not begin construction or operation of any casino in Macau until a number of objectives and conditions are met, including: obtaining sufficient financing, obtaining the ability to extend credit to gaming customers and enforce gaming debts in Macau and obtaining relief from the complementary income tax and the withholding tax on dividends imposed in Macau. Based on our discussions with government officials, we believe legislative changes relating to these matters will be enacted in 2003. However, we cannot assure you that such proposed legislative changes will be enacted.</w:t>
      </w:r>
    </w:p>
    <w:p>
      <w:pPr>
        <w:spacing w:after="0" w:line="11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As of December 31, 2002, Wynn Macau was majority-owned by the Company through a series of wholly-owned and partially owned domestic and foreign subsidiaries, none of which is a guarantor of, or otherwise restricted by, the Notes or the other debt facilities related to Le Rêve.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80"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Results of Operations</w:t>
      </w:r>
    </w:p>
    <w:p>
      <w:pPr>
        <w:spacing w:after="0" w:line="8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As is customary for a development stage company, the Company has not commenced principal operations and therefore revenues are not significant. Consequently, the Company has incurred losses in each period from inception to December 31, 2002. Management expects these losses to continue until planned principal operations have commenced. The Company does not expect that its operating results prior to opening Le Rêve will be indicative of operating results thereafter. We cannot assure you that we will be able to operate Le Rêve at a profit once it is completed.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year ended December 31, 2002 compared to the year ended December 31, 2001</w:t>
      </w:r>
    </w:p>
    <w:p>
      <w:pPr>
        <w:spacing w:after="0" w:line="7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Company’s development operations resulted in a net loss for the year ended December 31, 2002, of approximately $31.7 million, a 79% increase over the net loss of approximately $17.7 million for the comparable year ended December 31, 2001, due generally to increased development activities.</w:t>
      </w:r>
    </w:p>
    <w:p>
      <w:pPr>
        <w:spacing w:after="0" w:line="7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Total revenues for the year ended December 31, 2002, were nearly consistent with the year ended December 31, 2001. The Company sold its original aircraft in February 2002 and purchased a new aircraft concurrent with the acquisition of World Travel, LLC and Las Vegas Jet, LLC. The new aircraft is not licensed for charter services; consequently, charter revenues, which now consist solely of fees charged for usage by officers of the Company, have decreased by $448,000 or 42% to $629,000 in 2002 from $1.1 million in 2001. Offsetting the decrease in aircraft revenues are increases in revenues from the art gallery and the retail shop, which were opened in November 2001.</w:t>
      </w:r>
    </w:p>
    <w:p>
      <w:pPr>
        <w:spacing w:after="0" w:line="129"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Total expenses for the year ended December 31, 2002 increased approximately $14.3 million, or 68%, as compared to the year ended December 31, 2001 primarily due to an approximately $13.3 million increase in pre-opening costs, a loss from incidental operations of approximately $700,000, and approximately $771,000 of increased depreciation expense offset by the absence of facility closure expenses relating to the 2001 closure of the Desert Inn. The increase in pre-opening costs, which consist primarily of salaries and wages and consulting and legal fees, is directly attributable to an increase in pre-opening activities as compared to the same period in the prior year. Management expects pre-opening costs to continue to increase as development of Le Rêve progresses. Depreciation expenses increased primarily due to the addition of the new aircraft in May 2002, while incidental operations incurred a loss due to the closure of the golf course in summer 2002.</w:t>
      </w:r>
    </w:p>
    <w:p>
      <w:pPr>
        <w:spacing w:after="0" w:line="10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Other income—net for the year ended December 31, 2002 decreased approximately $513,000 from the year ended December 31, 2001, primarily as a result of an approximately $1.3 million increase in interest income from 2002 to 2001, offset by an approximately $1.9 million increase in interest expenses. Higher interest income is attributable mainly to the significant increase in cash from the net proceeds from equity and debt financing activity, while increased outstanding debt resulting from the aircraft purchase in May 2002 and subsequent refinancing from the FF&amp;E Facility increased the interest expense. See “Liquidity and Capital Resources” below.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year ended December 31, 2001 compared to the period from inception to December 31, 2000</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recognized a loss of approximately $17.7 million for the year ended December 31, 2001, related to pre-opening costs and depreciation of facilities acquired in the acquisition of the Desert Inn, an approximate increase of 67% from the loss incurred during the period from inception (April 21, 2000) to December 2000 of approximately $10.6 million.</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Total revenues for the year ended December 31, 2001 increased approximately $1.1 million from the period from inception to December 31, 2000 primarily as a result of increased charter revenues from third parties recognized by Las Vegas Jet, LLC, which was previously wholly owned by Mr. Wynn, from approximately $715,000 for the year ended December 31, 2001. In addition, revenues of approximately $80,000 were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22"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recognized for the year ended December 31, 2001, primarily as a result of the art gallery and retail shop opening in November 2001.</w:t>
      </w:r>
    </w:p>
    <w:p>
      <w:pPr>
        <w:spacing w:after="0" w:line="15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Total expenses for the year ended December 31, 2001 increased approximately $9.1 million as compared to the period from inception to December 31, 2000 primarily as a result of increased pre-opening costs associated with Le Rêve and depreciation and amortization expenses which were partially offset by lower facility closure expense and losses from incidental operations. This resulted in an increase in net operating losses of approximately $8.0 million for the year ended December 31, 2001 as compared to the period from inception to December 31, 2000.</w:t>
      </w:r>
    </w:p>
    <w:p>
      <w:pPr>
        <w:spacing w:after="0" w:line="130"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Pre-opening costs, which consist primarily of salaries and wages and consulting and legal fees, for the year ended December 31, 2001 increased approximately $6.2 million, as compared to the period from inception to December 31, 2000 primarily as a result of increased pre-opening activities and approximately four additional months of costs being recognized during the year ended December 31, 2001 than in the period from inception to December 31, 2000. Similarly, depreciation and amortization recognized for the year ended December 31, 2001 reflects 12 months of expenses as compared to approximately eight months of expenses recognized in the period from inception to December 31, 2000. This resulted in increased depreciation and amortization expenses for the year ended December 31, 2001 of approximately $4.1 million.</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Facility closure expenses were approximately $833,000 less for the year ended December 31, 2001, as compared to the period from inception to December 31, 2000, primarily because a majority of the costs incurred for the period from inception to December 31, 2000 related to the closing of the Desert Inn Resort &amp; Casino, which was completed in August 2000. During the period from inception to December 31, 2000, the Company recognized a net loss from incidental operations of approximately $1.2 million as compared to no recognized net loss for the year ended December 31, 2001. The net loss in 2000 was attributable to the incidental casino and hotel operations incurred prior to its closing in August 2000.</w:t>
      </w:r>
    </w:p>
    <w:p>
      <w:pPr>
        <w:spacing w:after="0" w:line="10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Other income—net increased approximately $917,000 in the year ended December 31, 2001 as compared to the period from inception to December 31, 2000 primarily as a result of an approximate $928,000 increase in interest income in 2001. Interest income for the year ended December 31, 2001 reflects interest earned for the 12 month period whereas interest income for the period from inception to December 31, 2000 reflects interest earned for approximately eight months.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trends that may affect development activities and future results of operations</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the near term, our development activities may be impacted by various economic factors, including, among other things, the availability and cost of materials, the availability of labor resources, interest rate levels and, specifically in connection with the Macau opportunity, foreign exchange rates. The strength and profitability of our business after Le Rêve opens will depend on consumer demand for hotel casino resorts in general and for the type of luxury amenities that Le Rêve will offer. Adverse changes in consumer preferences or discretionary income could harm our business. In particular, the terrorist attacks of September 11, 2001, and ongoing terrorist and war activities in the United States and elsewhere, have had a negative impact on travel and leisure expenditures, including lodging, gaming and tourism. In addition to fears of war in the Mideast and future acts of terrorism, other factors affecting discretionary consumer spending, including general economic conditions, disposable consumer income, fears of recession and consumer confidence in the economy, could reduce customer demand for the products and services we will offer, thus imposing practical limits on pricing and harming our operations. Also, in his recent “State of the State” address on January 20, 2003, in response to the state’s budget deficit, the Governor of Nevada proposed significant increases in cigarette and alcohol taxes, corporate filing fees and slot machine license fees and also proposed a new gross receipts tax which would levy an additional ¼% tax on gross receipts of Nevada businesses. Although we cannot currently predict the likelihood of the implementation of such proposals, the imposition of additional taxes and license fees and a state gross receipts tax would, if enacted, significantly increase our tax liabilities and reduce our cash flows and net income accordingly.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80" w:right="239" w:bottom="1440" w:gutter="0" w:footer="0" w:header="0"/>
        </w:sectPr>
      </w:pPr>
    </w:p>
    <w:bookmarkStart w:id="56" w:name="page57"/>
    <w:bookmarkEnd w:id="56"/>
    <w:p>
      <w:pPr>
        <w:jc w:val="both"/>
        <w:ind w:right="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opening Le Rêve we believe that a nominal decline in the strength of the U.S. economy or the amount of disposable income available to individuals would not have a material effect on our results of operations, however, a material decline in the strength of the U.S. economy or the amount of disposable income available to individuals could have a significant impact on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Transactions Affecting Liquidity and Capital Resources</w:t>
      </w:r>
    </w:p>
    <w:p>
      <w:pPr>
        <w:spacing w:after="0" w:line="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Since Valvino’s (Wynn Resorts’ predecessor) inception on April 21, 2000, there have been a number of transactions that have had a significant impact on the Company’s liquidity. Our operations have required substantial capital investment for the acquisition of the land on which Le Rêve will be located and development of Le Rêve.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Contributions and Distributions</w:t>
      </w:r>
    </w:p>
    <w:p>
      <w:pPr>
        <w:spacing w:after="0" w:line="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Stephen A. Wynn organized Valvino and initially was its sole member. Between April of 2000 and September of 2000, Mr. Wynn made equity contributions to Valvino in an aggregate amount of approximately $220.7 million. On June 15, 2000, Mr. Wynn loaned Valvino $100 million at an interest rate of 7.875% per year.</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July 2000, Valvino used proceeds from a $125 million loan agreement with Deutsche Bank Securities Inc., as lead arranger, and Bankers Trust Company, as administrative agent, to make an approximately $110.5 million equity distribution to Mr. Wynn. At the time of this distribution, Mr. Wynn was the only member of Valvino.</w:t>
      </w:r>
    </w:p>
    <w:p>
      <w:pPr>
        <w:spacing w:after="0" w:line="12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October 3, 2000, Aruze USA made a contribution of $260 million in cash ($250 million net of finders’ fee) to Valvino in exchange for 50% of the membership interests in Valvino and was admitted as a member of Valvino. Mr. Wynn was designated as the managing member of Valvino. On October 3, 2000, $70 million of Mr. Wynn’s loan was repaid out of the proceeds of this capital contribution and on October 10, 2000, the Deutsche Bank loan discussed above was repaid in full. The remaining approximately $32.3 million balance of Mr. Wynn’s loan, including accrued interest, was converted to equity as a member contribution.</w:t>
      </w:r>
    </w:p>
    <w:p>
      <w:pPr>
        <w:spacing w:after="0" w:line="129"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On April 16, 2001, Baron Asset Fund, a Massachusetts business trust, made a contribution of $20.8 million in cash ($20 million net of finders’ fees) to Valvino in exchange for approximately 3.7% of the membership interests in Valvino and was admitted as a member of Valvino. Immediately following the admission of Baron Asset Fund, Mr. Wynn and Aruze USA each owned approximately 48.2% of the membership interests in Valvino.</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April 2002, Mr. Wynn, Aruze USA and Baron Asset Fund each made the following further capital contributions to Valvino:</w:t>
      </w:r>
    </w:p>
    <w:p>
      <w:pPr>
        <w:spacing w:after="0" w:line="77" w:lineRule="exact"/>
        <w:rPr>
          <w:sz w:val="20"/>
          <w:szCs w:val="20"/>
          <w:color w:val="auto"/>
        </w:rPr>
      </w:pPr>
    </w:p>
    <w:p>
      <w:pPr>
        <w:ind w:left="880" w:right="40" w:hanging="426"/>
        <w:spacing w:after="0" w:line="288" w:lineRule="auto"/>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Mr. Wynn contributed approximately $32 million in cash plus his 90% interest in Wynn Macau, which in June 2002 entered into a concession agreement with the government of Macau permitting it to construct and operate one or more casinos in Macau. The $32 million contribution was comprised of approximately $22.5 million of cash deposited in a Macau bank account which Mr. Wynn assigned to Valvino, Mr. Wynn’s right to be reimbursed for approximately $825,000 advanced to Wynn Macau and an additional $8.6 million in cash. Mr. Wynn’s 90% interest in Wynn Macau, the principal asset of which was a provisional license to negotiate a concession agreement with the Macau government, had no historical cost basis. This interest was valued at approximately $56 million by the parties to the negotiation of Mr. Wynn’s contribution of his interest. For financial statement purposes, as a combination of entities under common control, the contribution of Mr. Wynn’s 90% interest in Wynn Macau was recorded at carryover basis (with the primary asset recorded in the financial statements being the approximate $22.5 million of cash) rather than fair value. However, Mr. Wynn’s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28" w:right="239" w:bottom="1440" w:gutter="0" w:footer="0" w:header="0"/>
        </w:sectPr>
      </w:pPr>
    </w:p>
    <w:bookmarkStart w:id="57" w:name="page58"/>
    <w:bookmarkEnd w:id="57"/>
    <w:p>
      <w:pPr>
        <w:ind w:left="1020"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resulting 47.5% ownership interest in Valvino, after these contributions, reflects the fair value of his investment in Wynn Macau relative to the fair value of the contributions from Aruze USA and Baron Asset Fund;</w:t>
      </w:r>
    </w:p>
    <w:p>
      <w:pPr>
        <w:spacing w:after="0" w:line="37" w:lineRule="exact"/>
        <w:rPr>
          <w:sz w:val="20"/>
          <w:szCs w:val="20"/>
          <w:color w:val="auto"/>
        </w:rPr>
      </w:pPr>
    </w:p>
    <w:p>
      <w:pPr>
        <w:ind w:left="880" w:hanging="426"/>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Aruze USA contributed an additional $120 million in cash; and</w:t>
      </w:r>
    </w:p>
    <w:p>
      <w:pPr>
        <w:spacing w:after="0" w:line="103" w:lineRule="exact"/>
        <w:rPr>
          <w:rFonts w:ascii="Arial" w:cs="Arial" w:eastAsia="Arial" w:hAnsi="Arial"/>
          <w:sz w:val="18"/>
          <w:szCs w:val="18"/>
          <w:color w:val="auto"/>
        </w:rPr>
      </w:pPr>
    </w:p>
    <w:p>
      <w:pPr>
        <w:ind w:left="880" w:hanging="426"/>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Baron Asset Fund contributed an additional approximately $20.3 million in cash.</w:t>
      </w:r>
    </w:p>
    <w:p>
      <w:pPr>
        <w:spacing w:after="0" w:line="18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Immediately following these additional capital contributions, Mr. Wynn and Aruze USA each owned 47.5% of the membership interests and Baron Asset Fund owned 5% of the membership interests in Valvino. The percentage of membership interests held by Baron Asset Fund were held by it on behalf of two series of Baron Asset Funds: (1) approximately 3.6% of the membership interests in Valvino for the Baron Asset Fund Series, and (2) approximately 1.4% of the membership interests in Valvino for the Baron Growth Fund Series. Neither Mr. Wynn nor Aruze USA increased their relative ownership interests as a result of the April 2002 capital contributions.</w:t>
      </w:r>
    </w:p>
    <w:p>
      <w:pPr>
        <w:spacing w:after="0" w:line="12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June 24, 2002, the Kenneth R. Wynn Family Trust contributed $1.2 million in cash to Valvino in exchange for 0.146% of the outstanding membership interests in Valvino.</w:t>
      </w:r>
    </w:p>
    <w:p>
      <w:pPr>
        <w:spacing w:after="0" w:line="118"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On September 24, 2002, all the members of Valvino contributed 100% of the membership interests in Valvino to the Company in a tax-free exchange for 40,000,000 shares of the Company’s common stock, making Valvino and its subsidiaries a wholly-owned subsidiary of the Company.</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Acquisitions</w:t>
      </w:r>
    </w:p>
    <w:p>
      <w:pPr>
        <w:spacing w:after="0" w:line="7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On June 22, 2000, Valvino acquired the Desert Inn from Starwood Hotels &amp; Resorts Worldwide, Inc., including the Desert Inn golf course and some, but not all, of the residential lots located in the interior of and around the golf course, for approximately $270 million in cash. In connection with that transaction, Valvino and its subsidiaries also acquired approximately 985 acre-feet of certificated water rights. In addition to acquiring the assets of the Desert Inn, Valvino assumed most of its liabilities, and, to the extent assignable, all of its contracts. Valvino later acquired all of the remaining lots located in the interior of, and some of the remaining lots around, the golf course for a total of $47.8 million, bringing the size of the parcel to approximately 212 acres. On August 28, 2000, Valvino closed the Desert Inn and, in June of 2002, Valvino closed the golf course at the site. Since then, Valvino has been engaged primarily in the development of Le Rêve.</w:t>
      </w:r>
    </w:p>
    <w:p>
      <w:pPr>
        <w:spacing w:after="0" w:line="134"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On April 1, 2001, the Company acquired Kevyn, LLC, a previously unconsolidated affiliate which was wholly owned by Mr. Wynn and whose principal asset was an airplane, for approximately $10 million. The acquisition was treated as a reorganization of entities under common control. In accordance with Statement of Financial Accounting Standard (“SFAS”) No. 141, “Business Combinations”, the assets and liabilities acquired have been recorded at the carrying value at the time of the acquisition and the operating results of Kevyn, LLC are included in the operating statements of the Company from the earliest period presented. As a result, the previously separate historical financial position and results of operations of Kevyn, LLC are combined with the financial position and results of operations of the Company for all periods presented.</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Additionally, effective June 28, 2001, the Public Utilities Commission of Nevada approved the transfer of ownership of Desert Inn Water Company, also a previously unconsolidated affiliate and wholly owned company of Mr. Wynn, to the Company. As the Desert Inn Water Company consisted entirely of all of the shares of Desert Inn Improvement Company whose assets primarily consisted of water rights, this transaction was treated as an acquisition of assets for financial reporting purposes. The Company exchanged the receivable from the Desert Inn Water Company in this acquisition, which was equivalent to the fair market value of the water rights of $6.4 million.</w:t>
      </w:r>
    </w:p>
    <w:p>
      <w:pPr>
        <w:spacing w:after="0" w:line="12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May 2002, the Company acquired World Travel, LLC and Las Vegas Jet, LLC (entities previously wholly-owned by Mr. Wynn). The acquisitions were accounted for as reorganizations of entities under common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80" w:right="239" w:bottom="1440" w:gutter="0" w:footer="0" w:header="0"/>
        </w:sectPr>
      </w:pPr>
    </w:p>
    <w:bookmarkStart w:id="58" w:name="page59"/>
    <w:bookmarkEnd w:id="58"/>
    <w:p>
      <w:pPr>
        <w:ind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control. Accordingly, the assets and liabilities of these entities have been recorded at the carrying value at the time of the acquisition and the operating results of the entities are included in the operating statements of the Company from the earliest period presented. As a result, the previously separate historical financial position and results of operations of World Travel, LLC and Las Vegas Jet, LLC are combined with the financial position and results of operations of the Company for all periods presented.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Financings</w:t>
      </w:r>
    </w:p>
    <w:p>
      <w:pPr>
        <w:spacing w:after="0" w:line="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On October 25, 2002, Wynn Resorts completed the initial public offering of 34,615,000 shares of its common stock at a price of $13 per share. The common stock trades on the NASDAQ National Market under the symbol “WYNN”. Stephen A. Wynn, Chairman of the Board, CEO and a principal stockholder of Wynn Resorts, and Aruze USA, another principal stockholder of Wynn Resorts, collectively purchased approximately 11,150,000 of these shares directly from the Company at the $13 per share price. Total proceeds of approximately $450 million were reduced by underwriting discounts and commissions of approximately $19.5 million and legal and professional expenses directly incurred with respect to the offering of approximately $4.1 million for net proceeds to the Company of approximately $426.4 million, which will be used to finance construction of Le Rêve and provide $40 million for the additional intended investment in Macau.</w:t>
      </w:r>
    </w:p>
    <w:p>
      <w:pPr>
        <w:spacing w:after="0" w:line="13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Concurrent with the initial public offering, two wholly-owned subsidiaries of the Company (Wynn Las Vegas and Wynn Capital) issued $370 million aggregate principal amount of the Notes. In addition, Wynn Las Vegas entered into the Revolver, the Term Loan and the FF&amp;E Facility for additional construction and furniture, fixtures and equipment financing for Le Rêve. See “Description of Certain Indebtedness” below for additional information.</w:t>
      </w:r>
    </w:p>
    <w:p>
      <w:pPr>
        <w:spacing w:after="0" w:line="9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Notes were issued for proceeds of approximately $343.3 million net of an original issue discount of approximately $26.7 million. The proceeds were further reduced by approximately $10.1 million of underwriting discounts and commissions and approximately $4.3 million of legal and professional expenses, all of which are capitalized and amortized over the term of the Notes using the effective interest method. Net proceeds were approximately $328.9 million and will be used to finance the development and construction of Le Rêve, to pay pre-opening expenses and meet debt service obligations.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offering costs associated with the initial public offering of the Company’s common stock and the issuance of the Notes,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$47.3 million of legal and professional expenses were incurred in connection with the Credit Facilities and the FF&amp;E Facility. These expenses are capitalized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amortized over the terms of the respective facilities.</w:t>
      </w:r>
    </w:p>
    <w:p>
      <w:pPr>
        <w:spacing w:after="0" w:line="15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Wynn Resorts has fully and unconditionally guaranteed the payment in full of the Credit Facilities, the FF&amp;E Facility and the Notes on an unsecured basis, but is not directly subject to the restrictive covenants in its subsidiaries’ debt facilities. However, if Wynn Resorts grants specified liens to secure other guarantees or indebtedness, it will be required to secure the guarantees of the Credit Facilities and the Notes on a pari passu basis. Wynn Resorts’ domestic and foreign subsidiaries related to the Macau opportunity are not guarantors or restricted entities and will not be subject to the covenants in the Notes or the Credit Facilities. In addition, a $30.0 million liquidity reserve account has been established and a special purpose subsidiary of Wynn Las Vegas has been capitalized with $50 million of the equity proceeds and provides a completion guarantee in favor of the lenders under the Credit Facilities and the Notes to secure completion of Le Rêve. After completion of Le Rêve, any remaining amounts will be released to the Company.</w:t>
      </w:r>
    </w:p>
    <w:p>
      <w:pPr>
        <w:spacing w:after="0" w:line="10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On November 11, 2002 the underwriters to the initial public offering exercised a 3,219,173 share over-allotment option in full, resulting in additional net proceeds of approximately $38.9 million, net of the underwriting discounts and commissions of approximately $2.9 million.</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connection with the acquisitions of World Travel, LLC and Las Vegas Jet, LLC, the Company partially financed the purchase of a private jet aircraft for $38.0 million with the issuance of a note payable for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80" w:right="239" w:bottom="1440" w:gutter="0" w:footer="0" w:header="0"/>
        </w:sectPr>
      </w:pPr>
    </w:p>
    <w:bookmarkStart w:id="59" w:name="page60"/>
    <w:bookmarkEnd w:id="59"/>
    <w:p>
      <w:pPr>
        <w:ind w:right="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$28.5 million collateralized by the aircraft. In November 2002, the Company withdrew $38.0 million against the FF&amp;E Facility to repay the note payable secured by the aircraft acquired in connection with the acquisition of World Travel, LLC. The unused portion of the draw will be used for construction of Le Rêve.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Expected Capital Resources and Commercial Commitments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At December 31, 2002, the Company had approximately $109.6 million of cash and cash equivalents. In addition, the Company had approximately $792.9 million in restricted cash and investments from the proceeds of the debt and equity financings discussed above and restricted in accordance with the Disbursement Agreement described below, including the $80.0 million restricted for the liquidity reserve account and the completion guarantee as also discussed below. The restricted cash and investments also includes approximately $2.5 million in cash restricted to collateralize certain construction insurance claims and sales tax deposits. Cash equivalents are comprised of investments in overnight money market funds. Restricted investments are kept in money market funds or relatively short-term, government-backed marketable debt securities as required by the Disbursement Agreement.</w:t>
      </w:r>
    </w:p>
    <w:p>
      <w:pPr>
        <w:spacing w:after="0" w:line="10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of December 31, 2002, approximately $577.0 million of the total Le Rêve project cost of approximately $2.4 billion (including the cost of the land, capitalized interest, pre-opening expenses and all financing fees) had been expended or incurred to fund the development, and begin construction, of Le Rêve. The remaining development and construction costs for Le Rêve are expected to be funded from a combination of our cash on hand from contributed capital and a majority of the net proceeds of the initial public offering of the Company’s common stock and the Notes, and additional borrowings under the Credit Facilities and the FF&amp;E Facility.</w:t>
      </w:r>
    </w:p>
    <w:p>
      <w:pPr>
        <w:spacing w:after="0" w:line="129"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following table summarizes certain information regarding our expected long-term indebtedness and material commercial commitments based upon our best estimate at December 31, 2002 of our expected long-term indebtedness and commercial commitments (amounts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5" w:type="dxa"/>
            <w:vAlign w:val="bottom"/>
          </w:tcPr>
          <w:p>
            <w:pPr>
              <w:spacing w:after="0"/>
              <w:rPr>
                <w:sz w:val="15"/>
                <w:szCs w:val="15"/>
                <w:color w:val="auto"/>
              </w:rPr>
            </w:pPr>
          </w:p>
        </w:tc>
        <w:tc>
          <w:tcPr>
            <w:tcW w:w="335"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20" w:type="dxa"/>
            <w:vAlign w:val="bottom"/>
            <w:gridSpan w:val="11"/>
          </w:tcPr>
          <w:p>
            <w:pPr>
              <w:ind w:left="160"/>
              <w:spacing w:after="0"/>
              <w:rPr>
                <w:sz w:val="20"/>
                <w:szCs w:val="20"/>
                <w:color w:val="auto"/>
              </w:rPr>
            </w:pPr>
            <w:r>
              <w:rPr>
                <w:rFonts w:ascii="Arial" w:cs="Arial" w:eastAsia="Arial" w:hAnsi="Arial"/>
                <w:sz w:val="14"/>
                <w:szCs w:val="14"/>
                <w:b w:val="1"/>
                <w:bCs w:val="1"/>
                <w:color w:val="auto"/>
                <w:w w:val="86"/>
              </w:rPr>
              <w:t>Payments Due By Period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5" w:type="dxa"/>
            <w:vAlign w:val="bottom"/>
            <w:tcBorders>
              <w:bottom w:val="single" w:sz="8" w:color="auto"/>
            </w:tcBorders>
          </w:tcPr>
          <w:p>
            <w:pPr>
              <w:spacing w:after="0"/>
              <w:rPr>
                <w:sz w:val="8"/>
                <w:szCs w:val="8"/>
                <w:color w:val="auto"/>
              </w:rPr>
            </w:pPr>
          </w:p>
        </w:tc>
        <w:tc>
          <w:tcPr>
            <w:tcW w:w="335"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5" w:type="dxa"/>
            <w:vAlign w:val="bottom"/>
          </w:tcPr>
          <w:p>
            <w:pPr>
              <w:spacing w:after="0"/>
              <w:rPr>
                <w:sz w:val="20"/>
                <w:szCs w:val="20"/>
                <w:color w:val="auto"/>
              </w:rPr>
            </w:pPr>
          </w:p>
        </w:tc>
        <w:tc>
          <w:tcPr>
            <w:tcW w:w="335"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3"/>
          </w:tcPr>
          <w:p>
            <w:pPr>
              <w:ind w:left="180"/>
              <w:spacing w:after="0"/>
              <w:rPr>
                <w:sz w:val="20"/>
                <w:szCs w:val="20"/>
                <w:color w:val="auto"/>
              </w:rPr>
            </w:pPr>
            <w:r>
              <w:rPr>
                <w:rFonts w:ascii="Arial" w:cs="Arial" w:eastAsia="Arial" w:hAnsi="Arial"/>
                <w:sz w:val="14"/>
                <w:szCs w:val="14"/>
                <w:b w:val="1"/>
                <w:bCs w:val="1"/>
                <w:color w:val="auto"/>
              </w:rPr>
              <w:t>Less Than</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gridSpan w:val="6"/>
          </w:tcPr>
          <w:p>
            <w:pPr>
              <w:ind w:left="40"/>
              <w:spacing w:after="0"/>
              <w:rPr>
                <w:sz w:val="20"/>
                <w:szCs w:val="20"/>
                <w:color w:val="auto"/>
              </w:rPr>
            </w:pPr>
            <w:r>
              <w:rPr>
                <w:rFonts w:ascii="Arial" w:cs="Arial" w:eastAsia="Arial" w:hAnsi="Arial"/>
                <w:sz w:val="14"/>
                <w:szCs w:val="14"/>
                <w:b w:val="1"/>
                <w:bCs w:val="1"/>
                <w:color w:val="auto"/>
              </w:rPr>
              <w:t>1 to 3</w:t>
            </w:r>
          </w:p>
        </w:tc>
        <w:tc>
          <w:tcPr>
            <w:tcW w:w="120" w:type="dxa"/>
            <w:vAlign w:val="bottom"/>
          </w:tcPr>
          <w:p>
            <w:pPr>
              <w:spacing w:after="0"/>
              <w:rPr>
                <w:sz w:val="20"/>
                <w:szCs w:val="20"/>
                <w:color w:val="auto"/>
              </w:rPr>
            </w:pPr>
          </w:p>
        </w:tc>
        <w:tc>
          <w:tcPr>
            <w:tcW w:w="86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87"/>
              </w:rPr>
              <w:t>4 to 5</w:t>
            </w:r>
          </w:p>
        </w:tc>
        <w:tc>
          <w:tcPr>
            <w:tcW w:w="140" w:type="dxa"/>
            <w:vAlign w:val="bottom"/>
          </w:tcPr>
          <w:p>
            <w:pPr>
              <w:spacing w:after="0"/>
              <w:rPr>
                <w:sz w:val="20"/>
                <w:szCs w:val="20"/>
                <w:color w:val="auto"/>
              </w:rPr>
            </w:pPr>
          </w:p>
        </w:tc>
        <w:tc>
          <w:tcPr>
            <w:tcW w:w="620" w:type="dxa"/>
            <w:vAlign w:val="bottom"/>
            <w:gridSpan w:val="3"/>
          </w:tcPr>
          <w:p>
            <w:pPr>
              <w:ind w:left="80"/>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320" w:type="dxa"/>
            <w:vAlign w:val="bottom"/>
            <w:gridSpan w:val="3"/>
          </w:tcPr>
          <w:p>
            <w:pPr>
              <w:ind w:left="180"/>
              <w:spacing w:after="0"/>
              <w:rPr>
                <w:sz w:val="20"/>
                <w:szCs w:val="20"/>
                <w:color w:val="auto"/>
              </w:rPr>
            </w:pPr>
            <w:r>
              <w:rPr>
                <w:rFonts w:ascii="Arial" w:cs="Arial" w:eastAsia="Arial" w:hAnsi="Arial"/>
                <w:sz w:val="14"/>
                <w:szCs w:val="14"/>
                <w:b w:val="1"/>
                <w:bCs w:val="1"/>
                <w:color w:val="auto"/>
              </w:rPr>
              <w:t>Long-Term Indebtedness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w w:val="95"/>
              </w:rPr>
              <w:t>Total</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6"/>
          </w:tcPr>
          <w:p>
            <w:pPr>
              <w:ind w:left="2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5"/>
                <w:szCs w:val="15"/>
                <w:color w:val="auto"/>
              </w:rPr>
            </w:pPr>
          </w:p>
        </w:tc>
        <w:tc>
          <w:tcPr>
            <w:tcW w:w="86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83"/>
              </w:rPr>
              <w:t>Years</w:t>
            </w:r>
          </w:p>
        </w:tc>
        <w:tc>
          <w:tcPr>
            <w:tcW w:w="1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5" w:type="dxa"/>
            <w:vAlign w:val="bottom"/>
            <w:tcBorders>
              <w:bottom w:val="single" w:sz="8" w:color="auto"/>
            </w:tcBorders>
          </w:tcPr>
          <w:p>
            <w:pPr>
              <w:spacing w:after="0"/>
              <w:rPr>
                <w:sz w:val="8"/>
                <w:szCs w:val="8"/>
                <w:color w:val="auto"/>
              </w:rPr>
            </w:pPr>
          </w:p>
        </w:tc>
        <w:tc>
          <w:tcPr>
            <w:tcW w:w="335"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5" w:type="dxa"/>
            <w:vAlign w:val="bottom"/>
          </w:tcPr>
          <w:p>
            <w:pPr>
              <w:spacing w:after="0"/>
              <w:rPr>
                <w:sz w:val="8"/>
                <w:szCs w:val="8"/>
                <w:color w:val="auto"/>
              </w:rPr>
            </w:pPr>
          </w:p>
        </w:tc>
        <w:tc>
          <w:tcPr>
            <w:tcW w:w="335"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50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Revolving credit facility(1)</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2"/>
              </w:rPr>
              <w:t>$  726.4</w:t>
            </w:r>
          </w:p>
        </w:tc>
        <w:tc>
          <w:tcPr>
            <w:tcW w:w="6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4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6"/>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6"/>
          </w:tcPr>
          <w:p>
            <w:pPr>
              <w:ind w:left="20"/>
              <w:spacing w:after="0"/>
              <w:rPr>
                <w:sz w:val="20"/>
                <w:szCs w:val="20"/>
                <w:color w:val="auto"/>
              </w:rPr>
            </w:pPr>
            <w:r>
              <w:rPr>
                <w:rFonts w:ascii="Arial" w:cs="Arial" w:eastAsia="Arial" w:hAnsi="Arial"/>
                <w:sz w:val="18"/>
                <w:szCs w:val="18"/>
                <w:color w:val="auto"/>
              </w:rPr>
              <w:t>Delay draw term loan facility(2)</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250.0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4"/>
          </w:tcPr>
          <w:p>
            <w:pPr>
              <w:jc w:val="right"/>
              <w:ind w:right="20"/>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5"/>
          </w:tcPr>
          <w:p>
            <w:pPr>
              <w:jc w:val="right"/>
              <w:ind w:right="140"/>
              <w:spacing w:after="0"/>
              <w:rPr>
                <w:sz w:val="20"/>
                <w:szCs w:val="20"/>
                <w:color w:val="auto"/>
              </w:rPr>
            </w:pPr>
            <w:r>
              <w:rPr>
                <w:rFonts w:ascii="Arial" w:cs="Arial" w:eastAsia="Arial" w:hAnsi="Arial"/>
                <w:sz w:val="18"/>
                <w:szCs w:val="18"/>
                <w:color w:val="auto"/>
              </w:rPr>
              <w:t>90.0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FF&amp;E facility(3)</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88.5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6"/>
          </w:tcPr>
          <w:p>
            <w:pPr>
              <w:ind w:left="20"/>
              <w:spacing w:after="0"/>
              <w:rPr>
                <w:sz w:val="20"/>
                <w:szCs w:val="20"/>
                <w:color w:val="auto"/>
              </w:rPr>
            </w:pPr>
            <w:r>
              <w:rPr>
                <w:rFonts w:ascii="Arial" w:cs="Arial" w:eastAsia="Arial" w:hAnsi="Arial"/>
                <w:sz w:val="18"/>
                <w:szCs w:val="18"/>
                <w:color w:val="auto"/>
              </w:rPr>
              <w:t>Second mortgage notes</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370.0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6"/>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4"/>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Other long-term obligations(4)</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0.1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5" w:type="dxa"/>
            <w:vAlign w:val="bottom"/>
            <w:tcBorders>
              <w:bottom w:val="single" w:sz="8" w:color="auto"/>
            </w:tcBorders>
          </w:tcPr>
          <w:p>
            <w:pPr>
              <w:spacing w:after="0"/>
              <w:rPr>
                <w:sz w:val="9"/>
                <w:szCs w:val="9"/>
                <w:color w:val="auto"/>
              </w:rPr>
            </w:pPr>
          </w:p>
        </w:tc>
        <w:tc>
          <w:tcPr>
            <w:tcW w:w="335"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gridSpan w:val="2"/>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5" w:type="dxa"/>
            <w:vAlign w:val="bottom"/>
          </w:tcPr>
          <w:p>
            <w:pPr>
              <w:spacing w:after="0"/>
              <w:rPr>
                <w:sz w:val="8"/>
                <w:szCs w:val="8"/>
                <w:color w:val="auto"/>
              </w:rPr>
            </w:pPr>
          </w:p>
        </w:tc>
        <w:tc>
          <w:tcPr>
            <w:tcW w:w="335"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500" w:type="dxa"/>
            <w:vAlign w:val="bottom"/>
            <w:gridSpan w:val="6"/>
            <w:shd w:val="clear" w:color="auto" w:fill="CCEEFF"/>
          </w:tcPr>
          <w:p>
            <w:pPr>
              <w:ind w:left="260"/>
              <w:spacing w:after="0"/>
              <w:rPr>
                <w:sz w:val="20"/>
                <w:szCs w:val="20"/>
                <w:color w:val="auto"/>
              </w:rPr>
            </w:pPr>
            <w:r>
              <w:rPr>
                <w:rFonts w:ascii="Arial" w:cs="Arial" w:eastAsia="Arial" w:hAnsi="Arial"/>
                <w:sz w:val="18"/>
                <w:szCs w:val="18"/>
                <w:color w:val="auto"/>
              </w:rPr>
              <w:t>Total long-term indebtedness</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5"/>
              </w:rPr>
              <w:t>$1,535.2</w:t>
            </w:r>
          </w:p>
        </w:tc>
        <w:tc>
          <w:tcPr>
            <w:tcW w:w="6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4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20.2</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w w:val="95"/>
              </w:rPr>
              <w:t>$  178.6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  1,336.4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5" w:type="dxa"/>
            <w:vAlign w:val="bottom"/>
            <w:tcBorders>
              <w:bottom w:val="single" w:sz="8" w:color="auto"/>
            </w:tcBorders>
          </w:tcPr>
          <w:p>
            <w:pPr>
              <w:spacing w:after="0"/>
              <w:rPr>
                <w:sz w:val="11"/>
                <w:szCs w:val="11"/>
                <w:color w:val="auto"/>
              </w:rPr>
            </w:pPr>
          </w:p>
        </w:tc>
        <w:tc>
          <w:tcPr>
            <w:tcW w:w="335"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gridSpan w:val="2"/>
          </w:tcPr>
          <w:p>
            <w:pPr>
              <w:spacing w:after="0"/>
              <w:rPr>
                <w:sz w:val="11"/>
                <w:szCs w:val="11"/>
                <w:color w:val="auto"/>
              </w:rPr>
            </w:pPr>
          </w:p>
        </w:tc>
        <w:tc>
          <w:tcPr>
            <w:tcW w:w="340" w:type="dxa"/>
            <w:vAlign w:val="bottom"/>
            <w:tcBorders>
              <w:bottom w:val="single" w:sz="8" w:color="auto"/>
            </w:tcBorders>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gridSpan w:val="2"/>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5" w:type="dxa"/>
            <w:vAlign w:val="bottom"/>
          </w:tcPr>
          <w:p>
            <w:pPr>
              <w:spacing w:after="0"/>
              <w:rPr>
                <w:sz w:val="24"/>
                <w:szCs w:val="24"/>
                <w:color w:val="auto"/>
              </w:rPr>
            </w:pPr>
          </w:p>
        </w:tc>
        <w:tc>
          <w:tcPr>
            <w:tcW w:w="335"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20" w:type="dxa"/>
            <w:vAlign w:val="bottom"/>
            <w:gridSpan w:val="20"/>
          </w:tcPr>
          <w:p>
            <w:pPr>
              <w:ind w:left="200"/>
              <w:spacing w:after="0"/>
              <w:rPr>
                <w:sz w:val="20"/>
                <w:szCs w:val="20"/>
                <w:color w:val="auto"/>
              </w:rPr>
            </w:pPr>
            <w:r>
              <w:rPr>
                <w:rFonts w:ascii="Arial" w:cs="Arial" w:eastAsia="Arial" w:hAnsi="Arial"/>
                <w:sz w:val="14"/>
                <w:szCs w:val="14"/>
                <w:b w:val="1"/>
                <w:bCs w:val="1"/>
                <w:color w:val="auto"/>
                <w:w w:val="98"/>
              </w:rPr>
              <w:t>Amount of Commitment Expiration Per Period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5" w:type="dxa"/>
            <w:vAlign w:val="bottom"/>
            <w:tcBorders>
              <w:bottom w:val="single" w:sz="8" w:color="auto"/>
            </w:tcBorders>
          </w:tcPr>
          <w:p>
            <w:pPr>
              <w:spacing w:after="0"/>
              <w:rPr>
                <w:sz w:val="8"/>
                <w:szCs w:val="8"/>
                <w:color w:val="auto"/>
              </w:rPr>
            </w:pPr>
          </w:p>
        </w:tc>
        <w:tc>
          <w:tcPr>
            <w:tcW w:w="955" w:type="dxa"/>
            <w:vAlign w:val="bottom"/>
            <w:tcBorders>
              <w:bottom w:val="single" w:sz="8" w:color="auto"/>
            </w:tcBorders>
            <w:gridSpan w:val="3"/>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4"/>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3"/>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w w:val="97"/>
              </w:rPr>
              <w:t>Total Amounts</w:t>
            </w:r>
          </w:p>
        </w:tc>
        <w:tc>
          <w:tcPr>
            <w:tcW w:w="340" w:type="dxa"/>
            <w:vAlign w:val="bottom"/>
          </w:tcPr>
          <w:p>
            <w:pPr>
              <w:spacing w:after="0"/>
              <w:rPr>
                <w:sz w:val="20"/>
                <w:szCs w:val="20"/>
                <w:color w:val="auto"/>
              </w:rPr>
            </w:pPr>
          </w:p>
        </w:tc>
        <w:tc>
          <w:tcPr>
            <w:tcW w:w="780" w:type="dxa"/>
            <w:vAlign w:val="bottom"/>
            <w:gridSpan w:val="5"/>
          </w:tcPr>
          <w:p>
            <w:pPr>
              <w:ind w:left="20"/>
              <w:spacing w:after="0"/>
              <w:rPr>
                <w:sz w:val="20"/>
                <w:szCs w:val="20"/>
                <w:color w:val="auto"/>
              </w:rPr>
            </w:pPr>
            <w:r>
              <w:rPr>
                <w:rFonts w:ascii="Arial" w:cs="Arial" w:eastAsia="Arial" w:hAnsi="Arial"/>
                <w:sz w:val="14"/>
                <w:szCs w:val="14"/>
                <w:b w:val="1"/>
                <w:bCs w:val="1"/>
                <w:color w:val="auto"/>
                <w:w w:val="91"/>
              </w:rPr>
              <w:t>Less Than 1</w:t>
            </w:r>
          </w:p>
        </w:tc>
        <w:tc>
          <w:tcPr>
            <w:tcW w:w="300" w:type="dxa"/>
            <w:vAlign w:val="bottom"/>
          </w:tcPr>
          <w:p>
            <w:pPr>
              <w:spacing w:after="0"/>
              <w:rPr>
                <w:sz w:val="20"/>
                <w:szCs w:val="20"/>
                <w:color w:val="auto"/>
              </w:rPr>
            </w:pPr>
          </w:p>
        </w:tc>
        <w:tc>
          <w:tcPr>
            <w:tcW w:w="54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rPr>
              <w:t>1 to 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81"/>
              </w:rPr>
              <w:t>4 to 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ind w:left="40"/>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580" w:type="dxa"/>
            <w:vAlign w:val="bottom"/>
            <w:gridSpan w:val="4"/>
          </w:tcPr>
          <w:p>
            <w:pPr>
              <w:ind w:left="260"/>
              <w:spacing w:after="0"/>
              <w:rPr>
                <w:sz w:val="20"/>
                <w:szCs w:val="20"/>
                <w:color w:val="auto"/>
              </w:rPr>
            </w:pPr>
            <w:r>
              <w:rPr>
                <w:rFonts w:ascii="Arial" w:cs="Arial" w:eastAsia="Arial" w:hAnsi="Arial"/>
                <w:sz w:val="14"/>
                <w:szCs w:val="14"/>
                <w:b w:val="1"/>
                <w:bCs w:val="1"/>
                <w:color w:val="auto"/>
              </w:rPr>
              <w:t>Other Commercial Commitments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5" w:type="dxa"/>
            <w:vAlign w:val="bottom"/>
          </w:tcPr>
          <w:p>
            <w:pPr>
              <w:spacing w:after="0"/>
              <w:rPr>
                <w:sz w:val="15"/>
                <w:szCs w:val="15"/>
                <w:color w:val="auto"/>
              </w:rPr>
            </w:pPr>
          </w:p>
        </w:tc>
        <w:tc>
          <w:tcPr>
            <w:tcW w:w="955"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w w:val="95"/>
              </w:rPr>
              <w:t>Committed</w:t>
            </w:r>
          </w:p>
        </w:tc>
        <w:tc>
          <w:tcPr>
            <w:tcW w:w="340" w:type="dxa"/>
            <w:vAlign w:val="bottom"/>
          </w:tcPr>
          <w:p>
            <w:pPr>
              <w:spacing w:after="0"/>
              <w:rPr>
                <w:sz w:val="15"/>
                <w:szCs w:val="15"/>
                <w:color w:val="auto"/>
              </w:rPr>
            </w:pPr>
          </w:p>
        </w:tc>
        <w:tc>
          <w:tcPr>
            <w:tcW w:w="780" w:type="dxa"/>
            <w:vAlign w:val="bottom"/>
            <w:gridSpan w:val="5"/>
          </w:tcPr>
          <w:p>
            <w:pPr>
              <w:ind w:left="240"/>
              <w:spacing w:after="0"/>
              <w:rPr>
                <w:sz w:val="20"/>
                <w:szCs w:val="20"/>
                <w:color w:val="auto"/>
              </w:rPr>
            </w:pPr>
            <w:r>
              <w:rPr>
                <w:rFonts w:ascii="Arial" w:cs="Arial" w:eastAsia="Arial" w:hAnsi="Arial"/>
                <w:sz w:val="14"/>
                <w:szCs w:val="14"/>
                <w:b w:val="1"/>
                <w:bCs w:val="1"/>
                <w:color w:val="auto"/>
              </w:rPr>
              <w:t>Year</w:t>
            </w:r>
          </w:p>
        </w:tc>
        <w:tc>
          <w:tcPr>
            <w:tcW w:w="300" w:type="dxa"/>
            <w:vAlign w:val="bottom"/>
          </w:tcPr>
          <w:p>
            <w:pPr>
              <w:spacing w:after="0"/>
              <w:rPr>
                <w:sz w:val="15"/>
                <w:szCs w:val="15"/>
                <w:color w:val="auto"/>
              </w:rPr>
            </w:pPr>
          </w:p>
        </w:tc>
        <w:tc>
          <w:tcPr>
            <w:tcW w:w="54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9"/>
              </w:rPr>
              <w:t>Years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78"/>
              </w:rPr>
              <w:t>Years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0"/>
              </w:rPr>
              <w:t>5 Years</w:t>
            </w: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60" w:type="dxa"/>
            <w:vAlign w:val="bottom"/>
            <w:tcBorders>
              <w:bottom w:val="single" w:sz="8" w:color="auto"/>
            </w:tcBorders>
            <w:gridSpan w:val="3"/>
          </w:tcPr>
          <w:p>
            <w:pPr>
              <w:spacing w:after="0"/>
              <w:rPr>
                <w:sz w:val="8"/>
                <w:szCs w:val="8"/>
                <w:color w:val="auto"/>
              </w:rPr>
            </w:pPr>
          </w:p>
        </w:tc>
        <w:tc>
          <w:tcPr>
            <w:tcW w:w="2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5" w:type="dxa"/>
            <w:vAlign w:val="bottom"/>
            <w:tcBorders>
              <w:bottom w:val="single" w:sz="8" w:color="auto"/>
            </w:tcBorders>
          </w:tcPr>
          <w:p>
            <w:pPr>
              <w:spacing w:after="0"/>
              <w:rPr>
                <w:sz w:val="8"/>
                <w:szCs w:val="8"/>
                <w:color w:val="auto"/>
              </w:rPr>
            </w:pPr>
          </w:p>
        </w:tc>
        <w:tc>
          <w:tcPr>
            <w:tcW w:w="335"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3"/>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3"/>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5" w:type="dxa"/>
            <w:vAlign w:val="bottom"/>
          </w:tcPr>
          <w:p>
            <w:pPr>
              <w:spacing w:after="0"/>
              <w:rPr>
                <w:sz w:val="8"/>
                <w:szCs w:val="8"/>
                <w:color w:val="auto"/>
              </w:rPr>
            </w:pPr>
          </w:p>
        </w:tc>
        <w:tc>
          <w:tcPr>
            <w:tcW w:w="335"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50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Construction contracts(5)</w:t>
            </w:r>
          </w:p>
        </w:tc>
        <w:tc>
          <w:tcPr>
            <w:tcW w:w="285" w:type="dxa"/>
            <w:vAlign w:val="bottom"/>
            <w:gridSpan w:val="3"/>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35"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979.4</w:t>
            </w: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416.7</w:t>
            </w:r>
          </w:p>
        </w:tc>
        <w:tc>
          <w:tcPr>
            <w:tcW w:w="40" w:type="dxa"/>
            <w:vAlign w:val="bottom"/>
            <w:shd w:val="clear" w:color="auto" w:fill="CCEEFF"/>
          </w:tcPr>
          <w:p>
            <w:pPr>
              <w:spacing w:after="0"/>
              <w:rPr>
                <w:sz w:val="18"/>
                <w:szCs w:val="18"/>
                <w:color w:val="auto"/>
              </w:rPr>
            </w:pPr>
          </w:p>
        </w:tc>
        <w:tc>
          <w:tcPr>
            <w:tcW w:w="84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$562.7</w:t>
            </w:r>
          </w:p>
        </w:tc>
        <w:tc>
          <w:tcPr>
            <w:tcW w:w="380" w:type="dxa"/>
            <w:vAlign w:val="bottom"/>
            <w:gridSpan w:val="3"/>
            <w:shd w:val="clear" w:color="auto" w:fill="CCEEFF"/>
          </w:tcPr>
          <w:p>
            <w:pPr>
              <w:jc w:val="center"/>
              <w:ind w:left="192"/>
              <w:spacing w:after="0"/>
              <w:rPr>
                <w:sz w:val="20"/>
                <w:szCs w:val="20"/>
                <w:color w:val="auto"/>
              </w:rPr>
            </w:pPr>
            <w:r>
              <w:rPr>
                <w:rFonts w:ascii="Arial" w:cs="Arial" w:eastAsia="Arial" w:hAnsi="Arial"/>
                <w:sz w:val="18"/>
                <w:szCs w:val="18"/>
                <w:color w:val="auto"/>
                <w:w w:val="99"/>
              </w:rPr>
              <w:t>$</w:t>
            </w:r>
          </w:p>
        </w:tc>
        <w:tc>
          <w:tcPr>
            <w:tcW w:w="6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6"/>
          </w:tcPr>
          <w:p>
            <w:pPr>
              <w:ind w:left="20"/>
              <w:spacing w:after="0"/>
              <w:rPr>
                <w:sz w:val="20"/>
                <w:szCs w:val="20"/>
                <w:color w:val="auto"/>
              </w:rPr>
            </w:pPr>
            <w:r>
              <w:rPr>
                <w:rFonts w:ascii="Arial" w:cs="Arial" w:eastAsia="Arial" w:hAnsi="Arial"/>
                <w:sz w:val="18"/>
                <w:szCs w:val="18"/>
                <w:color w:val="auto"/>
              </w:rPr>
              <w:t>Macau concession agreement(6)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5" w:type="dxa"/>
            <w:vAlign w:val="bottom"/>
          </w:tcPr>
          <w:p>
            <w:pPr>
              <w:spacing w:after="0"/>
              <w:rPr>
                <w:sz w:val="18"/>
                <w:szCs w:val="18"/>
                <w:color w:val="auto"/>
              </w:rPr>
            </w:pPr>
          </w:p>
        </w:tc>
        <w:tc>
          <w:tcPr>
            <w:tcW w:w="335"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515.6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Employment agreements(7)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5" w:type="dxa"/>
            <w:vAlign w:val="bottom"/>
            <w:shd w:val="clear" w:color="auto" w:fill="CCEEFF"/>
          </w:tcPr>
          <w:p>
            <w:pPr>
              <w:spacing w:after="0"/>
              <w:rPr>
                <w:sz w:val="18"/>
                <w:szCs w:val="18"/>
                <w:color w:val="auto"/>
              </w:rPr>
            </w:pPr>
          </w:p>
        </w:tc>
        <w:tc>
          <w:tcPr>
            <w:tcW w:w="335"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8"/>
                <w:szCs w:val="18"/>
                <w:color w:val="auto"/>
              </w:rPr>
            </w:pPr>
          </w:p>
        </w:tc>
        <w:tc>
          <w:tcPr>
            <w:tcW w:w="84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00" w:type="dxa"/>
            <w:vAlign w:val="bottom"/>
            <w:gridSpan w:val="6"/>
          </w:tcPr>
          <w:p>
            <w:pPr>
              <w:ind w:left="20"/>
              <w:spacing w:after="0"/>
              <w:rPr>
                <w:sz w:val="20"/>
                <w:szCs w:val="20"/>
                <w:color w:val="auto"/>
              </w:rPr>
            </w:pPr>
            <w:r>
              <w:rPr>
                <w:rFonts w:ascii="Arial" w:cs="Arial" w:eastAsia="Arial" w:hAnsi="Arial"/>
                <w:sz w:val="18"/>
                <w:szCs w:val="18"/>
                <w:color w:val="auto"/>
              </w:rPr>
              <w:t>Other commercial commitments(8)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5" w:type="dxa"/>
            <w:vAlign w:val="bottom"/>
          </w:tcPr>
          <w:p>
            <w:pPr>
              <w:spacing w:after="0"/>
              <w:rPr>
                <w:sz w:val="19"/>
                <w:szCs w:val="19"/>
                <w:color w:val="auto"/>
              </w:rPr>
            </w:pPr>
          </w:p>
        </w:tc>
        <w:tc>
          <w:tcPr>
            <w:tcW w:w="335"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60" w:type="dxa"/>
            <w:vAlign w:val="bottom"/>
            <w:gridSpan w:val="3"/>
          </w:tcPr>
          <w:p>
            <w:pPr>
              <w:spacing w:after="0"/>
              <w:rPr>
                <w:sz w:val="8"/>
                <w:szCs w:val="8"/>
                <w:color w:val="auto"/>
              </w:rPr>
            </w:pPr>
          </w:p>
        </w:tc>
        <w:tc>
          <w:tcPr>
            <w:tcW w:w="2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5" w:type="dxa"/>
            <w:vAlign w:val="bottom"/>
            <w:tcBorders>
              <w:bottom w:val="single" w:sz="8" w:color="auto"/>
            </w:tcBorders>
          </w:tcPr>
          <w:p>
            <w:pPr>
              <w:spacing w:after="0"/>
              <w:rPr>
                <w:sz w:val="8"/>
                <w:szCs w:val="8"/>
                <w:color w:val="auto"/>
              </w:rPr>
            </w:pPr>
          </w:p>
        </w:tc>
        <w:tc>
          <w:tcPr>
            <w:tcW w:w="335"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3"/>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3"/>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5" w:type="dxa"/>
            <w:vAlign w:val="bottom"/>
          </w:tcPr>
          <w:p>
            <w:pPr>
              <w:spacing w:after="0"/>
              <w:rPr>
                <w:sz w:val="8"/>
                <w:szCs w:val="8"/>
                <w:color w:val="auto"/>
              </w:rPr>
            </w:pPr>
          </w:p>
        </w:tc>
        <w:tc>
          <w:tcPr>
            <w:tcW w:w="335"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500" w:type="dxa"/>
            <w:vAlign w:val="bottom"/>
            <w:gridSpan w:val="6"/>
            <w:shd w:val="clear" w:color="auto" w:fill="CCEEFF"/>
          </w:tcPr>
          <w:p>
            <w:pPr>
              <w:ind w:left="260"/>
              <w:spacing w:after="0"/>
              <w:rPr>
                <w:sz w:val="20"/>
                <w:szCs w:val="20"/>
                <w:color w:val="auto"/>
              </w:rPr>
            </w:pPr>
            <w:r>
              <w:rPr>
                <w:rFonts w:ascii="Arial" w:cs="Arial" w:eastAsia="Arial" w:hAnsi="Arial"/>
                <w:sz w:val="18"/>
                <w:szCs w:val="18"/>
                <w:color w:val="auto"/>
              </w:rPr>
              <w:t>Total commercial commitments</w:t>
            </w:r>
          </w:p>
        </w:tc>
        <w:tc>
          <w:tcPr>
            <w:tcW w:w="285" w:type="dxa"/>
            <w:vAlign w:val="bottom"/>
            <w:gridSpan w:val="3"/>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35"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1,540.3</w:t>
            </w: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429.6</w:t>
            </w:r>
          </w:p>
        </w:tc>
        <w:tc>
          <w:tcPr>
            <w:tcW w:w="40" w:type="dxa"/>
            <w:vAlign w:val="bottom"/>
            <w:shd w:val="clear" w:color="auto" w:fill="CCEEFF"/>
          </w:tcPr>
          <w:p>
            <w:pPr>
              <w:spacing w:after="0"/>
              <w:rPr>
                <w:sz w:val="18"/>
                <w:szCs w:val="18"/>
                <w:color w:val="auto"/>
              </w:rPr>
            </w:pPr>
          </w:p>
        </w:tc>
        <w:tc>
          <w:tcPr>
            <w:tcW w:w="84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$582.9</w:t>
            </w:r>
          </w:p>
        </w:tc>
        <w:tc>
          <w:tcPr>
            <w:tcW w:w="380" w:type="dxa"/>
            <w:vAlign w:val="bottom"/>
            <w:gridSpan w:val="3"/>
            <w:shd w:val="clear" w:color="auto" w:fill="CCEEFF"/>
          </w:tcPr>
          <w:p>
            <w:pPr>
              <w:jc w:val="center"/>
              <w:ind w:left="192"/>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5" w:type="dxa"/>
            <w:vAlign w:val="bottom"/>
            <w:tcBorders>
              <w:bottom w:val="single" w:sz="8" w:color="auto"/>
            </w:tcBorders>
          </w:tcPr>
          <w:p>
            <w:pPr>
              <w:spacing w:after="0"/>
              <w:rPr>
                <w:sz w:val="11"/>
                <w:szCs w:val="11"/>
                <w:color w:val="auto"/>
              </w:rPr>
            </w:pPr>
          </w:p>
        </w:tc>
        <w:tc>
          <w:tcPr>
            <w:tcW w:w="335"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1180" w:type="dxa"/>
            <w:vAlign w:val="bottom"/>
            <w:tcBorders>
              <w:bottom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5" w:type="dxa"/>
            <w:vAlign w:val="bottom"/>
          </w:tcPr>
          <w:p>
            <w:pPr>
              <w:spacing w:after="0"/>
              <w:rPr>
                <w:sz w:val="18"/>
                <w:szCs w:val="18"/>
                <w:color w:val="auto"/>
              </w:rPr>
            </w:pPr>
          </w:p>
        </w:tc>
        <w:tc>
          <w:tcPr>
            <w:tcW w:w="335"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-1836420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-1836420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-1836420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-1836420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-1836420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-1836420</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-1836420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-1836420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-1836420</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-1836420</wp:posOffset>
            </wp:positionV>
            <wp:extent cx="4070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-1836420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-1836420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-1836420</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-172720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-172720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-172720</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-172720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-172720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-172720</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-172720</wp:posOffset>
            </wp:positionV>
            <wp:extent cx="32131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-172720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-172720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-172720</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-172720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-172720</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0" w:lineRule="exact"/>
        <w:rPr>
          <w:sz w:val="20"/>
          <w:szCs w:val="20"/>
          <w:color w:val="auto"/>
        </w:rPr>
      </w:pPr>
    </w:p>
    <w:p>
      <w:pPr>
        <w:ind w:left="460" w:right="140" w:hanging="452"/>
        <w:spacing w:after="0" w:line="256"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of December 31, 2002, we have not borrowed any amounts under the Revolver, however, we anticipate that drawing approximately $726.4 million to fund the design, construction, development, equipping and opening of Le Rêve, assuming that Le Rêve is completed on schedule. An additional $23.6 million is available under the Revolver, subject to certain limitations. Once the total extensions of credit under the Revolver equal or exceed $200 million, lead arrangers holding a majority of the commitments of the lead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80" w:right="239" w:bottom="1440" w:gutter="0" w:footer="0" w:header="0"/>
        </w:sectPr>
      </w:pPr>
    </w:p>
    <w:bookmarkStart w:id="60" w:name="page61"/>
    <w:bookmarkEnd w:id="60"/>
    <w:p>
      <w:pPr>
        <w:ind w:left="560" w:right="40" w:firstLine="108"/>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arrangers under that facility will have the right to convert between $100 million and $400 million of the outstanding revolving loans into term loans on the same terms and conditions as the term loans under the delay draw term loan facility or on such other terms as we and the administrative agent and syndication agent can agree. In addition, the Revolver will provide for a cash flow sweep each year that will reduce the commitment under that facility by the amount of the cash swept.</w:t>
      </w:r>
    </w:p>
    <w:p>
      <w:pPr>
        <w:spacing w:after="0" w:line="49" w:lineRule="exact"/>
        <w:rPr>
          <w:sz w:val="20"/>
          <w:szCs w:val="20"/>
          <w:color w:val="auto"/>
        </w:rPr>
      </w:pPr>
    </w:p>
    <w:p>
      <w:pPr>
        <w:jc w:val="both"/>
        <w:ind w:left="460" w:right="340" w:hanging="452"/>
        <w:spacing w:after="0" w:line="256"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of December 31, 2002, we have not borrowed any amounts under the Term Loan, however we anticipate drawing the entire available balance in the future for additional funding of the construction and development of Le Rêve. Term Loans will be repayable in quarterly installments from the first full fiscal quarter after completion of Le Rêve until the seventh anniversary of the closing in amounts to be determined in accordance with the terms of the Credit Facilities.</w:t>
      </w:r>
    </w:p>
    <w:p>
      <w:pPr>
        <w:spacing w:after="0" w:line="48" w:lineRule="exact"/>
        <w:rPr>
          <w:rFonts w:ascii="Arial" w:cs="Arial" w:eastAsia="Arial" w:hAnsi="Arial"/>
          <w:sz w:val="18"/>
          <w:szCs w:val="18"/>
          <w:color w:val="auto"/>
        </w:rPr>
      </w:pPr>
    </w:p>
    <w:p>
      <w:pPr>
        <w:ind w:left="460" w:hanging="452"/>
        <w:spacing w:after="0" w:line="298"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As of December 31, 2002, we have borrowed approximately $38.0 million under the FF&amp;E Facility. Approximately $28.5 million of these borrowings were used to refinance a loan, secured by a mortgage on World Travel’s Bombardier Global Express aircraft, made by Bank of America, N.A. to World Travel, LLC, a wholly owned subsidiary of Wynn Las Vegas. The remaining $9.5 million of currently borrowed funds and the unused portion of the $188.5 million facility is expected to provide funds for furniture, fixtures and equipment to be used at Le Rêve.</w:t>
      </w:r>
    </w:p>
    <w:p>
      <w:pPr>
        <w:spacing w:after="0" w:line="18" w:lineRule="exact"/>
        <w:rPr>
          <w:rFonts w:ascii="Arial" w:cs="Arial" w:eastAsia="Arial" w:hAnsi="Arial"/>
          <w:sz w:val="16"/>
          <w:szCs w:val="16"/>
          <w:color w:val="auto"/>
        </w:rPr>
      </w:pPr>
    </w:p>
    <w:p>
      <w:pPr>
        <w:jc w:val="both"/>
        <w:ind w:left="460" w:right="340" w:hanging="452"/>
        <w:spacing w:after="0" w:line="25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amount owing pursuant to an annuity issued by ITT Sheraton in connection with the acquisition of a parcel of land in 1994. The annuity bears interest at an annual rate of 8% and requires payment of $5,000 per month until February 2009. The Company assumed the obligations under the annuity in connection with its acquisition of the Desert Inn.</w:t>
      </w:r>
    </w:p>
    <w:p>
      <w:pPr>
        <w:spacing w:after="0" w:line="45" w:lineRule="exact"/>
        <w:rPr>
          <w:rFonts w:ascii="Arial" w:cs="Arial" w:eastAsia="Arial" w:hAnsi="Arial"/>
          <w:sz w:val="18"/>
          <w:szCs w:val="18"/>
          <w:color w:val="auto"/>
        </w:rPr>
      </w:pPr>
    </w:p>
    <w:p>
      <w:pPr>
        <w:jc w:val="both"/>
        <w:ind w:left="460" w:right="200" w:hanging="452"/>
        <w:spacing w:after="0" w:line="25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obligations under our signed construction contracts with Marnell Corrao and Bomel Construction Company, Inc. We expect to sign additional contracts for the construction of Le Rêve. We expect to satisfy some of the payment obligations under these contracts using amounts borrowed under the long-term indebtedness shown above.</w:t>
      </w:r>
    </w:p>
    <w:p>
      <w:pPr>
        <w:spacing w:after="0" w:line="45" w:lineRule="exact"/>
        <w:rPr>
          <w:rFonts w:ascii="Arial" w:cs="Arial" w:eastAsia="Arial" w:hAnsi="Arial"/>
          <w:sz w:val="18"/>
          <w:szCs w:val="18"/>
          <w:color w:val="auto"/>
        </w:rPr>
      </w:pPr>
    </w:p>
    <w:p>
      <w:pPr>
        <w:ind w:left="460" w:right="20" w:hanging="452"/>
        <w:spacing w:after="0" w:line="298"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Macau concession agreement requires Wynn Macau to invest 4 billion Patacas (approximately $515.6 million) on one or more casino projects over a seven-year period. Wynn Macau is obligated to operate its first casino in Macau by December 2006. The full contractual commitment is shown as having to be made after five years, but the timing of the expenditures is subject to change. In addition, contractual obligations are stated in Macau Patacas and therefore the amount of commitment as expressed in US dollars may be subject to increases depending on fluctuations in the foreign rate of exchange.</w:t>
      </w:r>
    </w:p>
    <w:p>
      <w:pPr>
        <w:spacing w:after="0" w:line="18" w:lineRule="exact"/>
        <w:rPr>
          <w:rFonts w:ascii="Arial" w:cs="Arial" w:eastAsia="Arial" w:hAnsi="Arial"/>
          <w:sz w:val="16"/>
          <w:szCs w:val="16"/>
          <w:color w:val="auto"/>
        </w:rPr>
      </w:pPr>
    </w:p>
    <w:p>
      <w:pPr>
        <w:ind w:left="460" w:right="80" w:hanging="452"/>
        <w:spacing w:after="0" w:line="294"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have entered into employment agreements with several executive officers, other members of management, and certain key employees. These agreements generally have three to five year terms, typically indicate a base salary with specified annual increases, and often contain provisions for guaranteed bonuses. If we terminate certain executives without “cause” or if certain executives terminate employment with us for “good reason” following a “change of control” (as these terms are defined in the employment contracts), we will pay the executive a “separation payment” in a lump sum, which typically is equal to the base salary of the remaining term of the employment contract plus foregone bonuses, plus certain other payments.</w:t>
      </w:r>
    </w:p>
    <w:p>
      <w:pPr>
        <w:spacing w:after="0" w:line="21" w:lineRule="exact"/>
        <w:rPr>
          <w:rFonts w:ascii="Arial" w:cs="Arial" w:eastAsia="Arial" w:hAnsi="Arial"/>
          <w:sz w:val="16"/>
          <w:szCs w:val="16"/>
          <w:color w:val="auto"/>
        </w:rPr>
      </w:pPr>
    </w:p>
    <w:p>
      <w:pPr>
        <w:ind w:left="460" w:hanging="452"/>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a standby letter of credit for our owner-controlled insurance program and a $574,000 Macau pre-construction services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Certain Indebtedness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discussion summarizes the material terms of certain material debt agreements to which certain of our subsidiaries will be parties. However, this summary is qualified in its entirety by reference to the relevant agreements described herein. References to the “restricted entities” or to the “Guarantors” mean Valvino; Wynn Resorts Holdings; Wynn Design &amp; Development, LLC; World Travel, LLC; Las Vegas Jet, LLC; Desert Inn Water Company, LLC and Palo, LLC and references to the “Issuers” mean Wynn Las Vegas and Wynn Capital.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80" w:right="239" w:bottom="1440" w:gutter="0" w:footer="0" w:header="0"/>
        </w:sectPr>
      </w:pPr>
    </w:p>
    <w:bookmarkStart w:id="61" w:name="page62"/>
    <w:bookmarkEnd w:id="61"/>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Second Mortgage Notes</w:t>
      </w:r>
    </w:p>
    <w:p>
      <w:pPr>
        <w:spacing w:after="0" w:line="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On October 30, 2002, the Issuers, issued the Notes maturing November 1, 2010 with semi-annual interest payments beginning in May 2003. The Notes are unconditionally guaranteed by Wynn Resorts, Limited as the parent company and certain other subsidiary guarantors, are secured by a first priority security interest in the net proceeds of the offering and a second priority security interest in substantially all the assets of the Issuers and certain restricted subsidiaries, and rank senior in right of payment to all of the Issuers’ existing and future subordinated indebtedness. In addition, the Notes contain certain affirmative and negative covenants applicable to the Issuers and the restricted entities, including limitations on additional indebtedness, declaration and payment of dividends (see Part I, Item 5—“Market for Registrants Common Equity and Related Stockholder Matters; </w:t>
      </w:r>
      <w:r>
        <w:rPr>
          <w:rFonts w:ascii="Arial" w:cs="Arial" w:eastAsia="Arial" w:hAnsi="Arial"/>
          <w:sz w:val="16"/>
          <w:szCs w:val="16"/>
          <w:i w:val="1"/>
          <w:iCs w:val="1"/>
          <w:color w:val="auto"/>
        </w:rPr>
        <w:t>Dividends</w:t>
      </w:r>
      <w:r>
        <w:rPr>
          <w:rFonts w:ascii="Arial" w:cs="Arial" w:eastAsia="Arial" w:hAnsi="Arial"/>
          <w:sz w:val="16"/>
          <w:szCs w:val="16"/>
          <w:color w:val="auto"/>
        </w:rPr>
        <w:t>”), issuance of preferred stock and equity interests of wholly-owned subsidiaries, certain payments or investments, golf course and Phase II land development, transactions with affiliates, asset sales, sale-leaseback transactions, and various other restrictions as defined in the Indenture. While Wynn Resorts is not subject to a majority of the restrictive covenants in the Indenture, pursuant to the terms of its parent guaranty, if it grants specified liens to secure other guarantees or indebtedness it will be required to grant pari passu liens on the same assets to secure its parent guaranty of the Notes. As of December 31, 2002, the Company is in compliance with all such covenants.</w:t>
      </w:r>
    </w:p>
    <w:p>
      <w:pPr>
        <w:spacing w:after="0" w:line="109"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Other than mandatory redemption required by gaming authorities resulting from unsuitable persons, the Issuers will not be required to make mandatory redemption or sinking fund payments. However, if a change of control occurs, the holders of the Notes may require the Issuers to repurchase all or part of the Notes at 101% of the principal amount, plus accrued interest. In addition, after November 1, 2006, the Issuers may elect to redeem all or part of the Notes at the redemption prices below, plus accrued interest on the redemption date, if redeemed during the twelve-month period beginning on November 1 of the years below:</w:t>
      </w:r>
    </w:p>
    <w:p>
      <w:pPr>
        <w:spacing w:after="0" w:line="80"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602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3120" w:type="dxa"/>
            <w:vAlign w:val="bottom"/>
            <w:gridSpan w:val="2"/>
          </w:tcPr>
          <w:p>
            <w:pPr>
              <w:jc w:val="right"/>
              <w:ind w:right="154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620" w:type="dxa"/>
            <w:vAlign w:val="bottom"/>
          </w:tcPr>
          <w:p>
            <w:pPr>
              <w:spacing w:after="0"/>
              <w:rPr>
                <w:sz w:val="8"/>
                <w:szCs w:val="8"/>
                <w:color w:val="auto"/>
              </w:rPr>
            </w:pPr>
          </w:p>
        </w:tc>
        <w:tc>
          <w:tcPr>
            <w:tcW w:w="25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56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2006</w:t>
            </w:r>
          </w:p>
        </w:tc>
        <w:tc>
          <w:tcPr>
            <w:tcW w:w="562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2007</w:t>
            </w:r>
          </w:p>
        </w:tc>
        <w:tc>
          <w:tcPr>
            <w:tcW w:w="5620" w:type="dxa"/>
            <w:vAlign w:val="bottom"/>
          </w:tcPr>
          <w:p>
            <w:pPr>
              <w:spacing w:after="0"/>
              <w:rPr>
                <w:sz w:val="18"/>
                <w:szCs w:val="18"/>
                <w:color w:val="auto"/>
              </w:rPr>
            </w:pPr>
          </w:p>
        </w:tc>
        <w:tc>
          <w:tcPr>
            <w:tcW w:w="3120" w:type="dxa"/>
            <w:vAlign w:val="bottom"/>
            <w:gridSpan w:val="2"/>
          </w:tcPr>
          <w:p>
            <w:pPr>
              <w:jc w:val="right"/>
              <w:ind w:right="4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2008</w:t>
            </w:r>
          </w:p>
        </w:tc>
        <w:tc>
          <w:tcPr>
            <w:tcW w:w="562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2009 and thereafter</w:t>
            </w:r>
          </w:p>
        </w:tc>
        <w:tc>
          <w:tcPr>
            <w:tcW w:w="3120" w:type="dxa"/>
            <w:vAlign w:val="bottom"/>
            <w:gridSpan w:val="2"/>
          </w:tcPr>
          <w:p>
            <w:pPr>
              <w:jc w:val="right"/>
              <w:ind w:right="4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Credit Facilities</w:t>
      </w:r>
    </w:p>
    <w:p>
      <w:pPr>
        <w:spacing w:after="0" w:line="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Effective October 30, 2002, Wynn Las Vegas entered into the Credit Facilities for additional construction financing for Le Rêve. The Credit Facilities are guaranteed by Wynn Resorts as the parent company, Valvino and its subsidiaries, and certain of Valvino’s affiliates. While Wynn Resorts is not subject to a majority of the restrictive covenants in the Credit Facilities, pursuant to the terms of its parent guaranty, if it grants specified liens to secure other guarantees or indebtedness it will be required to grant pari passu liens on the same assets to secure its parent guaranty of the Credit Facilities. The Credit Facilities are also secured by a first priority security interest in a $30.0 million liquidity reserve account as further described below, a first priority pledge of all equity interests in, and a first priority security interest in substantially all the assets of, Wynn Las Vegas, Wynn Capital and the restricted entities, first mortgages on all real property constituting Le Rêve, and a second priority security interest on the furniture, fixtures and equipment securing the FF&amp;E Facility described below.</w:t>
      </w:r>
    </w:p>
    <w:p>
      <w:pPr>
        <w:spacing w:after="0" w:line="10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Revolver and the Term Loan mature in October 2008 and October 2009, respectively. Prior to the opening of Le Rêve, annual interest is charged on outstanding borrowings at the London Interbank Offered Rate (“LIBOR”) plus 4% on the Revolver and LIBOR plus 5.5% on the Term Loan. Subsequent to the opening of Le Rêve, the rates will be adjusted based upon a leverage ratio. In addition, the Revolver will require quarterly payments on the unused available borrowings at an annual rate of 2%, while the Term Loan will require quarterly payments at an annual rate of 2.5% through December 31, 2002, 3% from January 1, 2003 to June 30, 2003 and 4% thereafter. Wynn Las Vegas will be required to obtain interest rate protection through interest rate swaps, caps or other similar arrangements against increases in the interest rates with respect to not less than $125 million of Term Loan availability, and up to $200 million of Revolver loans that are converted to Term Loans.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28" w:right="259" w:bottom="1440" w:gutter="0" w:footer="0" w:header="0"/>
        </w:sectPr>
      </w:pPr>
    </w:p>
    <w:bookmarkStart w:id="62" w:name="page63"/>
    <w:bookmarkEnd w:id="62"/>
    <w:p>
      <w:pPr>
        <w:ind w:right="14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When borrowings outstanding under the Revolver equal or exceed $200 million, lead arrangers holding a majority of the commitments will have the right to convert $100 million to $400 million of the amounts outstanding to term loans with the same terms and conditions as those made under Term Loan facility.</w:t>
      </w:r>
    </w:p>
    <w:p>
      <w:pPr>
        <w:spacing w:after="0" w:line="7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Term Loan provides for draws of funds under one or more term loans no more frequently than once per month for 27 months after the closing. Once repaid, term loans may not be reborrowed.</w:t>
      </w:r>
    </w:p>
    <w:p>
      <w:pPr>
        <w:spacing w:after="0" w:line="118" w:lineRule="exact"/>
        <w:rPr>
          <w:sz w:val="20"/>
          <w:szCs w:val="20"/>
          <w:color w:val="auto"/>
        </w:rPr>
      </w:pPr>
    </w:p>
    <w:p>
      <w:pPr>
        <w:ind w:right="460" w:firstLine="456"/>
        <w:spacing w:after="0" w:line="298" w:lineRule="auto"/>
        <w:rPr>
          <w:sz w:val="20"/>
          <w:szCs w:val="20"/>
          <w:color w:val="auto"/>
        </w:rPr>
      </w:pPr>
      <w:r>
        <w:rPr>
          <w:rFonts w:ascii="Arial" w:cs="Arial" w:eastAsia="Arial" w:hAnsi="Arial"/>
          <w:sz w:val="16"/>
          <w:szCs w:val="16"/>
          <w:color w:val="auto"/>
        </w:rPr>
        <w:t>The Issuers and Guarantors are required to comply with several affirmative and negative covenants, including limitations on additional indebtedness, guarantees, dividends, transactions with affiliates, capital expenditures, asset sales and others. There are also several financial covenants including the maintenance of a minimum fixed charge coverage ratio, minimum earnings before interest, taxes, depreciation and amortization (“EBITDA”), total debt to EBITDA and net worth. As of December 31, 2002, the Company is in compliance with all such covenants.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FF&amp;E Facility</w:t>
      </w:r>
    </w:p>
    <w:p>
      <w:pPr>
        <w:spacing w:after="0" w:line="77"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Effective October 30, 2002, Wynn Las Vegas entered the FF&amp;E Facility to provide financing and refinancing for furniture, fixtures and equipment to be used at Le Rêve. The proceeds from the FF&amp;E Facility may also be used to refinance a replacement corporate aircraft, in which case, Wynn Las Vegas would request the FF&amp;E lenders to increase the total commitment under the FF&amp;E Facility by $10 million to $198.5 million.</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the acquisitions of World Travel, LLC and Las Vegas Jet, LLC, the Company partially financed the purchase of a private jet aircraft for $38.0 million with the issuance of a note payable for $28.5 million collateralized by the aircraft. In November 2002, the Company withdrew $38.0 million against the FF&amp;E Facility to repay the note payable secured by the aircraft acquired in connection with the acquisition of World Travel, LLC. The unused portion of the draw will be used for construction of Le Rêve.</w:t>
      </w:r>
    </w:p>
    <w:p>
      <w:pPr>
        <w:spacing w:after="0" w:line="130"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The FF&amp;E Facility is guaranteed by the same guarantors as the Credit Facilities, on a senior unsecured basis, matures in October 2009, and has substantially the same interest rates and elections as the Revolver discussed above.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Disbursement Agreement</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has entered into an agreement (the “Disbursement Agreement”) with Deutsche Bank Trust Company Americas, as the bank agent and disbursement agent, Wells Fargo Bank, National Association, as the second mortgage note trustee, and Wells Fargo Bank Nevada, National Association as the FF&amp;E agent, which sets forth the Company’s material obligations to construct and complete Le Rêve, establishes a line-item budget and schedule for its construction and establishes the conditions to, and the relative sequencing of, the making of disbursements from the proceeds of the Notes, the Credit Facilities and the FF&amp;E Facility. The Disbursement Agreement restricts the Company’s use of the proceeds of the Notes, the Credit Facilities and the FF&amp;E Facility to only project costs related to Le Rêve and, subject to certain limitations, corporate overhead and related costs.</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order to facilitate the funding of disbursements in accordance with the Disbursement Agreement, the Company established certain accounts including, but not limited to, the Completion Guarantee Deposit Account and the Liquidity Reserve Account discussed in further detail below, which are pledged to the lenders under the Credit Facilities and, with respect to the secured account holding the proceeds of the Notes, the holders of the Notes. Prior to borrowing any amounts under the Credit Facilities or the FF&amp;E Facility or receiving any disbursements from the secured account holding the proceeds of the Notes, the Company is required to use a substantial portion of the equity offering proceeds and other available funds to commence construction of Le Rêve. At that point the proceeds of the Notes, other than amounts sufficient to pay interest, will be used; followed thereafter by the proceeds of the Credit Facilities and the FF&amp;E Facility. However, as a condition to borrowing amounts under the Credit Facilities or the FF&amp;E Facility or receiving any disbursements from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28" w:right="259" w:bottom="1440" w:gutter="0" w:footer="0" w:header="0"/>
        </w:sectPr>
      </w:pPr>
    </w:p>
    <w:bookmarkStart w:id="63" w:name="page64"/>
    <w:bookmarkEnd w:id="63"/>
    <w:p>
      <w:pPr>
        <w:ind w:right="68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secured account holding the proceeds of the Notes, the Company is required to submit evidence acceptable to the third-party construction consultant that construction of Le Rêve has been completed at the time of such borrowing in accordance with the plans and specifications, on budget and on schedule.</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Completion Guarantee and Liquidity Reserve</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contributed $50 million of the net proceeds of the equity offering to Wynn Completion Guarantor, LLC, a special purpose subsidiary of Wynn Las Vegas formed in October 2002 to provide a completion guarantee in favor of the lenders under the Credit Facilities and the Notes to secure completion of Le Rêve. The funds were deposited into a required escrow Completion Guarantee Deposit Account. These funds will gradually be available to apply to the cost of the project, commencing after 50% of the construction work has been completed. After completion of Le Rêve, any remaining amounts will be released to the Company.</w:t>
      </w:r>
    </w:p>
    <w:p>
      <w:pPr>
        <w:spacing w:after="0" w:line="1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addition, the Company deposited $30.0 million from the net proceeds of the equity offering into a required escrow Liquidity Reserve Account to secure the completion and opening of Le Rêve. The lenders under the Credit Facilities have a first priority security interest and the holders of the Notes have a perfected second priority security interest in these funds. These funds will gradually be available to apply to the cost of the project, commencing after 50% of the construction work has been completed. Any amounts remaining upon completion will be used for debt service under the Credit Facilities and the Notes, and if consolidated EBITDA levels permit, to reduce the Revolver.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for the Macau Opportunity</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intend to invest at least $40 million of the net proceeds from the initial public offering in Wynn Macau as part of the financing of the Macau opportunity. The indirect minority investors in Wynn Macau have agreed to participate in this additional investment along with Wynn Resorts to the extent of their proportionate effective interests in Wynn Macau (17.5% in the aggregate). It is expected that significant additional financing will be needed to fund the development, construction and operation of one or more casinos in Macau. Wynn Macau has entered into a $574,000 pre-construction services agreement with a third-party joint venture for: (i) development of the Contractors Proposal, (ii) negotiation of the Contractor’s Proposal, and (iii) negotiation and execution of the construction contract. Wynn Macau has also begun preliminary discussions to arrange the additional financing, and is considering different alternatives, including debt financing or additional equity financing at the Wynn Macau level or at the level of Wynn Macau’s intermediary holding companies. At the present time, Wynn Macau has not yet determined the amount of financing that will be required to complete its first casino resort. If Wynn Resorts decides to raise additional equity at the Wynn Resorts level or at the Wynn Macau or intermediary holding company level to fund the Macau opportunity, its stockholders would suffer direct or indirect dilution of their interests. Wynn Macau currently has no commitments relating to any third party financing. Except for Wynn Resorts, we do not expect financing for any such project to be provided by or through any of the issuers or guarantors of the Notes or any other indebtedness relating to the Le Rêve project. After construction of Wynn Macau’s first casino resort, Wynn Macau intends to satisfy its remaining financial obligations, if any, under the concession agreement through the development of future phased expansions and, possibly, additional casino resorts.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Liquidity Matters</w:t>
      </w:r>
    </w:p>
    <w:p>
      <w:pPr>
        <w:spacing w:after="0" w:line="77" w:lineRule="exact"/>
        <w:rPr>
          <w:sz w:val="20"/>
          <w:szCs w:val="20"/>
          <w:color w:val="auto"/>
        </w:rPr>
      </w:pPr>
    </w:p>
    <w:p>
      <w:pPr>
        <w:ind w:right="380" w:firstLine="456"/>
        <w:spacing w:after="0" w:line="254" w:lineRule="auto"/>
        <w:rPr>
          <w:sz w:val="20"/>
          <w:szCs w:val="20"/>
          <w:color w:val="auto"/>
        </w:rPr>
      </w:pPr>
      <w:r>
        <w:rPr>
          <w:rFonts w:ascii="Arial" w:cs="Arial" w:eastAsia="Arial" w:hAnsi="Arial"/>
          <w:sz w:val="18"/>
          <w:szCs w:val="18"/>
          <w:color w:val="auto"/>
        </w:rPr>
        <w:t>New business developments or other unforeseen events may occur, resulting in the need to raise additional funds. For example, we continue to explore opportunities to develop additional gaming or related businesses in Las Vegas or other domestic or international markets such as Illinois, whether through acquisition, investment or development. Any such development would require us to obtain additional financing. We may also decide to conduct any such development through Wynn Resorts or through a line of subsidiaries separate from the Le Rêve entities. In addition, Wynn Resorts’ articles of incorporation provide that Wynn Resorts may redeem shares of its capital stock, including its common stock, that are owned or controlled by an unsuitable person or its affiliates to</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80" w:right="239" w:bottom="1440" w:gutter="0" w:footer="0" w:header="0"/>
        </w:sectPr>
      </w:pPr>
    </w:p>
    <w:bookmarkStart w:id="64" w:name="page65"/>
    <w:bookmarkEnd w:id="64"/>
    <w:p>
      <w:pPr>
        <w:ind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extent a gaming authority makes a determination of unsuitability and orders the redemption, or to the extent deemed necessary or advisable by the board of directors. The redemption price may be paid in cash, by promissory note or both, as required by the applicable gaming authority and, if not, as Wynn Resorts elects. Any promissory note that Wynn Resorts issues to an unsuitable person or its affiliate in exchange for its shares may increase our debt to equity ratio and will increase our leverage ratio.</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consolidated financial statements of the Company were prepared in conformity with accounting principles generally accepted in the United States of America. Certain of our accounting policies, including the estimated lives of our depreciable assets, our annual evaluation of assets for impairment and the purchase price allocations made in connection with acquisitions, require that management apply significant judgment in defining the appropriate assumptions integral to financial estimates.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 As of, and for the period from inception to December 31, 2002, management does not believe there are any highly uncertain matters or other underlying assumptions that would have a material effect on the statement of financial position or results of operations of the Company if actual results differ from our estimates.</w:t>
      </w:r>
    </w:p>
    <w:p>
      <w:pPr>
        <w:spacing w:after="0" w:line="105" w:lineRule="exact"/>
        <w:rPr>
          <w:sz w:val="20"/>
          <w:szCs w:val="20"/>
          <w:color w:val="auto"/>
        </w:rPr>
      </w:pPr>
    </w:p>
    <w:p>
      <w:pPr>
        <w:jc w:val="center"/>
        <w:ind w:right="160"/>
        <w:spacing w:after="0" w:line="332" w:lineRule="auto"/>
        <w:rPr>
          <w:sz w:val="20"/>
          <w:szCs w:val="20"/>
          <w:color w:val="auto"/>
        </w:rPr>
      </w:pPr>
      <w:r>
        <w:rPr>
          <w:rFonts w:ascii="Arial" w:cs="Arial" w:eastAsia="Arial" w:hAnsi="Arial"/>
          <w:sz w:val="16"/>
          <w:szCs w:val="16"/>
          <w:color w:val="auto"/>
        </w:rPr>
        <w:t>Critical accounting policies currently reflected in the consolidated financial statements primarily relate to expensing pre-opening costs as incurred, capitalizing construction costs, including portions of interest attributable to certain qualifying assets, and other policies related to our development stage status.</w:t>
      </w:r>
    </w:p>
    <w:p>
      <w:pPr>
        <w:spacing w:after="0" w:line="7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period of the construction of Le Rêve, direct costs such as those expected to be incurred for the design and construction of the hotel and casino, the championship golf course and the water-based entertainment production, including interest, are capitalized. Accordingly, the recorded amounts of property and equipment will increase significantly. Depreciation expense related to the capitalized construction costs will not be recognized until the related assets are put in service. Accordingly, upon completion of construction and commencement of operation of Le Rêve, depreciation expense recognized based on the estimated useful life of the corresponding asset will have a significant effect on the results of our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3"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In June 2001, the FASB issued SFAS No. 141, “Business Combinations” and SFAS No. 142, “Goodwill and Other Intangible Assets.” SFAS No. 141 prohibits the pooling of interests method of accounting for business combinations initiated after June 30, 2001. SFAS No. 142, which is effective for the Company as of January 1, 2002, requires, among other things, the discontinuance of goodwill amortization. In addition, the standard includes provisions for the reclassification of certain existing intangibles as goodwill, reassessment of the useful lives of existing intangibles and ongoing assessments of potential impairment of existing goodwill. As of December 31, 2001, the Company had no goodwill but did have intangible assets consisting of a trademark and water rights with indefinite useful lives. Accordingly, the adoption of this statement on January 1, 2002 did not have a material impact on the Company’s consolidated financial position or results of operations.</w:t>
      </w:r>
    </w:p>
    <w:p>
      <w:pPr>
        <w:spacing w:after="0" w:line="13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June 2001, the FASB issued SFAS No. 143, “Accounting for Asset Retirement Obligations,” which addresses financial accounting and reporting for obligations associated with the retirement of tangible long-lived assets and the associated asset retirement costs. This Statement applies to legal obligations associated with the retirement of certain obligations of lessees. This Statement is effective for fiscal years beginning after June 15, 2002. The Company adopted SFAS No. 143 on January 1, 2003, with no material impact on the Company’s consolidated financial position or results of operations.</w:t>
      </w:r>
    </w:p>
    <w:p>
      <w:pPr>
        <w:spacing w:after="0" w:line="99"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In August 2001, the FASB issued SFAS No. 144, “Accounting for the Impairment or Disposal of Long-Lived Assets,” which addresses financial accounting and reporting for the impairment or disposal of long-lived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40"/>
          </w:cols>
          <w:pgMar w:left="240" w:top="280" w:right="319" w:bottom="1440" w:gutter="0" w:footer="0" w:header="0"/>
        </w:sectPr>
      </w:pPr>
    </w:p>
    <w:bookmarkStart w:id="65" w:name="page66"/>
    <w:bookmarkEnd w:id="6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assets and supersedes SFAS No. 121, “Accounting for the Impairment of Long-Lived Assets and for Long-Lived Assets to Be Disposed Of.” The provisions of this Statement are effective for fiscal years beginning after December 15, 2001. The Company adopted SFAS No. 144 on January 1, 2002 with no material impact on the Company’s consolidated financial position or results of operations.</w:t>
      </w:r>
    </w:p>
    <w:p>
      <w:pPr>
        <w:spacing w:after="0" w:line="12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April 2002, the FASB issued SFAS No. 145, “Rescission of FASB Statements No. 4, 44, and 64, Amendment of FASB Statement No. 13, and Technical Corrections.” Among other things, this statement rescinds SFAS No. 4, “Reporting Gains and Losses from Extinguishment of Debt” which required all gains and losses from extinguishment of debt to be aggregated and, if material, classified as an extraordinary item, net of related income tax effect. As a result, the criteria in APB Opinion No. 30, “Reporting the Results of Operations—Reporting the Effects of Disposal of a Segment of a Business, and Extraordinary, Unusual and Infrequently Occurring Events and Transactions,” will now be used to classify those gains and losses. The Company adopted SFAS No. 145 on January 1, 2003, with no material impact on its consolidated financial position or results of operations.</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June 2002, the FASB issued SFAS No. 146, “Accounting for Costs Associated with Exit or Disposal Activities.” SFAS No.146 addresses financial accounting and reporting for costs associated with exit or disposal activities and nullifies Emerging Issues Task Force Issue No. 94-3, “Liability Recognition for Certain Employee Termination Benefits and Other Costs to Exit an Activity (including Certain Costs Incurred in a Restructuring).” SFAS No. 146 requires that a liability for a cost associated with an exit or disposal activity be recognized when the liability is incurred. A fundamental conclusion reached by the FASB in this statement is that an entity’s commitment to a plan, by itself, does not create a present obligation to others that meets the definition of a liability. The Company adopted SFAS No. 146 on January 1, 2003, with no material impact on the Company’s consolidated financial position or results of operations.</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November 2002, the FASB issued FASB Interpretation (“FIN”) No. 45, “Guarantor’s Accounting and Disclosure Requirements for Guarantees, Including Indirect Guarantees of Indebtedness of Others, an interpretation of FASB Statements No. 5, 57, and 107 and rescission of FASB Interpretation No. 34.” FIN No. 45 elaborates on the disclosures to be made by a guarantor in its interim and annual financial statements about its obligations under certain guarantees that it has issued, and requires a guarantor to recognize, at the inception of a guarantee, a liability for the fair value of the obligation undertaken in issuing the guarantee. A fundamental conclusion reached by the FASB in this interpretation is the exclusion from the liability recognition provisions of guarantees issued between entities under common control or parent or subsidiary guarantees of third party debt on behalf of that parent or subsidiary. Such guarantees, however, are not excluded from the enhanced disclosure provisions. The initial recognition and measurement provisions of FIN No. 45 are applicable on a prospective basis to guarantees issued or modified after December 31, 2002, however the disclosure provisions are effective for financial statements of interim or annual periods ending after December 15, 2002. As a result, the Company adopted the disclosure provisions of FIN No. 45 for its 2002 annual consolidated financial statements, which had no material impact. The Company also adopted the recognition and measurement provisions on January 1, 2003, which did not have a material impact upon its consolidated financial position or results of operations.</w:t>
      </w:r>
    </w:p>
    <w:p>
      <w:pPr>
        <w:spacing w:after="0" w:line="114"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December 2002, the FASB issued SFAS No. 148, “Accounting for Stock-Based Compensation—Transition and Disclosure, an amendment of FASB Statement No. 123.” SFAS No.148 amends SFAS No. 123 to provide alternative methods of transition for a voluntary change to the fair value based method of accounting for stock-based employee compensation. In addition, this statement amends the disclosure requirements of Statement 123 to require prominent disclosures in both annual and interim financial statements about the method of accounting for stock-based employee compensation and the effect of the method used on reported results. SFAS No. 148 permits companies to continue to apply the intrinsic value based method of accounting for stock-based employee compensation as provided for in Accounting Principles Board Opinion No. 25, “Accounting for Stock Issued to Employees,” however it requires that companies that elect to do so, provide specific tabular pro forma disclosures required by SFAS No. 123 in the Summary of Significant Accounting Policies. In addition, SFAS No. 148 requires these disclosures in financial reports for interim periods.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280" w:right="279" w:bottom="1440" w:gutter="0" w:footer="0" w:header="0"/>
        </w:sectPr>
      </w:pPr>
    </w:p>
    <w:bookmarkStart w:id="66" w:name="page67"/>
    <w:bookmarkEnd w:id="66"/>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continues to apply the intrinsic value based method of accounting for stock-based employee compensation as allowed by SFAS No. 148, and therefore adoption of this statement did not have a material impact upon its consolidated financial position or results of operations. However, the Company provided the required disclosures for the 2002 annual consolidated financial statements and will provide the required disclosures in consolidated financial statements provided prospectively on an interim basis.</w:t>
      </w:r>
    </w:p>
    <w:p>
      <w:pPr>
        <w:spacing w:after="0" w:line="12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83"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primary exposure to market risk is interest rate risk associated with the Revolver, the Term Loan facility and the FF&amp;E Facility, each of which bear interest based on floating rates at a specified premium over the London Interbank Offered Rate (“LIBOR”). We will attempt to manage interest rate risk by managing the mix of long-term fixed rate borrowings and variable rate borrowings. The amount of outstanding borrowings under the various debt instruments is expected to increase (i) as the proceeds of the initial public offering of our common stock are used in the construction of Le Rêve, (ii) the commencement of Macau development, and (iii) as the Macau financing evolves.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information about our long-term indebtedness as of December 31, 2002 (see also “Description of Certain Indebtedness”):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4"/>
        </w:trPr>
        <w:tc>
          <w:tcPr>
            <w:tcW w:w="5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20" w:type="dxa"/>
            <w:vAlign w:val="bottom"/>
          </w:tcPr>
          <w:p>
            <w:pPr>
              <w:ind w:left="500"/>
              <w:spacing w:after="0"/>
              <w:rPr>
                <w:sz w:val="20"/>
                <w:szCs w:val="20"/>
                <w:color w:val="auto"/>
              </w:rPr>
            </w:pPr>
            <w:r>
              <w:rPr>
                <w:rFonts w:ascii="Arial" w:cs="Arial" w:eastAsia="Arial" w:hAnsi="Arial"/>
                <w:sz w:val="14"/>
                <w:szCs w:val="14"/>
                <w:b w:val="1"/>
                <w:bCs w:val="1"/>
                <w:color w:val="auto"/>
              </w:rPr>
              <w:t>Maturity Date</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Face Amount</w:t>
            </w:r>
          </w:p>
        </w:tc>
        <w:tc>
          <w:tcPr>
            <w:tcW w:w="100" w:type="dxa"/>
            <w:vAlign w:val="bottom"/>
          </w:tcPr>
          <w:p>
            <w:pPr>
              <w:spacing w:after="0"/>
              <w:rPr>
                <w:sz w:val="15"/>
                <w:szCs w:val="15"/>
                <w:color w:val="auto"/>
              </w:rPr>
            </w:pPr>
          </w:p>
        </w:tc>
        <w:tc>
          <w:tcPr>
            <w:tcW w:w="1040" w:type="dxa"/>
            <w:vAlign w:val="bottom"/>
          </w:tcPr>
          <w:p>
            <w:pPr>
              <w:jc w:val="right"/>
              <w:ind w:right="36"/>
              <w:spacing w:after="0"/>
              <w:rPr>
                <w:sz w:val="20"/>
                <w:szCs w:val="20"/>
                <w:color w:val="auto"/>
              </w:rPr>
            </w:pPr>
            <w:r>
              <w:rPr>
                <w:rFonts w:ascii="Arial" w:cs="Arial" w:eastAsia="Arial" w:hAnsi="Arial"/>
                <w:sz w:val="14"/>
                <w:szCs w:val="14"/>
                <w:b w:val="1"/>
                <w:bCs w:val="1"/>
                <w:color w:val="auto"/>
                <w:w w:val="91"/>
              </w:rPr>
              <w:t>Carrying Value</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95"/>
        </w:trPr>
        <w:tc>
          <w:tcPr>
            <w:tcW w:w="5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w w:val="97"/>
              </w:rPr>
              <w:t>(in thousands)</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FF&amp;E Facility, interest at LIBOR plus 4% (approximately 5.38% at</w:t>
            </w:r>
          </w:p>
        </w:tc>
        <w:tc>
          <w:tcPr>
            <w:tcW w:w="4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31, 2002)</w:t>
            </w:r>
          </w:p>
        </w:tc>
        <w:tc>
          <w:tcPr>
            <w:tcW w:w="2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October 2009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38,000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Note payable—land parcel; interest at 8.0%</w:t>
            </w:r>
          </w:p>
        </w:tc>
        <w:tc>
          <w:tcPr>
            <w:tcW w:w="2220" w:type="dxa"/>
            <w:vAlign w:val="bottom"/>
            <w:gridSpan w:val="2"/>
          </w:tcPr>
          <w:p>
            <w:pPr>
              <w:ind w:left="400"/>
              <w:spacing w:after="0"/>
              <w:rPr>
                <w:sz w:val="20"/>
                <w:szCs w:val="20"/>
                <w:color w:val="auto"/>
              </w:rPr>
            </w:pPr>
            <w:r>
              <w:rPr>
                <w:rFonts w:ascii="Arial" w:cs="Arial" w:eastAsia="Arial" w:hAnsi="Arial"/>
                <w:sz w:val="18"/>
                <w:szCs w:val="18"/>
                <w:color w:val="auto"/>
              </w:rPr>
              <w:t>February 2009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 Second Mortgage Notes</w:t>
            </w:r>
          </w:p>
        </w:tc>
        <w:tc>
          <w:tcPr>
            <w:tcW w:w="2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November 2010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370,000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343,900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long-term debt</w:t>
            </w:r>
          </w:p>
        </w:tc>
        <w:tc>
          <w:tcPr>
            <w:tcW w:w="4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408,291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382,191</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-29210</wp:posOffset>
            </wp:positionV>
            <wp:extent cx="23368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336800" cy="29845"/>
                    </a:xfrm>
                    <a:prstGeom prst="rect">
                      <a:avLst/>
                    </a:prstGeom>
                    <a:noFill/>
                  </pic:spPr>
                </pic:pic>
              </a:graphicData>
            </a:graphic>
          </wp:anchor>
        </w:drawing>
      </w:r>
    </w:p>
    <w:p>
      <w:pPr>
        <w:spacing w:after="0" w:line="22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Although we will be required to obtain interest rate protection through interest rate swaps, caps, collars or other arrangements with respect to 50% of the term loans (including any revolving loans that may be converted into term loans), we cannot assure you that these risk management strategies will have the desired effect, and interest rate fluctuations could have a negative impact on our results of operations.</w:t>
      </w:r>
    </w:p>
    <w:p>
      <w:pPr>
        <w:spacing w:after="0" w:line="127" w:lineRule="exact"/>
        <w:rPr>
          <w:sz w:val="20"/>
          <w:szCs w:val="20"/>
          <w:color w:val="auto"/>
        </w:rPr>
      </w:pPr>
    </w:p>
    <w:p>
      <w:pPr>
        <w:jc w:val="center"/>
        <w:ind w:right="100"/>
        <w:spacing w:after="0" w:line="440" w:lineRule="auto"/>
        <w:rPr>
          <w:sz w:val="20"/>
          <w:szCs w:val="20"/>
          <w:color w:val="auto"/>
        </w:rPr>
      </w:pPr>
      <w:r>
        <w:rPr>
          <w:rFonts w:ascii="Arial" w:cs="Arial" w:eastAsia="Arial" w:hAnsi="Arial"/>
          <w:sz w:val="18"/>
          <w:szCs w:val="18"/>
          <w:color w:val="auto"/>
        </w:rPr>
        <w:t>We do not use derivative financial instruments, other financial instruments or derivative commodity instruments for trading or speculative purposes. 66</w:t>
      </w:r>
    </w:p>
    <w:p>
      <w:pPr>
        <w:sectPr>
          <w:pgSz w:w="11900" w:h="16838" w:orient="portrait"/>
          <w:cols w:equalWidth="0" w:num="1">
            <w:col w:w="11420"/>
          </w:cols>
          <w:pgMar w:left="240" w:top="280" w:right="239" w:bottom="1440" w:gutter="0" w:footer="0" w:header="0"/>
        </w:sectPr>
      </w:pPr>
    </w:p>
    <w:bookmarkStart w:id="67" w:name="page68"/>
    <w:bookmarkEnd w:id="67"/>
    <w:p>
      <w:pPr>
        <w:ind w:right="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provides estimated future cash flow information derived from our best estimates at December 31, 2002 of our expected long-term indebtedness See Item 7. “Management’s Discussion and Analysis of Financial Condition and Results of Operations—Liquidity and Capital Resources”. However, we cannot predict the LIBOR rates that will be in effect in the future. Accordingly, the LIBOR rate at December 31, 2002 equal to 1.38% is used for all calculations in the table below.</w:t>
      </w:r>
    </w:p>
    <w:p>
      <w:pPr>
        <w:spacing w:after="0" w:line="125"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89"/>
              </w:rPr>
              <w:t>As of December 31,</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3"/>
              </w:rPr>
              <w:t>2003</w:t>
            </w:r>
          </w:p>
        </w:tc>
        <w:tc>
          <w:tcPr>
            <w:tcW w:w="760" w:type="dxa"/>
            <w:vAlign w:val="bottom"/>
            <w:gridSpan w:val="2"/>
          </w:tcPr>
          <w:p>
            <w:pPr>
              <w:jc w:val="center"/>
              <w:ind w:left="192"/>
              <w:spacing w:after="0"/>
              <w:rPr>
                <w:sz w:val="20"/>
                <w:szCs w:val="20"/>
                <w:color w:val="auto"/>
              </w:rPr>
            </w:pPr>
            <w:r>
              <w:rPr>
                <w:rFonts w:ascii="Arial" w:cs="Arial" w:eastAsia="Arial" w:hAnsi="Arial"/>
                <w:sz w:val="14"/>
                <w:szCs w:val="14"/>
                <w:b w:val="1"/>
                <w:bCs w:val="1"/>
                <w:color w:val="auto"/>
                <w:w w:val="83"/>
              </w:rPr>
              <w:t>2004</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22"/>
                <w:szCs w:val="22"/>
                <w:color w:val="auto"/>
              </w:rPr>
            </w:pPr>
          </w:p>
        </w:tc>
        <w:tc>
          <w:tcPr>
            <w:tcW w:w="6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jc w:val="right"/>
              <w:ind w:right="16"/>
              <w:spacing w:after="0"/>
              <w:rPr>
                <w:sz w:val="20"/>
                <w:szCs w:val="20"/>
                <w:color w:val="auto"/>
              </w:rPr>
            </w:pPr>
            <w:r>
              <w:rPr>
                <w:rFonts w:ascii="Arial" w:cs="Arial" w:eastAsia="Arial" w:hAnsi="Arial"/>
                <w:sz w:val="14"/>
                <w:szCs w:val="14"/>
                <w:b w:val="1"/>
                <w:bCs w:val="1"/>
                <w:color w:val="auto"/>
                <w:w w:val="83"/>
              </w:rPr>
              <w:t>2007</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3"/>
              </w:rPr>
              <w:t>Thereafter</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40" w:type="dxa"/>
            <w:vAlign w:val="bottom"/>
            <w:gridSpan w:val="2"/>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 in millions)</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Fixed rate</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0.1</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Average interest rate</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8.00%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12.00%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Variable rate</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$ 20.1</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$ 82.5</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96.0</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966.3</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1,164.9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Average interest rate</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6.13%</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6.11%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6.16%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5.61%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Risks</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currency used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0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Because Wynn Macau’s payment and expenditure obligations under the concession agreement are in Macau patacas, in the event of unfavorable Macau pataca or Hong Kong dollar rate changes, Wynn Macau’s obligations, as denominated in U.S. dollars, would increase. In addition, because we expect that most of the revenue for any casino that Wynn Macau operates in Macau will be in Hong Kong dollars, we are subject to foreign exchange risk with respect to the exchange rate between the Hong Kong dollar and the U.S. dollar. Wynn Macau intends to spend any Macau patacas received on local casino operating expenses. Also, if any of our Macau-related entities incur U.S. dollar-denominated debt, fluctuations in the exchange rates of the Macau pataca or the Hong Kong dollar, in relation to the U.S. dollar, could have adverse effects on Wynn Macau’s ability to service its debt, its results of operations and its financial condition. We have not yet determined whether we will engage in hedging activities to protect against foreign currency risk.</w:t>
      </w:r>
    </w:p>
    <w:p>
      <w:pPr>
        <w:spacing w:after="0" w:line="9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Index to Consolidated Financial Statements on Page F-1.</w:t>
      </w:r>
    </w:p>
    <w:p>
      <w:pPr>
        <w:spacing w:after="0" w:line="15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w:t>
      </w:r>
    </w:p>
    <w:p>
      <w:pPr>
        <w:spacing w:after="0" w:line="21"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AND FINANCIAL DISCLOSURE</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428" w:right="279" w:bottom="1440" w:gutter="0" w:footer="0" w:header="0"/>
        </w:sectPr>
      </w:pPr>
    </w:p>
    <w:bookmarkStart w:id="68" w:name="page69"/>
    <w:bookmarkEnd w:id="6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III</w:t>
      </w:r>
    </w:p>
    <w:p>
      <w:pPr>
        <w:spacing w:after="0" w:line="15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AND EXECUTIVE OFFICERS OF THE REGISTRANT</w:t>
      </w:r>
    </w:p>
    <w:p>
      <w:pPr>
        <w:spacing w:after="0" w:line="8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information required by this item will be contained in the Registrant’s definitive Proxy Statement for its Annual Stockholder Meeting to be held on May 13, 2003, to be filed with the Securities and Exchange Commission within 120 days after December 31, 2002, and is incorporated herein by reference.</w:t>
      </w:r>
    </w:p>
    <w:p>
      <w:pPr>
        <w:spacing w:after="0" w:line="6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8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information required by this item will be contained in the Registrant’s definitive Proxy Statement for its Annual Stockholder Meeting to be held on May 13, 2003, to be filed with the Securities and Exchange Commission within 120 days after December 31, 2002, and is incorporated herein by reference.</w:t>
      </w:r>
    </w:p>
    <w:p>
      <w:pPr>
        <w:spacing w:after="0" w:line="6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w:t>
      </w:r>
    </w:p>
    <w:p>
      <w:pPr>
        <w:spacing w:after="0" w:line="8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information required by this item will be contained in the Registrant’s definitive Proxy Statement for its Annual Stockholder Meeting to be held on May 13, 2003, to be filed with the Securities and Exchange Commission within 120 days after December 31, 2002, and is incorporated herein by reference.</w:t>
      </w:r>
    </w:p>
    <w:p>
      <w:pPr>
        <w:spacing w:after="0" w:line="6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w:t>
      </w:r>
    </w:p>
    <w:p>
      <w:pPr>
        <w:spacing w:after="0" w:line="8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information required by this item will be contained in the Registrant’s definitive Proxy Statement for its Annual Stockholder Meeting to be held on May 13, 2003, to be made filed with the Securities and Exchange Commission within 120 days after December 31, 2002, and is incorporated herein by reference.</w:t>
      </w:r>
    </w:p>
    <w:p>
      <w:pPr>
        <w:spacing w:after="0" w:line="6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CONTROLS AND PROCEDURES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Company’s Chief Executive Officer and Chief Financial Officer, have evaluated the effectiveness of the Company’s disclosure controls and procedures (as such term is defined in Rules 13a-14(c) and 15d-14(c) under the Securities Exchange Act of 1934, as amended (the “Exchange Act”)), as of a date within 90 days prior to the filing date of this quarterly report (the “Evaluation Date”). Based on such evaluation, such officers have concluded that, as of the Evaluation Date, the Company’s disclosure controls and procedures are effective in alerting them on a timely basis to material information relating to the Company (including its consolidated subsidiaries) required to be included in the Company’s periodic filings under the Exchange Act.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Since the Evaluation Date, there have not been any significant changes in the Company’s internal controls or in other factors that could significantly affect such controls.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274" w:right="259" w:bottom="1440" w:gutter="0" w:footer="0" w:header="0"/>
        </w:sectPr>
      </w:pPr>
    </w:p>
    <w:bookmarkStart w:id="69" w:name="page70"/>
    <w:bookmarkEnd w:id="6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IV</w:t>
      </w:r>
    </w:p>
    <w:p>
      <w:pPr>
        <w:spacing w:after="0" w:line="15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 AND REPORTS ON FORM 8-K</w:t>
      </w:r>
    </w:p>
    <w:p>
      <w:pPr>
        <w:spacing w:after="0" w:line="83" w:lineRule="exact"/>
        <w:rPr>
          <w:sz w:val="20"/>
          <w:szCs w:val="20"/>
          <w:color w:val="auto"/>
        </w:rPr>
      </w:pPr>
    </w:p>
    <w:p>
      <w:pPr>
        <w:ind w:left="460"/>
        <w:spacing w:after="0"/>
        <w:tabs>
          <w:tab w:leader="none" w:pos="1040" w:val="left"/>
        </w:tabs>
        <w:rPr>
          <w:sz w:val="20"/>
          <w:szCs w:val="20"/>
          <w:color w:val="auto"/>
        </w:rPr>
      </w:pPr>
      <w:r>
        <w:rPr>
          <w:rFonts w:ascii="Arial" w:cs="Arial" w:eastAsia="Arial" w:hAnsi="Arial"/>
          <w:sz w:val="18"/>
          <w:szCs w:val="18"/>
          <w:color w:val="auto"/>
        </w:rPr>
        <w:t>(a) 1.</w:t>
      </w:r>
      <w:r>
        <w:rPr>
          <w:sz w:val="20"/>
          <w:szCs w:val="20"/>
          <w:color w:val="auto"/>
        </w:rPr>
        <w:tab/>
      </w:r>
      <w:r>
        <w:rPr>
          <w:rFonts w:ascii="Arial" w:cs="Arial" w:eastAsia="Arial" w:hAnsi="Arial"/>
          <w:sz w:val="15"/>
          <w:szCs w:val="15"/>
          <w:color w:val="auto"/>
        </w:rPr>
        <w:t>Financial Statements—See the Index to Consolidated Financial Statements on Page F-1</w:t>
      </w:r>
    </w:p>
    <w:p>
      <w:pPr>
        <w:spacing w:after="0" w:line="158" w:lineRule="exact"/>
        <w:rPr>
          <w:sz w:val="20"/>
          <w:szCs w:val="20"/>
          <w:color w:val="auto"/>
        </w:rPr>
      </w:pPr>
    </w:p>
    <w:p>
      <w:pPr>
        <w:ind w:left="780" w:hanging="31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Financial Statement Schedules filed in Part IV of this report are listed below;</w:t>
      </w:r>
    </w:p>
    <w:p>
      <w:pPr>
        <w:spacing w:after="0" w:line="77"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color w:val="auto"/>
        </w:rPr>
        <w:t>None. We have omitted financial statement schedules because they are not required or are not applicable, or the required information is shown in the financial statements or notes to the financial statements.</w:t>
      </w:r>
    </w:p>
    <w:p>
      <w:pPr>
        <w:spacing w:after="0" w:line="118" w:lineRule="exact"/>
        <w:rPr>
          <w:sz w:val="20"/>
          <w:szCs w:val="20"/>
          <w:color w:val="auto"/>
        </w:rPr>
      </w:pPr>
    </w:p>
    <w:p>
      <w:pPr>
        <w:ind w:left="780" w:hanging="31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Exhibits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0" w:type="dxa"/>
            <w:vAlign w:val="bottom"/>
            <w:gridSpan w:val="3"/>
          </w:tcPr>
          <w:p>
            <w:pPr>
              <w:ind w:left="4100"/>
              <w:spacing w:after="0"/>
              <w:rPr>
                <w:sz w:val="20"/>
                <w:szCs w:val="20"/>
                <w:color w:val="auto"/>
              </w:rPr>
            </w:pPr>
            <w:r>
              <w:rPr>
                <w:rFonts w:ascii="Arial" w:cs="Arial" w:eastAsia="Arial" w:hAnsi="Arial"/>
                <w:sz w:val="18"/>
                <w:szCs w:val="18"/>
                <w:b w:val="1"/>
                <w:bCs w:val="1"/>
                <w:color w:val="auto"/>
              </w:rPr>
              <w:t>EXHIBIT INDEX</w:t>
            </w:r>
          </w:p>
        </w:tc>
      </w:tr>
      <w:tr>
        <w:trPr>
          <w:trHeight w:val="312"/>
        </w:trPr>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Exhibit No.</w:t>
            </w:r>
          </w:p>
        </w:tc>
        <w:tc>
          <w:tcPr>
            <w:tcW w:w="4920" w:type="dxa"/>
            <w:vAlign w:val="bottom"/>
          </w:tcPr>
          <w:p>
            <w:pPr>
              <w:spacing w:after="0"/>
              <w:rPr>
                <w:sz w:val="24"/>
                <w:szCs w:val="24"/>
                <w:color w:val="auto"/>
              </w:rPr>
            </w:pPr>
          </w:p>
        </w:tc>
        <w:tc>
          <w:tcPr>
            <w:tcW w:w="5480" w:type="dxa"/>
            <w:vAlign w:val="bottom"/>
            <w:gridSpan w:val="2"/>
          </w:tcPr>
          <w:p>
            <w:pPr>
              <w:ind w:left="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640" w:type="dxa"/>
            <w:vAlign w:val="bottom"/>
          </w:tcPr>
          <w:p>
            <w:pPr>
              <w:spacing w:after="0"/>
              <w:rPr>
                <w:sz w:val="8"/>
                <w:szCs w:val="8"/>
                <w:color w:val="auto"/>
              </w:rPr>
            </w:pPr>
          </w:p>
        </w:tc>
      </w:tr>
      <w:tr>
        <w:trPr>
          <w:trHeight w:val="316"/>
        </w:trPr>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0400" w:type="dxa"/>
            <w:vAlign w:val="bottom"/>
            <w:gridSpan w:val="3"/>
          </w:tcPr>
          <w:p>
            <w:pPr>
              <w:ind w:left="200"/>
              <w:spacing w:after="0"/>
              <w:rPr>
                <w:sz w:val="20"/>
                <w:szCs w:val="20"/>
                <w:color w:val="auto"/>
              </w:rPr>
            </w:pPr>
            <w:r>
              <w:rPr>
                <w:rFonts w:ascii="Arial" w:cs="Arial" w:eastAsia="Arial" w:hAnsi="Arial"/>
                <w:sz w:val="18"/>
                <w:szCs w:val="18"/>
                <w:color w:val="auto"/>
              </w:rPr>
              <w:t>Second Amended and Restated Articles of Incorporation of the Registrant.(4)</w:t>
            </w:r>
          </w:p>
        </w:tc>
      </w:tr>
      <w:tr>
        <w:trPr>
          <w:trHeight w:val="284"/>
        </w:trPr>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0400" w:type="dxa"/>
            <w:vAlign w:val="bottom"/>
            <w:gridSpan w:val="3"/>
          </w:tcPr>
          <w:p>
            <w:pPr>
              <w:ind w:left="200"/>
              <w:spacing w:after="0"/>
              <w:rPr>
                <w:sz w:val="20"/>
                <w:szCs w:val="20"/>
                <w:color w:val="auto"/>
              </w:rPr>
            </w:pPr>
            <w:r>
              <w:rPr>
                <w:rFonts w:ascii="Arial" w:cs="Arial" w:eastAsia="Arial" w:hAnsi="Arial"/>
                <w:sz w:val="18"/>
                <w:szCs w:val="18"/>
                <w:color w:val="auto"/>
              </w:rPr>
              <w:t>Third Amended and Restated Bylaws of the Registrant, as amended.(6)</w:t>
            </w:r>
          </w:p>
        </w:tc>
      </w:tr>
      <w:tr>
        <w:trPr>
          <w:trHeight w:val="284"/>
        </w:trPr>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10400" w:type="dxa"/>
            <w:vAlign w:val="bottom"/>
            <w:gridSpan w:val="3"/>
          </w:tcPr>
          <w:p>
            <w:pPr>
              <w:ind w:left="200"/>
              <w:spacing w:after="0"/>
              <w:rPr>
                <w:sz w:val="20"/>
                <w:szCs w:val="20"/>
                <w:color w:val="auto"/>
              </w:rPr>
            </w:pPr>
            <w:r>
              <w:rPr>
                <w:rFonts w:ascii="Arial" w:cs="Arial" w:eastAsia="Arial" w:hAnsi="Arial"/>
                <w:sz w:val="18"/>
                <w:szCs w:val="18"/>
                <w:color w:val="auto"/>
              </w:rPr>
              <w:t>Specimen certificate for shares of Common Stock, $0.01 par value per share of the Registrant.(4)</w:t>
            </w:r>
          </w:p>
        </w:tc>
      </w:tr>
      <w:tr>
        <w:trPr>
          <w:trHeight w:val="277"/>
        </w:trPr>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10400" w:type="dxa"/>
            <w:vAlign w:val="bottom"/>
            <w:gridSpan w:val="3"/>
          </w:tcPr>
          <w:p>
            <w:pPr>
              <w:ind w:left="200"/>
              <w:spacing w:after="0"/>
              <w:rPr>
                <w:sz w:val="20"/>
                <w:szCs w:val="20"/>
                <w:color w:val="auto"/>
              </w:rPr>
            </w:pPr>
            <w:r>
              <w:rPr>
                <w:rFonts w:ascii="Arial" w:cs="Arial" w:eastAsia="Arial" w:hAnsi="Arial"/>
                <w:sz w:val="18"/>
                <w:szCs w:val="18"/>
                <w:color w:val="auto"/>
                <w:w w:val="88"/>
              </w:rPr>
              <w:t>Indenture, dated as of October 30, 2002, governing the 12% Second Mortgage Notes due 2010 by and among Wynn Las Vegas, LLC; Wynn Las</w:t>
            </w:r>
          </w:p>
        </w:tc>
      </w:tr>
      <w:tr>
        <w:trPr>
          <w:trHeight w:val="216"/>
        </w:trPr>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1"/>
              </w:rPr>
              <w:t>Vegas Capital Corp.; Desert Inn Water Company, LLC; Wynn Design &amp; Development, LLC; Wynn Resorts Holdings, LLC; Las Vegas Jet,</w:t>
            </w:r>
          </w:p>
        </w:tc>
      </w:tr>
      <w:tr>
        <w:trPr>
          <w:trHeight w:val="222"/>
        </w:trPr>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1"/>
              </w:rPr>
              <w:t>LLC; World Travel, LLC; Palo, LLC; Valvino Lamore, LLC; the Registrant and Wells Fargo Bank, National Association, Inc., as trustee.(1)</w:t>
            </w:r>
          </w:p>
        </w:tc>
      </w:tr>
      <w:tr>
        <w:trPr>
          <w:trHeight w:val="284"/>
        </w:trPr>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10400" w:type="dxa"/>
            <w:vAlign w:val="bottom"/>
            <w:gridSpan w:val="3"/>
          </w:tcPr>
          <w:p>
            <w:pPr>
              <w:ind w:left="200"/>
              <w:spacing w:after="0"/>
              <w:rPr>
                <w:sz w:val="20"/>
                <w:szCs w:val="20"/>
                <w:color w:val="auto"/>
              </w:rPr>
            </w:pPr>
            <w:r>
              <w:rPr>
                <w:rFonts w:ascii="Arial" w:cs="Arial" w:eastAsia="Arial" w:hAnsi="Arial"/>
                <w:sz w:val="18"/>
                <w:szCs w:val="18"/>
                <w:color w:val="auto"/>
              </w:rPr>
              <w:t>Form of Second Mortgage Note (included in Exhibit 4.2)(1)</w:t>
            </w:r>
          </w:p>
        </w:tc>
      </w:tr>
      <w:tr>
        <w:trPr>
          <w:trHeight w:val="284"/>
        </w:trPr>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4"/>
                <w:szCs w:val="24"/>
                <w:color w:val="auto"/>
              </w:rPr>
            </w:pPr>
          </w:p>
        </w:tc>
        <w:tc>
          <w:tcPr>
            <w:tcW w:w="10400" w:type="dxa"/>
            <w:vAlign w:val="bottom"/>
            <w:gridSpan w:val="3"/>
          </w:tcPr>
          <w:p>
            <w:pPr>
              <w:ind w:left="200"/>
              <w:spacing w:after="0"/>
              <w:rPr>
                <w:sz w:val="20"/>
                <w:szCs w:val="20"/>
                <w:color w:val="auto"/>
              </w:rPr>
            </w:pPr>
            <w:r>
              <w:rPr>
                <w:rFonts w:ascii="Arial" w:cs="Arial" w:eastAsia="Arial" w:hAnsi="Arial"/>
                <w:sz w:val="18"/>
                <w:szCs w:val="18"/>
                <w:color w:val="auto"/>
              </w:rPr>
              <w:t>Form of Notation of Guarantee (included in Exhibit 4.2)(1)</w:t>
            </w:r>
          </w:p>
        </w:tc>
      </w:tr>
      <w:tr>
        <w:trPr>
          <w:trHeight w:val="277"/>
        </w:trPr>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4"/>
                <w:szCs w:val="24"/>
                <w:color w:val="auto"/>
              </w:rPr>
            </w:pPr>
          </w:p>
        </w:tc>
        <w:tc>
          <w:tcPr>
            <w:tcW w:w="10400" w:type="dxa"/>
            <w:vAlign w:val="bottom"/>
            <w:gridSpan w:val="3"/>
          </w:tcPr>
          <w:p>
            <w:pPr>
              <w:ind w:left="200"/>
              <w:spacing w:after="0"/>
              <w:rPr>
                <w:sz w:val="20"/>
                <w:szCs w:val="20"/>
                <w:color w:val="auto"/>
              </w:rPr>
            </w:pPr>
            <w:r>
              <w:rPr>
                <w:rFonts w:ascii="Arial" w:cs="Arial" w:eastAsia="Arial" w:hAnsi="Arial"/>
                <w:sz w:val="18"/>
                <w:szCs w:val="18"/>
                <w:color w:val="auto"/>
                <w:w w:val="89"/>
              </w:rPr>
              <w:t>Guarantee and Collateral Agreement, dated as of October 30, 2002, made by Valvino Lamore, LLC; Wynn Las Vegas Capital Corp.; Palo, LLC;</w:t>
            </w:r>
          </w:p>
        </w:tc>
      </w:tr>
      <w:tr>
        <w:trPr>
          <w:trHeight w:val="216"/>
        </w:trPr>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2"/>
              </w:rPr>
              <w:t>Wynn Resorts Holdings, LLC; Desert Inn Water Company, LLC; World Travel, LLC; Las Vegas Jet, LLC; Wynn Las Vegas, LLC and the</w:t>
            </w:r>
          </w:p>
        </w:tc>
      </w:tr>
      <w:tr>
        <w:trPr>
          <w:trHeight w:val="222"/>
        </w:trPr>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88"/>
              </w:rPr>
              <w:t>other Guarantors from time to time party thereto in favor of Wells Fargo Bank, National Association, as Mortgage Notes Indenture Trustee.(1)</w:t>
            </w:r>
          </w:p>
        </w:tc>
      </w:tr>
      <w:tr>
        <w:trPr>
          <w:trHeight w:val="277"/>
        </w:trPr>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4"/>
                <w:szCs w:val="24"/>
                <w:color w:val="auto"/>
              </w:rPr>
            </w:pPr>
          </w:p>
        </w:tc>
        <w:tc>
          <w:tcPr>
            <w:tcW w:w="10400" w:type="dxa"/>
            <w:vAlign w:val="bottom"/>
            <w:gridSpan w:val="3"/>
          </w:tcPr>
          <w:p>
            <w:pPr>
              <w:ind w:left="200"/>
              <w:spacing w:after="0"/>
              <w:rPr>
                <w:sz w:val="20"/>
                <w:szCs w:val="20"/>
                <w:color w:val="auto"/>
              </w:rPr>
            </w:pPr>
            <w:r>
              <w:rPr>
                <w:rFonts w:ascii="Arial" w:cs="Arial" w:eastAsia="Arial" w:hAnsi="Arial"/>
                <w:sz w:val="18"/>
                <w:szCs w:val="18"/>
                <w:color w:val="auto"/>
                <w:w w:val="89"/>
              </w:rPr>
              <w:t>Deed of Trust, Assignment of Rents and Leases, Security Agreement and Fixture Filing, dated as of October 30, 2002, made by Wynn Resorts</w:t>
            </w:r>
          </w:p>
        </w:tc>
      </w:tr>
      <w:tr>
        <w:trPr>
          <w:trHeight w:val="222"/>
        </w:trPr>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Holdings, LLC in favor of Wells Fargo Bank, National Association, as Mortgage Notes Indenture Trustee.(1)</w:t>
            </w:r>
          </w:p>
        </w:tc>
      </w:tr>
      <w:tr>
        <w:trPr>
          <w:trHeight w:val="277"/>
        </w:trPr>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4"/>
                <w:szCs w:val="24"/>
                <w:color w:val="auto"/>
              </w:rPr>
            </w:pPr>
          </w:p>
        </w:tc>
        <w:tc>
          <w:tcPr>
            <w:tcW w:w="10400" w:type="dxa"/>
            <w:vAlign w:val="bottom"/>
            <w:gridSpan w:val="3"/>
          </w:tcPr>
          <w:p>
            <w:pPr>
              <w:ind w:left="200"/>
              <w:spacing w:after="0"/>
              <w:rPr>
                <w:sz w:val="20"/>
                <w:szCs w:val="20"/>
                <w:color w:val="auto"/>
              </w:rPr>
            </w:pPr>
            <w:r>
              <w:rPr>
                <w:rFonts w:ascii="Arial" w:cs="Arial" w:eastAsia="Arial" w:hAnsi="Arial"/>
                <w:sz w:val="18"/>
                <w:szCs w:val="18"/>
                <w:color w:val="auto"/>
                <w:w w:val="88"/>
              </w:rPr>
              <w:t>Deed of Trust, Assignment of Rents and Leases, Security Agreement and Fixture Filing, dated as of October 30, 2002, made by Valvino Lamore,</w:t>
            </w:r>
          </w:p>
        </w:tc>
      </w:tr>
      <w:tr>
        <w:trPr>
          <w:trHeight w:val="222"/>
        </w:trPr>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LLC in favor of Wells Fargo Bank, National Association, as Mortgage Notes Indenture Trustee.(1)</w:t>
            </w:r>
          </w:p>
        </w:tc>
      </w:tr>
      <w:tr>
        <w:trPr>
          <w:trHeight w:val="277"/>
        </w:trPr>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4"/>
                <w:szCs w:val="24"/>
                <w:color w:val="auto"/>
              </w:rPr>
            </w:pPr>
          </w:p>
        </w:tc>
        <w:tc>
          <w:tcPr>
            <w:tcW w:w="10400" w:type="dxa"/>
            <w:vAlign w:val="bottom"/>
            <w:gridSpan w:val="3"/>
          </w:tcPr>
          <w:p>
            <w:pPr>
              <w:ind w:left="200"/>
              <w:spacing w:after="0"/>
              <w:rPr>
                <w:sz w:val="20"/>
                <w:szCs w:val="20"/>
                <w:color w:val="auto"/>
              </w:rPr>
            </w:pPr>
            <w:r>
              <w:rPr>
                <w:rFonts w:ascii="Arial" w:cs="Arial" w:eastAsia="Arial" w:hAnsi="Arial"/>
                <w:sz w:val="18"/>
                <w:szCs w:val="18"/>
                <w:color w:val="auto"/>
                <w:w w:val="90"/>
              </w:rPr>
              <w:t>Deed of Trust, Assignment of Rents and Leases, Security Agreement and Fixture Filing, dated as of October 30, 2002, made by Palo, LLC in</w:t>
            </w:r>
          </w:p>
        </w:tc>
      </w:tr>
      <w:tr>
        <w:trPr>
          <w:trHeight w:val="222"/>
        </w:trPr>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favor of Wells Fargo Bank, National Association, as Mortgage Notes Indenture Trustee.(1)</w:t>
            </w:r>
          </w:p>
        </w:tc>
      </w:tr>
      <w:tr>
        <w:trPr>
          <w:trHeight w:val="277"/>
        </w:trPr>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4"/>
                <w:szCs w:val="24"/>
                <w:color w:val="auto"/>
              </w:rPr>
            </w:pPr>
          </w:p>
        </w:tc>
        <w:tc>
          <w:tcPr>
            <w:tcW w:w="10400" w:type="dxa"/>
            <w:vAlign w:val="bottom"/>
            <w:gridSpan w:val="3"/>
          </w:tcPr>
          <w:p>
            <w:pPr>
              <w:ind w:left="200"/>
              <w:spacing w:after="0"/>
              <w:rPr>
                <w:sz w:val="20"/>
                <w:szCs w:val="20"/>
                <w:color w:val="auto"/>
              </w:rPr>
            </w:pPr>
            <w:r>
              <w:rPr>
                <w:rFonts w:ascii="Arial" w:cs="Arial" w:eastAsia="Arial" w:hAnsi="Arial"/>
                <w:sz w:val="18"/>
                <w:szCs w:val="18"/>
                <w:color w:val="auto"/>
                <w:w w:val="88"/>
              </w:rPr>
              <w:t>Deed of Trust, Leasehold Deed of Trust, Assignment of Rents and Leases, Security Agreement and Fixture Filing, dated as of October 30, 2002,</w:t>
            </w:r>
          </w:p>
        </w:tc>
      </w:tr>
      <w:tr>
        <w:trPr>
          <w:trHeight w:val="222"/>
        </w:trPr>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made by Wynn Las Vegas, LLC in favor of Wells Fargo Bank, National Association, as Mortgage Notes Indenture Trustee.(1)</w:t>
            </w:r>
          </w:p>
        </w:tc>
      </w:tr>
      <w:tr>
        <w:trPr>
          <w:trHeight w:val="277"/>
        </w:trPr>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4.10</w:t>
            </w:r>
          </w:p>
        </w:tc>
        <w:tc>
          <w:tcPr>
            <w:tcW w:w="220" w:type="dxa"/>
            <w:vAlign w:val="bottom"/>
          </w:tcPr>
          <w:p>
            <w:pPr>
              <w:spacing w:after="0"/>
              <w:rPr>
                <w:sz w:val="24"/>
                <w:szCs w:val="24"/>
                <w:color w:val="auto"/>
              </w:rPr>
            </w:pPr>
          </w:p>
        </w:tc>
        <w:tc>
          <w:tcPr>
            <w:tcW w:w="10400" w:type="dxa"/>
            <w:vAlign w:val="bottom"/>
            <w:gridSpan w:val="3"/>
          </w:tcPr>
          <w:p>
            <w:pPr>
              <w:ind w:left="200"/>
              <w:spacing w:after="0"/>
              <w:rPr>
                <w:sz w:val="20"/>
                <w:szCs w:val="20"/>
                <w:color w:val="auto"/>
              </w:rPr>
            </w:pPr>
            <w:r>
              <w:rPr>
                <w:rFonts w:ascii="Arial" w:cs="Arial" w:eastAsia="Arial" w:hAnsi="Arial"/>
                <w:sz w:val="18"/>
                <w:szCs w:val="18"/>
                <w:color w:val="auto"/>
                <w:w w:val="93"/>
              </w:rPr>
              <w:t>Parent Guaranty, dated as of October 30, 2002, by the Registrant in favor of Wells Fargo Bank, National Association, as Mortgage Notes</w:t>
            </w:r>
          </w:p>
        </w:tc>
      </w:tr>
      <w:tr>
        <w:trPr>
          <w:trHeight w:val="222"/>
        </w:trPr>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Indenture Trustee.(1)</w:t>
            </w:r>
          </w:p>
        </w:tc>
      </w:tr>
      <w:tr>
        <w:trPr>
          <w:trHeight w:val="284"/>
        </w:trPr>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10.1</w:t>
            </w:r>
          </w:p>
        </w:tc>
        <w:tc>
          <w:tcPr>
            <w:tcW w:w="220" w:type="dxa"/>
            <w:vAlign w:val="bottom"/>
          </w:tcPr>
          <w:p>
            <w:pPr>
              <w:spacing w:after="0"/>
              <w:rPr>
                <w:sz w:val="24"/>
                <w:szCs w:val="24"/>
                <w:color w:val="auto"/>
              </w:rPr>
            </w:pPr>
          </w:p>
        </w:tc>
        <w:tc>
          <w:tcPr>
            <w:tcW w:w="10400" w:type="dxa"/>
            <w:vAlign w:val="bottom"/>
            <w:gridSpan w:val="3"/>
          </w:tcPr>
          <w:p>
            <w:pPr>
              <w:ind w:left="200"/>
              <w:spacing w:after="0"/>
              <w:rPr>
                <w:sz w:val="20"/>
                <w:szCs w:val="20"/>
                <w:color w:val="auto"/>
              </w:rPr>
            </w:pPr>
            <w:r>
              <w:rPr>
                <w:rFonts w:ascii="Arial" w:cs="Arial" w:eastAsia="Arial" w:hAnsi="Arial"/>
                <w:sz w:val="18"/>
                <w:szCs w:val="18"/>
                <w:color w:val="auto"/>
              </w:rPr>
              <w:t>2002 Stock Incentive Plan.(1)</w:t>
            </w:r>
          </w:p>
        </w:tc>
      </w:tr>
      <w:tr>
        <w:trPr>
          <w:trHeight w:val="365"/>
        </w:trPr>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20" w:type="dxa"/>
            <w:vAlign w:val="bottom"/>
          </w:tcPr>
          <w:p>
            <w:pPr>
              <w:ind w:left="4680"/>
              <w:spacing w:after="0"/>
              <w:rPr>
                <w:sz w:val="20"/>
                <w:szCs w:val="20"/>
                <w:color w:val="auto"/>
              </w:rPr>
            </w:pPr>
            <w:r>
              <w:rPr>
                <w:rFonts w:ascii="Arial" w:cs="Arial" w:eastAsia="Arial" w:hAnsi="Arial"/>
                <w:sz w:val="18"/>
                <w:szCs w:val="18"/>
                <w:color w:val="auto"/>
              </w:rPr>
              <w:t>69</w:t>
            </w:r>
          </w:p>
        </w:tc>
        <w:tc>
          <w:tcPr>
            <w:tcW w:w="840" w:type="dxa"/>
            <w:vAlign w:val="bottom"/>
          </w:tcPr>
          <w:p>
            <w:pPr>
              <w:spacing w:after="0"/>
              <w:rPr>
                <w:sz w:val="24"/>
                <w:szCs w:val="24"/>
                <w:color w:val="auto"/>
              </w:rPr>
            </w:pPr>
          </w:p>
        </w:tc>
        <w:tc>
          <w:tcPr>
            <w:tcW w:w="4640" w:type="dxa"/>
            <w:vAlign w:val="bottom"/>
          </w:tcPr>
          <w:p>
            <w:pPr>
              <w:spacing w:after="0"/>
              <w:rPr>
                <w:sz w:val="24"/>
                <w:szCs w:val="24"/>
                <w:color w:val="auto"/>
              </w:rPr>
            </w:pPr>
          </w:p>
        </w:tc>
      </w:tr>
    </w:tbl>
    <w:p>
      <w:pPr>
        <w:sectPr>
          <w:pgSz w:w="11900" w:h="16838" w:orient="portrait"/>
          <w:cols w:equalWidth="0" w:num="1">
            <w:col w:w="11340"/>
          </w:cols>
          <w:pgMar w:left="240" w:top="274" w:right="319" w:bottom="1440" w:gutter="0" w:footer="0" w:header="0"/>
        </w:sectPr>
      </w:pPr>
    </w:p>
    <w:bookmarkStart w:id="70" w:name="page71"/>
    <w:bookmarkEnd w:id="7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4800" w:type="dxa"/>
            <w:vAlign w:val="bottom"/>
          </w:tcPr>
          <w:p>
            <w:pPr>
              <w:spacing w:after="0"/>
              <w:rPr>
                <w:sz w:val="15"/>
                <w:szCs w:val="15"/>
                <w:color w:val="auto"/>
              </w:rPr>
            </w:pPr>
          </w:p>
        </w:tc>
        <w:tc>
          <w:tcPr>
            <w:tcW w:w="5520" w:type="dxa"/>
            <w:vAlign w:val="bottom"/>
            <w:gridSpan w:val="2"/>
          </w:tcPr>
          <w:p>
            <w:pPr>
              <w:ind w:left="1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500" w:type="dxa"/>
            <w:vAlign w:val="bottom"/>
          </w:tcPr>
          <w:p>
            <w:pPr>
              <w:spacing w:after="0"/>
              <w:rPr>
                <w:sz w:val="8"/>
                <w:szCs w:val="8"/>
                <w:color w:val="auto"/>
              </w:rPr>
            </w:pPr>
          </w:p>
        </w:tc>
      </w:tr>
      <w:tr>
        <w:trPr>
          <w:trHeight w:val="316"/>
        </w:trPr>
        <w:tc>
          <w:tcPr>
            <w:tcW w:w="700" w:type="dxa"/>
            <w:vAlign w:val="bottom"/>
            <w:gridSpan w:val="2"/>
          </w:tcPr>
          <w:p>
            <w:pP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10320" w:type="dxa"/>
            <w:vAlign w:val="bottom"/>
            <w:gridSpan w:val="3"/>
          </w:tcPr>
          <w:p>
            <w:pPr>
              <w:ind w:left="220"/>
              <w:spacing w:after="0"/>
              <w:rPr>
                <w:sz w:val="20"/>
                <w:szCs w:val="20"/>
                <w:color w:val="auto"/>
              </w:rPr>
            </w:pPr>
            <w:r>
              <w:rPr>
                <w:rFonts w:ascii="Arial" w:cs="Arial" w:eastAsia="Arial" w:hAnsi="Arial"/>
                <w:sz w:val="18"/>
                <w:szCs w:val="18"/>
                <w:color w:val="auto"/>
              </w:rPr>
              <w:t>Agreement between Wynn Design &amp; Development, LLC and Butler/Ashworth Architects, Inc.(4)</w:t>
            </w:r>
          </w:p>
        </w:tc>
      </w:tr>
      <w:tr>
        <w:trPr>
          <w:trHeight w:val="277"/>
        </w:trPr>
        <w:tc>
          <w:tcPr>
            <w:tcW w:w="700" w:type="dxa"/>
            <w:vAlign w:val="bottom"/>
            <w:gridSpan w:val="2"/>
          </w:tcPr>
          <w:p>
            <w:pPr>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10320" w:type="dxa"/>
            <w:vAlign w:val="bottom"/>
            <w:gridSpan w:val="3"/>
          </w:tcPr>
          <w:p>
            <w:pPr>
              <w:ind w:left="220"/>
              <w:spacing w:after="0"/>
              <w:rPr>
                <w:sz w:val="20"/>
                <w:szCs w:val="20"/>
                <w:color w:val="auto"/>
              </w:rPr>
            </w:pPr>
            <w:r>
              <w:rPr>
                <w:rFonts w:ascii="Arial" w:cs="Arial" w:eastAsia="Arial" w:hAnsi="Arial"/>
                <w:sz w:val="18"/>
                <w:szCs w:val="18"/>
                <w:color w:val="auto"/>
                <w:w w:val="93"/>
              </w:rPr>
              <w:t>Agreement for Guaranteed Maximum Price Construction Services Change Order, dated as of August 12, 2002, between Marnell Corrao</w:t>
            </w:r>
          </w:p>
        </w:tc>
      </w:tr>
      <w:tr>
        <w:trPr>
          <w:trHeight w:val="222"/>
        </w:trPr>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320" w:type="dxa"/>
            <w:vAlign w:val="bottom"/>
            <w:gridSpan w:val="3"/>
          </w:tcPr>
          <w:p>
            <w:pPr>
              <w:ind w:left="420"/>
              <w:spacing w:after="0"/>
              <w:rPr>
                <w:sz w:val="20"/>
                <w:szCs w:val="20"/>
                <w:color w:val="auto"/>
              </w:rPr>
            </w:pPr>
            <w:r>
              <w:rPr>
                <w:rFonts w:ascii="Arial" w:cs="Arial" w:eastAsia="Arial" w:hAnsi="Arial"/>
                <w:sz w:val="18"/>
                <w:szCs w:val="18"/>
                <w:color w:val="auto"/>
              </w:rPr>
              <w:t>Associates, Inc. and Wynn Las Vegas, LLC.(2)</w:t>
            </w:r>
          </w:p>
        </w:tc>
      </w:tr>
      <w:tr>
        <w:trPr>
          <w:trHeight w:val="284"/>
        </w:trPr>
        <w:tc>
          <w:tcPr>
            <w:tcW w:w="700" w:type="dxa"/>
            <w:vAlign w:val="bottom"/>
            <w:gridSpan w:val="2"/>
          </w:tcPr>
          <w:p>
            <w:pPr>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10320" w:type="dxa"/>
            <w:vAlign w:val="bottom"/>
            <w:gridSpan w:val="3"/>
          </w:tcPr>
          <w:p>
            <w:pPr>
              <w:ind w:left="220"/>
              <w:spacing w:after="0"/>
              <w:rPr>
                <w:sz w:val="20"/>
                <w:szCs w:val="20"/>
                <w:color w:val="auto"/>
              </w:rPr>
            </w:pPr>
            <w:r>
              <w:rPr>
                <w:rFonts w:ascii="Arial" w:cs="Arial" w:eastAsia="Arial" w:hAnsi="Arial"/>
                <w:sz w:val="18"/>
                <w:szCs w:val="18"/>
                <w:color w:val="auto"/>
              </w:rPr>
              <w:t>Intentionally Omitted.</w:t>
            </w:r>
          </w:p>
        </w:tc>
      </w:tr>
      <w:tr>
        <w:trPr>
          <w:trHeight w:val="277"/>
        </w:trPr>
        <w:tc>
          <w:tcPr>
            <w:tcW w:w="700" w:type="dxa"/>
            <w:vAlign w:val="bottom"/>
            <w:gridSpan w:val="2"/>
          </w:tcPr>
          <w:p>
            <w:pPr>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4"/>
                <w:szCs w:val="24"/>
                <w:color w:val="auto"/>
              </w:rPr>
            </w:pPr>
          </w:p>
        </w:tc>
        <w:tc>
          <w:tcPr>
            <w:tcW w:w="10320" w:type="dxa"/>
            <w:vAlign w:val="bottom"/>
            <w:gridSpan w:val="3"/>
          </w:tcPr>
          <w:p>
            <w:pPr>
              <w:ind w:left="220"/>
              <w:spacing w:after="0"/>
              <w:rPr>
                <w:sz w:val="20"/>
                <w:szCs w:val="20"/>
                <w:color w:val="auto"/>
              </w:rPr>
            </w:pPr>
            <w:r>
              <w:rPr>
                <w:rFonts w:ascii="Arial" w:cs="Arial" w:eastAsia="Arial" w:hAnsi="Arial"/>
                <w:sz w:val="18"/>
                <w:szCs w:val="18"/>
                <w:color w:val="auto"/>
                <w:w w:val="88"/>
              </w:rPr>
              <w:t>Second Amended and Restated Art Rental and Licensing Agreement, dated September 18, 2002, by and between Stephen A. Wynn and Wynn</w:t>
            </w:r>
          </w:p>
        </w:tc>
      </w:tr>
      <w:tr>
        <w:trPr>
          <w:trHeight w:val="222"/>
        </w:trPr>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320" w:type="dxa"/>
            <w:vAlign w:val="bottom"/>
            <w:gridSpan w:val="3"/>
          </w:tcPr>
          <w:p>
            <w:pPr>
              <w:ind w:left="420"/>
              <w:spacing w:after="0"/>
              <w:rPr>
                <w:sz w:val="20"/>
                <w:szCs w:val="20"/>
                <w:color w:val="auto"/>
              </w:rPr>
            </w:pPr>
            <w:r>
              <w:rPr>
                <w:rFonts w:ascii="Arial" w:cs="Arial" w:eastAsia="Arial" w:hAnsi="Arial"/>
                <w:sz w:val="18"/>
                <w:szCs w:val="18"/>
                <w:color w:val="auto"/>
              </w:rPr>
              <w:t>Resorts Holdings, LLC.(4)</w:t>
            </w:r>
          </w:p>
        </w:tc>
      </w:tr>
      <w:tr>
        <w:trPr>
          <w:trHeight w:val="284"/>
        </w:trPr>
        <w:tc>
          <w:tcPr>
            <w:tcW w:w="700" w:type="dxa"/>
            <w:vAlign w:val="bottom"/>
            <w:gridSpan w:val="2"/>
          </w:tcPr>
          <w:p>
            <w:pPr>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4"/>
                <w:szCs w:val="24"/>
                <w:color w:val="auto"/>
              </w:rPr>
            </w:pPr>
          </w:p>
        </w:tc>
        <w:tc>
          <w:tcPr>
            <w:tcW w:w="10320" w:type="dxa"/>
            <w:vAlign w:val="bottom"/>
            <w:gridSpan w:val="3"/>
          </w:tcPr>
          <w:p>
            <w:pPr>
              <w:ind w:left="220"/>
              <w:spacing w:after="0"/>
              <w:rPr>
                <w:sz w:val="20"/>
                <w:szCs w:val="20"/>
                <w:color w:val="auto"/>
              </w:rPr>
            </w:pPr>
            <w:r>
              <w:rPr>
                <w:rFonts w:ascii="Arial" w:cs="Arial" w:eastAsia="Arial" w:hAnsi="Arial"/>
                <w:sz w:val="18"/>
                <w:szCs w:val="18"/>
                <w:color w:val="auto"/>
              </w:rPr>
              <w:t>Employment Agreement, dated as of September 6, 2002, by and between Wynn Resorts, Limited and Marc H. Rubinstein.(3)</w:t>
            </w:r>
          </w:p>
        </w:tc>
      </w:tr>
      <w:tr>
        <w:trPr>
          <w:trHeight w:val="284"/>
        </w:trPr>
        <w:tc>
          <w:tcPr>
            <w:tcW w:w="700" w:type="dxa"/>
            <w:vAlign w:val="bottom"/>
            <w:gridSpan w:val="2"/>
          </w:tcPr>
          <w:p>
            <w:pPr>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24"/>
                <w:szCs w:val="24"/>
                <w:color w:val="auto"/>
              </w:rPr>
            </w:pPr>
          </w:p>
        </w:tc>
        <w:tc>
          <w:tcPr>
            <w:tcW w:w="10320" w:type="dxa"/>
            <w:vAlign w:val="bottom"/>
            <w:gridSpan w:val="3"/>
          </w:tcPr>
          <w:p>
            <w:pPr>
              <w:ind w:left="220"/>
              <w:spacing w:after="0"/>
              <w:rPr>
                <w:sz w:val="20"/>
                <w:szCs w:val="20"/>
                <w:color w:val="auto"/>
              </w:rPr>
            </w:pPr>
            <w:r>
              <w:rPr>
                <w:rFonts w:ascii="Arial" w:cs="Arial" w:eastAsia="Arial" w:hAnsi="Arial"/>
                <w:sz w:val="18"/>
                <w:szCs w:val="18"/>
                <w:color w:val="auto"/>
              </w:rPr>
              <w:t>Employment Agreement, dated as of September 9, 2002, by and between Resorts, Limited and John Strzemp.(3)</w:t>
            </w:r>
          </w:p>
        </w:tc>
      </w:tr>
      <w:tr>
        <w:trPr>
          <w:trHeight w:val="284"/>
        </w:trPr>
        <w:tc>
          <w:tcPr>
            <w:tcW w:w="700" w:type="dxa"/>
            <w:vAlign w:val="bottom"/>
            <w:gridSpan w:val="2"/>
          </w:tcPr>
          <w:p>
            <w:pPr>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24"/>
                <w:szCs w:val="24"/>
                <w:color w:val="auto"/>
              </w:rPr>
            </w:pPr>
          </w:p>
        </w:tc>
        <w:tc>
          <w:tcPr>
            <w:tcW w:w="10320" w:type="dxa"/>
            <w:vAlign w:val="bottom"/>
            <w:gridSpan w:val="3"/>
          </w:tcPr>
          <w:p>
            <w:pPr>
              <w:ind w:left="220"/>
              <w:spacing w:after="0"/>
              <w:rPr>
                <w:sz w:val="20"/>
                <w:szCs w:val="20"/>
                <w:color w:val="auto"/>
              </w:rPr>
            </w:pPr>
            <w:r>
              <w:rPr>
                <w:rFonts w:ascii="Arial" w:cs="Arial" w:eastAsia="Arial" w:hAnsi="Arial"/>
                <w:sz w:val="18"/>
                <w:szCs w:val="18"/>
                <w:color w:val="auto"/>
                <w:w w:val="92"/>
              </w:rPr>
              <w:t>Employment Agreement, dated as of September 18, 2002, by and between Wynn Design &amp; Development, LLC and Kenneth R. Wynn.(4)</w:t>
            </w:r>
          </w:p>
        </w:tc>
      </w:tr>
      <w:tr>
        <w:trPr>
          <w:trHeight w:val="284"/>
        </w:trPr>
        <w:tc>
          <w:tcPr>
            <w:tcW w:w="700" w:type="dxa"/>
            <w:vAlign w:val="bottom"/>
            <w:gridSpan w:val="2"/>
          </w:tcPr>
          <w:p>
            <w:pPr>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24"/>
                <w:szCs w:val="24"/>
                <w:color w:val="auto"/>
              </w:rPr>
            </w:pPr>
          </w:p>
        </w:tc>
        <w:tc>
          <w:tcPr>
            <w:tcW w:w="10320" w:type="dxa"/>
            <w:vAlign w:val="bottom"/>
            <w:gridSpan w:val="3"/>
          </w:tcPr>
          <w:p>
            <w:pPr>
              <w:ind w:left="220"/>
              <w:spacing w:after="0"/>
              <w:rPr>
                <w:sz w:val="20"/>
                <w:szCs w:val="20"/>
                <w:color w:val="auto"/>
              </w:rPr>
            </w:pPr>
            <w:r>
              <w:rPr>
                <w:rFonts w:ascii="Arial" w:cs="Arial" w:eastAsia="Arial" w:hAnsi="Arial"/>
                <w:sz w:val="18"/>
                <w:szCs w:val="18"/>
                <w:color w:val="auto"/>
                <w:w w:val="91"/>
              </w:rPr>
              <w:t>Employment Agreement, dated as of September 26, 2002, by and between Wynn Design &amp; Development, LLC and DeRuyter O. Butler.(4)</w:t>
            </w:r>
          </w:p>
        </w:tc>
      </w:tr>
      <w:tr>
        <w:trPr>
          <w:trHeight w:val="277"/>
        </w:trPr>
        <w:tc>
          <w:tcPr>
            <w:tcW w:w="700" w:type="dxa"/>
            <w:vAlign w:val="bottom"/>
            <w:gridSpan w:val="2"/>
          </w:tcPr>
          <w:p>
            <w:pPr>
              <w:spacing w:after="0"/>
              <w:rPr>
                <w:sz w:val="20"/>
                <w:szCs w:val="20"/>
                <w:color w:val="auto"/>
              </w:rPr>
            </w:pPr>
            <w:r>
              <w:rPr>
                <w:rFonts w:ascii="Arial" w:cs="Arial" w:eastAsia="Arial" w:hAnsi="Arial"/>
                <w:sz w:val="18"/>
                <w:szCs w:val="18"/>
                <w:color w:val="auto"/>
              </w:rPr>
              <w:t>10.10</w:t>
            </w:r>
          </w:p>
        </w:tc>
        <w:tc>
          <w:tcPr>
            <w:tcW w:w="240" w:type="dxa"/>
            <w:vAlign w:val="bottom"/>
          </w:tcPr>
          <w:p>
            <w:pPr>
              <w:spacing w:after="0"/>
              <w:rPr>
                <w:sz w:val="24"/>
                <w:szCs w:val="24"/>
                <w:color w:val="auto"/>
              </w:rPr>
            </w:pPr>
          </w:p>
        </w:tc>
        <w:tc>
          <w:tcPr>
            <w:tcW w:w="10320" w:type="dxa"/>
            <w:vAlign w:val="bottom"/>
            <w:gridSpan w:val="3"/>
          </w:tcPr>
          <w:p>
            <w:pPr>
              <w:ind w:left="220"/>
              <w:spacing w:after="0"/>
              <w:rPr>
                <w:sz w:val="20"/>
                <w:szCs w:val="20"/>
                <w:color w:val="auto"/>
              </w:rPr>
            </w:pPr>
            <w:r>
              <w:rPr>
                <w:rFonts w:ascii="Arial" w:cs="Arial" w:eastAsia="Arial" w:hAnsi="Arial"/>
                <w:sz w:val="18"/>
                <w:szCs w:val="18"/>
                <w:color w:val="auto"/>
                <w:w w:val="90"/>
              </w:rPr>
              <w:t>Tax Indemnification Agreement, effective as of September 24, 2002, by and among Stephen A. Wynn, Aruze USA, Inc., Baron Asset Fun on</w:t>
            </w:r>
          </w:p>
        </w:tc>
      </w:tr>
      <w:tr>
        <w:trPr>
          <w:trHeight w:val="216"/>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320" w:type="dxa"/>
            <w:vAlign w:val="bottom"/>
            <w:gridSpan w:val="3"/>
          </w:tcPr>
          <w:p>
            <w:pPr>
              <w:ind w:left="420"/>
              <w:spacing w:after="0"/>
              <w:rPr>
                <w:sz w:val="20"/>
                <w:szCs w:val="20"/>
                <w:color w:val="auto"/>
              </w:rPr>
            </w:pPr>
            <w:r>
              <w:rPr>
                <w:rFonts w:ascii="Arial" w:cs="Arial" w:eastAsia="Arial" w:hAnsi="Arial"/>
                <w:sz w:val="18"/>
                <w:szCs w:val="18"/>
                <w:color w:val="auto"/>
                <w:w w:val="88"/>
              </w:rPr>
              <w:t>behalf of the Baron Asset Fund Series, Baron Asset Fund on behalf of the Baron Growth Fund Series, Kenneth R. Wynn Family Trust dated</w:t>
            </w:r>
          </w:p>
        </w:tc>
      </w:tr>
      <w:tr>
        <w:trPr>
          <w:trHeight w:val="222"/>
        </w:trPr>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320" w:type="dxa"/>
            <w:vAlign w:val="bottom"/>
            <w:gridSpan w:val="3"/>
          </w:tcPr>
          <w:p>
            <w:pPr>
              <w:ind w:left="420"/>
              <w:spacing w:after="0"/>
              <w:rPr>
                <w:sz w:val="20"/>
                <w:szCs w:val="20"/>
                <w:color w:val="auto"/>
              </w:rPr>
            </w:pPr>
            <w:r>
              <w:rPr>
                <w:rFonts w:ascii="Arial" w:cs="Arial" w:eastAsia="Arial" w:hAnsi="Arial"/>
                <w:sz w:val="18"/>
                <w:szCs w:val="18"/>
                <w:color w:val="auto"/>
              </w:rPr>
              <w:t>February 20, 1985, Valvino Lamore, LLC and Wynn Resorts, Limited.(4)</w:t>
            </w:r>
          </w:p>
        </w:tc>
      </w:tr>
      <w:tr>
        <w:trPr>
          <w:trHeight w:val="284"/>
        </w:trPr>
        <w:tc>
          <w:tcPr>
            <w:tcW w:w="700" w:type="dxa"/>
            <w:vAlign w:val="bottom"/>
            <w:gridSpan w:val="2"/>
          </w:tcPr>
          <w:p>
            <w:pPr>
              <w:spacing w:after="0"/>
              <w:rPr>
                <w:sz w:val="20"/>
                <w:szCs w:val="20"/>
                <w:color w:val="auto"/>
              </w:rPr>
            </w:pPr>
            <w:r>
              <w:rPr>
                <w:rFonts w:ascii="Arial" w:cs="Arial" w:eastAsia="Arial" w:hAnsi="Arial"/>
                <w:sz w:val="18"/>
                <w:szCs w:val="18"/>
                <w:color w:val="auto"/>
              </w:rPr>
              <w:t>10.11</w:t>
            </w:r>
          </w:p>
        </w:tc>
        <w:tc>
          <w:tcPr>
            <w:tcW w:w="240" w:type="dxa"/>
            <w:vAlign w:val="bottom"/>
          </w:tcPr>
          <w:p>
            <w:pPr>
              <w:spacing w:after="0"/>
              <w:rPr>
                <w:sz w:val="24"/>
                <w:szCs w:val="24"/>
                <w:color w:val="auto"/>
              </w:rPr>
            </w:pPr>
          </w:p>
        </w:tc>
        <w:tc>
          <w:tcPr>
            <w:tcW w:w="10320" w:type="dxa"/>
            <w:vAlign w:val="bottom"/>
            <w:gridSpan w:val="3"/>
          </w:tcPr>
          <w:p>
            <w:pPr>
              <w:ind w:left="220"/>
              <w:spacing w:after="0"/>
              <w:rPr>
                <w:sz w:val="20"/>
                <w:szCs w:val="20"/>
                <w:color w:val="auto"/>
              </w:rPr>
            </w:pPr>
            <w:r>
              <w:rPr>
                <w:rFonts w:ascii="Arial" w:cs="Arial" w:eastAsia="Arial" w:hAnsi="Arial"/>
                <w:sz w:val="18"/>
                <w:szCs w:val="18"/>
                <w:color w:val="auto"/>
              </w:rPr>
              <w:t>Form of Stock Option Agreement.(11)</w:t>
            </w:r>
          </w:p>
        </w:tc>
      </w:tr>
      <w:tr>
        <w:trPr>
          <w:trHeight w:val="284"/>
        </w:trPr>
        <w:tc>
          <w:tcPr>
            <w:tcW w:w="700" w:type="dxa"/>
            <w:vAlign w:val="bottom"/>
            <w:gridSpan w:val="2"/>
          </w:tcPr>
          <w:p>
            <w:pPr>
              <w:spacing w:after="0"/>
              <w:rPr>
                <w:sz w:val="20"/>
                <w:szCs w:val="20"/>
                <w:color w:val="auto"/>
              </w:rPr>
            </w:pPr>
            <w:r>
              <w:rPr>
                <w:rFonts w:ascii="Arial" w:cs="Arial" w:eastAsia="Arial" w:hAnsi="Arial"/>
                <w:sz w:val="18"/>
                <w:szCs w:val="18"/>
                <w:color w:val="auto"/>
              </w:rPr>
              <w:t>10.12</w:t>
            </w:r>
          </w:p>
        </w:tc>
        <w:tc>
          <w:tcPr>
            <w:tcW w:w="240" w:type="dxa"/>
            <w:vAlign w:val="bottom"/>
          </w:tcPr>
          <w:p>
            <w:pPr>
              <w:spacing w:after="0"/>
              <w:rPr>
                <w:sz w:val="24"/>
                <w:szCs w:val="24"/>
                <w:color w:val="auto"/>
              </w:rPr>
            </w:pPr>
          </w:p>
        </w:tc>
        <w:tc>
          <w:tcPr>
            <w:tcW w:w="10320" w:type="dxa"/>
            <w:vAlign w:val="bottom"/>
            <w:gridSpan w:val="3"/>
          </w:tcPr>
          <w:p>
            <w:pPr>
              <w:ind w:left="220"/>
              <w:spacing w:after="0"/>
              <w:rPr>
                <w:sz w:val="20"/>
                <w:szCs w:val="20"/>
                <w:color w:val="auto"/>
              </w:rPr>
            </w:pPr>
            <w:r>
              <w:rPr>
                <w:rFonts w:ascii="Arial" w:cs="Arial" w:eastAsia="Arial" w:hAnsi="Arial"/>
                <w:sz w:val="18"/>
                <w:szCs w:val="18"/>
                <w:color w:val="auto"/>
              </w:rPr>
              <w:t>Intentionally Omitted.</w:t>
            </w:r>
          </w:p>
        </w:tc>
      </w:tr>
      <w:tr>
        <w:trPr>
          <w:trHeight w:val="284"/>
        </w:trPr>
        <w:tc>
          <w:tcPr>
            <w:tcW w:w="700" w:type="dxa"/>
            <w:vAlign w:val="bottom"/>
            <w:gridSpan w:val="2"/>
          </w:tcPr>
          <w:p>
            <w:pPr>
              <w:spacing w:after="0"/>
              <w:rPr>
                <w:sz w:val="20"/>
                <w:szCs w:val="20"/>
                <w:color w:val="auto"/>
              </w:rPr>
            </w:pPr>
            <w:r>
              <w:rPr>
                <w:rFonts w:ascii="Arial" w:cs="Arial" w:eastAsia="Arial" w:hAnsi="Arial"/>
                <w:sz w:val="18"/>
                <w:szCs w:val="18"/>
                <w:color w:val="auto"/>
              </w:rPr>
              <w:t>10.13</w:t>
            </w:r>
          </w:p>
        </w:tc>
        <w:tc>
          <w:tcPr>
            <w:tcW w:w="240" w:type="dxa"/>
            <w:vAlign w:val="bottom"/>
          </w:tcPr>
          <w:p>
            <w:pPr>
              <w:spacing w:after="0"/>
              <w:rPr>
                <w:sz w:val="24"/>
                <w:szCs w:val="24"/>
                <w:color w:val="auto"/>
              </w:rPr>
            </w:pPr>
          </w:p>
        </w:tc>
        <w:tc>
          <w:tcPr>
            <w:tcW w:w="10320" w:type="dxa"/>
            <w:vAlign w:val="bottom"/>
            <w:gridSpan w:val="3"/>
          </w:tcPr>
          <w:p>
            <w:pPr>
              <w:ind w:left="220"/>
              <w:spacing w:after="0"/>
              <w:rPr>
                <w:sz w:val="20"/>
                <w:szCs w:val="20"/>
                <w:color w:val="auto"/>
              </w:rPr>
            </w:pPr>
            <w:r>
              <w:rPr>
                <w:rFonts w:ascii="Arial" w:cs="Arial" w:eastAsia="Arial" w:hAnsi="Arial"/>
                <w:sz w:val="18"/>
                <w:szCs w:val="18"/>
                <w:color w:val="auto"/>
              </w:rPr>
              <w:t>Form of Restricted Stock Agreement.(9)</w:t>
            </w:r>
          </w:p>
        </w:tc>
      </w:tr>
      <w:tr>
        <w:trPr>
          <w:trHeight w:val="284"/>
        </w:trPr>
        <w:tc>
          <w:tcPr>
            <w:tcW w:w="700" w:type="dxa"/>
            <w:vAlign w:val="bottom"/>
            <w:gridSpan w:val="2"/>
          </w:tcPr>
          <w:p>
            <w:pPr>
              <w:spacing w:after="0"/>
              <w:rPr>
                <w:sz w:val="20"/>
                <w:szCs w:val="20"/>
                <w:color w:val="auto"/>
              </w:rPr>
            </w:pPr>
            <w:r>
              <w:rPr>
                <w:rFonts w:ascii="Arial" w:cs="Arial" w:eastAsia="Arial" w:hAnsi="Arial"/>
                <w:sz w:val="18"/>
                <w:szCs w:val="18"/>
                <w:color w:val="auto"/>
              </w:rPr>
              <w:t>10.14</w:t>
            </w:r>
          </w:p>
        </w:tc>
        <w:tc>
          <w:tcPr>
            <w:tcW w:w="240" w:type="dxa"/>
            <w:vAlign w:val="bottom"/>
          </w:tcPr>
          <w:p>
            <w:pPr>
              <w:spacing w:after="0"/>
              <w:rPr>
                <w:sz w:val="24"/>
                <w:szCs w:val="24"/>
                <w:color w:val="auto"/>
              </w:rPr>
            </w:pPr>
          </w:p>
        </w:tc>
        <w:tc>
          <w:tcPr>
            <w:tcW w:w="10320" w:type="dxa"/>
            <w:vAlign w:val="bottom"/>
            <w:gridSpan w:val="3"/>
          </w:tcPr>
          <w:p>
            <w:pPr>
              <w:ind w:left="220"/>
              <w:spacing w:after="0"/>
              <w:rPr>
                <w:sz w:val="20"/>
                <w:szCs w:val="20"/>
                <w:color w:val="auto"/>
              </w:rPr>
            </w:pPr>
            <w:r>
              <w:rPr>
                <w:rFonts w:ascii="Arial" w:cs="Arial" w:eastAsia="Arial" w:hAnsi="Arial"/>
                <w:sz w:val="18"/>
                <w:szCs w:val="18"/>
                <w:color w:val="auto"/>
              </w:rPr>
              <w:t>Intentionally Omitted.</w:t>
            </w:r>
          </w:p>
        </w:tc>
      </w:tr>
      <w:tr>
        <w:trPr>
          <w:trHeight w:val="277"/>
        </w:trPr>
        <w:tc>
          <w:tcPr>
            <w:tcW w:w="700" w:type="dxa"/>
            <w:vAlign w:val="bottom"/>
            <w:gridSpan w:val="2"/>
          </w:tcPr>
          <w:p>
            <w:pPr>
              <w:spacing w:after="0"/>
              <w:rPr>
                <w:sz w:val="20"/>
                <w:szCs w:val="20"/>
                <w:color w:val="auto"/>
              </w:rPr>
            </w:pPr>
            <w:r>
              <w:rPr>
                <w:rFonts w:ascii="Arial" w:cs="Arial" w:eastAsia="Arial" w:hAnsi="Arial"/>
                <w:sz w:val="18"/>
                <w:szCs w:val="18"/>
                <w:color w:val="auto"/>
              </w:rPr>
              <w:t>10.15</w:t>
            </w:r>
          </w:p>
        </w:tc>
        <w:tc>
          <w:tcPr>
            <w:tcW w:w="240" w:type="dxa"/>
            <w:vAlign w:val="bottom"/>
          </w:tcPr>
          <w:p>
            <w:pPr>
              <w:spacing w:after="0"/>
              <w:rPr>
                <w:sz w:val="24"/>
                <w:szCs w:val="24"/>
                <w:color w:val="auto"/>
              </w:rPr>
            </w:pPr>
          </w:p>
        </w:tc>
        <w:tc>
          <w:tcPr>
            <w:tcW w:w="10320" w:type="dxa"/>
            <w:vAlign w:val="bottom"/>
            <w:gridSpan w:val="3"/>
          </w:tcPr>
          <w:p>
            <w:pPr>
              <w:ind w:left="220"/>
              <w:spacing w:after="0"/>
              <w:rPr>
                <w:sz w:val="20"/>
                <w:szCs w:val="20"/>
                <w:color w:val="auto"/>
              </w:rPr>
            </w:pPr>
            <w:r>
              <w:rPr>
                <w:rFonts w:ascii="Arial" w:cs="Arial" w:eastAsia="Arial" w:hAnsi="Arial"/>
                <w:sz w:val="18"/>
                <w:szCs w:val="18"/>
                <w:color w:val="auto"/>
                <w:w w:val="88"/>
              </w:rPr>
              <w:t>Agreement re: Provision and Use of Water, dated October 21, 2002, by and among Desert Inn Improvement Co.; Wynn Resorts Holdings, LLC</w:t>
            </w:r>
          </w:p>
        </w:tc>
      </w:tr>
      <w:tr>
        <w:trPr>
          <w:trHeight w:val="222"/>
        </w:trPr>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320" w:type="dxa"/>
            <w:vAlign w:val="bottom"/>
            <w:gridSpan w:val="3"/>
          </w:tcPr>
          <w:p>
            <w:pPr>
              <w:ind w:left="420"/>
              <w:spacing w:after="0"/>
              <w:rPr>
                <w:sz w:val="20"/>
                <w:szCs w:val="20"/>
                <w:color w:val="auto"/>
              </w:rPr>
            </w:pPr>
            <w:r>
              <w:rPr>
                <w:rFonts w:ascii="Arial" w:cs="Arial" w:eastAsia="Arial" w:hAnsi="Arial"/>
                <w:sz w:val="18"/>
                <w:szCs w:val="18"/>
                <w:color w:val="auto"/>
              </w:rPr>
              <w:t>and Wynn Las Vegas, LLC.(1)</w:t>
            </w:r>
          </w:p>
        </w:tc>
      </w:tr>
      <w:tr>
        <w:trPr>
          <w:trHeight w:val="277"/>
        </w:trPr>
        <w:tc>
          <w:tcPr>
            <w:tcW w:w="700" w:type="dxa"/>
            <w:vAlign w:val="bottom"/>
            <w:gridSpan w:val="2"/>
          </w:tcPr>
          <w:p>
            <w:pPr>
              <w:spacing w:after="0"/>
              <w:rPr>
                <w:sz w:val="20"/>
                <w:szCs w:val="20"/>
                <w:color w:val="auto"/>
              </w:rPr>
            </w:pPr>
            <w:r>
              <w:rPr>
                <w:rFonts w:ascii="Arial" w:cs="Arial" w:eastAsia="Arial" w:hAnsi="Arial"/>
                <w:sz w:val="18"/>
                <w:szCs w:val="18"/>
                <w:color w:val="auto"/>
              </w:rPr>
              <w:t>10.16</w:t>
            </w:r>
          </w:p>
        </w:tc>
        <w:tc>
          <w:tcPr>
            <w:tcW w:w="240" w:type="dxa"/>
            <w:vAlign w:val="bottom"/>
          </w:tcPr>
          <w:p>
            <w:pPr>
              <w:spacing w:after="0"/>
              <w:rPr>
                <w:sz w:val="24"/>
                <w:szCs w:val="24"/>
                <w:color w:val="auto"/>
              </w:rPr>
            </w:pPr>
          </w:p>
        </w:tc>
        <w:tc>
          <w:tcPr>
            <w:tcW w:w="10320" w:type="dxa"/>
            <w:vAlign w:val="bottom"/>
            <w:gridSpan w:val="3"/>
          </w:tcPr>
          <w:p>
            <w:pPr>
              <w:ind w:left="220"/>
              <w:spacing w:after="0"/>
              <w:rPr>
                <w:sz w:val="20"/>
                <w:szCs w:val="20"/>
                <w:color w:val="auto"/>
              </w:rPr>
            </w:pPr>
            <w:r>
              <w:rPr>
                <w:rFonts w:ascii="Arial" w:cs="Arial" w:eastAsia="Arial" w:hAnsi="Arial"/>
                <w:sz w:val="18"/>
                <w:szCs w:val="18"/>
                <w:color w:val="auto"/>
                <w:w w:val="93"/>
              </w:rPr>
              <w:t>Agreement re: Provision and Use of Real Property, dated October 21, 2002, by and among Desert Inn Improvement Co.; Wynn Resorts</w:t>
            </w:r>
          </w:p>
        </w:tc>
      </w:tr>
      <w:tr>
        <w:trPr>
          <w:trHeight w:val="222"/>
        </w:trPr>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320" w:type="dxa"/>
            <w:vAlign w:val="bottom"/>
            <w:gridSpan w:val="3"/>
          </w:tcPr>
          <w:p>
            <w:pPr>
              <w:ind w:left="420"/>
              <w:spacing w:after="0"/>
              <w:rPr>
                <w:sz w:val="20"/>
                <w:szCs w:val="20"/>
                <w:color w:val="auto"/>
              </w:rPr>
            </w:pPr>
            <w:r>
              <w:rPr>
                <w:rFonts w:ascii="Arial" w:cs="Arial" w:eastAsia="Arial" w:hAnsi="Arial"/>
                <w:sz w:val="18"/>
                <w:szCs w:val="18"/>
                <w:color w:val="auto"/>
              </w:rPr>
              <w:t>Holdings, LLC and Wynn Las Vegas, LLC.(1)</w:t>
            </w:r>
          </w:p>
        </w:tc>
      </w:tr>
      <w:tr>
        <w:trPr>
          <w:trHeight w:val="284"/>
        </w:trPr>
        <w:tc>
          <w:tcPr>
            <w:tcW w:w="700" w:type="dxa"/>
            <w:vAlign w:val="bottom"/>
            <w:gridSpan w:val="2"/>
          </w:tcPr>
          <w:p>
            <w:pPr>
              <w:spacing w:after="0"/>
              <w:rPr>
                <w:sz w:val="20"/>
                <w:szCs w:val="20"/>
                <w:color w:val="auto"/>
              </w:rPr>
            </w:pPr>
            <w:r>
              <w:rPr>
                <w:rFonts w:ascii="Arial" w:cs="Arial" w:eastAsia="Arial" w:hAnsi="Arial"/>
                <w:sz w:val="18"/>
                <w:szCs w:val="18"/>
                <w:color w:val="auto"/>
              </w:rPr>
              <w:t>10.17</w:t>
            </w:r>
          </w:p>
        </w:tc>
        <w:tc>
          <w:tcPr>
            <w:tcW w:w="240" w:type="dxa"/>
            <w:vAlign w:val="bottom"/>
          </w:tcPr>
          <w:p>
            <w:pPr>
              <w:spacing w:after="0"/>
              <w:rPr>
                <w:sz w:val="24"/>
                <w:szCs w:val="24"/>
                <w:color w:val="auto"/>
              </w:rPr>
            </w:pPr>
          </w:p>
        </w:tc>
        <w:tc>
          <w:tcPr>
            <w:tcW w:w="10320" w:type="dxa"/>
            <w:vAlign w:val="bottom"/>
            <w:gridSpan w:val="3"/>
          </w:tcPr>
          <w:p>
            <w:pPr>
              <w:ind w:left="220"/>
              <w:spacing w:after="0"/>
              <w:rPr>
                <w:sz w:val="20"/>
                <w:szCs w:val="20"/>
                <w:color w:val="auto"/>
              </w:rPr>
            </w:pPr>
            <w:r>
              <w:rPr>
                <w:rFonts w:ascii="Arial" w:cs="Arial" w:eastAsia="Arial" w:hAnsi="Arial"/>
                <w:sz w:val="18"/>
                <w:szCs w:val="18"/>
                <w:color w:val="auto"/>
                <w:w w:val="98"/>
              </w:rPr>
              <w:t>Office Building Lease Agreement, dated October 21, 2002, by and between Valvino Lamore, LLC and Wynn Las Vegas, LLC.(1)</w:t>
            </w:r>
          </w:p>
        </w:tc>
      </w:tr>
      <w:tr>
        <w:trPr>
          <w:trHeight w:val="284"/>
        </w:trPr>
        <w:tc>
          <w:tcPr>
            <w:tcW w:w="700" w:type="dxa"/>
            <w:vAlign w:val="bottom"/>
            <w:gridSpan w:val="2"/>
          </w:tcPr>
          <w:p>
            <w:pPr>
              <w:spacing w:after="0"/>
              <w:rPr>
                <w:sz w:val="20"/>
                <w:szCs w:val="20"/>
                <w:color w:val="auto"/>
              </w:rPr>
            </w:pPr>
            <w:r>
              <w:rPr>
                <w:rFonts w:ascii="Arial" w:cs="Arial" w:eastAsia="Arial" w:hAnsi="Arial"/>
                <w:sz w:val="18"/>
                <w:szCs w:val="18"/>
                <w:color w:val="auto"/>
              </w:rPr>
              <w:t>10.18</w:t>
            </w:r>
          </w:p>
        </w:tc>
        <w:tc>
          <w:tcPr>
            <w:tcW w:w="240" w:type="dxa"/>
            <w:vAlign w:val="bottom"/>
          </w:tcPr>
          <w:p>
            <w:pPr>
              <w:spacing w:after="0"/>
              <w:rPr>
                <w:sz w:val="24"/>
                <w:szCs w:val="24"/>
                <w:color w:val="auto"/>
              </w:rPr>
            </w:pPr>
          </w:p>
        </w:tc>
        <w:tc>
          <w:tcPr>
            <w:tcW w:w="10320" w:type="dxa"/>
            <w:vAlign w:val="bottom"/>
            <w:gridSpan w:val="3"/>
          </w:tcPr>
          <w:p>
            <w:pPr>
              <w:ind w:left="220"/>
              <w:spacing w:after="0"/>
              <w:rPr>
                <w:sz w:val="20"/>
                <w:szCs w:val="20"/>
                <w:color w:val="auto"/>
              </w:rPr>
            </w:pPr>
            <w:r>
              <w:rPr>
                <w:rFonts w:ascii="Arial" w:cs="Arial" w:eastAsia="Arial" w:hAnsi="Arial"/>
                <w:sz w:val="18"/>
                <w:szCs w:val="18"/>
                <w:color w:val="auto"/>
                <w:w w:val="94"/>
              </w:rPr>
              <w:t>Golf Course Lease Agreement, dated October 21, 2002, by and between Wynn Resorts Holdings, LLC and Wynn Las Vegas, LLC.(1)</w:t>
            </w:r>
          </w:p>
        </w:tc>
      </w:tr>
      <w:tr>
        <w:trPr>
          <w:trHeight w:val="284"/>
        </w:trPr>
        <w:tc>
          <w:tcPr>
            <w:tcW w:w="700" w:type="dxa"/>
            <w:vAlign w:val="bottom"/>
            <w:gridSpan w:val="2"/>
          </w:tcPr>
          <w:p>
            <w:pPr>
              <w:spacing w:after="0"/>
              <w:rPr>
                <w:sz w:val="20"/>
                <w:szCs w:val="20"/>
                <w:color w:val="auto"/>
              </w:rPr>
            </w:pPr>
            <w:r>
              <w:rPr>
                <w:rFonts w:ascii="Arial" w:cs="Arial" w:eastAsia="Arial" w:hAnsi="Arial"/>
                <w:sz w:val="18"/>
                <w:szCs w:val="18"/>
                <w:color w:val="auto"/>
              </w:rPr>
              <w:t>10.19</w:t>
            </w:r>
          </w:p>
        </w:tc>
        <w:tc>
          <w:tcPr>
            <w:tcW w:w="240" w:type="dxa"/>
            <w:vAlign w:val="bottom"/>
          </w:tcPr>
          <w:p>
            <w:pPr>
              <w:spacing w:after="0"/>
              <w:rPr>
                <w:sz w:val="24"/>
                <w:szCs w:val="24"/>
                <w:color w:val="auto"/>
              </w:rPr>
            </w:pPr>
          </w:p>
        </w:tc>
        <w:tc>
          <w:tcPr>
            <w:tcW w:w="10320" w:type="dxa"/>
            <w:vAlign w:val="bottom"/>
            <w:gridSpan w:val="3"/>
          </w:tcPr>
          <w:p>
            <w:pPr>
              <w:ind w:left="220"/>
              <w:spacing w:after="0"/>
              <w:rPr>
                <w:sz w:val="20"/>
                <w:szCs w:val="20"/>
                <w:color w:val="auto"/>
              </w:rPr>
            </w:pPr>
            <w:r>
              <w:rPr>
                <w:rFonts w:ascii="Arial" w:cs="Arial" w:eastAsia="Arial" w:hAnsi="Arial"/>
                <w:sz w:val="18"/>
                <w:szCs w:val="18"/>
                <w:color w:val="auto"/>
              </w:rPr>
              <w:t>Driving Range Lease, dated October 21, 2002, by and between Valvino Lamore, LLC and Wynn Las Vegas, LLC.(1)</w:t>
            </w:r>
          </w:p>
        </w:tc>
      </w:tr>
      <w:tr>
        <w:trPr>
          <w:trHeight w:val="284"/>
        </w:trPr>
        <w:tc>
          <w:tcPr>
            <w:tcW w:w="700" w:type="dxa"/>
            <w:vAlign w:val="bottom"/>
            <w:gridSpan w:val="2"/>
          </w:tcPr>
          <w:p>
            <w:pPr>
              <w:spacing w:after="0"/>
              <w:rPr>
                <w:sz w:val="20"/>
                <w:szCs w:val="20"/>
                <w:color w:val="auto"/>
              </w:rPr>
            </w:pPr>
            <w:r>
              <w:rPr>
                <w:rFonts w:ascii="Arial" w:cs="Arial" w:eastAsia="Arial" w:hAnsi="Arial"/>
                <w:sz w:val="18"/>
                <w:szCs w:val="18"/>
                <w:color w:val="auto"/>
              </w:rPr>
              <w:t>10.20</w:t>
            </w:r>
          </w:p>
        </w:tc>
        <w:tc>
          <w:tcPr>
            <w:tcW w:w="240" w:type="dxa"/>
            <w:vAlign w:val="bottom"/>
          </w:tcPr>
          <w:p>
            <w:pPr>
              <w:spacing w:after="0"/>
              <w:rPr>
                <w:sz w:val="24"/>
                <w:szCs w:val="24"/>
                <w:color w:val="auto"/>
              </w:rPr>
            </w:pPr>
          </w:p>
        </w:tc>
        <w:tc>
          <w:tcPr>
            <w:tcW w:w="10320" w:type="dxa"/>
            <w:vAlign w:val="bottom"/>
            <w:gridSpan w:val="3"/>
          </w:tcPr>
          <w:p>
            <w:pPr>
              <w:ind w:left="220"/>
              <w:spacing w:after="0"/>
              <w:rPr>
                <w:sz w:val="20"/>
                <w:szCs w:val="20"/>
                <w:color w:val="auto"/>
              </w:rPr>
            </w:pPr>
            <w:r>
              <w:rPr>
                <w:rFonts w:ascii="Arial" w:cs="Arial" w:eastAsia="Arial" w:hAnsi="Arial"/>
                <w:sz w:val="18"/>
                <w:szCs w:val="18"/>
                <w:color w:val="auto"/>
              </w:rPr>
              <w:t>Parking Facility Lease, dated October 21, 2002, by and between Valvino Lamore, LLC and Wynn Las Vegas, LLC.(1)</w:t>
            </w:r>
          </w:p>
        </w:tc>
      </w:tr>
      <w:tr>
        <w:trPr>
          <w:trHeight w:val="277"/>
        </w:trPr>
        <w:tc>
          <w:tcPr>
            <w:tcW w:w="700" w:type="dxa"/>
            <w:vAlign w:val="bottom"/>
            <w:gridSpan w:val="2"/>
          </w:tcPr>
          <w:p>
            <w:pPr>
              <w:spacing w:after="0"/>
              <w:rPr>
                <w:sz w:val="20"/>
                <w:szCs w:val="20"/>
                <w:color w:val="auto"/>
              </w:rPr>
            </w:pPr>
            <w:r>
              <w:rPr>
                <w:rFonts w:ascii="Arial" w:cs="Arial" w:eastAsia="Arial" w:hAnsi="Arial"/>
                <w:sz w:val="18"/>
                <w:szCs w:val="18"/>
                <w:color w:val="auto"/>
              </w:rPr>
              <w:t>10.21</w:t>
            </w:r>
          </w:p>
        </w:tc>
        <w:tc>
          <w:tcPr>
            <w:tcW w:w="240" w:type="dxa"/>
            <w:vAlign w:val="bottom"/>
          </w:tcPr>
          <w:p>
            <w:pPr>
              <w:spacing w:after="0"/>
              <w:rPr>
                <w:sz w:val="24"/>
                <w:szCs w:val="24"/>
                <w:color w:val="auto"/>
              </w:rPr>
            </w:pPr>
          </w:p>
        </w:tc>
        <w:tc>
          <w:tcPr>
            <w:tcW w:w="10320" w:type="dxa"/>
            <w:vAlign w:val="bottom"/>
            <w:gridSpan w:val="3"/>
          </w:tcPr>
          <w:p>
            <w:pPr>
              <w:ind w:left="220"/>
              <w:spacing w:after="0"/>
              <w:rPr>
                <w:sz w:val="20"/>
                <w:szCs w:val="20"/>
                <w:color w:val="auto"/>
              </w:rPr>
            </w:pPr>
            <w:r>
              <w:rPr>
                <w:rFonts w:ascii="Arial" w:cs="Arial" w:eastAsia="Arial" w:hAnsi="Arial"/>
                <w:sz w:val="18"/>
                <w:szCs w:val="18"/>
                <w:color w:val="auto"/>
                <w:w w:val="88"/>
              </w:rPr>
              <w:t>Credit Agreement, dated as of October 30, 2002, among Wynn Las Vegas, LLC; the several lenders from time to time parties thereto; Deutsche</w:t>
            </w:r>
          </w:p>
        </w:tc>
      </w:tr>
      <w:tr>
        <w:trPr>
          <w:trHeight w:val="216"/>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320" w:type="dxa"/>
            <w:vAlign w:val="bottom"/>
            <w:gridSpan w:val="3"/>
          </w:tcPr>
          <w:p>
            <w:pPr>
              <w:ind w:left="420"/>
              <w:spacing w:after="0"/>
              <w:rPr>
                <w:sz w:val="20"/>
                <w:szCs w:val="20"/>
                <w:color w:val="auto"/>
              </w:rPr>
            </w:pPr>
            <w:r>
              <w:rPr>
                <w:rFonts w:ascii="Arial" w:cs="Arial" w:eastAsia="Arial" w:hAnsi="Arial"/>
                <w:sz w:val="18"/>
                <w:szCs w:val="18"/>
                <w:color w:val="auto"/>
                <w:w w:val="89"/>
              </w:rPr>
              <w:t>Bank Trust Company Americas; Banc of America Securities, LLC; Bear, Stearns &amp; Co. Inc.; Bear Stearns Corporate Lending Inc.; Dresdner</w:t>
            </w:r>
          </w:p>
        </w:tc>
      </w:tr>
      <w:tr>
        <w:trPr>
          <w:trHeight w:val="222"/>
        </w:trPr>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320" w:type="dxa"/>
            <w:vAlign w:val="bottom"/>
            <w:gridSpan w:val="3"/>
          </w:tcPr>
          <w:p>
            <w:pPr>
              <w:ind w:left="420"/>
              <w:spacing w:after="0"/>
              <w:rPr>
                <w:sz w:val="20"/>
                <w:szCs w:val="20"/>
                <w:color w:val="auto"/>
              </w:rPr>
            </w:pPr>
            <w:r>
              <w:rPr>
                <w:rFonts w:ascii="Arial" w:cs="Arial" w:eastAsia="Arial" w:hAnsi="Arial"/>
                <w:sz w:val="18"/>
                <w:szCs w:val="18"/>
                <w:color w:val="auto"/>
              </w:rPr>
              <w:t>Bank AG, New York and Grand Cayman Branches and JP Morgan Chase Bank.(1)</w:t>
            </w:r>
          </w:p>
        </w:tc>
      </w:tr>
      <w:tr>
        <w:trPr>
          <w:trHeight w:val="284"/>
        </w:trPr>
        <w:tc>
          <w:tcPr>
            <w:tcW w:w="700" w:type="dxa"/>
            <w:vAlign w:val="bottom"/>
            <w:gridSpan w:val="2"/>
          </w:tcPr>
          <w:p>
            <w:pPr>
              <w:spacing w:after="0"/>
              <w:rPr>
                <w:sz w:val="20"/>
                <w:szCs w:val="20"/>
                <w:color w:val="auto"/>
              </w:rPr>
            </w:pPr>
            <w:r>
              <w:rPr>
                <w:rFonts w:ascii="Arial" w:cs="Arial" w:eastAsia="Arial" w:hAnsi="Arial"/>
                <w:sz w:val="18"/>
                <w:szCs w:val="18"/>
                <w:color w:val="auto"/>
              </w:rPr>
              <w:t>10.22</w:t>
            </w:r>
          </w:p>
        </w:tc>
        <w:tc>
          <w:tcPr>
            <w:tcW w:w="240" w:type="dxa"/>
            <w:vAlign w:val="bottom"/>
          </w:tcPr>
          <w:p>
            <w:pPr>
              <w:spacing w:after="0"/>
              <w:rPr>
                <w:sz w:val="24"/>
                <w:szCs w:val="24"/>
                <w:color w:val="auto"/>
              </w:rPr>
            </w:pPr>
          </w:p>
        </w:tc>
        <w:tc>
          <w:tcPr>
            <w:tcW w:w="10320" w:type="dxa"/>
            <w:vAlign w:val="bottom"/>
            <w:gridSpan w:val="3"/>
          </w:tcPr>
          <w:p>
            <w:pPr>
              <w:ind w:left="220"/>
              <w:spacing w:after="0"/>
              <w:rPr>
                <w:sz w:val="20"/>
                <w:szCs w:val="20"/>
                <w:color w:val="auto"/>
              </w:rPr>
            </w:pPr>
            <w:r>
              <w:rPr>
                <w:rFonts w:ascii="Arial" w:cs="Arial" w:eastAsia="Arial" w:hAnsi="Arial"/>
                <w:sz w:val="18"/>
                <w:szCs w:val="18"/>
                <w:color w:val="auto"/>
              </w:rPr>
              <w:t>Registration Rights Agreement, dated October 30, 2002, by and between the Registrant and Stephen A. Wynn.(1)</w:t>
            </w:r>
          </w:p>
        </w:tc>
      </w:tr>
      <w:tr>
        <w:trPr>
          <w:trHeight w:val="277"/>
        </w:trPr>
        <w:tc>
          <w:tcPr>
            <w:tcW w:w="700" w:type="dxa"/>
            <w:vAlign w:val="bottom"/>
            <w:gridSpan w:val="2"/>
          </w:tcPr>
          <w:p>
            <w:pPr>
              <w:spacing w:after="0"/>
              <w:rPr>
                <w:sz w:val="20"/>
                <w:szCs w:val="20"/>
                <w:color w:val="auto"/>
              </w:rPr>
            </w:pPr>
            <w:r>
              <w:rPr>
                <w:rFonts w:ascii="Arial" w:cs="Arial" w:eastAsia="Arial" w:hAnsi="Arial"/>
                <w:sz w:val="18"/>
                <w:szCs w:val="18"/>
                <w:color w:val="auto"/>
              </w:rPr>
              <w:t>10.23</w:t>
            </w:r>
          </w:p>
        </w:tc>
        <w:tc>
          <w:tcPr>
            <w:tcW w:w="240" w:type="dxa"/>
            <w:vAlign w:val="bottom"/>
          </w:tcPr>
          <w:p>
            <w:pPr>
              <w:spacing w:after="0"/>
              <w:rPr>
                <w:sz w:val="24"/>
                <w:szCs w:val="24"/>
                <w:color w:val="auto"/>
              </w:rPr>
            </w:pPr>
          </w:p>
        </w:tc>
        <w:tc>
          <w:tcPr>
            <w:tcW w:w="10320" w:type="dxa"/>
            <w:vAlign w:val="bottom"/>
            <w:gridSpan w:val="3"/>
          </w:tcPr>
          <w:p>
            <w:pPr>
              <w:ind w:left="220"/>
              <w:spacing w:after="0"/>
              <w:rPr>
                <w:sz w:val="20"/>
                <w:szCs w:val="20"/>
                <w:color w:val="auto"/>
              </w:rPr>
            </w:pPr>
            <w:r>
              <w:rPr>
                <w:rFonts w:ascii="Arial" w:cs="Arial" w:eastAsia="Arial" w:hAnsi="Arial"/>
                <w:sz w:val="18"/>
                <w:szCs w:val="18"/>
                <w:color w:val="auto"/>
                <w:w w:val="92"/>
              </w:rPr>
              <w:t>Management Agreement, made as of October 30, 2002, by and among Wynn Las Vegas, LLC and the subsidiaries and affiliates listed on</w:t>
            </w:r>
          </w:p>
        </w:tc>
      </w:tr>
      <w:tr>
        <w:trPr>
          <w:trHeight w:val="222"/>
        </w:trPr>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320" w:type="dxa"/>
            <w:vAlign w:val="bottom"/>
            <w:gridSpan w:val="3"/>
          </w:tcPr>
          <w:p>
            <w:pPr>
              <w:ind w:left="420"/>
              <w:spacing w:after="0"/>
              <w:rPr>
                <w:sz w:val="20"/>
                <w:szCs w:val="20"/>
                <w:color w:val="auto"/>
              </w:rPr>
            </w:pPr>
            <w:r>
              <w:rPr>
                <w:rFonts w:ascii="Arial" w:cs="Arial" w:eastAsia="Arial" w:hAnsi="Arial"/>
                <w:sz w:val="18"/>
                <w:szCs w:val="18"/>
                <w:color w:val="auto"/>
              </w:rPr>
              <w:t>Exhibit A thereto and the Registrant.(1)</w:t>
            </w:r>
          </w:p>
        </w:tc>
      </w:tr>
      <w:tr>
        <w:trPr>
          <w:trHeight w:val="277"/>
        </w:trPr>
        <w:tc>
          <w:tcPr>
            <w:tcW w:w="700" w:type="dxa"/>
            <w:vAlign w:val="bottom"/>
            <w:gridSpan w:val="2"/>
          </w:tcPr>
          <w:p>
            <w:pPr>
              <w:spacing w:after="0"/>
              <w:rPr>
                <w:sz w:val="20"/>
                <w:szCs w:val="20"/>
                <w:color w:val="auto"/>
              </w:rPr>
            </w:pPr>
            <w:r>
              <w:rPr>
                <w:rFonts w:ascii="Arial" w:cs="Arial" w:eastAsia="Arial" w:hAnsi="Arial"/>
                <w:sz w:val="18"/>
                <w:szCs w:val="18"/>
                <w:color w:val="auto"/>
              </w:rPr>
              <w:t>10.24</w:t>
            </w:r>
          </w:p>
        </w:tc>
        <w:tc>
          <w:tcPr>
            <w:tcW w:w="240" w:type="dxa"/>
            <w:vAlign w:val="bottom"/>
          </w:tcPr>
          <w:p>
            <w:pPr>
              <w:spacing w:after="0"/>
              <w:rPr>
                <w:sz w:val="24"/>
                <w:szCs w:val="24"/>
                <w:color w:val="auto"/>
              </w:rPr>
            </w:pPr>
          </w:p>
        </w:tc>
        <w:tc>
          <w:tcPr>
            <w:tcW w:w="10320" w:type="dxa"/>
            <w:vAlign w:val="bottom"/>
            <w:gridSpan w:val="3"/>
          </w:tcPr>
          <w:p>
            <w:pPr>
              <w:ind w:left="220"/>
              <w:spacing w:after="0"/>
              <w:rPr>
                <w:sz w:val="20"/>
                <w:szCs w:val="20"/>
                <w:color w:val="auto"/>
              </w:rPr>
            </w:pPr>
            <w:r>
              <w:rPr>
                <w:rFonts w:ascii="Arial" w:cs="Arial" w:eastAsia="Arial" w:hAnsi="Arial"/>
                <w:sz w:val="18"/>
                <w:szCs w:val="18"/>
                <w:color w:val="auto"/>
                <w:w w:val="88"/>
              </w:rPr>
              <w:t>Loan Agreement, dated as of October 30,2002, by and among Wynn Las Vegas, LLC; Wells Fargo Bank Nevada, N.A., as collateral agent; and</w:t>
            </w:r>
          </w:p>
        </w:tc>
      </w:tr>
      <w:tr>
        <w:trPr>
          <w:trHeight w:val="222"/>
        </w:trPr>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320" w:type="dxa"/>
            <w:vAlign w:val="bottom"/>
            <w:gridSpan w:val="3"/>
          </w:tcPr>
          <w:p>
            <w:pPr>
              <w:ind w:left="420"/>
              <w:spacing w:after="0"/>
              <w:rPr>
                <w:sz w:val="20"/>
                <w:szCs w:val="20"/>
                <w:color w:val="auto"/>
              </w:rPr>
            </w:pPr>
            <w:r>
              <w:rPr>
                <w:rFonts w:ascii="Arial" w:cs="Arial" w:eastAsia="Arial" w:hAnsi="Arial"/>
                <w:sz w:val="18"/>
                <w:szCs w:val="18"/>
                <w:color w:val="auto"/>
              </w:rPr>
              <w:t>the lenders listed on Schedule 1A thereto.(1)</w:t>
            </w:r>
          </w:p>
        </w:tc>
      </w:tr>
      <w:tr>
        <w:trPr>
          <w:trHeight w:val="365"/>
        </w:trPr>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tcPr>
          <w:p>
            <w:pPr>
              <w:ind w:left="4580"/>
              <w:spacing w:after="0"/>
              <w:rPr>
                <w:sz w:val="20"/>
                <w:szCs w:val="20"/>
                <w:color w:val="auto"/>
              </w:rPr>
            </w:pPr>
            <w:r>
              <w:rPr>
                <w:rFonts w:ascii="Arial" w:cs="Arial" w:eastAsia="Arial" w:hAnsi="Arial"/>
                <w:sz w:val="18"/>
                <w:szCs w:val="18"/>
                <w:color w:val="auto"/>
                <w:w w:val="99"/>
              </w:rPr>
              <w:t>70</w:t>
            </w:r>
          </w:p>
        </w:tc>
        <w:tc>
          <w:tcPr>
            <w:tcW w:w="1020" w:type="dxa"/>
            <w:vAlign w:val="bottom"/>
          </w:tcPr>
          <w:p>
            <w:pPr>
              <w:spacing w:after="0"/>
              <w:rPr>
                <w:sz w:val="24"/>
                <w:szCs w:val="24"/>
                <w:color w:val="auto"/>
              </w:rPr>
            </w:pPr>
          </w:p>
        </w:tc>
        <w:tc>
          <w:tcPr>
            <w:tcW w:w="4500" w:type="dxa"/>
            <w:vAlign w:val="bottom"/>
          </w:tcPr>
          <w:p>
            <w:pPr>
              <w:spacing w:after="0"/>
              <w:rPr>
                <w:sz w:val="24"/>
                <w:szCs w:val="24"/>
                <w:color w:val="auto"/>
              </w:rPr>
            </w:pPr>
          </w:p>
        </w:tc>
      </w:tr>
    </w:tbl>
    <w:p>
      <w:pPr>
        <w:sectPr>
          <w:pgSz w:w="11900" w:h="16838" w:orient="portrait"/>
          <w:cols w:equalWidth="0" w:num="1">
            <w:col w:w="11260"/>
          </w:cols>
          <w:pgMar w:left="340" w:top="275" w:right="299" w:bottom="1440" w:gutter="0" w:footer="0" w:header="0"/>
        </w:sectPr>
      </w:pPr>
    </w:p>
    <w:bookmarkStart w:id="71" w:name="page72"/>
    <w:bookmarkEnd w:id="71"/>
    <w:p>
      <w:pPr>
        <w:spacing w:after="0"/>
        <w:tabs>
          <w:tab w:leader="none" w:pos="584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68580</wp:posOffset>
            </wp:positionV>
            <wp:extent cx="3860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6080" cy="8890"/>
                    </a:xfrm>
                    <a:prstGeom prst="rect">
                      <a:avLst/>
                    </a:prstGeom>
                    <a:noFill/>
                  </pic:spPr>
                </pic:pic>
              </a:graphicData>
            </a:graphic>
          </wp:anchor>
        </w:drawing>
        <w:drawing>
          <wp:anchor simplePos="0" relativeHeight="251657728" behindDoc="1" locked="0" layoutInCell="0" allowOverlap="1">
            <wp:simplePos x="0" y="0"/>
            <wp:positionH relativeFrom="column">
              <wp:posOffset>3667760</wp:posOffset>
            </wp:positionH>
            <wp:positionV relativeFrom="paragraph">
              <wp:posOffset>68580</wp:posOffset>
            </wp:positionV>
            <wp:extent cx="54038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202" w:lineRule="exact"/>
        <w:rPr>
          <w:sz w:val="20"/>
          <w:szCs w:val="20"/>
          <w:color w:val="auto"/>
        </w:rPr>
      </w:pPr>
    </w:p>
    <w:p>
      <w:pPr>
        <w:ind w:left="1060" w:right="700" w:hanging="937"/>
        <w:spacing w:after="0" w:line="268" w:lineRule="auto"/>
        <w:tabs>
          <w:tab w:leader="none" w:pos="104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Borrower Security Agreement, dated as of October 30, 2002, by Wynn Las Vegas, LLC, in favor of Wells Fargo Bank Nevada, National Association, as collateral agent.(1)</w:t>
      </w:r>
    </w:p>
    <w:p>
      <w:pPr>
        <w:spacing w:after="0" w:line="37"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6"/>
          <w:szCs w:val="16"/>
          <w:color w:val="auto"/>
        </w:rPr>
        <w:t>Form of Intercompany Note, dated October 30, 2002, made by World Travel, LLC in favor of Wynn Las Vegas, LLC.(1)</w:t>
      </w:r>
    </w:p>
    <w:p>
      <w:pPr>
        <w:spacing w:after="0" w:line="77" w:lineRule="exact"/>
        <w:rPr>
          <w:sz w:val="20"/>
          <w:szCs w:val="20"/>
          <w:color w:val="auto"/>
        </w:rPr>
      </w:pPr>
    </w:p>
    <w:p>
      <w:pPr>
        <w:ind w:left="1060" w:right="120" w:hanging="937"/>
        <w:spacing w:after="0" w:line="268" w:lineRule="auto"/>
        <w:tabs>
          <w:tab w:leader="none" w:pos="104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Aircraft Security Agreement, dated as of October 30, 2002, among Wells Fargo Bank Northwest, National Association, as trustee, World Travel, LLC and Wynn Las Vegas, LLC.(1)</w:t>
      </w:r>
    </w:p>
    <w:p>
      <w:pPr>
        <w:spacing w:after="0" w:line="37" w:lineRule="exact"/>
        <w:rPr>
          <w:sz w:val="20"/>
          <w:szCs w:val="20"/>
          <w:color w:val="auto"/>
        </w:rPr>
      </w:pPr>
    </w:p>
    <w:p>
      <w:pPr>
        <w:ind w:left="1060" w:right="380" w:hanging="937"/>
        <w:spacing w:after="0" w:line="268" w:lineRule="auto"/>
        <w:tabs>
          <w:tab w:leader="none" w:pos="104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Aircraft Security Agreement Supplement No. 1, dated as of October 30, 2002, among Wells Fargo Bank Northwest, National Association, as trustee, World Travel, LLC and Wynn Las Vegas, LLC.(1)</w:t>
      </w:r>
    </w:p>
    <w:p>
      <w:pPr>
        <w:spacing w:after="0" w:line="37" w:lineRule="exact"/>
        <w:rPr>
          <w:sz w:val="20"/>
          <w:szCs w:val="20"/>
          <w:color w:val="auto"/>
        </w:rPr>
      </w:pPr>
    </w:p>
    <w:p>
      <w:pPr>
        <w:ind w:left="1060" w:right="240" w:hanging="937"/>
        <w:spacing w:after="0" w:line="268" w:lineRule="auto"/>
        <w:tabs>
          <w:tab w:leader="none" w:pos="104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Assignment and Assumption Agreement, dated as of October 30, 2002, by and between Wynn Las Vegas, LLC and Wells Fargo Bank Nevada, National Association, as collateral agent.(1)</w:t>
      </w:r>
    </w:p>
    <w:p>
      <w:pPr>
        <w:spacing w:after="0" w:line="37" w:lineRule="exact"/>
        <w:rPr>
          <w:sz w:val="20"/>
          <w:szCs w:val="20"/>
          <w:color w:val="auto"/>
        </w:rPr>
      </w:pPr>
    </w:p>
    <w:p>
      <w:pPr>
        <w:ind w:left="1060" w:right="60" w:hanging="937"/>
        <w:spacing w:after="0" w:line="268" w:lineRule="auto"/>
        <w:tabs>
          <w:tab w:leader="none" w:pos="104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Completion Guaranty, dated as of October 30, 2002, by Wynn Completion Guarantor, LLC in favor of Deutsche Bank Trust Company Americas, as the Bank Agent, and Wells Fargo Bank, National Association, as Indenture Trustee.(1)</w:t>
      </w:r>
    </w:p>
    <w:p>
      <w:pPr>
        <w:spacing w:after="0" w:line="37" w:lineRule="exact"/>
        <w:rPr>
          <w:sz w:val="20"/>
          <w:szCs w:val="20"/>
          <w:color w:val="auto"/>
        </w:rPr>
      </w:pPr>
    </w:p>
    <w:p>
      <w:pPr>
        <w:ind w:left="1060" w:right="160" w:hanging="937"/>
        <w:spacing w:after="0" w:line="325" w:lineRule="auto"/>
        <w:tabs>
          <w:tab w:leader="none" w:pos="104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FF&amp;E Intercreditor Agreement, dated as of October 30, 2002, by and among Deutsche Bank Trust Company Americas, as administrative agent, Wells Fargo Bank, National Association, as Indenture Trustee, and Wells Fargo Bank Nevada, National Association, as FF&amp;E agent.(1)</w:t>
      </w:r>
    </w:p>
    <w:p>
      <w:pPr>
        <w:spacing w:after="0" w:line="1" w:lineRule="exact"/>
        <w:rPr>
          <w:sz w:val="20"/>
          <w:szCs w:val="20"/>
          <w:color w:val="auto"/>
        </w:rPr>
      </w:pPr>
    </w:p>
    <w:p>
      <w:pPr>
        <w:ind w:left="1060" w:right="1000" w:hanging="937"/>
        <w:spacing w:after="0" w:line="268" w:lineRule="auto"/>
        <w:tabs>
          <w:tab w:leader="none" w:pos="104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Project Lenders Intercreditor Agreement, dated as of October 30, 2002, by and among Deutsche Bank Trust Company Americas, as administrative agent and Wells Fargo Bank, National Association, as Indenture Trustee.(1)</w:t>
      </w:r>
    </w:p>
    <w:p>
      <w:pPr>
        <w:spacing w:after="0" w:line="37" w:lineRule="exact"/>
        <w:rPr>
          <w:sz w:val="20"/>
          <w:szCs w:val="20"/>
          <w:color w:val="auto"/>
        </w:rPr>
      </w:pPr>
    </w:p>
    <w:p>
      <w:pPr>
        <w:ind w:left="1060" w:right="200" w:hanging="937"/>
        <w:spacing w:after="0" w:line="256" w:lineRule="auto"/>
        <w:tabs>
          <w:tab w:leader="none" w:pos="104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8"/>
          <w:szCs w:val="18"/>
          <w:color w:val="auto"/>
        </w:rPr>
        <w:t>Management Fee Subordination Agreement, dated as of October 30, 2002, made by Wynn Resorts, Limited, Wynn Las Vegas, LLC, Wynn Las Vegas Capital Corp. and the subsidiaries and affiliates listed on Exhibit A thereto in favor of Deutsche Bank Trust Company Americas, as administrative agent, Wells Fargo Bank Nevada National Association, as collateral agent, and Wells Fargo Bank, National Association, as trustee.(1)</w:t>
      </w:r>
    </w:p>
    <w:p>
      <w:pPr>
        <w:spacing w:after="0" w:line="49" w:lineRule="exact"/>
        <w:rPr>
          <w:sz w:val="20"/>
          <w:szCs w:val="20"/>
          <w:color w:val="auto"/>
        </w:rPr>
      </w:pPr>
    </w:p>
    <w:p>
      <w:pPr>
        <w:ind w:left="1060" w:hanging="937"/>
        <w:spacing w:after="0" w:line="306" w:lineRule="auto"/>
        <w:tabs>
          <w:tab w:leader="none" w:pos="104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6"/>
          <w:szCs w:val="16"/>
          <w:color w:val="auto"/>
        </w:rPr>
        <w:t>Guarantee and Collateral Agreement, dated as of October 30, 2002, made by Valvino Lamore, LLC, Wynn Las Vegas Capital Corp., Palo, LLC, Wynn Resorts Holdings, LLC, Desert Inn Water Company, LLC, World Travel, LLC, Las Vegas Jet, LLC, Wynn Las Vegas, LLC and the other Grantors from time to time party thereto in favor of Deutsche Bank Trust Company Americas, as administrative agent.(1)</w:t>
      </w:r>
    </w:p>
    <w:p>
      <w:pPr>
        <w:spacing w:after="0" w:line="12" w:lineRule="exact"/>
        <w:rPr>
          <w:sz w:val="20"/>
          <w:szCs w:val="20"/>
          <w:color w:val="auto"/>
        </w:rPr>
      </w:pPr>
    </w:p>
    <w:p>
      <w:pPr>
        <w:ind w:left="1060" w:right="600" w:hanging="937"/>
        <w:spacing w:after="0" w:line="268" w:lineRule="auto"/>
        <w:tabs>
          <w:tab w:leader="none" w:pos="104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8"/>
          <w:szCs w:val="18"/>
          <w:color w:val="auto"/>
        </w:rPr>
        <w:t>Parent Guaranty, dated as of October 30, 2002, by Wynn Resorts, Limited in favor of Wells Fargo Bank Nevada, National Association, as collateral agent, the Arrangers, as defined therein, and the Lenders, as defined therein.(1)</w:t>
      </w:r>
    </w:p>
    <w:p>
      <w:pPr>
        <w:spacing w:after="0" w:line="37" w:lineRule="exact"/>
        <w:rPr>
          <w:sz w:val="20"/>
          <w:szCs w:val="20"/>
          <w:color w:val="auto"/>
        </w:rPr>
      </w:pPr>
    </w:p>
    <w:p>
      <w:pPr>
        <w:ind w:left="1060" w:right="40" w:hanging="937"/>
        <w:spacing w:after="0" w:line="268" w:lineRule="auto"/>
        <w:tabs>
          <w:tab w:leader="none" w:pos="104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8"/>
          <w:szCs w:val="18"/>
          <w:color w:val="auto"/>
        </w:rPr>
        <w:t>Parent Guaranty, dated as of October 30, 2002, by Wynn Resorts, Limited in favor of Deutsche Bank Trust Company Americas, as administrative agent.(1)</w:t>
      </w:r>
    </w:p>
    <w:p>
      <w:pPr>
        <w:spacing w:after="0" w:line="37"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5"/>
          <w:szCs w:val="15"/>
          <w:color w:val="auto"/>
        </w:rPr>
        <w:t>Purchase Agreement, dated October 25, 2002, by and between the Registrant and Stephen A. Wynn.(1)</w:t>
      </w:r>
    </w:p>
    <w:p>
      <w:pPr>
        <w:spacing w:after="0" w:line="77"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5"/>
          <w:szCs w:val="15"/>
          <w:color w:val="auto"/>
        </w:rPr>
        <w:t>Purchase Agreement, dated October 25, 2002, by and between the Registrant and Aruze USA, Inc.(1)</w:t>
      </w:r>
    </w:p>
    <w:p>
      <w:pPr>
        <w:spacing w:after="0" w:line="77"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5"/>
          <w:szCs w:val="15"/>
          <w:color w:val="auto"/>
        </w:rPr>
        <w:t>Purchase Agreement, dated October 25, 2002, by and between the Registrant and Baron Asset Fund.(1)</w:t>
      </w:r>
    </w:p>
    <w:p>
      <w:pPr>
        <w:spacing w:after="0" w:line="77"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5"/>
          <w:szCs w:val="15"/>
          <w:color w:val="auto"/>
        </w:rPr>
        <w:t>Purchase Agreement, dated October 25, 2002, by and between the Registrant and Zenith Insurance Company.(1)</w:t>
      </w:r>
    </w:p>
    <w:p>
      <w:pPr>
        <w:spacing w:after="0" w:line="77"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5"/>
          <w:szCs w:val="15"/>
          <w:color w:val="auto"/>
        </w:rPr>
        <w:t>Purchase Agreement, dated October 25, 2002, by and among Wynn Las Vegas, LLC, Wynn Las Vegas Capital Corp. and Stephen A. Wynn.(1)</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20"/>
          </w:cols>
          <w:pgMar w:left="320" w:top="275" w:right="259" w:bottom="1440" w:gutter="0" w:footer="0" w:header="0"/>
        </w:sectPr>
      </w:pPr>
    </w:p>
    <w:bookmarkStart w:id="72" w:name="page73"/>
    <w:bookmarkEnd w:id="72"/>
    <w:p>
      <w:pPr>
        <w:spacing w:after="0"/>
        <w:tabs>
          <w:tab w:leader="none" w:pos="584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68580</wp:posOffset>
            </wp:positionV>
            <wp:extent cx="4032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03225" cy="8890"/>
                    </a:xfrm>
                    <a:prstGeom prst="rect">
                      <a:avLst/>
                    </a:prstGeom>
                    <a:noFill/>
                  </pic:spPr>
                </pic:pic>
              </a:graphicData>
            </a:graphic>
          </wp:anchor>
        </w:drawing>
        <w:drawing>
          <wp:anchor simplePos="0" relativeHeight="251657728" behindDoc="1" locked="0" layoutInCell="0" allowOverlap="1">
            <wp:simplePos x="0" y="0"/>
            <wp:positionH relativeFrom="column">
              <wp:posOffset>3616325</wp:posOffset>
            </wp:positionH>
            <wp:positionV relativeFrom="paragraph">
              <wp:posOffset>68580</wp:posOffset>
            </wp:positionV>
            <wp:extent cx="6432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2"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5"/>
          <w:szCs w:val="15"/>
          <w:color w:val="auto"/>
        </w:rPr>
        <w:t>Purchase Agreement, dated October 25, 2002, by and among Wynn Las Vegas, LLC, Wynn Las Vegas Capital Corp. and Aruze USA, Inc.(1)</w:t>
      </w:r>
    </w:p>
    <w:p>
      <w:pPr>
        <w:spacing w:after="0" w:line="77"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6"/>
          <w:szCs w:val="16"/>
          <w:color w:val="auto"/>
        </w:rPr>
        <w:t>Amended and Restated Continuing Guaranty, dated October 22, 2002, by Austi, Inc. in favor of Wynn Las Vegas, LLC.(1)</w:t>
      </w:r>
    </w:p>
    <w:p>
      <w:pPr>
        <w:spacing w:after="0" w:line="77" w:lineRule="exact"/>
        <w:rPr>
          <w:sz w:val="20"/>
          <w:szCs w:val="20"/>
          <w:color w:val="auto"/>
        </w:rPr>
      </w:pPr>
    </w:p>
    <w:p>
      <w:pPr>
        <w:ind w:left="1060" w:right="220" w:hanging="937"/>
        <w:spacing w:after="0" w:line="268" w:lineRule="auto"/>
        <w:tabs>
          <w:tab w:leader="none" w:pos="1040" w:val="left"/>
        </w:tabs>
        <w:rPr>
          <w:sz w:val="20"/>
          <w:szCs w:val="20"/>
          <w:color w:val="auto"/>
        </w:rPr>
      </w:pPr>
      <w:r>
        <w:rPr>
          <w:rFonts w:ascii="Arial" w:cs="Arial" w:eastAsia="Arial" w:hAnsi="Arial"/>
          <w:sz w:val="18"/>
          <w:szCs w:val="18"/>
          <w:color w:val="auto"/>
        </w:rPr>
        <w:t>10.44</w:t>
      </w:r>
      <w:r>
        <w:rPr>
          <w:sz w:val="20"/>
          <w:szCs w:val="20"/>
          <w:color w:val="auto"/>
        </w:rPr>
        <w:tab/>
      </w:r>
      <w:r>
        <w:rPr>
          <w:rFonts w:ascii="Arial" w:cs="Arial" w:eastAsia="Arial" w:hAnsi="Arial"/>
          <w:sz w:val="18"/>
          <w:szCs w:val="18"/>
          <w:color w:val="auto"/>
        </w:rPr>
        <w:t>Easement Agreement, dated as of October 21, 2002, by and among Wynn Resorts Holdings, LLC, Valvino Lamore, LLC and Wynn Las Vegas, LLC.(1)</w:t>
      </w:r>
    </w:p>
    <w:p>
      <w:pPr>
        <w:spacing w:after="0" w:line="37" w:lineRule="exact"/>
        <w:rPr>
          <w:sz w:val="20"/>
          <w:szCs w:val="20"/>
          <w:color w:val="auto"/>
        </w:rPr>
      </w:pPr>
    </w:p>
    <w:p>
      <w:pPr>
        <w:ind w:left="1060" w:right="100" w:hanging="937"/>
        <w:spacing w:after="0" w:line="259" w:lineRule="auto"/>
        <w:tabs>
          <w:tab w:leader="none" w:pos="1040" w:val="left"/>
        </w:tabs>
        <w:rPr>
          <w:sz w:val="20"/>
          <w:szCs w:val="20"/>
          <w:color w:val="auto"/>
        </w:rPr>
      </w:pPr>
      <w:r>
        <w:rPr>
          <w:rFonts w:ascii="Arial" w:cs="Arial" w:eastAsia="Arial" w:hAnsi="Arial"/>
          <w:sz w:val="18"/>
          <w:szCs w:val="18"/>
          <w:color w:val="auto"/>
        </w:rPr>
        <w:t>10.45</w:t>
      </w:r>
      <w:r>
        <w:rPr>
          <w:sz w:val="20"/>
          <w:szCs w:val="20"/>
          <w:color w:val="auto"/>
        </w:rPr>
        <w:tab/>
      </w:r>
      <w:r>
        <w:rPr>
          <w:rFonts w:ascii="Arial" w:cs="Arial" w:eastAsia="Arial" w:hAnsi="Arial"/>
          <w:sz w:val="18"/>
          <w:szCs w:val="18"/>
          <w:color w:val="auto"/>
        </w:rPr>
        <w:t>Guaranty Agreement, dated as of October 30, 2002, made by Valvino Lamore, LLC, Wynn Las Vegas Capital Corp., Palo, LLC, Wynn Resorts Holdings, LLC, Desert Inn Water Company, LLC, Wynn Design &amp; Development, LLC, World Travel, LLC, Las Vegas Jet, LLC and the other guarantors from time to time party thereto in favor of the Secured Parties as defined therein.(1)</w:t>
      </w:r>
    </w:p>
    <w:p>
      <w:pPr>
        <w:spacing w:after="0" w:line="46" w:lineRule="exact"/>
        <w:rPr>
          <w:sz w:val="20"/>
          <w:szCs w:val="20"/>
          <w:color w:val="auto"/>
        </w:rPr>
      </w:pPr>
    </w:p>
    <w:p>
      <w:pPr>
        <w:ind w:left="1060" w:right="300" w:hanging="937"/>
        <w:spacing w:after="0" w:line="325" w:lineRule="auto"/>
        <w:tabs>
          <w:tab w:leader="none" w:pos="1040" w:val="left"/>
        </w:tabs>
        <w:rPr>
          <w:sz w:val="20"/>
          <w:szCs w:val="20"/>
          <w:color w:val="auto"/>
        </w:rPr>
      </w:pPr>
      <w:r>
        <w:rPr>
          <w:rFonts w:ascii="Arial" w:cs="Arial" w:eastAsia="Arial" w:hAnsi="Arial"/>
          <w:sz w:val="18"/>
          <w:szCs w:val="18"/>
          <w:color w:val="auto"/>
        </w:rPr>
        <w:t>10.46</w:t>
      </w:r>
      <w:r>
        <w:rPr>
          <w:sz w:val="20"/>
          <w:szCs w:val="20"/>
          <w:color w:val="auto"/>
        </w:rPr>
        <w:tab/>
      </w:r>
      <w:r>
        <w:rPr>
          <w:rFonts w:ascii="Arial" w:cs="Arial" w:eastAsia="Arial" w:hAnsi="Arial"/>
          <w:sz w:val="16"/>
          <w:szCs w:val="16"/>
          <w:color w:val="auto"/>
        </w:rPr>
        <w:t>Amended and Restated Deed of Trust, Assignment of Rents and Leases, Security Agreement and Fixture Filing, dated as of October 30, 2002, made by Wynn Las Vegas, LLC in favor of Deutsche Bank Trust Company Americas, as administrative agent.(1)</w:t>
      </w:r>
    </w:p>
    <w:p>
      <w:pPr>
        <w:spacing w:after="0" w:line="1" w:lineRule="exact"/>
        <w:rPr>
          <w:sz w:val="20"/>
          <w:szCs w:val="20"/>
          <w:color w:val="auto"/>
        </w:rPr>
      </w:pPr>
    </w:p>
    <w:p>
      <w:pPr>
        <w:ind w:left="1060" w:right="300" w:hanging="937"/>
        <w:spacing w:after="0" w:line="268" w:lineRule="auto"/>
        <w:tabs>
          <w:tab w:leader="none" w:pos="1040" w:val="left"/>
        </w:tabs>
        <w:rPr>
          <w:sz w:val="20"/>
          <w:szCs w:val="20"/>
          <w:color w:val="auto"/>
        </w:rPr>
      </w:pPr>
      <w:r>
        <w:rPr>
          <w:rFonts w:ascii="Arial" w:cs="Arial" w:eastAsia="Arial" w:hAnsi="Arial"/>
          <w:sz w:val="18"/>
          <w:szCs w:val="18"/>
          <w:color w:val="auto"/>
        </w:rPr>
        <w:t>10.47</w:t>
      </w:r>
      <w:r>
        <w:rPr>
          <w:sz w:val="20"/>
          <w:szCs w:val="20"/>
          <w:color w:val="auto"/>
        </w:rPr>
        <w:tab/>
      </w:r>
      <w:r>
        <w:rPr>
          <w:rFonts w:ascii="Arial" w:cs="Arial" w:eastAsia="Arial" w:hAnsi="Arial"/>
          <w:sz w:val="18"/>
          <w:szCs w:val="18"/>
          <w:color w:val="auto"/>
        </w:rPr>
        <w:t>Amended and Restated Deed of Trust, Assignment of Rents and Leases, Security Agreement and Fixture Filing, dated as of October 30, 2002, made by Palo, LLC in favor of Deutsche Bank Trust Company Americas, as administrative agent.(1)</w:t>
      </w:r>
    </w:p>
    <w:p>
      <w:pPr>
        <w:spacing w:after="0" w:line="37" w:lineRule="exact"/>
        <w:rPr>
          <w:sz w:val="20"/>
          <w:szCs w:val="20"/>
          <w:color w:val="auto"/>
        </w:rPr>
      </w:pPr>
    </w:p>
    <w:p>
      <w:pPr>
        <w:ind w:left="1060" w:right="300" w:hanging="937"/>
        <w:spacing w:after="0" w:line="325" w:lineRule="auto"/>
        <w:tabs>
          <w:tab w:leader="none" w:pos="1040" w:val="left"/>
        </w:tabs>
        <w:rPr>
          <w:sz w:val="20"/>
          <w:szCs w:val="20"/>
          <w:color w:val="auto"/>
        </w:rPr>
      </w:pPr>
      <w:r>
        <w:rPr>
          <w:rFonts w:ascii="Arial" w:cs="Arial" w:eastAsia="Arial" w:hAnsi="Arial"/>
          <w:sz w:val="18"/>
          <w:szCs w:val="18"/>
          <w:color w:val="auto"/>
        </w:rPr>
        <w:t>10.48</w:t>
      </w:r>
      <w:r>
        <w:rPr>
          <w:sz w:val="20"/>
          <w:szCs w:val="20"/>
          <w:color w:val="auto"/>
        </w:rPr>
        <w:tab/>
      </w:r>
      <w:r>
        <w:rPr>
          <w:rFonts w:ascii="Arial" w:cs="Arial" w:eastAsia="Arial" w:hAnsi="Arial"/>
          <w:sz w:val="16"/>
          <w:szCs w:val="16"/>
          <w:color w:val="auto"/>
        </w:rPr>
        <w:t>Amended and Restated Deed of Trust, Assignment of Rents and Leases, Security Agreement and Fixture Filing, dated as of October 30, 2002, made by Wynn Resorts Holdings, LLC in favor of Deutsche Bank Trust Company Americas, as administrative agent.(1)</w:t>
      </w:r>
    </w:p>
    <w:p>
      <w:pPr>
        <w:spacing w:after="0" w:line="1" w:lineRule="exact"/>
        <w:rPr>
          <w:sz w:val="20"/>
          <w:szCs w:val="20"/>
          <w:color w:val="auto"/>
        </w:rPr>
      </w:pPr>
    </w:p>
    <w:p>
      <w:pPr>
        <w:ind w:left="1060" w:right="300" w:hanging="937"/>
        <w:spacing w:after="0" w:line="325" w:lineRule="auto"/>
        <w:tabs>
          <w:tab w:leader="none" w:pos="1040" w:val="left"/>
        </w:tabs>
        <w:rPr>
          <w:sz w:val="20"/>
          <w:szCs w:val="20"/>
          <w:color w:val="auto"/>
        </w:rPr>
      </w:pPr>
      <w:r>
        <w:rPr>
          <w:rFonts w:ascii="Arial" w:cs="Arial" w:eastAsia="Arial" w:hAnsi="Arial"/>
          <w:sz w:val="18"/>
          <w:szCs w:val="18"/>
          <w:color w:val="auto"/>
        </w:rPr>
        <w:t>10.49</w:t>
      </w:r>
      <w:r>
        <w:rPr>
          <w:sz w:val="20"/>
          <w:szCs w:val="20"/>
          <w:color w:val="auto"/>
        </w:rPr>
        <w:tab/>
      </w:r>
      <w:r>
        <w:rPr>
          <w:rFonts w:ascii="Arial" w:cs="Arial" w:eastAsia="Arial" w:hAnsi="Arial"/>
          <w:sz w:val="16"/>
          <w:szCs w:val="16"/>
          <w:color w:val="auto"/>
        </w:rPr>
        <w:t>Amended and Restated Deed of Trust, Assignment of Rents and Leases, Security Agreement and Fixture Filing, dated as of October 30, 2002, made by Valvino Lamore, LLC in favor of Deutsche Bank Trust Company Americas, as administrative agent.(1)</w:t>
      </w:r>
    </w:p>
    <w:p>
      <w:pPr>
        <w:spacing w:after="0" w:line="1" w:lineRule="exact"/>
        <w:rPr>
          <w:sz w:val="20"/>
          <w:szCs w:val="20"/>
          <w:color w:val="auto"/>
        </w:rPr>
      </w:pPr>
    </w:p>
    <w:p>
      <w:pPr>
        <w:ind w:left="1060" w:right="260" w:hanging="937"/>
        <w:spacing w:after="0" w:line="256" w:lineRule="auto"/>
        <w:tabs>
          <w:tab w:leader="none" w:pos="1040" w:val="left"/>
        </w:tabs>
        <w:rPr>
          <w:sz w:val="20"/>
          <w:szCs w:val="20"/>
          <w:color w:val="auto"/>
        </w:rPr>
      </w:pPr>
      <w:r>
        <w:rPr>
          <w:rFonts w:ascii="Arial" w:cs="Arial" w:eastAsia="Arial" w:hAnsi="Arial"/>
          <w:sz w:val="18"/>
          <w:szCs w:val="18"/>
          <w:color w:val="auto"/>
        </w:rPr>
        <w:t>10.50</w:t>
      </w:r>
      <w:r>
        <w:rPr>
          <w:sz w:val="20"/>
          <w:szCs w:val="20"/>
          <w:color w:val="auto"/>
        </w:rPr>
        <w:tab/>
      </w:r>
      <w:r>
        <w:rPr>
          <w:rFonts w:ascii="Arial" w:cs="Arial" w:eastAsia="Arial" w:hAnsi="Arial"/>
          <w:sz w:val="18"/>
          <w:szCs w:val="18"/>
          <w:color w:val="auto"/>
        </w:rPr>
        <w:t>Master Disbursement Agreement, dated as of October 30, 2002, by and among Wynn Las Vegas, LLC, Wynn Las Vegas Capital Corp., Wynn Design &amp; Development, LLC, Deutsche Bank Trust Company Americas, as initial Bank Agent, Wells Fargo Bank, National Association, as initial Indenture Trustee, Wells Fargo Bank Nevada, National Association, as initial FF&amp;E Agent and Deutsche Bank Trust Company Americas, as initial Disbursement Agent.(7)</w:t>
      </w:r>
    </w:p>
    <w:p>
      <w:pPr>
        <w:spacing w:after="0" w:line="49" w:lineRule="exact"/>
        <w:rPr>
          <w:sz w:val="20"/>
          <w:szCs w:val="20"/>
          <w:color w:val="auto"/>
        </w:rPr>
      </w:pPr>
    </w:p>
    <w:p>
      <w:pPr>
        <w:ind w:left="1060" w:right="240" w:hanging="937"/>
        <w:spacing w:after="0" w:line="268" w:lineRule="auto"/>
        <w:tabs>
          <w:tab w:leader="none" w:pos="1040" w:val="left"/>
        </w:tabs>
        <w:rPr>
          <w:sz w:val="20"/>
          <w:szCs w:val="20"/>
          <w:color w:val="auto"/>
        </w:rPr>
      </w:pPr>
      <w:r>
        <w:rPr>
          <w:rFonts w:ascii="Arial" w:cs="Arial" w:eastAsia="Arial" w:hAnsi="Arial"/>
          <w:sz w:val="18"/>
          <w:szCs w:val="18"/>
          <w:color w:val="auto"/>
        </w:rPr>
        <w:t>10.51</w:t>
      </w:r>
      <w:r>
        <w:rPr>
          <w:sz w:val="20"/>
          <w:szCs w:val="20"/>
          <w:color w:val="auto"/>
        </w:rPr>
        <w:tab/>
      </w:r>
      <w:r>
        <w:rPr>
          <w:rFonts w:ascii="Arial" w:cs="Arial" w:eastAsia="Arial" w:hAnsi="Arial"/>
          <w:sz w:val="18"/>
          <w:szCs w:val="18"/>
          <w:color w:val="auto"/>
        </w:rPr>
        <w:t>Amendment to Loan Agreement, dated as of December 3, 2002, by and among Wynn Las Vegas, LLC, Wells Fargo Bank Nevada, as collateral agent, and each of the lenders listed therein.(7)</w:t>
      </w:r>
    </w:p>
    <w:p>
      <w:pPr>
        <w:spacing w:after="0" w:line="37" w:lineRule="exact"/>
        <w:rPr>
          <w:sz w:val="20"/>
          <w:szCs w:val="20"/>
          <w:color w:val="auto"/>
        </w:rPr>
      </w:pPr>
    </w:p>
    <w:p>
      <w:pPr>
        <w:ind w:left="1060" w:right="200" w:hanging="937"/>
        <w:spacing w:after="0" w:line="268" w:lineRule="auto"/>
        <w:tabs>
          <w:tab w:leader="none" w:pos="1040" w:val="left"/>
        </w:tabs>
        <w:rPr>
          <w:sz w:val="20"/>
          <w:szCs w:val="20"/>
          <w:color w:val="auto"/>
        </w:rPr>
      </w:pPr>
      <w:r>
        <w:rPr>
          <w:rFonts w:ascii="Arial" w:cs="Arial" w:eastAsia="Arial" w:hAnsi="Arial"/>
          <w:sz w:val="18"/>
          <w:szCs w:val="18"/>
          <w:color w:val="auto"/>
        </w:rPr>
        <w:t>10.52</w:t>
      </w:r>
      <w:r>
        <w:rPr>
          <w:sz w:val="20"/>
          <w:szCs w:val="20"/>
          <w:color w:val="auto"/>
        </w:rPr>
        <w:tab/>
      </w:r>
      <w:r>
        <w:rPr>
          <w:rFonts w:ascii="Arial" w:cs="Arial" w:eastAsia="Arial" w:hAnsi="Arial"/>
          <w:sz w:val="18"/>
          <w:szCs w:val="18"/>
          <w:color w:val="auto"/>
        </w:rPr>
        <w:t>Asset and Land Purchase Agreement, dated as of April 28, 2000, by and among Starwood Hotels &amp; Resorts Worldwide, Inc., Sheraton Gaming Corporation, Sheraton Desert Inn Corporation, Valvino Lamore, LLC and Stephen A. Wynn.(8)</w:t>
      </w:r>
    </w:p>
    <w:p>
      <w:pPr>
        <w:spacing w:after="0" w:line="37" w:lineRule="exact"/>
        <w:rPr>
          <w:sz w:val="20"/>
          <w:szCs w:val="20"/>
          <w:color w:val="auto"/>
        </w:rPr>
      </w:pPr>
    </w:p>
    <w:p>
      <w:pPr>
        <w:ind w:left="1060" w:right="80" w:hanging="937"/>
        <w:spacing w:after="0" w:line="325" w:lineRule="auto"/>
        <w:tabs>
          <w:tab w:leader="none" w:pos="1040" w:val="left"/>
        </w:tabs>
        <w:rPr>
          <w:sz w:val="20"/>
          <w:szCs w:val="20"/>
          <w:color w:val="auto"/>
        </w:rPr>
      </w:pPr>
      <w:r>
        <w:rPr>
          <w:rFonts w:ascii="Arial" w:cs="Arial" w:eastAsia="Arial" w:hAnsi="Arial"/>
          <w:sz w:val="18"/>
          <w:szCs w:val="18"/>
          <w:color w:val="auto"/>
        </w:rPr>
        <w:t>10.53</w:t>
      </w:r>
      <w:r>
        <w:rPr>
          <w:sz w:val="20"/>
          <w:szCs w:val="20"/>
          <w:color w:val="auto"/>
        </w:rPr>
        <w:tab/>
      </w:r>
      <w:r>
        <w:rPr>
          <w:rFonts w:ascii="Arial" w:cs="Arial" w:eastAsia="Arial" w:hAnsi="Arial"/>
          <w:sz w:val="16"/>
          <w:szCs w:val="16"/>
          <w:color w:val="auto"/>
        </w:rPr>
        <w:t>First Amendment to Asset and Land Purchase Agreement, dated as of May 26, 2000, by and among Starwood Hotels &amp; Resorts Worldwide, Inc., Sheraton Gaming Corporation, Sheraton Desert Inn Corporation, Valvino Lamore, LLC and Stephen A. Wynn.(8)</w:t>
      </w:r>
    </w:p>
    <w:p>
      <w:pPr>
        <w:spacing w:after="0" w:line="1" w:lineRule="exact"/>
        <w:rPr>
          <w:sz w:val="20"/>
          <w:szCs w:val="20"/>
          <w:color w:val="auto"/>
        </w:rPr>
      </w:pPr>
    </w:p>
    <w:p>
      <w:pPr>
        <w:ind w:left="1060" w:right="40" w:hanging="937"/>
        <w:spacing w:after="0" w:line="259" w:lineRule="auto"/>
        <w:tabs>
          <w:tab w:leader="none" w:pos="1040" w:val="left"/>
        </w:tabs>
        <w:rPr>
          <w:sz w:val="20"/>
          <w:szCs w:val="20"/>
          <w:color w:val="auto"/>
        </w:rPr>
      </w:pPr>
      <w:r>
        <w:rPr>
          <w:rFonts w:ascii="Arial" w:cs="Arial" w:eastAsia="Arial" w:hAnsi="Arial"/>
          <w:sz w:val="18"/>
          <w:szCs w:val="18"/>
          <w:color w:val="auto"/>
        </w:rPr>
        <w:t>10.54</w:t>
      </w:r>
      <w:r>
        <w:rPr>
          <w:sz w:val="20"/>
          <w:szCs w:val="20"/>
          <w:color w:val="auto"/>
        </w:rPr>
        <w:tab/>
      </w:r>
      <w:r>
        <w:rPr>
          <w:rFonts w:ascii="Arial" w:cs="Arial" w:eastAsia="Arial" w:hAnsi="Arial"/>
          <w:sz w:val="18"/>
          <w:szCs w:val="18"/>
          <w:color w:val="auto"/>
        </w:rPr>
        <w:t>Second Amendment to Asset and Land Purchase Agreement, dated as of June 16, 2000, by and among Starwood Hotels &amp; Resorts Worldwide, Inc., Sheraton Gaming Corporation, Sheraton Desert Inn Corporation, Valvino Lamore, LLC, Stephen A. Wynn, Rambas Marketing Co., LLC, and Desert Inn Water Company, LLC.(8)</w:t>
      </w:r>
    </w:p>
    <w:p>
      <w:pPr>
        <w:spacing w:after="0" w:line="46" w:lineRule="exact"/>
        <w:rPr>
          <w:sz w:val="20"/>
          <w:szCs w:val="20"/>
          <w:color w:val="auto"/>
        </w:rPr>
      </w:pPr>
    </w:p>
    <w:p>
      <w:pPr>
        <w:ind w:left="1060" w:hanging="937"/>
        <w:spacing w:after="0" w:line="259" w:lineRule="auto"/>
        <w:tabs>
          <w:tab w:leader="none" w:pos="1040" w:val="left"/>
        </w:tabs>
        <w:rPr>
          <w:sz w:val="20"/>
          <w:szCs w:val="20"/>
          <w:color w:val="auto"/>
        </w:rPr>
      </w:pPr>
      <w:r>
        <w:rPr>
          <w:rFonts w:ascii="Arial" w:cs="Arial" w:eastAsia="Arial" w:hAnsi="Arial"/>
          <w:sz w:val="18"/>
          <w:szCs w:val="18"/>
          <w:color w:val="auto"/>
        </w:rPr>
        <w:t>10.55</w:t>
      </w:r>
      <w:r>
        <w:rPr>
          <w:sz w:val="20"/>
          <w:szCs w:val="20"/>
          <w:color w:val="auto"/>
        </w:rPr>
        <w:tab/>
      </w:r>
      <w:r>
        <w:rPr>
          <w:rFonts w:ascii="Arial" w:cs="Arial" w:eastAsia="Arial" w:hAnsi="Arial"/>
          <w:sz w:val="18"/>
          <w:szCs w:val="18"/>
          <w:color w:val="auto"/>
        </w:rPr>
        <w:t>Third Amendment to Asset and Land Purchase Agreement, dated as of June 22, 2000, by and among Starwood Hotels &amp; Resorts Worldwide, Inc., Sheraton Gaming Corporation, Sheraton Desert Inn Corporation, Valvino Lamore, LLC, Stephen A. Wynn, Rambas Marketing Co., LLC, and Desert Inn Water Company, LLC.(8)</w:t>
      </w:r>
    </w:p>
    <w:p>
      <w:pPr>
        <w:spacing w:after="0" w:line="46" w:lineRule="exact"/>
        <w:rPr>
          <w:sz w:val="20"/>
          <w:szCs w:val="20"/>
          <w:color w:val="auto"/>
        </w:rPr>
      </w:pPr>
    </w:p>
    <w:p>
      <w:pPr>
        <w:jc w:val="both"/>
        <w:ind w:left="1060" w:right="40" w:hanging="937"/>
        <w:spacing w:after="0" w:line="259" w:lineRule="auto"/>
        <w:tabs>
          <w:tab w:leader="none" w:pos="1040" w:val="left"/>
        </w:tabs>
        <w:rPr>
          <w:sz w:val="20"/>
          <w:szCs w:val="20"/>
          <w:color w:val="auto"/>
        </w:rPr>
      </w:pPr>
      <w:r>
        <w:rPr>
          <w:rFonts w:ascii="Arial" w:cs="Arial" w:eastAsia="Arial" w:hAnsi="Arial"/>
          <w:sz w:val="18"/>
          <w:szCs w:val="18"/>
          <w:color w:val="auto"/>
        </w:rPr>
        <w:t>10.56</w:t>
      </w:r>
      <w:r>
        <w:rPr>
          <w:sz w:val="20"/>
          <w:szCs w:val="20"/>
          <w:color w:val="auto"/>
        </w:rPr>
        <w:tab/>
      </w:r>
      <w:r>
        <w:rPr>
          <w:rFonts w:ascii="Arial" w:cs="Arial" w:eastAsia="Arial" w:hAnsi="Arial"/>
          <w:sz w:val="18"/>
          <w:szCs w:val="18"/>
          <w:color w:val="auto"/>
        </w:rPr>
        <w:t>Fourth Amendment to Asset and Land Purchase Agreement, dated as of October 27, 2000, by and among Starwood Hotels &amp; Resorts Worldwide, Inc., Sheraton Gaming Corporation, Sheraton SGC Sub Corporation, Valvino Lamore, LLC, Stephen A. Wynn, Rambas Marketing Co., LLC, and Desert Inn Water Company, LLC.(8)</w:t>
      </w:r>
    </w:p>
    <w:p>
      <w:pPr>
        <w:spacing w:after="0" w:line="12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40"/>
          </w:cols>
          <w:pgMar w:left="320" w:top="275" w:right="239" w:bottom="1440" w:gutter="0" w:footer="0" w:header="0"/>
        </w:sectPr>
      </w:pPr>
    </w:p>
    <w:bookmarkStart w:id="73" w:name="page74"/>
    <w:bookmarkEnd w:id="73"/>
    <w:p>
      <w:pPr>
        <w:spacing w:after="0"/>
        <w:tabs>
          <w:tab w:leader="none" w:pos="584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68580</wp:posOffset>
            </wp:positionV>
            <wp:extent cx="3860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6080" cy="8890"/>
                    </a:xfrm>
                    <a:prstGeom prst="rect">
                      <a:avLst/>
                    </a:prstGeom>
                    <a:noFill/>
                  </pic:spPr>
                </pic:pic>
              </a:graphicData>
            </a:graphic>
          </wp:anchor>
        </w:drawing>
        <w:drawing>
          <wp:anchor simplePos="0" relativeHeight="251657728" behindDoc="1" locked="0" layoutInCell="0" allowOverlap="1">
            <wp:simplePos x="0" y="0"/>
            <wp:positionH relativeFrom="column">
              <wp:posOffset>3672205</wp:posOffset>
            </wp:positionH>
            <wp:positionV relativeFrom="paragraph">
              <wp:posOffset>68580</wp:posOffset>
            </wp:positionV>
            <wp:extent cx="54038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202" w:lineRule="exact"/>
        <w:rPr>
          <w:sz w:val="20"/>
          <w:szCs w:val="20"/>
          <w:color w:val="auto"/>
        </w:rPr>
      </w:pPr>
    </w:p>
    <w:p>
      <w:pPr>
        <w:ind w:left="1120" w:right="680" w:hanging="935"/>
        <w:spacing w:after="0" w:line="259" w:lineRule="auto"/>
        <w:tabs>
          <w:tab w:leader="none" w:pos="1100" w:val="left"/>
        </w:tabs>
        <w:rPr>
          <w:sz w:val="20"/>
          <w:szCs w:val="20"/>
          <w:color w:val="auto"/>
        </w:rPr>
      </w:pPr>
      <w:r>
        <w:rPr>
          <w:rFonts w:ascii="Arial" w:cs="Arial" w:eastAsia="Arial" w:hAnsi="Arial"/>
          <w:sz w:val="18"/>
          <w:szCs w:val="18"/>
          <w:color w:val="auto"/>
        </w:rPr>
        <w:t>10.57</w:t>
      </w:r>
      <w:r>
        <w:rPr>
          <w:sz w:val="20"/>
          <w:szCs w:val="20"/>
          <w:color w:val="auto"/>
        </w:rPr>
        <w:tab/>
      </w:r>
      <w:r>
        <w:rPr>
          <w:rFonts w:ascii="Arial" w:cs="Arial" w:eastAsia="Arial" w:hAnsi="Arial"/>
          <w:sz w:val="18"/>
          <w:szCs w:val="18"/>
          <w:color w:val="auto"/>
        </w:rPr>
        <w:t>Fifth Amendment to Asset and Land Purchase Agreement, dated as of November 3, 2000, by and among Starwood Hotels &amp; Resorts Worldwide, Inc., Sheraton Gaming Corporation, Sheraton SGC Sub Corporation, Valvino Lamore, LLC, Stephen A. Wynn, Rambas Marketing Co., LLC, and Desert Inn Water Company, LLC.(8)</w:t>
      </w:r>
    </w:p>
    <w:p>
      <w:pPr>
        <w:spacing w:after="0" w:line="46" w:lineRule="exact"/>
        <w:rPr>
          <w:sz w:val="20"/>
          <w:szCs w:val="20"/>
          <w:color w:val="auto"/>
        </w:rPr>
      </w:pPr>
    </w:p>
    <w:p>
      <w:pPr>
        <w:ind w:left="1120" w:right="500" w:hanging="1022"/>
        <w:spacing w:after="0" w:line="268" w:lineRule="auto"/>
        <w:tabs>
          <w:tab w:leader="none" w:pos="1100" w:val="left"/>
        </w:tabs>
        <w:rPr>
          <w:sz w:val="20"/>
          <w:szCs w:val="20"/>
          <w:color w:val="auto"/>
        </w:rPr>
      </w:pPr>
      <w:r>
        <w:rPr>
          <w:rFonts w:ascii="Arial" w:cs="Arial" w:eastAsia="Arial" w:hAnsi="Arial"/>
          <w:sz w:val="18"/>
          <w:szCs w:val="18"/>
          <w:color w:val="auto"/>
        </w:rPr>
        <w:t>*10.58</w:t>
      </w:r>
      <w:r>
        <w:rPr>
          <w:sz w:val="20"/>
          <w:szCs w:val="20"/>
          <w:color w:val="auto"/>
        </w:rPr>
        <w:tab/>
      </w:r>
      <w:r>
        <w:rPr>
          <w:rFonts w:ascii="Arial" w:cs="Arial" w:eastAsia="Arial" w:hAnsi="Arial"/>
          <w:sz w:val="18"/>
          <w:szCs w:val="18"/>
          <w:color w:val="auto"/>
        </w:rPr>
        <w:t>License Agreement, dated October 31, 2002, by and between Wynn Las Vegas, LLC and Calitri Services and Licensing Limited Liability Company.</w:t>
      </w:r>
    </w:p>
    <w:p>
      <w:pPr>
        <w:spacing w:after="0" w:line="37"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color w:val="auto"/>
        </w:rPr>
        <w:t>10.59</w:t>
      </w:r>
      <w:r>
        <w:rPr>
          <w:sz w:val="20"/>
          <w:szCs w:val="20"/>
          <w:color w:val="auto"/>
        </w:rPr>
        <w:tab/>
      </w:r>
      <w:r>
        <w:rPr>
          <w:rFonts w:ascii="Arial" w:cs="Arial" w:eastAsia="Arial" w:hAnsi="Arial"/>
          <w:sz w:val="16"/>
          <w:szCs w:val="16"/>
          <w:color w:val="auto"/>
        </w:rPr>
        <w:t>Lease Agreement, dated November 1, 2001, by and between Valvino Lamore, LLC and Wynn Resorts Holdings, LLC.(8)</w:t>
      </w:r>
    </w:p>
    <w:p>
      <w:pPr>
        <w:spacing w:after="0" w:line="77" w:lineRule="exact"/>
        <w:rPr>
          <w:sz w:val="20"/>
          <w:szCs w:val="20"/>
          <w:color w:val="auto"/>
        </w:rPr>
      </w:pPr>
    </w:p>
    <w:p>
      <w:pPr>
        <w:ind w:left="300"/>
        <w:spacing w:after="0"/>
        <w:tabs>
          <w:tab w:leader="none" w:pos="1100" w:val="left"/>
        </w:tabs>
        <w:rPr>
          <w:sz w:val="20"/>
          <w:szCs w:val="20"/>
          <w:color w:val="auto"/>
        </w:rPr>
      </w:pPr>
      <w:r>
        <w:rPr>
          <w:rFonts w:ascii="Arial" w:cs="Arial" w:eastAsia="Arial" w:hAnsi="Arial"/>
          <w:sz w:val="18"/>
          <w:szCs w:val="18"/>
          <w:color w:val="auto"/>
        </w:rPr>
        <w:t>*10.60</w:t>
      </w:r>
      <w:r>
        <w:rPr>
          <w:sz w:val="20"/>
          <w:szCs w:val="20"/>
          <w:color w:val="auto"/>
        </w:rPr>
        <w:tab/>
      </w:r>
      <w:r>
        <w:rPr>
          <w:rFonts w:ascii="Arial" w:cs="Arial" w:eastAsia="Arial" w:hAnsi="Arial"/>
          <w:sz w:val="15"/>
          <w:szCs w:val="15"/>
          <w:color w:val="auto"/>
        </w:rPr>
        <w:t>Production Services Agreement, dated October 31, 2002, by and between Wynn Las Vegas, LLC and Productions Du Dragon, S.A.</w:t>
      </w:r>
    </w:p>
    <w:p>
      <w:pPr>
        <w:spacing w:after="0" w:line="77"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color w:val="auto"/>
        </w:rPr>
        <w:t>10.61</w:t>
      </w:r>
      <w:r>
        <w:rPr>
          <w:sz w:val="20"/>
          <w:szCs w:val="20"/>
          <w:color w:val="auto"/>
        </w:rPr>
        <w:tab/>
      </w:r>
      <w:r>
        <w:rPr>
          <w:rFonts w:ascii="Arial" w:cs="Arial" w:eastAsia="Arial" w:hAnsi="Arial"/>
          <w:sz w:val="16"/>
          <w:szCs w:val="16"/>
          <w:color w:val="auto"/>
        </w:rPr>
        <w:t>Stockholders Agreement, dated as of April 11, 2002, by and among Stephen A. Wynn, Baron Asset Fund and Aruze USA, Inc.(8)</w:t>
      </w:r>
    </w:p>
    <w:p>
      <w:pPr>
        <w:spacing w:after="0" w:line="77" w:lineRule="exact"/>
        <w:rPr>
          <w:sz w:val="20"/>
          <w:szCs w:val="20"/>
          <w:color w:val="auto"/>
        </w:rPr>
      </w:pPr>
    </w:p>
    <w:p>
      <w:pPr>
        <w:ind w:left="1120" w:right="180" w:hanging="935"/>
        <w:spacing w:after="0" w:line="268" w:lineRule="auto"/>
        <w:tabs>
          <w:tab w:leader="none" w:pos="1100" w:val="left"/>
        </w:tabs>
        <w:rPr>
          <w:sz w:val="20"/>
          <w:szCs w:val="20"/>
          <w:color w:val="auto"/>
        </w:rPr>
      </w:pPr>
      <w:r>
        <w:rPr>
          <w:rFonts w:ascii="Arial" w:cs="Arial" w:eastAsia="Arial" w:hAnsi="Arial"/>
          <w:sz w:val="18"/>
          <w:szCs w:val="18"/>
          <w:color w:val="auto"/>
        </w:rPr>
        <w:t>10.62</w:t>
      </w:r>
      <w:r>
        <w:rPr>
          <w:sz w:val="20"/>
          <w:szCs w:val="20"/>
          <w:color w:val="auto"/>
        </w:rPr>
        <w:tab/>
      </w:r>
      <w:r>
        <w:rPr>
          <w:rFonts w:ascii="Arial" w:cs="Arial" w:eastAsia="Arial" w:hAnsi="Arial"/>
          <w:sz w:val="18"/>
          <w:szCs w:val="18"/>
          <w:color w:val="auto"/>
        </w:rPr>
        <w:t>Agreement for Guaranteed Maximum Price Construction Services between Wynn Las Vegas, LLC and Marnell Corrao Associates, Inc. for Le Rêve.(8)</w:t>
      </w:r>
    </w:p>
    <w:p>
      <w:pPr>
        <w:spacing w:after="0" w:line="37"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color w:val="auto"/>
        </w:rPr>
        <w:t>10.63</w:t>
      </w:r>
      <w:r>
        <w:rPr>
          <w:sz w:val="20"/>
          <w:szCs w:val="20"/>
          <w:color w:val="auto"/>
        </w:rPr>
        <w:tab/>
      </w:r>
      <w:r>
        <w:rPr>
          <w:rFonts w:ascii="Arial" w:cs="Arial" w:eastAsia="Arial" w:hAnsi="Arial"/>
          <w:sz w:val="16"/>
          <w:szCs w:val="16"/>
          <w:color w:val="auto"/>
        </w:rPr>
        <w:t>Continuing Guaranty, dated June 4, 2002, by Austi, Inc. in favor of Wynn Las Vegas, LLC.(8)</w:t>
      </w:r>
    </w:p>
    <w:p>
      <w:pPr>
        <w:spacing w:after="0" w:line="77"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color w:val="auto"/>
        </w:rPr>
        <w:t>10.64</w:t>
      </w:r>
      <w:r>
        <w:rPr>
          <w:sz w:val="20"/>
          <w:szCs w:val="20"/>
          <w:color w:val="auto"/>
        </w:rPr>
        <w:tab/>
      </w:r>
      <w:r>
        <w:rPr>
          <w:rFonts w:ascii="Arial" w:cs="Arial" w:eastAsia="Arial" w:hAnsi="Arial"/>
          <w:sz w:val="15"/>
          <w:szCs w:val="15"/>
          <w:color w:val="auto"/>
        </w:rPr>
        <w:t>Design/Build Agreement, dated June 6, 2002, by and between Wynn Las Vegas, LLC and Bomel Construction Company, Inc.(8)</w:t>
      </w:r>
    </w:p>
    <w:p>
      <w:pPr>
        <w:spacing w:after="0" w:line="77"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color w:val="auto"/>
        </w:rPr>
        <w:t>10.65</w:t>
      </w:r>
      <w:r>
        <w:rPr>
          <w:sz w:val="20"/>
          <w:szCs w:val="20"/>
          <w:color w:val="auto"/>
        </w:rPr>
        <w:tab/>
      </w:r>
      <w:r>
        <w:rPr>
          <w:rFonts w:ascii="Arial" w:cs="Arial" w:eastAsia="Arial" w:hAnsi="Arial"/>
          <w:sz w:val="16"/>
          <w:szCs w:val="16"/>
          <w:color w:val="auto"/>
        </w:rPr>
        <w:t>Form of Indemnity Agreement.(9)</w:t>
      </w:r>
    </w:p>
    <w:p>
      <w:pPr>
        <w:spacing w:after="0" w:line="77"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color w:val="auto"/>
        </w:rPr>
        <w:t>10.66</w:t>
      </w:r>
      <w:r>
        <w:rPr>
          <w:sz w:val="20"/>
          <w:szCs w:val="20"/>
          <w:color w:val="auto"/>
        </w:rPr>
        <w:tab/>
      </w:r>
      <w:r>
        <w:rPr>
          <w:rFonts w:ascii="Arial" w:cs="Arial" w:eastAsia="Arial" w:hAnsi="Arial"/>
          <w:sz w:val="16"/>
          <w:szCs w:val="16"/>
          <w:color w:val="auto"/>
        </w:rPr>
        <w:t>Employment Agreement, dated April 1, 2002, by and between Wynn Resorts Holdings, LLC and Ronald J. Kramer.(2)</w:t>
      </w:r>
    </w:p>
    <w:p>
      <w:pPr>
        <w:spacing w:after="0" w:line="77" w:lineRule="exact"/>
        <w:rPr>
          <w:sz w:val="20"/>
          <w:szCs w:val="20"/>
          <w:color w:val="auto"/>
        </w:rPr>
      </w:pPr>
    </w:p>
    <w:p>
      <w:pPr>
        <w:ind w:left="1120" w:hanging="935"/>
        <w:spacing w:after="0" w:line="268" w:lineRule="auto"/>
        <w:tabs>
          <w:tab w:leader="none" w:pos="1100" w:val="left"/>
        </w:tabs>
        <w:rPr>
          <w:sz w:val="20"/>
          <w:szCs w:val="20"/>
          <w:color w:val="auto"/>
        </w:rPr>
      </w:pPr>
      <w:r>
        <w:rPr>
          <w:rFonts w:ascii="Arial" w:cs="Arial" w:eastAsia="Arial" w:hAnsi="Arial"/>
          <w:sz w:val="18"/>
          <w:szCs w:val="18"/>
          <w:color w:val="auto"/>
        </w:rPr>
        <w:t>10.67</w:t>
      </w:r>
      <w:r>
        <w:rPr>
          <w:sz w:val="20"/>
          <w:szCs w:val="20"/>
          <w:color w:val="auto"/>
        </w:rPr>
        <w:tab/>
      </w:r>
      <w:r>
        <w:rPr>
          <w:rFonts w:ascii="Arial" w:cs="Arial" w:eastAsia="Arial" w:hAnsi="Arial"/>
          <w:sz w:val="18"/>
          <w:szCs w:val="18"/>
          <w:color w:val="auto"/>
        </w:rPr>
        <w:t>Contribution Agreement, dated as of June 11, 2002 by and among Stephen A. Wynn, Aruze USA, Inc., Baron Asset Fund, the Kenneth R. Wynn Family Trust dated February 1985 and Wynn Resorts, Limited.(2)</w:t>
      </w:r>
    </w:p>
    <w:p>
      <w:pPr>
        <w:spacing w:after="0" w:line="37"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color w:val="auto"/>
        </w:rPr>
        <w:t>10.68</w:t>
      </w:r>
      <w:r>
        <w:rPr>
          <w:sz w:val="20"/>
          <w:szCs w:val="20"/>
          <w:color w:val="auto"/>
        </w:rPr>
        <w:tab/>
      </w:r>
      <w:r>
        <w:rPr>
          <w:rFonts w:ascii="Arial" w:cs="Arial" w:eastAsia="Arial" w:hAnsi="Arial"/>
          <w:sz w:val="16"/>
          <w:szCs w:val="16"/>
          <w:color w:val="auto"/>
        </w:rPr>
        <w:t>Intentionally Omitted.</w:t>
      </w:r>
    </w:p>
    <w:p>
      <w:pPr>
        <w:spacing w:after="0" w:line="77"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color w:val="auto"/>
        </w:rPr>
        <w:t>10.69</w:t>
      </w:r>
      <w:r>
        <w:rPr>
          <w:sz w:val="20"/>
          <w:szCs w:val="20"/>
          <w:color w:val="auto"/>
        </w:rPr>
        <w:tab/>
      </w:r>
      <w:r>
        <w:rPr>
          <w:rFonts w:ascii="Arial" w:cs="Arial" w:eastAsia="Arial" w:hAnsi="Arial"/>
          <w:sz w:val="16"/>
          <w:szCs w:val="16"/>
          <w:color w:val="auto"/>
        </w:rPr>
        <w:t>Intentionally Omitted</w:t>
      </w:r>
    </w:p>
    <w:p>
      <w:pPr>
        <w:spacing w:after="0" w:line="77"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color w:val="auto"/>
        </w:rPr>
        <w:t>10.70</w:t>
      </w:r>
      <w:r>
        <w:rPr>
          <w:sz w:val="20"/>
          <w:szCs w:val="20"/>
          <w:color w:val="auto"/>
        </w:rPr>
        <w:tab/>
      </w:r>
      <w:r>
        <w:rPr>
          <w:rFonts w:ascii="Arial" w:cs="Arial" w:eastAsia="Arial" w:hAnsi="Arial"/>
          <w:sz w:val="15"/>
          <w:szCs w:val="15"/>
          <w:color w:val="auto"/>
        </w:rPr>
        <w:t>Agreement, dated as of June 13, 2002, by and between Stephen A. Wynn and Wynn Resorts, Limited.(2)</w:t>
      </w:r>
    </w:p>
    <w:p>
      <w:pPr>
        <w:spacing w:after="0" w:line="77"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color w:val="auto"/>
        </w:rPr>
        <w:t>10.71</w:t>
      </w:r>
      <w:r>
        <w:rPr>
          <w:sz w:val="20"/>
          <w:szCs w:val="20"/>
          <w:color w:val="auto"/>
        </w:rPr>
        <w:tab/>
      </w:r>
      <w:r>
        <w:rPr>
          <w:rFonts w:ascii="Arial" w:cs="Arial" w:eastAsia="Arial" w:hAnsi="Arial"/>
          <w:sz w:val="15"/>
          <w:szCs w:val="15"/>
          <w:color w:val="auto"/>
        </w:rPr>
        <w:t>Purchase Agreement, dated May 30, 2002, between Stephen A. Wynn and Valvino Lamore, LLC.(2)</w:t>
      </w:r>
    </w:p>
    <w:p>
      <w:pPr>
        <w:spacing w:after="0" w:line="77"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color w:val="auto"/>
        </w:rPr>
        <w:t>10.72</w:t>
      </w:r>
      <w:r>
        <w:rPr>
          <w:sz w:val="20"/>
          <w:szCs w:val="20"/>
          <w:color w:val="auto"/>
        </w:rPr>
        <w:tab/>
      </w:r>
      <w:r>
        <w:rPr>
          <w:rFonts w:ascii="Arial" w:cs="Arial" w:eastAsia="Arial" w:hAnsi="Arial"/>
          <w:sz w:val="16"/>
          <w:szCs w:val="16"/>
          <w:color w:val="auto"/>
        </w:rPr>
        <w:t>Employment Agreement, dated as of May 31, 2002, by and between Valvino Lamore, LLC and Matt Maddox.(2)</w:t>
      </w:r>
    </w:p>
    <w:p>
      <w:pPr>
        <w:spacing w:after="0" w:line="77" w:lineRule="exact"/>
        <w:rPr>
          <w:sz w:val="20"/>
          <w:szCs w:val="20"/>
          <w:color w:val="auto"/>
        </w:rPr>
      </w:pPr>
    </w:p>
    <w:p>
      <w:pPr>
        <w:ind w:left="1120" w:hanging="935"/>
        <w:spacing w:after="0" w:line="259" w:lineRule="auto"/>
        <w:tabs>
          <w:tab w:leader="none" w:pos="1100" w:val="left"/>
        </w:tabs>
        <w:rPr>
          <w:sz w:val="20"/>
          <w:szCs w:val="20"/>
          <w:color w:val="auto"/>
        </w:rPr>
      </w:pPr>
      <w:r>
        <w:rPr>
          <w:rFonts w:ascii="Arial" w:cs="Arial" w:eastAsia="Arial" w:hAnsi="Arial"/>
          <w:sz w:val="18"/>
          <w:szCs w:val="18"/>
          <w:color w:val="auto"/>
        </w:rPr>
        <w:t>10.73</w:t>
      </w:r>
      <w:r>
        <w:rPr>
          <w:sz w:val="20"/>
          <w:szCs w:val="20"/>
          <w:color w:val="auto"/>
        </w:rPr>
        <w:tab/>
      </w:r>
      <w:r>
        <w:rPr>
          <w:rFonts w:ascii="Arial" w:cs="Arial" w:eastAsia="Arial" w:hAnsi="Arial"/>
          <w:sz w:val="18"/>
          <w:szCs w:val="18"/>
          <w:color w:val="auto"/>
        </w:rPr>
        <w:t>Concession Contract for the Operation of Games of Chance or Other Games in Casinos in the Macau Special Administrative Region, dated June 24, 2002, between the Macau Special Administrative Region and Wynn Resorts (Macau), S.A. (English translation of Portuguese version of Concession Agreement).(2)</w:t>
      </w:r>
    </w:p>
    <w:p>
      <w:pPr>
        <w:spacing w:after="0" w:line="46" w:lineRule="exact"/>
        <w:rPr>
          <w:sz w:val="20"/>
          <w:szCs w:val="20"/>
          <w:color w:val="auto"/>
        </w:rPr>
      </w:pPr>
    </w:p>
    <w:p>
      <w:pPr>
        <w:ind w:left="1120" w:right="80" w:hanging="935"/>
        <w:spacing w:after="0" w:line="259" w:lineRule="auto"/>
        <w:tabs>
          <w:tab w:leader="none" w:pos="1100" w:val="left"/>
        </w:tabs>
        <w:rPr>
          <w:sz w:val="20"/>
          <w:szCs w:val="20"/>
          <w:color w:val="auto"/>
        </w:rPr>
      </w:pPr>
      <w:r>
        <w:rPr>
          <w:rFonts w:ascii="Arial" w:cs="Arial" w:eastAsia="Arial" w:hAnsi="Arial"/>
          <w:sz w:val="18"/>
          <w:szCs w:val="18"/>
          <w:color w:val="auto"/>
        </w:rPr>
        <w:t>10.74</w:t>
      </w:r>
      <w:r>
        <w:rPr>
          <w:sz w:val="20"/>
          <w:szCs w:val="20"/>
          <w:color w:val="auto"/>
        </w:rPr>
        <w:tab/>
      </w:r>
      <w:r>
        <w:rPr>
          <w:rFonts w:ascii="Arial" w:cs="Arial" w:eastAsia="Arial" w:hAnsi="Arial"/>
          <w:sz w:val="18"/>
          <w:szCs w:val="18"/>
          <w:color w:val="auto"/>
        </w:rPr>
        <w:t>Amended and Restated Commitment Letter Agreement, dated June 14, 2002, among Deutsche Bank Trust Company Americas, Deutsche Bank Securities Inc., Bank of America, N.A., Banc of America Securities LLC, Bear Stearns Corporate Lending, Inc., Bear Stearns &amp; Co. Inc., Wynn Resorts Holdings, LLC and Wynn Las Vegas, LLC.(2)</w:t>
      </w:r>
    </w:p>
    <w:p>
      <w:pPr>
        <w:spacing w:after="0" w:line="46" w:lineRule="exact"/>
        <w:rPr>
          <w:sz w:val="20"/>
          <w:szCs w:val="20"/>
          <w:color w:val="auto"/>
        </w:rPr>
      </w:pPr>
    </w:p>
    <w:p>
      <w:pPr>
        <w:ind w:left="1120" w:right="360" w:hanging="935"/>
        <w:spacing w:after="0" w:line="259" w:lineRule="auto"/>
        <w:tabs>
          <w:tab w:leader="none" w:pos="1100" w:val="left"/>
        </w:tabs>
        <w:rPr>
          <w:sz w:val="20"/>
          <w:szCs w:val="20"/>
          <w:color w:val="auto"/>
        </w:rPr>
      </w:pPr>
      <w:r>
        <w:rPr>
          <w:rFonts w:ascii="Arial" w:cs="Arial" w:eastAsia="Arial" w:hAnsi="Arial"/>
          <w:sz w:val="18"/>
          <w:szCs w:val="18"/>
          <w:color w:val="auto"/>
        </w:rPr>
        <w:t>10.75</w:t>
      </w:r>
      <w:r>
        <w:rPr>
          <w:sz w:val="20"/>
          <w:szCs w:val="20"/>
          <w:color w:val="auto"/>
        </w:rPr>
        <w:tab/>
      </w:r>
      <w:r>
        <w:rPr>
          <w:rFonts w:ascii="Arial" w:cs="Arial" w:eastAsia="Arial" w:hAnsi="Arial"/>
          <w:sz w:val="18"/>
          <w:szCs w:val="18"/>
          <w:color w:val="auto"/>
        </w:rPr>
        <w:t>Concession Contract for Operating Casino Gaming or Other Forms of Gaming in the Macao Special Administrative Region, dated June 24, 2002, between the Macau Special Administrative Region and Wynn Resorts (Macau) S.A. (English translation of Chinese version of Concession Agreement).(3)</w:t>
      </w:r>
    </w:p>
    <w:p>
      <w:pPr>
        <w:spacing w:after="0" w:line="46"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color w:val="auto"/>
        </w:rPr>
        <w:t>10.76</w:t>
      </w:r>
      <w:r>
        <w:rPr>
          <w:sz w:val="20"/>
          <w:szCs w:val="20"/>
          <w:color w:val="auto"/>
        </w:rPr>
        <w:tab/>
      </w:r>
      <w:r>
        <w:rPr>
          <w:rFonts w:ascii="Arial" w:cs="Arial" w:eastAsia="Arial" w:hAnsi="Arial"/>
          <w:sz w:val="16"/>
          <w:szCs w:val="16"/>
          <w:color w:val="auto"/>
        </w:rPr>
        <w:t>Professional Design Services Agreement, effective as of October 5, 2001, between Wynn Design Development, LLC and A.A. Marnell II, Chtd.</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(3)</w:t>
      </w:r>
    </w:p>
    <w:p>
      <w:pPr>
        <w:spacing w:after="0" w:line="15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80"/>
          </w:cols>
          <w:pgMar w:left="380" w:top="275" w:right="239" w:bottom="1440" w:gutter="0" w:footer="0" w:header="0"/>
        </w:sectPr>
      </w:pPr>
    </w:p>
    <w:bookmarkStart w:id="74" w:name="page75"/>
    <w:bookmarkEnd w:id="74"/>
    <w:p>
      <w:pPr>
        <w:spacing w:after="0"/>
        <w:tabs>
          <w:tab w:leader="none" w:pos="584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4032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03225" cy="8890"/>
                    </a:xfrm>
                    <a:prstGeom prst="rect">
                      <a:avLst/>
                    </a:prstGeom>
                    <a:noFill/>
                  </pic:spPr>
                </pic:pic>
              </a:graphicData>
            </a:graphic>
          </wp:anchor>
        </w:drawing>
        <w:drawing>
          <wp:anchor simplePos="0" relativeHeight="251657728" behindDoc="1" locked="0" layoutInCell="0" allowOverlap="1">
            <wp:simplePos x="0" y="0"/>
            <wp:positionH relativeFrom="column">
              <wp:posOffset>3620770</wp:posOffset>
            </wp:positionH>
            <wp:positionV relativeFrom="paragraph">
              <wp:posOffset>68580</wp:posOffset>
            </wp:positionV>
            <wp:extent cx="6432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2"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color w:val="auto"/>
        </w:rPr>
        <w:t>10.77</w:t>
      </w:r>
      <w:r>
        <w:rPr>
          <w:sz w:val="20"/>
          <w:szCs w:val="20"/>
          <w:color w:val="auto"/>
        </w:rPr>
        <w:tab/>
      </w:r>
      <w:r>
        <w:rPr>
          <w:rFonts w:ascii="Arial" w:cs="Arial" w:eastAsia="Arial" w:hAnsi="Arial"/>
          <w:sz w:val="15"/>
          <w:szCs w:val="15"/>
          <w:color w:val="auto"/>
        </w:rPr>
        <w:t>General Conditions to the Professional Design Services Agreement.(3)</w:t>
      </w:r>
    </w:p>
    <w:p>
      <w:pPr>
        <w:spacing w:after="0" w:line="77"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color w:val="auto"/>
        </w:rPr>
        <w:t>10.78</w:t>
      </w:r>
      <w:r>
        <w:rPr>
          <w:sz w:val="20"/>
          <w:szCs w:val="20"/>
          <w:color w:val="auto"/>
        </w:rPr>
        <w:tab/>
      </w:r>
      <w:r>
        <w:rPr>
          <w:rFonts w:ascii="Arial" w:cs="Arial" w:eastAsia="Arial" w:hAnsi="Arial"/>
          <w:sz w:val="15"/>
          <w:szCs w:val="15"/>
          <w:color w:val="auto"/>
        </w:rPr>
        <w:t>Trademark/Service Mark Purchase Agreement, dated June 7, 2001, between Wynn Resorts and The STAD Trust.(3)</w:t>
      </w:r>
    </w:p>
    <w:p>
      <w:pPr>
        <w:spacing w:after="0" w:line="77"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color w:val="auto"/>
        </w:rPr>
        <w:t>10.79</w:t>
      </w:r>
      <w:r>
        <w:rPr>
          <w:sz w:val="20"/>
          <w:szCs w:val="20"/>
          <w:color w:val="auto"/>
        </w:rPr>
        <w:tab/>
      </w:r>
      <w:r>
        <w:rPr>
          <w:rFonts w:ascii="Arial" w:cs="Arial" w:eastAsia="Arial" w:hAnsi="Arial"/>
          <w:sz w:val="16"/>
          <w:szCs w:val="16"/>
          <w:color w:val="auto"/>
        </w:rPr>
        <w:t>Purchase Agreement, dated as of April 1, 2001, between Stephen A. Wynn and Valvino Lamore, LLC.(3)</w:t>
      </w:r>
    </w:p>
    <w:p>
      <w:pPr>
        <w:spacing w:after="0" w:line="77" w:lineRule="exact"/>
        <w:rPr>
          <w:sz w:val="20"/>
          <w:szCs w:val="20"/>
          <w:color w:val="auto"/>
        </w:rPr>
      </w:pPr>
    </w:p>
    <w:p>
      <w:pPr>
        <w:ind w:left="300"/>
        <w:spacing w:after="0"/>
        <w:tabs>
          <w:tab w:leader="none" w:pos="1100" w:val="left"/>
        </w:tabs>
        <w:rPr>
          <w:sz w:val="20"/>
          <w:szCs w:val="20"/>
          <w:color w:val="auto"/>
        </w:rPr>
      </w:pPr>
      <w:r>
        <w:rPr>
          <w:rFonts w:ascii="Arial" w:cs="Arial" w:eastAsia="Arial" w:hAnsi="Arial"/>
          <w:sz w:val="18"/>
          <w:szCs w:val="18"/>
          <w:color w:val="auto"/>
        </w:rPr>
        <w:t>*10.80</w:t>
      </w:r>
      <w:r>
        <w:rPr>
          <w:sz w:val="20"/>
          <w:szCs w:val="20"/>
          <w:color w:val="auto"/>
        </w:rPr>
        <w:tab/>
      </w:r>
      <w:r>
        <w:rPr>
          <w:rFonts w:ascii="Arial" w:cs="Arial" w:eastAsia="Arial" w:hAnsi="Arial"/>
          <w:sz w:val="15"/>
          <w:szCs w:val="15"/>
          <w:color w:val="auto"/>
        </w:rPr>
        <w:t>Second Amended and Restated Operating Agreement of Valvino Lamore, LLC.</w:t>
      </w:r>
    </w:p>
    <w:p>
      <w:pPr>
        <w:spacing w:after="0" w:line="77"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color w:val="auto"/>
        </w:rPr>
        <w:t>10.81</w:t>
      </w:r>
      <w:r>
        <w:rPr>
          <w:sz w:val="20"/>
          <w:szCs w:val="20"/>
          <w:color w:val="auto"/>
        </w:rPr>
        <w:tab/>
      </w:r>
      <w:r>
        <w:rPr>
          <w:rFonts w:ascii="Arial" w:cs="Arial" w:eastAsia="Arial" w:hAnsi="Arial"/>
          <w:sz w:val="16"/>
          <w:szCs w:val="16"/>
          <w:color w:val="auto"/>
        </w:rPr>
        <w:t>Intentionally Omitted.</w:t>
      </w:r>
    </w:p>
    <w:p>
      <w:pPr>
        <w:spacing w:after="0" w:line="77"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color w:val="auto"/>
        </w:rPr>
        <w:t>10.82</w:t>
      </w:r>
      <w:r>
        <w:rPr>
          <w:sz w:val="20"/>
          <w:szCs w:val="20"/>
          <w:color w:val="auto"/>
        </w:rPr>
        <w:tab/>
      </w:r>
      <w:r>
        <w:rPr>
          <w:rFonts w:ascii="Arial" w:cs="Arial" w:eastAsia="Arial" w:hAnsi="Arial"/>
          <w:sz w:val="16"/>
          <w:szCs w:val="16"/>
          <w:color w:val="auto"/>
        </w:rPr>
        <w:t>Intentionally Omitted.</w:t>
      </w:r>
    </w:p>
    <w:p>
      <w:pPr>
        <w:spacing w:after="0" w:line="77" w:lineRule="exact"/>
        <w:rPr>
          <w:sz w:val="20"/>
          <w:szCs w:val="20"/>
          <w:color w:val="auto"/>
        </w:rPr>
      </w:pPr>
    </w:p>
    <w:p>
      <w:pPr>
        <w:ind w:left="1120" w:hanging="1022"/>
        <w:spacing w:after="0" w:line="268" w:lineRule="auto"/>
        <w:tabs>
          <w:tab w:leader="none" w:pos="1100" w:val="left"/>
        </w:tabs>
        <w:rPr>
          <w:sz w:val="20"/>
          <w:szCs w:val="20"/>
          <w:color w:val="auto"/>
        </w:rPr>
      </w:pPr>
      <w:r>
        <w:rPr>
          <w:rFonts w:ascii="Arial" w:cs="Arial" w:eastAsia="Arial" w:hAnsi="Arial"/>
          <w:sz w:val="18"/>
          <w:szCs w:val="18"/>
          <w:color w:val="auto"/>
        </w:rPr>
        <w:t>*10.83</w:t>
      </w:r>
      <w:r>
        <w:rPr>
          <w:sz w:val="20"/>
          <w:szCs w:val="20"/>
          <w:color w:val="auto"/>
        </w:rPr>
        <w:tab/>
      </w:r>
      <w:r>
        <w:rPr>
          <w:rFonts w:ascii="Arial" w:cs="Arial" w:eastAsia="Arial" w:hAnsi="Arial"/>
          <w:sz w:val="18"/>
          <w:szCs w:val="18"/>
          <w:color w:val="auto"/>
        </w:rPr>
        <w:t>First Amendment dated December 11, 2002, to Employment Agreement dated as of September 9, 2002, by and between Wynn Resorts, Limited and John Strzemp.</w:t>
      </w:r>
    </w:p>
    <w:p>
      <w:pPr>
        <w:spacing w:after="0" w:line="37"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color w:val="auto"/>
        </w:rPr>
        <w:t>10.84</w:t>
      </w:r>
      <w:r>
        <w:rPr>
          <w:sz w:val="20"/>
          <w:szCs w:val="20"/>
          <w:color w:val="auto"/>
        </w:rPr>
        <w:tab/>
      </w:r>
      <w:r>
        <w:rPr>
          <w:rFonts w:ascii="Arial" w:cs="Arial" w:eastAsia="Arial" w:hAnsi="Arial"/>
          <w:sz w:val="16"/>
          <w:szCs w:val="16"/>
          <w:color w:val="auto"/>
        </w:rPr>
        <w:t>Intentionally Omitted.</w:t>
      </w:r>
    </w:p>
    <w:p>
      <w:pPr>
        <w:spacing w:after="0" w:line="77"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color w:val="auto"/>
        </w:rPr>
        <w:t>10.85</w:t>
      </w:r>
      <w:r>
        <w:rPr>
          <w:sz w:val="20"/>
          <w:szCs w:val="20"/>
          <w:color w:val="auto"/>
        </w:rPr>
        <w:tab/>
      </w:r>
      <w:r>
        <w:rPr>
          <w:rFonts w:ascii="Arial" w:cs="Arial" w:eastAsia="Arial" w:hAnsi="Arial"/>
          <w:sz w:val="16"/>
          <w:szCs w:val="16"/>
          <w:color w:val="auto"/>
        </w:rPr>
        <w:t>Employment Agreement, dated as of July 7, 2000, by and between Wynn Design &amp; Development, LLC and William Todd Nisbet.(3)</w:t>
      </w:r>
    </w:p>
    <w:p>
      <w:pPr>
        <w:spacing w:after="0" w:line="77"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color w:val="auto"/>
        </w:rPr>
        <w:t>10.86</w:t>
      </w:r>
      <w:r>
        <w:rPr>
          <w:sz w:val="20"/>
          <w:szCs w:val="20"/>
          <w:color w:val="auto"/>
        </w:rPr>
        <w:tab/>
      </w:r>
      <w:r>
        <w:rPr>
          <w:rFonts w:ascii="Arial" w:cs="Arial" w:eastAsia="Arial" w:hAnsi="Arial"/>
          <w:sz w:val="15"/>
          <w:szCs w:val="15"/>
          <w:color w:val="auto"/>
        </w:rPr>
        <w:t>Employment Agreement, dated as of October 4, 2002, by and between Wynn Resorts, Limited and Stephen A. Wynn.(4)</w:t>
      </w:r>
    </w:p>
    <w:p>
      <w:pPr>
        <w:spacing w:after="0" w:line="77"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color w:val="auto"/>
        </w:rPr>
        <w:t>10.87</w:t>
      </w:r>
      <w:r>
        <w:rPr>
          <w:sz w:val="20"/>
          <w:szCs w:val="20"/>
          <w:color w:val="auto"/>
        </w:rPr>
        <w:tab/>
      </w:r>
      <w:r>
        <w:rPr>
          <w:rFonts w:ascii="Arial" w:cs="Arial" w:eastAsia="Arial" w:hAnsi="Arial"/>
          <w:sz w:val="16"/>
          <w:szCs w:val="16"/>
          <w:color w:val="auto"/>
        </w:rPr>
        <w:t>Letter of Intent, dated May 24, 2002, by and between Valvino Lamore, LLC and Ferrari North America, Inc.(9)</w:t>
      </w:r>
    </w:p>
    <w:p>
      <w:pPr>
        <w:spacing w:after="0" w:line="77"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color w:val="auto"/>
        </w:rPr>
        <w:t>10.88</w:t>
      </w:r>
      <w:r>
        <w:rPr>
          <w:sz w:val="20"/>
          <w:szCs w:val="20"/>
          <w:color w:val="auto"/>
        </w:rPr>
        <w:tab/>
      </w:r>
      <w:r>
        <w:rPr>
          <w:rFonts w:ascii="Arial" w:cs="Arial" w:eastAsia="Arial" w:hAnsi="Arial"/>
          <w:sz w:val="16"/>
          <w:szCs w:val="16"/>
          <w:color w:val="auto"/>
        </w:rPr>
        <w:t>First Amendment to Letter of Intent, dated as of October 4, 2002, by and between Valvino Lamore, LLC and Ferrari North America, Inc.(9)</w:t>
      </w:r>
    </w:p>
    <w:p>
      <w:pPr>
        <w:spacing w:after="0" w:line="77"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color w:val="auto"/>
        </w:rPr>
        <w:t>10.89</w:t>
      </w:r>
      <w:r>
        <w:rPr>
          <w:sz w:val="20"/>
          <w:szCs w:val="20"/>
          <w:color w:val="auto"/>
        </w:rPr>
        <w:tab/>
      </w:r>
      <w:r>
        <w:rPr>
          <w:rFonts w:ascii="Arial" w:cs="Arial" w:eastAsia="Arial" w:hAnsi="Arial"/>
          <w:sz w:val="16"/>
          <w:szCs w:val="16"/>
          <w:color w:val="auto"/>
        </w:rPr>
        <w:t>Letter of Intent, dated May 24, 2002, by and between Valvino Lamore, LLC and Maserati North America, Inc.(9)</w:t>
      </w:r>
    </w:p>
    <w:p>
      <w:pPr>
        <w:spacing w:after="0" w:line="77"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color w:val="auto"/>
        </w:rPr>
        <w:t>10.90</w:t>
      </w:r>
      <w:r>
        <w:rPr>
          <w:sz w:val="20"/>
          <w:szCs w:val="20"/>
          <w:color w:val="auto"/>
        </w:rPr>
        <w:tab/>
      </w:r>
      <w:r>
        <w:rPr>
          <w:rFonts w:ascii="Arial" w:cs="Arial" w:eastAsia="Arial" w:hAnsi="Arial"/>
          <w:sz w:val="16"/>
          <w:szCs w:val="16"/>
          <w:color w:val="auto"/>
        </w:rPr>
        <w:t>First Amendment to Letter of Intent, dated as of October 4, 2002, by and between Valvino Lamore, LLC and Maserati North America, Inc.(9)</w:t>
      </w:r>
    </w:p>
    <w:p>
      <w:pPr>
        <w:spacing w:after="0" w:line="77"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color w:val="auto"/>
        </w:rPr>
        <w:t>10.91</w:t>
      </w:r>
      <w:r>
        <w:rPr>
          <w:sz w:val="20"/>
          <w:szCs w:val="20"/>
          <w:color w:val="auto"/>
        </w:rPr>
        <w:tab/>
      </w:r>
      <w:r>
        <w:rPr>
          <w:rFonts w:ascii="Arial" w:cs="Arial" w:eastAsia="Arial" w:hAnsi="Arial"/>
          <w:sz w:val="15"/>
          <w:szCs w:val="15"/>
          <w:color w:val="auto"/>
        </w:rPr>
        <w:t>Employment Agreement, dated as of October 4, 2002, by and between Wynn Resorts, Limited and Marc D. Schorr.(9)</w:t>
      </w:r>
    </w:p>
    <w:p>
      <w:pPr>
        <w:spacing w:after="0" w:line="77"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color w:val="auto"/>
        </w:rPr>
        <w:t>10.92</w:t>
      </w:r>
      <w:r>
        <w:rPr>
          <w:sz w:val="20"/>
          <w:szCs w:val="20"/>
          <w:color w:val="auto"/>
        </w:rPr>
        <w:tab/>
      </w:r>
      <w:r>
        <w:rPr>
          <w:rFonts w:ascii="Arial" w:cs="Arial" w:eastAsia="Arial" w:hAnsi="Arial"/>
          <w:sz w:val="16"/>
          <w:szCs w:val="16"/>
          <w:color w:val="auto"/>
        </w:rPr>
        <w:t>Distribution Agreement and Assignment, effective as of October 17, 2002, by and between Wynn Resorts, Limited and Valvino Lamore, LLC.</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(9)</w:t>
      </w:r>
    </w:p>
    <w:p>
      <w:pPr>
        <w:spacing w:after="0" w:line="70" w:lineRule="exact"/>
        <w:rPr>
          <w:sz w:val="20"/>
          <w:szCs w:val="20"/>
          <w:color w:val="auto"/>
        </w:rPr>
      </w:pPr>
    </w:p>
    <w:p>
      <w:pPr>
        <w:ind w:left="1120" w:right="80" w:hanging="935"/>
        <w:spacing w:after="0" w:line="259" w:lineRule="auto"/>
        <w:tabs>
          <w:tab w:leader="none" w:pos="1100" w:val="left"/>
        </w:tabs>
        <w:rPr>
          <w:sz w:val="20"/>
          <w:szCs w:val="20"/>
          <w:color w:val="auto"/>
        </w:rPr>
      </w:pPr>
      <w:r>
        <w:rPr>
          <w:rFonts w:ascii="Arial" w:cs="Arial" w:eastAsia="Arial" w:hAnsi="Arial"/>
          <w:sz w:val="18"/>
          <w:szCs w:val="18"/>
          <w:color w:val="auto"/>
        </w:rPr>
        <w:t>10.93</w:t>
      </w:r>
      <w:r>
        <w:rPr>
          <w:sz w:val="20"/>
          <w:szCs w:val="20"/>
          <w:color w:val="auto"/>
        </w:rPr>
        <w:tab/>
      </w:r>
      <w:r>
        <w:rPr>
          <w:rFonts w:ascii="Arial" w:cs="Arial" w:eastAsia="Arial" w:hAnsi="Arial"/>
          <w:sz w:val="18"/>
          <w:szCs w:val="18"/>
          <w:color w:val="auto"/>
        </w:rPr>
        <w:t>Share Subscription and Stockholders’ Agreement, made and entered into as of October 15, 2002, by and among S.H.W. &amp; Co. Limited, SKKG Limited, L’Arc de Triomphe Limited, Classic Wave Limited, Yany Kwan Yan Chi, Li Tai Foon, Kwan Yan Ming, Wong Chi Seng, Wynn Resorts International, Ltd., and Wynn Resorts (Macau) Holdings, Ltd.(9)</w:t>
      </w:r>
    </w:p>
    <w:p>
      <w:pPr>
        <w:spacing w:after="0" w:line="46" w:lineRule="exact"/>
        <w:rPr>
          <w:sz w:val="20"/>
          <w:szCs w:val="20"/>
          <w:color w:val="auto"/>
        </w:rPr>
      </w:pPr>
    </w:p>
    <w:p>
      <w:pPr>
        <w:ind w:left="1120" w:right="360" w:hanging="935"/>
        <w:spacing w:after="0" w:line="268" w:lineRule="auto"/>
        <w:tabs>
          <w:tab w:leader="none" w:pos="1100" w:val="left"/>
        </w:tabs>
        <w:rPr>
          <w:sz w:val="20"/>
          <w:szCs w:val="20"/>
          <w:color w:val="auto"/>
        </w:rPr>
      </w:pPr>
      <w:r>
        <w:rPr>
          <w:rFonts w:ascii="Arial" w:cs="Arial" w:eastAsia="Arial" w:hAnsi="Arial"/>
          <w:sz w:val="18"/>
          <w:szCs w:val="18"/>
          <w:color w:val="auto"/>
        </w:rPr>
        <w:t>10.94</w:t>
      </w:r>
      <w:r>
        <w:rPr>
          <w:sz w:val="20"/>
          <w:szCs w:val="20"/>
          <w:color w:val="auto"/>
        </w:rPr>
        <w:tab/>
      </w:r>
      <w:r>
        <w:rPr>
          <w:rFonts w:ascii="Arial" w:cs="Arial" w:eastAsia="Arial" w:hAnsi="Arial"/>
          <w:sz w:val="18"/>
          <w:szCs w:val="18"/>
          <w:color w:val="auto"/>
        </w:rPr>
        <w:t>Stockholders’ Agreement, made and entered into as of October 15, 2002, by and among Wong Chi Seng, Wynn Resorts International, Ltd., Wynn Resorts (Macau), Limited and Wynn Resorts (Macau), S.A.(9)</w:t>
      </w:r>
    </w:p>
    <w:p>
      <w:pPr>
        <w:spacing w:after="0" w:line="37"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color w:val="auto"/>
        </w:rPr>
        <w:t>10.95</w:t>
      </w:r>
      <w:r>
        <w:rPr>
          <w:sz w:val="20"/>
          <w:szCs w:val="20"/>
          <w:color w:val="auto"/>
        </w:rPr>
        <w:tab/>
      </w:r>
      <w:r>
        <w:rPr>
          <w:rFonts w:ascii="Arial" w:cs="Arial" w:eastAsia="Arial" w:hAnsi="Arial"/>
          <w:sz w:val="16"/>
          <w:szCs w:val="16"/>
          <w:color w:val="auto"/>
        </w:rPr>
        <w:t>Mortgage, Security Agreement and Assignment, dated as of February 28, 2002, between World Travel, LLC and Bank of America, N.A.(9)</w:t>
      </w:r>
    </w:p>
    <w:p>
      <w:pPr>
        <w:spacing w:after="0" w:line="77" w:lineRule="exact"/>
        <w:rPr>
          <w:sz w:val="20"/>
          <w:szCs w:val="20"/>
          <w:color w:val="auto"/>
        </w:rPr>
      </w:pPr>
    </w:p>
    <w:p>
      <w:pPr>
        <w:ind w:left="1120" w:right="220" w:hanging="935"/>
        <w:spacing w:after="0" w:line="268" w:lineRule="auto"/>
        <w:tabs>
          <w:tab w:leader="none" w:pos="1100" w:val="left"/>
        </w:tabs>
        <w:rPr>
          <w:sz w:val="20"/>
          <w:szCs w:val="20"/>
          <w:color w:val="auto"/>
        </w:rPr>
      </w:pPr>
      <w:r>
        <w:rPr>
          <w:rFonts w:ascii="Arial" w:cs="Arial" w:eastAsia="Arial" w:hAnsi="Arial"/>
          <w:sz w:val="18"/>
          <w:szCs w:val="18"/>
          <w:color w:val="auto"/>
        </w:rPr>
        <w:t>10.96</w:t>
      </w:r>
      <w:r>
        <w:rPr>
          <w:sz w:val="20"/>
          <w:szCs w:val="20"/>
          <w:color w:val="auto"/>
        </w:rPr>
        <w:tab/>
      </w:r>
      <w:r>
        <w:rPr>
          <w:rFonts w:ascii="Arial" w:cs="Arial" w:eastAsia="Arial" w:hAnsi="Arial"/>
          <w:sz w:val="18"/>
          <w:szCs w:val="18"/>
          <w:color w:val="auto"/>
        </w:rPr>
        <w:t>FF&amp;E Facility Commitment Letter, dated October 3, 2002, from Deutsche Bank Trust Company Americas, Bank of America, N.A. and Bear Stearns Corporate Lending, Inc. to Bank of America, National Association.(5)</w:t>
      </w:r>
    </w:p>
    <w:p>
      <w:pPr>
        <w:spacing w:after="0" w:line="37" w:lineRule="exact"/>
        <w:rPr>
          <w:sz w:val="20"/>
          <w:szCs w:val="20"/>
          <w:color w:val="auto"/>
        </w:rPr>
      </w:pPr>
    </w:p>
    <w:p>
      <w:pPr>
        <w:jc w:val="center"/>
        <w:ind w:right="-19"/>
        <w:spacing w:after="0"/>
        <w:tabs>
          <w:tab w:leader="none" w:pos="320" w:val="left"/>
        </w:tabs>
        <w:rPr>
          <w:sz w:val="20"/>
          <w:szCs w:val="20"/>
          <w:color w:val="auto"/>
        </w:rPr>
      </w:pPr>
      <w:r>
        <w:rPr>
          <w:rFonts w:ascii="Arial" w:cs="Arial" w:eastAsia="Arial" w:hAnsi="Arial"/>
          <w:sz w:val="18"/>
          <w:szCs w:val="18"/>
          <w:color w:val="auto"/>
        </w:rPr>
        <w:t>10.97</w:t>
      </w:r>
      <w:r>
        <w:rPr>
          <w:sz w:val="20"/>
          <w:szCs w:val="20"/>
          <w:color w:val="auto"/>
        </w:rPr>
        <w:tab/>
      </w:r>
      <w:r>
        <w:rPr>
          <w:rFonts w:ascii="Arial" w:cs="Arial" w:eastAsia="Arial" w:hAnsi="Arial"/>
          <w:sz w:val="16"/>
          <w:szCs w:val="16"/>
          <w:color w:val="auto"/>
        </w:rPr>
        <w:t>FF&amp;E Facility Commitment Letter, dated September 16, 2002, from Bank of America, N.A. to Bank of America, National Association.(5)</w:t>
      </w:r>
    </w:p>
    <w:p>
      <w:pPr>
        <w:spacing w:after="0" w:line="77" w:lineRule="exact"/>
        <w:rPr>
          <w:sz w:val="20"/>
          <w:szCs w:val="20"/>
          <w:color w:val="auto"/>
        </w:rPr>
      </w:pPr>
    </w:p>
    <w:p>
      <w:pPr>
        <w:ind w:left="1120" w:right="380" w:hanging="935"/>
        <w:spacing w:after="0" w:line="268" w:lineRule="auto"/>
        <w:tabs>
          <w:tab w:leader="none" w:pos="1100" w:val="left"/>
        </w:tabs>
        <w:rPr>
          <w:sz w:val="20"/>
          <w:szCs w:val="20"/>
          <w:color w:val="auto"/>
        </w:rPr>
      </w:pPr>
      <w:r>
        <w:rPr>
          <w:rFonts w:ascii="Arial" w:cs="Arial" w:eastAsia="Arial" w:hAnsi="Arial"/>
          <w:sz w:val="18"/>
          <w:szCs w:val="18"/>
          <w:color w:val="auto"/>
        </w:rPr>
        <w:t>10.98</w:t>
      </w:r>
      <w:r>
        <w:rPr>
          <w:sz w:val="20"/>
          <w:szCs w:val="20"/>
          <w:color w:val="auto"/>
        </w:rPr>
        <w:tab/>
      </w:r>
      <w:r>
        <w:rPr>
          <w:rFonts w:ascii="Arial" w:cs="Arial" w:eastAsia="Arial" w:hAnsi="Arial"/>
          <w:sz w:val="18"/>
          <w:szCs w:val="18"/>
          <w:color w:val="auto"/>
        </w:rPr>
        <w:t>FF&amp;E Facility Commitment Letter, dated August 22, 2002, from The CIT Group/Equipment Financing, Inc. to Bank of America, National Association.(5)</w:t>
      </w:r>
    </w:p>
    <w:p>
      <w:pPr>
        <w:spacing w:after="0" w:line="11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80" w:top="275" w:right="27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74"/>
        </w:trPr>
        <w:tc>
          <w:tcPr>
            <w:tcW w:w="1120" w:type="dxa"/>
            <w:vAlign w:val="bottom"/>
            <w:gridSpan w:val="3"/>
          </w:tcPr>
          <w:p>
            <w:pPr>
              <w:ind w:left="200"/>
              <w:spacing w:after="0"/>
              <w:rPr>
                <w:sz w:val="20"/>
                <w:szCs w:val="20"/>
                <w:color w:val="auto"/>
              </w:rPr>
            </w:pPr>
            <w:r>
              <w:rPr>
                <w:rFonts w:ascii="Arial" w:cs="Arial" w:eastAsia="Arial" w:hAnsi="Arial"/>
                <w:sz w:val="14"/>
                <w:szCs w:val="14"/>
                <w:b w:val="1"/>
                <w:bCs w:val="1"/>
                <w:color w:val="auto"/>
              </w:rPr>
              <w:t>Exhibit No.</w:t>
            </w:r>
          </w:p>
        </w:tc>
        <w:tc>
          <w:tcPr>
            <w:tcW w:w="4840" w:type="dxa"/>
            <w:vAlign w:val="bottom"/>
          </w:tcPr>
          <w:p>
            <w:pPr>
              <w:spacing w:after="0"/>
              <w:rPr>
                <w:sz w:val="15"/>
                <w:szCs w:val="15"/>
                <w:color w:val="auto"/>
              </w:rPr>
            </w:pPr>
          </w:p>
        </w:tc>
        <w:tc>
          <w:tcPr>
            <w:tcW w:w="53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2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8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20" w:type="dxa"/>
            <w:vAlign w:val="bottom"/>
          </w:tcPr>
          <w:p>
            <w:pPr>
              <w:spacing w:after="0"/>
              <w:rPr>
                <w:sz w:val="8"/>
                <w:szCs w:val="8"/>
                <w:color w:val="auto"/>
              </w:rPr>
            </w:pPr>
          </w:p>
        </w:tc>
      </w:tr>
      <w:tr>
        <w:trPr>
          <w:trHeight w:val="309"/>
        </w:trPr>
        <w:tc>
          <w:tcPr>
            <w:tcW w:w="820" w:type="dxa"/>
            <w:vAlign w:val="bottom"/>
            <w:gridSpan w:val="2"/>
          </w:tcPr>
          <w:p>
            <w:pPr>
              <w:ind w:left="100"/>
              <w:spacing w:after="0"/>
              <w:rPr>
                <w:sz w:val="20"/>
                <w:szCs w:val="20"/>
                <w:color w:val="auto"/>
              </w:rPr>
            </w:pPr>
            <w:r>
              <w:rPr>
                <w:rFonts w:ascii="Arial" w:cs="Arial" w:eastAsia="Arial" w:hAnsi="Arial"/>
                <w:sz w:val="18"/>
                <w:szCs w:val="18"/>
                <w:color w:val="auto"/>
              </w:rPr>
              <w:t>10.99</w:t>
            </w:r>
          </w:p>
        </w:tc>
        <w:tc>
          <w:tcPr>
            <w:tcW w:w="300" w:type="dxa"/>
            <w:vAlign w:val="bottom"/>
          </w:tcPr>
          <w:p>
            <w:pPr>
              <w:spacing w:after="0"/>
              <w:rPr>
                <w:sz w:val="24"/>
                <w:szCs w:val="24"/>
                <w:color w:val="auto"/>
              </w:rPr>
            </w:pPr>
          </w:p>
        </w:tc>
        <w:tc>
          <w:tcPr>
            <w:tcW w:w="10160" w:type="dxa"/>
            <w:vAlign w:val="bottom"/>
            <w:gridSpan w:val="3"/>
          </w:tcPr>
          <w:p>
            <w:pPr>
              <w:ind w:left="260"/>
              <w:spacing w:after="0"/>
              <w:rPr>
                <w:sz w:val="20"/>
                <w:szCs w:val="20"/>
                <w:color w:val="auto"/>
              </w:rPr>
            </w:pPr>
            <w:r>
              <w:rPr>
                <w:rFonts w:ascii="Arial" w:cs="Arial" w:eastAsia="Arial" w:hAnsi="Arial"/>
                <w:sz w:val="18"/>
                <w:szCs w:val="18"/>
                <w:color w:val="auto"/>
                <w:w w:val="95"/>
              </w:rPr>
              <w:t>FF&amp;E Facility Commitment Letter, dated October 18, 2002, from General Electric Capital Corporation to Bank of America, National</w:t>
            </w:r>
          </w:p>
        </w:tc>
      </w:tr>
      <w:tr>
        <w:trPr>
          <w:trHeight w:val="222"/>
        </w:trPr>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160" w:type="dxa"/>
            <w:vAlign w:val="bottom"/>
            <w:gridSpan w:val="3"/>
          </w:tcPr>
          <w:p>
            <w:pPr>
              <w:ind w:left="460"/>
              <w:spacing w:after="0"/>
              <w:rPr>
                <w:sz w:val="20"/>
                <w:szCs w:val="20"/>
                <w:color w:val="auto"/>
              </w:rPr>
            </w:pPr>
            <w:r>
              <w:rPr>
                <w:rFonts w:ascii="Arial" w:cs="Arial" w:eastAsia="Arial" w:hAnsi="Arial"/>
                <w:sz w:val="18"/>
                <w:szCs w:val="18"/>
                <w:color w:val="auto"/>
              </w:rPr>
              <w:t>Association.(5)</w:t>
            </w:r>
          </w:p>
        </w:tc>
      </w:tr>
      <w:tr>
        <w:trPr>
          <w:trHeight w:val="277"/>
        </w:trPr>
        <w:tc>
          <w:tcPr>
            <w:tcW w:w="820" w:type="dxa"/>
            <w:vAlign w:val="bottom"/>
            <w:gridSpan w:val="2"/>
          </w:tcPr>
          <w:p>
            <w:pPr>
              <w:ind w:left="100"/>
              <w:spacing w:after="0"/>
              <w:rPr>
                <w:sz w:val="20"/>
                <w:szCs w:val="20"/>
                <w:color w:val="auto"/>
              </w:rPr>
            </w:pPr>
            <w:r>
              <w:rPr>
                <w:rFonts w:ascii="Arial" w:cs="Arial" w:eastAsia="Arial" w:hAnsi="Arial"/>
                <w:sz w:val="18"/>
                <w:szCs w:val="18"/>
                <w:color w:val="auto"/>
              </w:rPr>
              <w:t>10.100</w:t>
            </w:r>
          </w:p>
        </w:tc>
        <w:tc>
          <w:tcPr>
            <w:tcW w:w="300" w:type="dxa"/>
            <w:vAlign w:val="bottom"/>
          </w:tcPr>
          <w:p>
            <w:pPr>
              <w:spacing w:after="0"/>
              <w:rPr>
                <w:sz w:val="24"/>
                <w:szCs w:val="24"/>
                <w:color w:val="auto"/>
              </w:rPr>
            </w:pPr>
          </w:p>
        </w:tc>
        <w:tc>
          <w:tcPr>
            <w:tcW w:w="10160" w:type="dxa"/>
            <w:vAlign w:val="bottom"/>
            <w:gridSpan w:val="3"/>
          </w:tcPr>
          <w:p>
            <w:pPr>
              <w:ind w:left="260"/>
              <w:spacing w:after="0"/>
              <w:rPr>
                <w:sz w:val="20"/>
                <w:szCs w:val="20"/>
                <w:color w:val="auto"/>
              </w:rPr>
            </w:pPr>
            <w:r>
              <w:rPr>
                <w:rFonts w:ascii="Arial" w:cs="Arial" w:eastAsia="Arial" w:hAnsi="Arial"/>
                <w:sz w:val="18"/>
                <w:szCs w:val="18"/>
                <w:color w:val="auto"/>
                <w:w w:val="88"/>
              </w:rPr>
              <w:t>FF&amp;E Facility Commitment Letter, dated September 13, 2002, from SG Cowen Securities and Societe Generale to Deutsche Bank Securities</w:t>
            </w:r>
          </w:p>
        </w:tc>
      </w:tr>
      <w:tr>
        <w:trPr>
          <w:trHeight w:val="222"/>
        </w:trPr>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160" w:type="dxa"/>
            <w:vAlign w:val="bottom"/>
            <w:gridSpan w:val="3"/>
          </w:tcPr>
          <w:p>
            <w:pPr>
              <w:ind w:left="460"/>
              <w:spacing w:after="0"/>
              <w:rPr>
                <w:sz w:val="20"/>
                <w:szCs w:val="20"/>
                <w:color w:val="auto"/>
              </w:rPr>
            </w:pPr>
            <w:r>
              <w:rPr>
                <w:rFonts w:ascii="Arial" w:cs="Arial" w:eastAsia="Arial" w:hAnsi="Arial"/>
                <w:sz w:val="18"/>
                <w:szCs w:val="18"/>
                <w:color w:val="auto"/>
              </w:rPr>
              <w:t>Inc.(5)</w:t>
            </w:r>
          </w:p>
        </w:tc>
      </w:tr>
      <w:tr>
        <w:trPr>
          <w:trHeight w:val="277"/>
        </w:trPr>
        <w:tc>
          <w:tcPr>
            <w:tcW w:w="820" w:type="dxa"/>
            <w:vAlign w:val="bottom"/>
            <w:gridSpan w:val="2"/>
          </w:tcPr>
          <w:p>
            <w:pPr>
              <w:ind w:left="100"/>
              <w:spacing w:after="0"/>
              <w:rPr>
                <w:sz w:val="20"/>
                <w:szCs w:val="20"/>
                <w:color w:val="auto"/>
              </w:rPr>
            </w:pPr>
            <w:r>
              <w:rPr>
                <w:rFonts w:ascii="Arial" w:cs="Arial" w:eastAsia="Arial" w:hAnsi="Arial"/>
                <w:sz w:val="18"/>
                <w:szCs w:val="18"/>
                <w:color w:val="auto"/>
              </w:rPr>
              <w:t>10.101</w:t>
            </w:r>
          </w:p>
        </w:tc>
        <w:tc>
          <w:tcPr>
            <w:tcW w:w="300" w:type="dxa"/>
            <w:vAlign w:val="bottom"/>
          </w:tcPr>
          <w:p>
            <w:pPr>
              <w:spacing w:after="0"/>
              <w:rPr>
                <w:sz w:val="24"/>
                <w:szCs w:val="24"/>
                <w:color w:val="auto"/>
              </w:rPr>
            </w:pPr>
          </w:p>
        </w:tc>
        <w:tc>
          <w:tcPr>
            <w:tcW w:w="10160" w:type="dxa"/>
            <w:vAlign w:val="bottom"/>
            <w:gridSpan w:val="3"/>
          </w:tcPr>
          <w:p>
            <w:pPr>
              <w:ind w:left="260"/>
              <w:spacing w:after="0"/>
              <w:rPr>
                <w:sz w:val="20"/>
                <w:szCs w:val="20"/>
                <w:color w:val="auto"/>
              </w:rPr>
            </w:pPr>
            <w:r>
              <w:rPr>
                <w:rFonts w:ascii="Arial" w:cs="Arial" w:eastAsia="Arial" w:hAnsi="Arial"/>
                <w:sz w:val="18"/>
                <w:szCs w:val="18"/>
                <w:color w:val="auto"/>
                <w:w w:val="91"/>
              </w:rPr>
              <w:t>FF&amp;E Facility Commitment Letter, dated October 22, 2002, from GMAC Commercial Mortgage Corporation to Bank of America, National</w:t>
            </w:r>
          </w:p>
        </w:tc>
      </w:tr>
      <w:tr>
        <w:trPr>
          <w:trHeight w:val="222"/>
        </w:trPr>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160" w:type="dxa"/>
            <w:vAlign w:val="bottom"/>
            <w:gridSpan w:val="3"/>
          </w:tcPr>
          <w:p>
            <w:pPr>
              <w:ind w:left="460"/>
              <w:spacing w:after="0"/>
              <w:rPr>
                <w:sz w:val="20"/>
                <w:szCs w:val="20"/>
                <w:color w:val="auto"/>
              </w:rPr>
            </w:pPr>
            <w:r>
              <w:rPr>
                <w:rFonts w:ascii="Arial" w:cs="Arial" w:eastAsia="Arial" w:hAnsi="Arial"/>
                <w:sz w:val="18"/>
                <w:szCs w:val="18"/>
                <w:color w:val="auto"/>
              </w:rPr>
              <w:t>Association.(5)</w:t>
            </w:r>
          </w:p>
        </w:tc>
      </w:tr>
      <w:tr>
        <w:trPr>
          <w:trHeight w:val="284"/>
        </w:trPr>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16.1</w:t>
            </w:r>
          </w:p>
        </w:tc>
        <w:tc>
          <w:tcPr>
            <w:tcW w:w="300" w:type="dxa"/>
            <w:vAlign w:val="bottom"/>
          </w:tcPr>
          <w:p>
            <w:pPr>
              <w:spacing w:after="0"/>
              <w:rPr>
                <w:sz w:val="24"/>
                <w:szCs w:val="24"/>
                <w:color w:val="auto"/>
              </w:rPr>
            </w:pPr>
          </w:p>
        </w:tc>
        <w:tc>
          <w:tcPr>
            <w:tcW w:w="10160" w:type="dxa"/>
            <w:vAlign w:val="bottom"/>
            <w:gridSpan w:val="3"/>
          </w:tcPr>
          <w:p>
            <w:pPr>
              <w:ind w:left="260"/>
              <w:spacing w:after="0"/>
              <w:rPr>
                <w:sz w:val="20"/>
                <w:szCs w:val="20"/>
                <w:color w:val="auto"/>
              </w:rPr>
            </w:pPr>
            <w:r>
              <w:rPr>
                <w:rFonts w:ascii="Arial" w:cs="Arial" w:eastAsia="Arial" w:hAnsi="Arial"/>
                <w:sz w:val="18"/>
                <w:szCs w:val="18"/>
                <w:color w:val="auto"/>
              </w:rPr>
              <w:t>Letter from Arthur Andersen LLP(10)</w:t>
            </w:r>
          </w:p>
        </w:tc>
      </w:tr>
      <w:tr>
        <w:trPr>
          <w:trHeight w:val="284"/>
        </w:trPr>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*21.1</w:t>
            </w:r>
          </w:p>
        </w:tc>
        <w:tc>
          <w:tcPr>
            <w:tcW w:w="300" w:type="dxa"/>
            <w:vAlign w:val="bottom"/>
          </w:tcPr>
          <w:p>
            <w:pPr>
              <w:spacing w:after="0"/>
              <w:rPr>
                <w:sz w:val="24"/>
                <w:szCs w:val="24"/>
                <w:color w:val="auto"/>
              </w:rPr>
            </w:pPr>
          </w:p>
        </w:tc>
        <w:tc>
          <w:tcPr>
            <w:tcW w:w="10160" w:type="dxa"/>
            <w:vAlign w:val="bottom"/>
            <w:gridSpan w:val="3"/>
          </w:tcPr>
          <w:p>
            <w:pPr>
              <w:ind w:left="260"/>
              <w:spacing w:after="0"/>
              <w:rPr>
                <w:sz w:val="20"/>
                <w:szCs w:val="20"/>
                <w:color w:val="auto"/>
              </w:rPr>
            </w:pPr>
            <w:r>
              <w:rPr>
                <w:rFonts w:ascii="Arial" w:cs="Arial" w:eastAsia="Arial" w:hAnsi="Arial"/>
                <w:sz w:val="18"/>
                <w:szCs w:val="18"/>
                <w:color w:val="auto"/>
              </w:rPr>
              <w:t>Subsidiaries of the Registrant</w:t>
            </w:r>
          </w:p>
        </w:tc>
      </w:tr>
      <w:tr>
        <w:trPr>
          <w:trHeight w:val="284"/>
        </w:trPr>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*23.1</w:t>
            </w:r>
          </w:p>
        </w:tc>
        <w:tc>
          <w:tcPr>
            <w:tcW w:w="300" w:type="dxa"/>
            <w:vAlign w:val="bottom"/>
          </w:tcPr>
          <w:p>
            <w:pPr>
              <w:spacing w:after="0"/>
              <w:rPr>
                <w:sz w:val="24"/>
                <w:szCs w:val="24"/>
                <w:color w:val="auto"/>
              </w:rPr>
            </w:pPr>
          </w:p>
        </w:tc>
        <w:tc>
          <w:tcPr>
            <w:tcW w:w="10160" w:type="dxa"/>
            <w:vAlign w:val="bottom"/>
            <w:gridSpan w:val="3"/>
          </w:tcPr>
          <w:p>
            <w:pPr>
              <w:ind w:left="260"/>
              <w:spacing w:after="0"/>
              <w:rPr>
                <w:sz w:val="20"/>
                <w:szCs w:val="20"/>
                <w:color w:val="auto"/>
              </w:rPr>
            </w:pPr>
            <w:r>
              <w:rPr>
                <w:rFonts w:ascii="Arial" w:cs="Arial" w:eastAsia="Arial" w:hAnsi="Arial"/>
                <w:sz w:val="18"/>
                <w:szCs w:val="18"/>
                <w:color w:val="auto"/>
              </w:rPr>
              <w:t>Consent of Deloitte &amp; Touche LLP</w:t>
            </w:r>
          </w:p>
        </w:tc>
      </w:tr>
      <w:tr>
        <w:trPr>
          <w:trHeight w:val="284"/>
        </w:trPr>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*99.1</w:t>
            </w:r>
          </w:p>
        </w:tc>
        <w:tc>
          <w:tcPr>
            <w:tcW w:w="300" w:type="dxa"/>
            <w:vAlign w:val="bottom"/>
          </w:tcPr>
          <w:p>
            <w:pPr>
              <w:spacing w:after="0"/>
              <w:rPr>
                <w:sz w:val="24"/>
                <w:szCs w:val="24"/>
                <w:color w:val="auto"/>
              </w:rPr>
            </w:pPr>
          </w:p>
        </w:tc>
        <w:tc>
          <w:tcPr>
            <w:tcW w:w="10160" w:type="dxa"/>
            <w:vAlign w:val="bottom"/>
            <w:gridSpan w:val="3"/>
          </w:tcPr>
          <w:p>
            <w:pPr>
              <w:ind w:left="26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284"/>
        </w:trPr>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*99.2</w:t>
            </w:r>
          </w:p>
        </w:tc>
        <w:tc>
          <w:tcPr>
            <w:tcW w:w="300" w:type="dxa"/>
            <w:vAlign w:val="bottom"/>
          </w:tcPr>
          <w:p>
            <w:pPr>
              <w:spacing w:after="0"/>
              <w:rPr>
                <w:sz w:val="24"/>
                <w:szCs w:val="24"/>
                <w:color w:val="auto"/>
              </w:rPr>
            </w:pPr>
          </w:p>
        </w:tc>
        <w:tc>
          <w:tcPr>
            <w:tcW w:w="10160" w:type="dxa"/>
            <w:vAlign w:val="bottom"/>
            <w:gridSpan w:val="3"/>
          </w:tcPr>
          <w:p>
            <w:pPr>
              <w:ind w:left="26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560" w:hanging="420"/>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560" w:hanging="464"/>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November 18, 2002.</w:t>
      </w:r>
    </w:p>
    <w:p>
      <w:pPr>
        <w:spacing w:after="0" w:line="9" w:lineRule="exact"/>
        <w:rPr>
          <w:rFonts w:ascii="Arial" w:cs="Arial" w:eastAsia="Arial" w:hAnsi="Arial"/>
          <w:sz w:val="18"/>
          <w:szCs w:val="18"/>
          <w:color w:val="auto"/>
        </w:rPr>
      </w:pPr>
    </w:p>
    <w:p>
      <w:pPr>
        <w:ind w:left="560" w:hanging="464"/>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Previously filed with Amendment No. 1 to the Form S-1 filed by the Registrant on August 20, 2002 (File No. 333-90600).</w:t>
      </w:r>
    </w:p>
    <w:p>
      <w:pPr>
        <w:spacing w:after="0" w:line="9" w:lineRule="exact"/>
        <w:rPr>
          <w:rFonts w:ascii="Arial" w:cs="Arial" w:eastAsia="Arial" w:hAnsi="Arial"/>
          <w:sz w:val="18"/>
          <w:szCs w:val="18"/>
          <w:color w:val="auto"/>
        </w:rPr>
      </w:pPr>
    </w:p>
    <w:p>
      <w:pPr>
        <w:ind w:left="560" w:hanging="464"/>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Previously filed with Amendment No. 3 to the Form S-1 filed by the Registrant on September 18, 2002 (File No. 333-90600).</w:t>
      </w:r>
    </w:p>
    <w:p>
      <w:pPr>
        <w:spacing w:after="0" w:line="9" w:lineRule="exact"/>
        <w:rPr>
          <w:rFonts w:ascii="Arial" w:cs="Arial" w:eastAsia="Arial" w:hAnsi="Arial"/>
          <w:sz w:val="18"/>
          <w:szCs w:val="18"/>
          <w:color w:val="auto"/>
        </w:rPr>
      </w:pPr>
    </w:p>
    <w:p>
      <w:pPr>
        <w:ind w:left="560" w:hanging="464"/>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the Registrant on October 7, 2002 (File No. 333-90600).</w:t>
      </w:r>
    </w:p>
    <w:p>
      <w:pPr>
        <w:spacing w:after="0" w:line="9" w:lineRule="exact"/>
        <w:rPr>
          <w:rFonts w:ascii="Arial" w:cs="Arial" w:eastAsia="Arial" w:hAnsi="Arial"/>
          <w:sz w:val="18"/>
          <w:szCs w:val="18"/>
          <w:color w:val="auto"/>
        </w:rPr>
      </w:pPr>
    </w:p>
    <w:p>
      <w:pPr>
        <w:ind w:left="560" w:hanging="464"/>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Previously filed with Amendment No. 7 to the Form S-1 filed by the Registrant on October 23, 2002 (File No. 333-90600).</w:t>
      </w:r>
    </w:p>
    <w:p>
      <w:pPr>
        <w:spacing w:after="0" w:line="9" w:lineRule="exact"/>
        <w:rPr>
          <w:rFonts w:ascii="Arial" w:cs="Arial" w:eastAsia="Arial" w:hAnsi="Arial"/>
          <w:sz w:val="18"/>
          <w:szCs w:val="18"/>
          <w:color w:val="auto"/>
        </w:rPr>
      </w:pPr>
    </w:p>
    <w:p>
      <w:pPr>
        <w:ind w:left="560" w:hanging="464"/>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the Registrant on December 9, 2002.</w:t>
      </w:r>
    </w:p>
    <w:p>
      <w:pPr>
        <w:spacing w:after="0" w:line="9" w:lineRule="exact"/>
        <w:rPr>
          <w:rFonts w:ascii="Arial" w:cs="Arial" w:eastAsia="Arial" w:hAnsi="Arial"/>
          <w:sz w:val="18"/>
          <w:szCs w:val="18"/>
          <w:color w:val="auto"/>
        </w:rPr>
      </w:pPr>
    </w:p>
    <w:p>
      <w:pPr>
        <w:ind w:left="560" w:hanging="464"/>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December 6, 2002.</w:t>
      </w:r>
    </w:p>
    <w:p>
      <w:pPr>
        <w:spacing w:after="0" w:line="9" w:lineRule="exact"/>
        <w:rPr>
          <w:rFonts w:ascii="Arial" w:cs="Arial" w:eastAsia="Arial" w:hAnsi="Arial"/>
          <w:sz w:val="18"/>
          <w:szCs w:val="18"/>
          <w:color w:val="auto"/>
        </w:rPr>
      </w:pPr>
    </w:p>
    <w:p>
      <w:pPr>
        <w:ind w:left="560" w:hanging="464"/>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Previously filed with the Form S-1 filed by the Registrant on June 17, 2002.</w:t>
      </w:r>
    </w:p>
    <w:p>
      <w:pPr>
        <w:spacing w:after="0" w:line="9" w:lineRule="exact"/>
        <w:rPr>
          <w:rFonts w:ascii="Arial" w:cs="Arial" w:eastAsia="Arial" w:hAnsi="Arial"/>
          <w:sz w:val="18"/>
          <w:szCs w:val="18"/>
          <w:color w:val="auto"/>
        </w:rPr>
      </w:pPr>
    </w:p>
    <w:p>
      <w:pPr>
        <w:ind w:left="560" w:hanging="464"/>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Previously filed with Amendment No. 5 to the Form S-1 filed by the Registrant on October 21, 2002 (File No. 333-90600).</w:t>
      </w:r>
    </w:p>
    <w:p>
      <w:pPr>
        <w:spacing w:after="0" w:line="9" w:lineRule="exact"/>
        <w:rPr>
          <w:rFonts w:ascii="Arial" w:cs="Arial" w:eastAsia="Arial" w:hAnsi="Arial"/>
          <w:sz w:val="18"/>
          <w:szCs w:val="18"/>
          <w:color w:val="auto"/>
        </w:rPr>
      </w:pPr>
    </w:p>
    <w:p>
      <w:pPr>
        <w:ind w:left="560" w:hanging="552"/>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Previously filed with Amendment No. 2 to the Form S-1 filed by the Registrant on August 26, 2002 (File No. 333-90600).</w:t>
      </w:r>
    </w:p>
    <w:p>
      <w:pPr>
        <w:spacing w:after="0" w:line="9" w:lineRule="exact"/>
        <w:rPr>
          <w:rFonts w:ascii="Arial" w:cs="Arial" w:eastAsia="Arial" w:hAnsi="Arial"/>
          <w:sz w:val="18"/>
          <w:szCs w:val="18"/>
          <w:color w:val="auto"/>
        </w:rPr>
      </w:pPr>
    </w:p>
    <w:p>
      <w:pPr>
        <w:ind w:left="560" w:hanging="552"/>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Previously filed with the Form S-8 filed by the Registrant on October 31, 2002.</w:t>
      </w:r>
    </w:p>
    <w:p>
      <w:pPr>
        <w:spacing w:after="0" w:line="151" w:lineRule="exact"/>
        <w:rPr>
          <w:rFonts w:ascii="Arial" w:cs="Arial" w:eastAsia="Arial" w:hAnsi="Arial"/>
          <w:sz w:val="18"/>
          <w:szCs w:val="18"/>
          <w:color w:val="auto"/>
        </w:rPr>
      </w:pPr>
    </w:p>
    <w:p>
      <w:pPr>
        <w:ind w:left="760" w:hanging="296"/>
        <w:spacing w:after="0"/>
        <w:tabs>
          <w:tab w:leader="none" w:pos="7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filed the following Current Reports on Form 8-K during the three month period ended December 31, 2002:</w:t>
      </w:r>
    </w:p>
    <w:p>
      <w:pPr>
        <w:spacing w:after="0" w:line="77" w:lineRule="exact"/>
        <w:rPr>
          <w:sz w:val="20"/>
          <w:szCs w:val="20"/>
          <w:color w:val="auto"/>
        </w:rPr>
      </w:pPr>
    </w:p>
    <w:p>
      <w:pPr>
        <w:ind w:left="460" w:right="400" w:firstLine="438"/>
        <w:spacing w:after="0" w:line="268" w:lineRule="auto"/>
        <w:rPr>
          <w:sz w:val="20"/>
          <w:szCs w:val="20"/>
          <w:color w:val="auto"/>
        </w:rPr>
      </w:pPr>
      <w:r>
        <w:rPr>
          <w:rFonts w:ascii="Arial" w:cs="Arial" w:eastAsia="Arial" w:hAnsi="Arial"/>
          <w:sz w:val="18"/>
          <w:szCs w:val="18"/>
          <w:color w:val="auto"/>
        </w:rPr>
        <w:t>Current Report on Form 8-K dated November 18, 2002, to file final versions of certain of the documents previously filed with the Registration Statements on Form S-1, reporting such items under Item 5 and Item 7.</w:t>
      </w:r>
    </w:p>
    <w:p>
      <w:pPr>
        <w:spacing w:after="0" w:line="37" w:lineRule="exact"/>
        <w:rPr>
          <w:sz w:val="20"/>
          <w:szCs w:val="20"/>
          <w:color w:val="auto"/>
        </w:rPr>
      </w:pPr>
    </w:p>
    <w:p>
      <w:pPr>
        <w:ind w:left="460" w:firstLine="438"/>
        <w:spacing w:after="0" w:line="306" w:lineRule="auto"/>
        <w:rPr>
          <w:sz w:val="20"/>
          <w:szCs w:val="20"/>
          <w:color w:val="auto"/>
        </w:rPr>
      </w:pPr>
      <w:r>
        <w:rPr>
          <w:rFonts w:ascii="Arial" w:cs="Arial" w:eastAsia="Arial" w:hAnsi="Arial"/>
          <w:sz w:val="16"/>
          <w:szCs w:val="16"/>
          <w:color w:val="auto"/>
        </w:rPr>
        <w:t>Current Report on Form 8-K dated December 6, 2002, to file an amendment to the loan agreement governing the furniture, fixtures and equipment loan facility and to refile the Master Disbursement Agreement entered into by Wynn Las Vegas, LLC, Wynn Las Vegas Capital Corp. and Wynn Design &amp; Development, LLC to reflect certain corrections to Section 3.3.24 and Section 5.5 of such agreement; reporting such items under Item 5 and Item 7.</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20"/>
          </w:cols>
          <w:pgMar w:left="240" w:top="275"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4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95"/>
        </w:trPr>
        <w:tc>
          <w:tcPr>
            <w:tcW w:w="4540" w:type="dxa"/>
            <w:vAlign w:val="bottom"/>
          </w:tcPr>
          <w:p>
            <w:pPr>
              <w:spacing w:after="0"/>
              <w:rPr>
                <w:sz w:val="8"/>
                <w:szCs w:val="8"/>
                <w:color w:val="auto"/>
              </w:rPr>
            </w:pPr>
          </w:p>
        </w:tc>
        <w:tc>
          <w:tcPr>
            <w:tcW w:w="65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540" w:type="dxa"/>
            <w:vAlign w:val="bottom"/>
          </w:tcPr>
          <w:p>
            <w:pPr>
              <w:spacing w:after="0"/>
              <w:rPr>
                <w:sz w:val="8"/>
                <w:szCs w:val="8"/>
                <w:color w:val="auto"/>
              </w:rPr>
            </w:pPr>
          </w:p>
        </w:tc>
        <w:tc>
          <w:tcPr>
            <w:tcW w:w="6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Independent Auditors’ Report</w:t>
            </w:r>
          </w:p>
        </w:tc>
        <w:tc>
          <w:tcPr>
            <w:tcW w:w="6520" w:type="dxa"/>
            <w:vAlign w:val="bottom"/>
            <w:shd w:val="clear" w:color="auto" w:fill="CCEEFF"/>
          </w:tcPr>
          <w:p>
            <w:pPr>
              <w:spacing w:after="0"/>
              <w:rPr>
                <w:sz w:val="18"/>
                <w:szCs w:val="18"/>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1"/>
              </w:rPr>
              <w:t>F-2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540" w:type="dxa"/>
            <w:vAlign w:val="bottom"/>
          </w:tcPr>
          <w:p>
            <w:pPr>
              <w:ind w:left="20"/>
              <w:spacing w:after="0"/>
              <w:rPr>
                <w:sz w:val="20"/>
                <w:szCs w:val="20"/>
                <w:color w:val="auto"/>
              </w:rPr>
            </w:pPr>
            <w:r>
              <w:rPr>
                <w:rFonts w:ascii="Arial" w:cs="Arial" w:eastAsia="Arial" w:hAnsi="Arial"/>
                <w:sz w:val="18"/>
                <w:szCs w:val="18"/>
                <w:color w:val="auto"/>
              </w:rPr>
              <w:t>Consolidated Balance Sheets</w:t>
            </w:r>
          </w:p>
        </w:tc>
        <w:tc>
          <w:tcPr>
            <w:tcW w:w="652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70"/>
        </w:trPr>
        <w:tc>
          <w:tcPr>
            <w:tcW w:w="4540" w:type="dxa"/>
            <w:vAlign w:val="bottom"/>
          </w:tcPr>
          <w:p>
            <w:pPr>
              <w:spacing w:after="0"/>
              <w:rPr>
                <w:sz w:val="6"/>
                <w:szCs w:val="6"/>
                <w:color w:val="auto"/>
              </w:rPr>
            </w:pPr>
          </w:p>
        </w:tc>
        <w:tc>
          <w:tcPr>
            <w:tcW w:w="6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Statements of Operations</w:t>
            </w:r>
          </w:p>
        </w:tc>
        <w:tc>
          <w:tcPr>
            <w:tcW w:w="6520" w:type="dxa"/>
            <w:vAlign w:val="bottom"/>
            <w:shd w:val="clear" w:color="auto" w:fill="CCEEFF"/>
          </w:tcPr>
          <w:p>
            <w:pPr>
              <w:spacing w:after="0"/>
              <w:rPr>
                <w:sz w:val="18"/>
                <w:szCs w:val="18"/>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1"/>
              </w:rPr>
              <w:t>F-4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540" w:type="dxa"/>
            <w:vAlign w:val="bottom"/>
          </w:tcPr>
          <w:p>
            <w:pPr>
              <w:ind w:left="20"/>
              <w:spacing w:after="0"/>
              <w:rPr>
                <w:sz w:val="20"/>
                <w:szCs w:val="20"/>
                <w:color w:val="auto"/>
              </w:rPr>
            </w:pPr>
            <w:r>
              <w:rPr>
                <w:rFonts w:ascii="Arial" w:cs="Arial" w:eastAsia="Arial" w:hAnsi="Arial"/>
                <w:sz w:val="18"/>
                <w:szCs w:val="18"/>
                <w:color w:val="auto"/>
              </w:rPr>
              <w:t>Consolidated Statements of Stockholders’ Equity</w:t>
            </w:r>
          </w:p>
        </w:tc>
        <w:tc>
          <w:tcPr>
            <w:tcW w:w="652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70"/>
        </w:trPr>
        <w:tc>
          <w:tcPr>
            <w:tcW w:w="4540" w:type="dxa"/>
            <w:vAlign w:val="bottom"/>
          </w:tcPr>
          <w:p>
            <w:pPr>
              <w:spacing w:after="0"/>
              <w:rPr>
                <w:sz w:val="6"/>
                <w:szCs w:val="6"/>
                <w:color w:val="auto"/>
              </w:rPr>
            </w:pPr>
          </w:p>
        </w:tc>
        <w:tc>
          <w:tcPr>
            <w:tcW w:w="6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Statements of Cash Flows</w:t>
            </w:r>
          </w:p>
        </w:tc>
        <w:tc>
          <w:tcPr>
            <w:tcW w:w="6520" w:type="dxa"/>
            <w:vAlign w:val="bottom"/>
            <w:shd w:val="clear" w:color="auto" w:fill="CCEEFF"/>
          </w:tcPr>
          <w:p>
            <w:pPr>
              <w:spacing w:after="0"/>
              <w:rPr>
                <w:sz w:val="18"/>
                <w:szCs w:val="18"/>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1"/>
              </w:rPr>
              <w:t>F-6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540" w:type="dxa"/>
            <w:vAlign w:val="bottom"/>
          </w:tcPr>
          <w:p>
            <w:pPr>
              <w:ind w:left="20"/>
              <w:spacing w:after="0"/>
              <w:rPr>
                <w:sz w:val="20"/>
                <w:szCs w:val="20"/>
                <w:color w:val="auto"/>
              </w:rPr>
            </w:pPr>
            <w:r>
              <w:rPr>
                <w:rFonts w:ascii="Arial" w:cs="Arial" w:eastAsia="Arial" w:hAnsi="Arial"/>
                <w:sz w:val="18"/>
                <w:szCs w:val="18"/>
                <w:color w:val="auto"/>
              </w:rPr>
              <w:t>Notes to Consolidated Financial Statements</w:t>
            </w:r>
          </w:p>
        </w:tc>
        <w:tc>
          <w:tcPr>
            <w:tcW w:w="652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365"/>
        </w:trPr>
        <w:tc>
          <w:tcPr>
            <w:tcW w:w="4540" w:type="dxa"/>
            <w:vAlign w:val="bottom"/>
          </w:tcPr>
          <w:p>
            <w:pPr>
              <w:spacing w:after="0"/>
              <w:rPr>
                <w:sz w:val="24"/>
                <w:szCs w:val="24"/>
                <w:color w:val="auto"/>
              </w:rPr>
            </w:pPr>
          </w:p>
        </w:tc>
        <w:tc>
          <w:tcPr>
            <w:tcW w:w="6900" w:type="dxa"/>
            <w:vAlign w:val="bottom"/>
            <w:gridSpan w:val="3"/>
          </w:tcPr>
          <w:p>
            <w:pPr>
              <w:ind w:left="106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INDEPENDENT AUDITORS’ REPORT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Wynn Resorts, Limited and subsidiaries (a development stage company) as of December 31, 2002 and 2001, and the related consolidated statements of operations, stockholders’ equity, and cash flows for the years ended December 31, 2002 and 2001 and for the periods from inception (April 21, 2000) to December 31, 2000 and 2002. These financial statements are the responsibility of the Company’s management. Our responsibility is to express an opinion on these financial statements based on our audits.</w:t>
      </w:r>
    </w:p>
    <w:p>
      <w:pPr>
        <w:spacing w:after="0" w:line="9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In our opinion, such consolidated financial statements present fairly, in all material respects, the consolidated financial position of Wynn Resorts, Limited and subsidiaries as of December 31, 2002 and 2001, and the consolidated results of their operations and their cash flows for the years ended December 31, 2002 and 2001 and for the periods from inception to December 31, 2000 and 2002, in conformity with accounting principles generally accepted in the United States of America.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21, 2003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274" w:right="25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1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450" w:type="dxa"/>
            <w:vAlign w:val="bottom"/>
            <w:gridSpan w:val="4"/>
          </w:tcPr>
          <w:p>
            <w:pPr>
              <w:ind w:left="610"/>
              <w:spacing w:after="0"/>
              <w:rPr>
                <w:sz w:val="20"/>
                <w:szCs w:val="20"/>
                <w:color w:val="auto"/>
              </w:rPr>
            </w:pPr>
            <w:r>
              <w:rPr>
                <w:rFonts w:ascii="Arial" w:cs="Arial" w:eastAsia="Arial" w:hAnsi="Arial"/>
                <w:sz w:val="14"/>
                <w:szCs w:val="14"/>
                <w:b w:val="1"/>
                <w:bCs w:val="1"/>
                <w:color w:val="auto"/>
                <w:w w:val="90"/>
              </w:rPr>
              <w:t>December 31,</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1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5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12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850" w:type="dxa"/>
            <w:vAlign w:val="bottom"/>
          </w:tcPr>
          <w:p>
            <w:pPr>
              <w:jc w:val="right"/>
              <w:ind w:right="254"/>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91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5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1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5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4080"/>
              <w:spacing w:after="0"/>
              <w:rPr>
                <w:sz w:val="20"/>
                <w:szCs w:val="20"/>
                <w:color w:val="auto"/>
              </w:rPr>
            </w:pPr>
            <w:r>
              <w:rPr>
                <w:rFonts w:ascii="Arial" w:cs="Arial" w:eastAsia="Arial" w:hAnsi="Arial"/>
                <w:sz w:val="18"/>
                <w:szCs w:val="18"/>
                <w:b w:val="1"/>
                <w:bCs w:val="1"/>
                <w:color w:val="auto"/>
              </w:rPr>
              <w:t>ASSETS</w:t>
            </w:r>
          </w:p>
        </w:tc>
        <w:tc>
          <w:tcPr>
            <w:tcW w:w="110" w:type="dxa"/>
            <w:vAlign w:val="bottom"/>
            <w:shd w:val="clear" w:color="auto" w:fill="CCEEFF"/>
          </w:tcPr>
          <w:p>
            <w:pPr>
              <w:spacing w:after="0"/>
              <w:rPr>
                <w:sz w:val="18"/>
                <w:szCs w:val="18"/>
                <w:color w:val="auto"/>
              </w:rPr>
            </w:pPr>
          </w:p>
        </w:tc>
        <w:tc>
          <w:tcPr>
            <w:tcW w:w="85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10" w:type="dxa"/>
            <w:vAlign w:val="bottom"/>
          </w:tcPr>
          <w:p>
            <w:pPr>
              <w:spacing w:after="0"/>
              <w:rPr>
                <w:sz w:val="18"/>
                <w:szCs w:val="18"/>
                <w:color w:val="auto"/>
              </w:rPr>
            </w:pPr>
          </w:p>
        </w:tc>
        <w:tc>
          <w:tcPr>
            <w:tcW w:w="85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109,644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110" w:type="dxa"/>
            <w:vAlign w:val="bottom"/>
          </w:tcPr>
          <w:p>
            <w:pPr>
              <w:spacing w:after="0"/>
              <w:rPr>
                <w:sz w:val="18"/>
                <w:szCs w:val="18"/>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46,387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investments</w:t>
            </w:r>
          </w:p>
        </w:tc>
        <w:tc>
          <w:tcPr>
            <w:tcW w:w="11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746,490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Receivables, net</w:t>
            </w:r>
          </w:p>
        </w:tc>
        <w:tc>
          <w:tcPr>
            <w:tcW w:w="110" w:type="dxa"/>
            <w:vAlign w:val="bottom"/>
          </w:tcPr>
          <w:p>
            <w:pPr>
              <w:spacing w:after="0"/>
              <w:rPr>
                <w:sz w:val="18"/>
                <w:szCs w:val="18"/>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184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1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2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110" w:type="dxa"/>
            <w:vAlign w:val="bottom"/>
          </w:tcPr>
          <w:p>
            <w:pPr>
              <w:spacing w:after="0"/>
              <w:rPr>
                <w:sz w:val="19"/>
                <w:szCs w:val="19"/>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2,010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1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5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1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5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1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904,927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10" w:type="dxa"/>
            <w:vAlign w:val="bottom"/>
          </w:tcPr>
          <w:p>
            <w:pPr>
              <w:spacing w:after="0"/>
              <w:rPr>
                <w:sz w:val="18"/>
                <w:szCs w:val="18"/>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420,496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337,467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Water rights</w:t>
            </w:r>
          </w:p>
        </w:tc>
        <w:tc>
          <w:tcPr>
            <w:tcW w:w="11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20"/>
              <w:spacing w:after="0"/>
              <w:rPr>
                <w:sz w:val="20"/>
                <w:szCs w:val="20"/>
                <w:color w:val="auto"/>
              </w:rPr>
            </w:pPr>
            <w:r>
              <w:rPr>
                <w:rFonts w:ascii="Arial" w:cs="Arial" w:eastAsia="Arial" w:hAnsi="Arial"/>
                <w:sz w:val="18"/>
                <w:szCs w:val="18"/>
                <w:color w:val="auto"/>
              </w:rPr>
              <w:t>Trademark</w:t>
            </w:r>
          </w:p>
        </w:tc>
        <w:tc>
          <w:tcPr>
            <w:tcW w:w="110" w:type="dxa"/>
            <w:vAlign w:val="bottom"/>
          </w:tcPr>
          <w:p>
            <w:pPr>
              <w:spacing w:after="0"/>
              <w:rPr>
                <w:sz w:val="18"/>
                <w:szCs w:val="18"/>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financing costs</w:t>
            </w:r>
          </w:p>
        </w:tc>
        <w:tc>
          <w:tcPr>
            <w:tcW w:w="11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60,159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91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10" w:type="dxa"/>
            <w:vAlign w:val="bottom"/>
          </w:tcPr>
          <w:p>
            <w:pPr>
              <w:spacing w:after="0"/>
              <w:rPr>
                <w:sz w:val="19"/>
                <w:szCs w:val="19"/>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5,619</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1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5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1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5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1,398,601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388,543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1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85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9120" w:type="dxa"/>
            <w:vAlign w:val="bottom"/>
          </w:tcPr>
          <w:p>
            <w:pPr>
              <w:spacing w:after="0"/>
              <w:rPr>
                <w:sz w:val="9"/>
                <w:szCs w:val="9"/>
                <w:color w:val="auto"/>
              </w:rPr>
            </w:pPr>
          </w:p>
        </w:tc>
        <w:tc>
          <w:tcPr>
            <w:tcW w:w="110" w:type="dxa"/>
            <w:vAlign w:val="bottom"/>
          </w:tcPr>
          <w:p>
            <w:pPr>
              <w:spacing w:after="0"/>
              <w:rPr>
                <w:sz w:val="9"/>
                <w:szCs w:val="9"/>
                <w:color w:val="auto"/>
              </w:rPr>
            </w:pPr>
          </w:p>
        </w:tc>
        <w:tc>
          <w:tcPr>
            <w:tcW w:w="85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500"/>
              <w:spacing w:after="0"/>
              <w:rPr>
                <w:sz w:val="20"/>
                <w:szCs w:val="20"/>
                <w:color w:val="auto"/>
              </w:rPr>
            </w:pPr>
            <w:r>
              <w:rPr>
                <w:rFonts w:ascii="Arial" w:cs="Arial" w:eastAsia="Arial" w:hAnsi="Arial"/>
                <w:sz w:val="18"/>
                <w:szCs w:val="18"/>
                <w:b w:val="1"/>
                <w:bCs w:val="1"/>
                <w:color w:val="auto"/>
              </w:rPr>
              <w:t>LIABILITIES AND STOCKHOLDERS’ EQUITY</w:t>
            </w:r>
          </w:p>
        </w:tc>
        <w:tc>
          <w:tcPr>
            <w:tcW w:w="110" w:type="dxa"/>
            <w:vAlign w:val="bottom"/>
            <w:shd w:val="clear" w:color="auto" w:fill="CCEEFF"/>
          </w:tcPr>
          <w:p>
            <w:pPr>
              <w:spacing w:after="0"/>
              <w:rPr>
                <w:sz w:val="18"/>
                <w:szCs w:val="18"/>
                <w:color w:val="auto"/>
              </w:rPr>
            </w:pPr>
          </w:p>
        </w:tc>
        <w:tc>
          <w:tcPr>
            <w:tcW w:w="85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10" w:type="dxa"/>
            <w:vAlign w:val="bottom"/>
          </w:tcPr>
          <w:p>
            <w:pPr>
              <w:spacing w:after="0"/>
              <w:rPr>
                <w:sz w:val="18"/>
                <w:szCs w:val="18"/>
                <w:color w:val="auto"/>
              </w:rPr>
            </w:pPr>
          </w:p>
        </w:tc>
        <w:tc>
          <w:tcPr>
            <w:tcW w:w="85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long-term debt</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Accounts and construction payable</w:t>
            </w:r>
          </w:p>
        </w:tc>
        <w:tc>
          <w:tcPr>
            <w:tcW w:w="110" w:type="dxa"/>
            <w:vAlign w:val="bottom"/>
          </w:tcPr>
          <w:p>
            <w:pPr>
              <w:spacing w:after="0"/>
              <w:rPr>
                <w:sz w:val="18"/>
                <w:szCs w:val="18"/>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10,208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w:t>
            </w:r>
          </w:p>
        </w:tc>
        <w:tc>
          <w:tcPr>
            <w:tcW w:w="11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Accrued compensation and benefits</w:t>
            </w:r>
          </w:p>
        </w:tc>
        <w:tc>
          <w:tcPr>
            <w:tcW w:w="110" w:type="dxa"/>
            <w:vAlign w:val="bottom"/>
          </w:tcPr>
          <w:p>
            <w:pPr>
              <w:spacing w:after="0"/>
              <w:rPr>
                <w:sz w:val="18"/>
                <w:szCs w:val="18"/>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1,359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1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1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5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1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5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1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10" w:type="dxa"/>
            <w:vAlign w:val="bottom"/>
          </w:tcPr>
          <w:p>
            <w:pPr>
              <w:spacing w:after="0"/>
              <w:rPr>
                <w:sz w:val="19"/>
                <w:szCs w:val="19"/>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382,153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1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5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1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5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1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402,805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1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5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1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5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Minority interest</w:t>
            </w:r>
          </w:p>
        </w:tc>
        <w:tc>
          <w:tcPr>
            <w:tcW w:w="11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91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5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91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85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10" w:type="dxa"/>
            <w:vAlign w:val="bottom"/>
            <w:shd w:val="clear" w:color="auto" w:fill="CCEEFF"/>
          </w:tcPr>
          <w:p>
            <w:pPr>
              <w:spacing w:after="0"/>
              <w:rPr>
                <w:sz w:val="18"/>
                <w:szCs w:val="18"/>
                <w:color w:val="auto"/>
              </w:rPr>
            </w:pPr>
          </w:p>
        </w:tc>
        <w:tc>
          <w:tcPr>
            <w:tcW w:w="85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91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10" w:type="dxa"/>
            <w:vAlign w:val="bottom"/>
          </w:tcPr>
          <w:p>
            <w:pPr>
              <w:spacing w:after="0"/>
              <w:rPr>
                <w:sz w:val="24"/>
                <w:szCs w:val="24"/>
                <w:color w:val="auto"/>
              </w:rPr>
            </w:pPr>
          </w:p>
        </w:tc>
        <w:tc>
          <w:tcPr>
            <w:tcW w:w="85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 par value $0.01; authorized 40,000,000 shares; zero shares issued and outstanding</w:t>
            </w:r>
          </w:p>
        </w:tc>
        <w:tc>
          <w:tcPr>
            <w:tcW w:w="110" w:type="dxa"/>
            <w:vAlign w:val="bottom"/>
            <w:shd w:val="clear" w:color="auto" w:fill="CCEEFF"/>
          </w:tcPr>
          <w:p>
            <w:pPr>
              <w:spacing w:after="0"/>
              <w:rPr>
                <w:sz w:val="18"/>
                <w:szCs w:val="18"/>
                <w:color w:val="auto"/>
              </w:rPr>
            </w:pPr>
          </w:p>
        </w:tc>
        <w:tc>
          <w:tcPr>
            <w:tcW w:w="127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120" w:type="dxa"/>
            <w:vAlign w:val="bottom"/>
          </w:tcPr>
          <w:p>
            <w:pPr>
              <w:ind w:left="360"/>
              <w:spacing w:after="0"/>
              <w:rPr>
                <w:sz w:val="20"/>
                <w:szCs w:val="20"/>
                <w:color w:val="auto"/>
              </w:rPr>
            </w:pPr>
            <w:r>
              <w:rPr>
                <w:rFonts w:ascii="Arial" w:cs="Arial" w:eastAsia="Arial" w:hAnsi="Arial"/>
                <w:sz w:val="18"/>
                <w:szCs w:val="18"/>
                <w:color w:val="auto"/>
                <w:w w:val="97"/>
              </w:rPr>
              <w:t>Common stock, par value $0.01; authorized 400,000,000 shares; 78,972,511 and 39,403,891 shares issued and</w:t>
            </w:r>
          </w:p>
        </w:tc>
        <w:tc>
          <w:tcPr>
            <w:tcW w:w="110" w:type="dxa"/>
            <w:vAlign w:val="bottom"/>
          </w:tcPr>
          <w:p>
            <w:pPr>
              <w:spacing w:after="0"/>
              <w:rPr>
                <w:sz w:val="18"/>
                <w:szCs w:val="18"/>
                <w:color w:val="auto"/>
              </w:rPr>
            </w:pPr>
          </w:p>
        </w:tc>
        <w:tc>
          <w:tcPr>
            <w:tcW w:w="85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20" w:type="dxa"/>
            <w:vAlign w:val="bottom"/>
          </w:tcPr>
          <w:p>
            <w:pPr>
              <w:ind w:left="540"/>
              <w:spacing w:after="0"/>
              <w:rPr>
                <w:sz w:val="20"/>
                <w:szCs w:val="20"/>
                <w:color w:val="auto"/>
              </w:rPr>
            </w:pPr>
            <w:r>
              <w:rPr>
                <w:rFonts w:ascii="Arial" w:cs="Arial" w:eastAsia="Arial" w:hAnsi="Arial"/>
                <w:sz w:val="18"/>
                <w:szCs w:val="18"/>
                <w:color w:val="auto"/>
              </w:rPr>
              <w:t>outstanding</w:t>
            </w:r>
          </w:p>
        </w:tc>
        <w:tc>
          <w:tcPr>
            <w:tcW w:w="110" w:type="dxa"/>
            <w:vAlign w:val="bottom"/>
          </w:tcPr>
          <w:p>
            <w:pPr>
              <w:spacing w:after="0"/>
              <w:rPr>
                <w:sz w:val="19"/>
                <w:szCs w:val="19"/>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790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1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1,065,649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412,178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Deferred compensation—restricted stock</w:t>
            </w:r>
          </w:p>
        </w:tc>
        <w:tc>
          <w:tcPr>
            <w:tcW w:w="110" w:type="dxa"/>
            <w:vAlign w:val="bottom"/>
          </w:tcPr>
          <w:p>
            <w:pPr>
              <w:spacing w:after="0"/>
              <w:rPr>
                <w:sz w:val="18"/>
                <w:szCs w:val="18"/>
                <w:color w:val="auto"/>
              </w:rPr>
            </w:pPr>
          </w:p>
        </w:tc>
        <w:tc>
          <w:tcPr>
            <w:tcW w:w="1270" w:type="dxa"/>
            <w:vAlign w:val="bottom"/>
            <w:gridSpan w:val="2"/>
          </w:tcPr>
          <w:p>
            <w:pPr>
              <w:jc w:val="right"/>
              <w:ind w:right="360"/>
              <w:spacing w:after="0"/>
              <w:rPr>
                <w:sz w:val="20"/>
                <w:szCs w:val="20"/>
                <w:color w:val="auto"/>
              </w:rPr>
            </w:pPr>
            <w:r>
              <w:rPr>
                <w:rFonts w:ascii="Arial" w:cs="Arial" w:eastAsia="Arial" w:hAnsi="Arial"/>
                <w:sz w:val="18"/>
                <w:szCs w:val="18"/>
                <w:color w:val="auto"/>
              </w:rPr>
              <w:t>(14,771)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Deficit accumulated from inception during the development stage</w:t>
            </w:r>
          </w:p>
        </w:tc>
        <w:tc>
          <w:tcPr>
            <w:tcW w:w="110" w:type="dxa"/>
            <w:vAlign w:val="bottom"/>
            <w:shd w:val="clear" w:color="auto" w:fill="CCEEFF"/>
          </w:tcPr>
          <w:p>
            <w:pPr>
              <w:spacing w:after="0"/>
              <w:rPr>
                <w:sz w:val="18"/>
                <w:szCs w:val="18"/>
                <w:color w:val="auto"/>
              </w:rPr>
            </w:pPr>
          </w:p>
        </w:tc>
        <w:tc>
          <w:tcPr>
            <w:tcW w:w="127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(60,055)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(28,342)</w:t>
            </w:r>
          </w:p>
        </w:tc>
        <w:tc>
          <w:tcPr>
            <w:tcW w:w="0" w:type="dxa"/>
            <w:vAlign w:val="bottom"/>
          </w:tcPr>
          <w:p>
            <w:pPr>
              <w:spacing w:after="0"/>
              <w:rPr>
                <w:sz w:val="1"/>
                <w:szCs w:val="1"/>
                <w:color w:val="auto"/>
              </w:rPr>
            </w:pPr>
          </w:p>
        </w:tc>
      </w:tr>
      <w:tr>
        <w:trPr>
          <w:trHeight w:val="108"/>
        </w:trPr>
        <w:tc>
          <w:tcPr>
            <w:tcW w:w="91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5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1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5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11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991,613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384,230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1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5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1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5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1,398,601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388,543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120" w:type="dxa"/>
            <w:vAlign w:val="bottom"/>
            <w:vMerge w:val="restart"/>
          </w:tcPr>
          <w:p>
            <w:pPr>
              <w:ind w:left="2660"/>
              <w:spacing w:after="0"/>
              <w:rPr>
                <w:sz w:val="20"/>
                <w:szCs w:val="20"/>
                <w:color w:val="auto"/>
              </w:rPr>
            </w:pPr>
            <w:r>
              <w:rPr>
                <w:rFonts w:ascii="Arial" w:cs="Arial" w:eastAsia="Arial" w:hAnsi="Arial"/>
                <w:sz w:val="18"/>
                <w:szCs w:val="18"/>
                <w:color w:val="auto"/>
                <w:w w:val="92"/>
              </w:rPr>
              <w:t>The accompanying notes are an integral part of these consolidated financial statements</w:t>
            </w:r>
          </w:p>
        </w:tc>
        <w:tc>
          <w:tcPr>
            <w:tcW w:w="110" w:type="dxa"/>
            <w:vAlign w:val="bottom"/>
            <w:tcBorders>
              <w:bottom w:val="single" w:sz="8" w:color="auto"/>
            </w:tcBorders>
          </w:tcPr>
          <w:p>
            <w:pPr>
              <w:spacing w:after="0"/>
              <w:rPr>
                <w:sz w:val="11"/>
                <w:szCs w:val="11"/>
                <w:color w:val="auto"/>
              </w:rPr>
            </w:pPr>
          </w:p>
        </w:tc>
        <w:tc>
          <w:tcPr>
            <w:tcW w:w="85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120" w:type="dxa"/>
            <w:vAlign w:val="bottom"/>
            <w:vMerge w:val="continue"/>
          </w:tcPr>
          <w:p>
            <w:pPr>
              <w:spacing w:after="0"/>
              <w:rPr>
                <w:sz w:val="24"/>
                <w:szCs w:val="24"/>
                <w:color w:val="auto"/>
              </w:rPr>
            </w:pPr>
          </w:p>
        </w:tc>
        <w:tc>
          <w:tcPr>
            <w:tcW w:w="110" w:type="dxa"/>
            <w:vAlign w:val="bottom"/>
          </w:tcPr>
          <w:p>
            <w:pPr>
              <w:spacing w:after="0"/>
              <w:rPr>
                <w:sz w:val="24"/>
                <w:szCs w:val="24"/>
                <w:color w:val="auto"/>
              </w:rPr>
            </w:pPr>
          </w:p>
        </w:tc>
        <w:tc>
          <w:tcPr>
            <w:tcW w:w="85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120" w:type="dxa"/>
            <w:vAlign w:val="bottom"/>
          </w:tcPr>
          <w:p>
            <w:pPr>
              <w:ind w:left="5600"/>
              <w:spacing w:after="0"/>
              <w:rPr>
                <w:sz w:val="20"/>
                <w:szCs w:val="20"/>
                <w:color w:val="auto"/>
              </w:rPr>
            </w:pPr>
            <w:r>
              <w:rPr>
                <w:rFonts w:ascii="Arial" w:cs="Arial" w:eastAsia="Arial" w:hAnsi="Arial"/>
                <w:sz w:val="18"/>
                <w:szCs w:val="18"/>
                <w:color w:val="auto"/>
              </w:rPr>
              <w:t>F-3</w:t>
            </w:r>
          </w:p>
        </w:tc>
        <w:tc>
          <w:tcPr>
            <w:tcW w:w="110" w:type="dxa"/>
            <w:vAlign w:val="bottom"/>
          </w:tcPr>
          <w:p>
            <w:pPr>
              <w:spacing w:after="0"/>
              <w:rPr>
                <w:sz w:val="24"/>
                <w:szCs w:val="24"/>
                <w:color w:val="auto"/>
              </w:rPr>
            </w:pPr>
          </w:p>
        </w:tc>
        <w:tc>
          <w:tcPr>
            <w:tcW w:w="85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-4562475</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-4562475</wp:posOffset>
            </wp:positionV>
            <wp:extent cx="215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-4562475</wp:posOffset>
            </wp:positionV>
            <wp:extent cx="3873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-4562475</wp:posOffset>
            </wp:positionV>
            <wp:extent cx="55308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53085"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-557530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-557530</wp:posOffset>
            </wp:positionV>
            <wp:extent cx="2159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-557530</wp:posOffset>
            </wp:positionV>
            <wp:extent cx="3873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-557530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-557530</wp:posOffset>
            </wp:positionV>
            <wp:extent cx="2159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-557530</wp:posOffset>
            </wp:positionV>
            <wp:extent cx="3873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Period from</w:t>
            </w:r>
          </w:p>
        </w:tc>
        <w:tc>
          <w:tcPr>
            <w:tcW w:w="12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r>
      <w:tr>
        <w:trPr>
          <w:trHeight w:val="149"/>
        </w:trPr>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2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2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12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Inception to</w:t>
            </w:r>
          </w:p>
        </w:tc>
      </w:tr>
      <w:tr>
        <w:trPr>
          <w:trHeight w:val="149"/>
        </w:trPr>
        <w:tc>
          <w:tcPr>
            <w:tcW w:w="6040" w:type="dxa"/>
            <w:vAlign w:val="bottom"/>
          </w:tcPr>
          <w:p>
            <w:pPr>
              <w:spacing w:after="0"/>
              <w:rPr>
                <w:sz w:val="12"/>
                <w:szCs w:val="12"/>
                <w:color w:val="auto"/>
              </w:rPr>
            </w:pPr>
          </w:p>
        </w:tc>
        <w:tc>
          <w:tcPr>
            <w:tcW w:w="12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2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2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74"/>
        </w:trPr>
        <w:tc>
          <w:tcPr>
            <w:tcW w:w="6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2002</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2001</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35"/>
              <w:spacing w:after="0"/>
              <w:rPr>
                <w:sz w:val="20"/>
                <w:szCs w:val="20"/>
                <w:color w:val="auto"/>
              </w:rPr>
            </w:pPr>
            <w:r>
              <w:rPr>
                <w:rFonts w:ascii="Arial" w:cs="Arial" w:eastAsia="Arial" w:hAnsi="Arial"/>
                <w:sz w:val="14"/>
                <w:szCs w:val="14"/>
                <w:b w:val="1"/>
                <w:bCs w:val="1"/>
                <w:color w:val="auto"/>
                <w:w w:val="89"/>
              </w:rPr>
              <w:t>2000</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35"/>
              <w:spacing w:after="0"/>
              <w:rPr>
                <w:sz w:val="20"/>
                <w:szCs w:val="20"/>
                <w:color w:val="auto"/>
              </w:rPr>
            </w:pPr>
            <w:r>
              <w:rPr>
                <w:rFonts w:ascii="Arial" w:cs="Arial" w:eastAsia="Arial" w:hAnsi="Arial"/>
                <w:sz w:val="14"/>
                <w:szCs w:val="14"/>
                <w:b w:val="1"/>
                <w:bCs w:val="1"/>
                <w:color w:val="auto"/>
                <w:w w:val="89"/>
              </w:rPr>
              <w:t>2002</w:t>
            </w:r>
          </w:p>
        </w:tc>
        <w:tc>
          <w:tcPr>
            <w:tcW w:w="60" w:type="dxa"/>
            <w:vAlign w:val="bottom"/>
          </w:tcPr>
          <w:p>
            <w:pPr>
              <w:spacing w:after="0"/>
              <w:rPr>
                <w:sz w:val="15"/>
                <w:szCs w:val="15"/>
                <w:color w:val="auto"/>
              </w:rPr>
            </w:pPr>
          </w:p>
        </w:tc>
      </w:tr>
      <w:tr>
        <w:trPr>
          <w:trHeight w:val="95"/>
        </w:trPr>
        <w:tc>
          <w:tcPr>
            <w:tcW w:w="6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6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040" w:type="dxa"/>
            <w:vAlign w:val="bottom"/>
          </w:tcPr>
          <w:p>
            <w:pPr>
              <w:ind w:left="240"/>
              <w:spacing w:after="0"/>
              <w:rPr>
                <w:sz w:val="20"/>
                <w:szCs w:val="20"/>
                <w:color w:val="auto"/>
              </w:rPr>
            </w:pPr>
            <w:r>
              <w:rPr>
                <w:rFonts w:ascii="Arial" w:cs="Arial" w:eastAsia="Arial" w:hAnsi="Arial"/>
                <w:sz w:val="18"/>
                <w:szCs w:val="18"/>
                <w:color w:val="auto"/>
              </w:rPr>
              <w:t>Airplane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629</w:t>
            </w: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1,077</w:t>
            </w: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87</w:t>
            </w: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1,793</w:t>
            </w:r>
          </w:p>
        </w:tc>
        <w:tc>
          <w:tcPr>
            <w:tcW w:w="60" w:type="dxa"/>
            <w:vAlign w:val="bottom"/>
          </w:tcPr>
          <w:p>
            <w:pPr>
              <w:spacing w:after="0"/>
              <w:rPr>
                <w:sz w:val="18"/>
                <w:szCs w:val="18"/>
                <w:color w:val="auto"/>
              </w:rPr>
            </w:pP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Art gallery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60" w:type="dxa"/>
            <w:vAlign w:val="bottom"/>
            <w:shd w:val="clear" w:color="auto" w:fill="CCEEFF"/>
          </w:tcPr>
          <w:p>
            <w:pPr>
              <w:spacing w:after="0"/>
              <w:rPr>
                <w:sz w:val="18"/>
                <w:szCs w:val="18"/>
                <w:color w:val="auto"/>
              </w:rPr>
            </w:pPr>
          </w:p>
        </w:tc>
      </w:tr>
      <w:tr>
        <w:trPr>
          <w:trHeight w:val="216"/>
        </w:trPr>
        <w:tc>
          <w:tcPr>
            <w:tcW w:w="6040" w:type="dxa"/>
            <w:vAlign w:val="bottom"/>
          </w:tcPr>
          <w:p>
            <w:pPr>
              <w:ind w:left="24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264</w:t>
            </w:r>
          </w:p>
        </w:tc>
        <w:tc>
          <w:tcPr>
            <w:tcW w:w="60" w:type="dxa"/>
            <w:vAlign w:val="bottom"/>
          </w:tcPr>
          <w:p>
            <w:pPr>
              <w:spacing w:after="0"/>
              <w:rPr>
                <w:sz w:val="18"/>
                <w:szCs w:val="18"/>
                <w:color w:val="auto"/>
              </w:rPr>
            </w:pP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Water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r>
      <w:tr>
        <w:trPr>
          <w:trHeight w:val="108"/>
        </w:trPr>
        <w:tc>
          <w:tcPr>
            <w:tcW w:w="6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60" w:type="dxa"/>
            <w:vAlign w:val="bottom"/>
            <w:shd w:val="clear" w:color="auto" w:fill="CCEEFF"/>
          </w:tcPr>
          <w:p>
            <w:pPr>
              <w:spacing w:after="0"/>
              <w:rPr>
                <w:sz w:val="18"/>
                <w:szCs w:val="18"/>
                <w:color w:val="auto"/>
              </w:rPr>
            </w:pPr>
          </w:p>
        </w:tc>
      </w:tr>
      <w:tr>
        <w:trPr>
          <w:trHeight w:val="108"/>
        </w:trPr>
        <w:tc>
          <w:tcPr>
            <w:tcW w:w="6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040" w:type="dxa"/>
            <w:vAlign w:val="bottom"/>
          </w:tcPr>
          <w:p>
            <w:pPr>
              <w:ind w:left="24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25,147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11,862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5,706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42,715</w:t>
            </w:r>
          </w:p>
        </w:tc>
        <w:tc>
          <w:tcPr>
            <w:tcW w:w="60" w:type="dxa"/>
            <w:vAlign w:val="bottom"/>
          </w:tcPr>
          <w:p>
            <w:pPr>
              <w:spacing w:after="0"/>
              <w:rPr>
                <w:sz w:val="18"/>
                <w:szCs w:val="18"/>
                <w:color w:val="auto"/>
              </w:rPr>
            </w:pP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21,142</w:t>
            </w:r>
          </w:p>
        </w:tc>
        <w:tc>
          <w:tcPr>
            <w:tcW w:w="60" w:type="dxa"/>
            <w:vAlign w:val="bottom"/>
            <w:shd w:val="clear" w:color="auto" w:fill="CCEEFF"/>
          </w:tcPr>
          <w:p>
            <w:pPr>
              <w:spacing w:after="0"/>
              <w:rPr>
                <w:sz w:val="18"/>
                <w:szCs w:val="18"/>
                <w:color w:val="auto"/>
              </w:rPr>
            </w:pPr>
          </w:p>
        </w:tc>
      </w:tr>
      <w:tr>
        <w:trPr>
          <w:trHeight w:val="216"/>
        </w:trPr>
        <w:tc>
          <w:tcPr>
            <w:tcW w:w="6040" w:type="dxa"/>
            <w:vAlign w:val="bottom"/>
          </w:tcPr>
          <w:p>
            <w:pPr>
              <w:ind w:left="240"/>
              <w:spacing w:after="0"/>
              <w:rPr>
                <w:sz w:val="20"/>
                <w:szCs w:val="20"/>
                <w:color w:val="auto"/>
              </w:rPr>
            </w:pPr>
            <w:r>
              <w:rPr>
                <w:rFonts w:ascii="Arial" w:cs="Arial" w:eastAsia="Arial" w:hAnsi="Arial"/>
                <w:sz w:val="18"/>
                <w:szCs w:val="18"/>
                <w:color w:val="auto"/>
              </w:rPr>
              <w:t>(Gain)/Loss on sale of assets</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18"/>
                <w:szCs w:val="18"/>
                <w:color w:val="auto"/>
              </w:rPr>
            </w:pP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60" w:type="dxa"/>
            <w:vAlign w:val="bottom"/>
            <w:shd w:val="clear" w:color="auto" w:fill="CCEEFF"/>
          </w:tcPr>
          <w:p>
            <w:pPr>
              <w:spacing w:after="0"/>
              <w:rPr>
                <w:sz w:val="18"/>
                <w:szCs w:val="18"/>
                <w:color w:val="auto"/>
              </w:rPr>
            </w:pPr>
          </w:p>
        </w:tc>
      </w:tr>
      <w:tr>
        <w:trPr>
          <w:trHeight w:val="216"/>
        </w:trPr>
        <w:tc>
          <w:tcPr>
            <w:tcW w:w="6040" w:type="dxa"/>
            <w:vAlign w:val="bottom"/>
          </w:tcPr>
          <w:p>
            <w:pPr>
              <w:ind w:left="240"/>
              <w:spacing w:after="0"/>
              <w:rPr>
                <w:sz w:val="20"/>
                <w:szCs w:val="20"/>
                <w:color w:val="auto"/>
              </w:rPr>
            </w:pPr>
            <w:r>
              <w:rPr>
                <w:rFonts w:ascii="Arial" w:cs="Arial" w:eastAsia="Arial" w:hAnsi="Arial"/>
                <w:sz w:val="18"/>
                <w:szCs w:val="18"/>
                <w:color w:val="auto"/>
              </w:rPr>
              <w:t>Facility closure expenses</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1,579</w:t>
            </w:r>
          </w:p>
        </w:tc>
        <w:tc>
          <w:tcPr>
            <w:tcW w:w="60" w:type="dxa"/>
            <w:vAlign w:val="bottom"/>
          </w:tcPr>
          <w:p>
            <w:pPr>
              <w:spacing w:after="0"/>
              <w:rPr>
                <w:sz w:val="18"/>
                <w:szCs w:val="18"/>
                <w:color w:val="auto"/>
              </w:rPr>
            </w:pP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water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0" w:type="dxa"/>
            <w:vAlign w:val="bottom"/>
            <w:shd w:val="clear" w:color="auto" w:fill="CCEEFF"/>
          </w:tcPr>
          <w:p>
            <w:pPr>
              <w:spacing w:after="0"/>
              <w:rPr>
                <w:sz w:val="18"/>
                <w:szCs w:val="18"/>
                <w:color w:val="auto"/>
              </w:rPr>
            </w:pPr>
          </w:p>
        </w:tc>
      </w:tr>
      <w:tr>
        <w:trPr>
          <w:trHeight w:val="216"/>
        </w:trPr>
        <w:tc>
          <w:tcPr>
            <w:tcW w:w="6040" w:type="dxa"/>
            <w:vAlign w:val="bottom"/>
          </w:tcPr>
          <w:p>
            <w:pPr>
              <w:ind w:left="240"/>
              <w:spacing w:after="0"/>
              <w:rPr>
                <w:sz w:val="20"/>
                <w:szCs w:val="20"/>
                <w:color w:val="auto"/>
              </w:rPr>
            </w:pPr>
            <w:r>
              <w:rPr>
                <w:rFonts w:ascii="Arial" w:cs="Arial" w:eastAsia="Arial" w:hAnsi="Arial"/>
                <w:sz w:val="18"/>
                <w:szCs w:val="18"/>
                <w:color w:val="auto"/>
              </w:rPr>
              <w:t>Cost of retail sales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w:t>
            </w:r>
          </w:p>
        </w:tc>
        <w:tc>
          <w:tcPr>
            <w:tcW w:w="60" w:type="dxa"/>
            <w:vAlign w:val="bottom"/>
          </w:tcPr>
          <w:p>
            <w:pPr>
              <w:spacing w:after="0"/>
              <w:rPr>
                <w:sz w:val="18"/>
                <w:szCs w:val="18"/>
                <w:color w:val="auto"/>
              </w:rPr>
            </w:pP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from incidental operations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60" w:type="dxa"/>
            <w:vAlign w:val="bottom"/>
            <w:shd w:val="clear" w:color="auto" w:fill="CCEEFF"/>
          </w:tcPr>
          <w:p>
            <w:pPr>
              <w:spacing w:after="0"/>
              <w:rPr>
                <w:sz w:val="18"/>
                <w:szCs w:val="18"/>
                <w:color w:val="auto"/>
              </w:rPr>
            </w:pPr>
          </w:p>
        </w:tc>
      </w:tr>
      <w:tr>
        <w:trPr>
          <w:trHeight w:val="108"/>
        </w:trPr>
        <w:tc>
          <w:tcPr>
            <w:tcW w:w="6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68,896</w:t>
            </w:r>
          </w:p>
        </w:tc>
        <w:tc>
          <w:tcPr>
            <w:tcW w:w="60" w:type="dxa"/>
            <w:vAlign w:val="bottom"/>
            <w:shd w:val="clear" w:color="auto" w:fill="CCEEFF"/>
          </w:tcPr>
          <w:p>
            <w:pPr>
              <w:spacing w:after="0"/>
              <w:rPr>
                <w:sz w:val="18"/>
                <w:szCs w:val="18"/>
                <w:color w:val="auto"/>
              </w:rPr>
            </w:pPr>
          </w:p>
        </w:tc>
      </w:tr>
      <w:tr>
        <w:trPr>
          <w:trHeight w:val="108"/>
        </w:trPr>
        <w:tc>
          <w:tcPr>
            <w:tcW w:w="6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(34,400)</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(20,060)</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(12,033)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(66,493)</w:t>
            </w:r>
          </w:p>
        </w:tc>
      </w:tr>
      <w:tr>
        <w:trPr>
          <w:trHeight w:val="108"/>
        </w:trPr>
        <w:tc>
          <w:tcPr>
            <w:tcW w:w="6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040" w:type="dxa"/>
            <w:vAlign w:val="bottom"/>
          </w:tcPr>
          <w:p>
            <w:pPr>
              <w:ind w:left="24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(1,897)</w:t>
            </w:r>
          </w:p>
        </w:tc>
        <w:tc>
          <w:tcPr>
            <w:tcW w:w="12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(1,942)</w:t>
            </w: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7,514</w:t>
            </w:r>
          </w:p>
        </w:tc>
        <w:tc>
          <w:tcPr>
            <w:tcW w:w="60" w:type="dxa"/>
            <w:vAlign w:val="bottom"/>
            <w:shd w:val="clear" w:color="auto" w:fill="CCEEFF"/>
          </w:tcPr>
          <w:p>
            <w:pPr>
              <w:spacing w:after="0"/>
              <w:rPr>
                <w:sz w:val="18"/>
                <w:szCs w:val="18"/>
                <w:color w:val="auto"/>
              </w:rPr>
            </w:pPr>
          </w:p>
        </w:tc>
      </w:tr>
      <w:tr>
        <w:trPr>
          <w:trHeight w:val="108"/>
        </w:trPr>
        <w:tc>
          <w:tcPr>
            <w:tcW w:w="6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5,572</w:t>
            </w:r>
          </w:p>
        </w:tc>
        <w:tc>
          <w:tcPr>
            <w:tcW w:w="60" w:type="dxa"/>
            <w:vAlign w:val="bottom"/>
            <w:shd w:val="clear" w:color="auto" w:fill="CCEEFF"/>
          </w:tcPr>
          <w:p>
            <w:pPr>
              <w:spacing w:after="0"/>
              <w:rPr>
                <w:sz w:val="18"/>
                <w:szCs w:val="18"/>
                <w:color w:val="auto"/>
              </w:rPr>
            </w:pPr>
          </w:p>
        </w:tc>
      </w:tr>
      <w:tr>
        <w:trPr>
          <w:trHeight w:val="108"/>
        </w:trPr>
        <w:tc>
          <w:tcPr>
            <w:tcW w:w="6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60" w:type="dxa"/>
            <w:vAlign w:val="bottom"/>
            <w:shd w:val="clear" w:color="auto" w:fill="CCEEFF"/>
          </w:tcPr>
          <w:p>
            <w:pPr>
              <w:spacing w:after="0"/>
              <w:rPr>
                <w:sz w:val="18"/>
                <w:szCs w:val="18"/>
                <w:color w:val="auto"/>
              </w:rPr>
            </w:pPr>
          </w:p>
        </w:tc>
      </w:tr>
      <w:tr>
        <w:trPr>
          <w:trHeight w:val="108"/>
        </w:trPr>
        <w:tc>
          <w:tcPr>
            <w:tcW w:w="6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accumulated during the development stage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(31,713)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(17,726)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(10,616)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(60,055)</w:t>
            </w:r>
          </w:p>
        </w:tc>
      </w:tr>
      <w:tr>
        <w:trPr>
          <w:trHeight w:val="132"/>
        </w:trPr>
        <w:tc>
          <w:tcPr>
            <w:tcW w:w="60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6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earnings per common share: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04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6040" w:type="dxa"/>
            <w:vAlign w:val="bottom"/>
          </w:tcPr>
          <w:p>
            <w:pPr>
              <w:ind w:left="48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(0.68)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(0.45)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(0.28)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040" w:type="dxa"/>
            <w:vAlign w:val="bottom"/>
          </w:tcPr>
          <w:p>
            <w:pPr>
              <w:ind w:left="48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46,706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38,984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37,945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41,576</w:t>
            </w:r>
          </w:p>
        </w:tc>
        <w:tc>
          <w:tcPr>
            <w:tcW w:w="60" w:type="dxa"/>
            <w:vAlign w:val="bottom"/>
          </w:tcPr>
          <w:p>
            <w:pPr>
              <w:spacing w:after="0"/>
              <w:rPr>
                <w:sz w:val="18"/>
                <w:szCs w:val="18"/>
                <w:color w:val="auto"/>
              </w:rPr>
            </w:pPr>
          </w:p>
        </w:tc>
      </w:tr>
      <w:tr>
        <w:trPr>
          <w:trHeight w:val="216"/>
        </w:trPr>
        <w:tc>
          <w:tcPr>
            <w:tcW w:w="6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46,706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41,576</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-1056005</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-1056005</wp:posOffset>
            </wp:positionV>
            <wp:extent cx="2159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-1056005</wp:posOffset>
            </wp:positionV>
            <wp:extent cx="3873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-1056005</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-1056005</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-1056005</wp:posOffset>
            </wp:positionV>
            <wp:extent cx="3873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-1056005</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-1056005</wp:posOffset>
            </wp:positionV>
            <wp:extent cx="2159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-1056005</wp:posOffset>
            </wp:positionV>
            <wp:extent cx="3873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-1056005</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-1056005</wp:posOffset>
            </wp:positionV>
            <wp:extent cx="2159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-1056005</wp:posOffset>
            </wp:positionV>
            <wp:extent cx="3873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274"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3"/>
          </w:tcPr>
          <w:p>
            <w:pPr>
              <w:ind w:left="580"/>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Deferred</w:t>
            </w:r>
          </w:p>
        </w:tc>
        <w:tc>
          <w:tcPr>
            <w:tcW w:w="120" w:type="dxa"/>
            <w:vAlign w:val="bottom"/>
          </w:tcPr>
          <w:p>
            <w:pPr>
              <w:spacing w:after="0"/>
              <w:rPr>
                <w:sz w:val="14"/>
                <w:szCs w:val="14"/>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Net loss</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35"/>
        </w:trPr>
        <w:tc>
          <w:tcPr>
            <w:tcW w:w="3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3"/>
          </w:tcPr>
          <w:p>
            <w:pPr>
              <w:jc w:val="center"/>
              <w:ind w:right="420"/>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1140" w:type="dxa"/>
            <w:vAlign w:val="bottom"/>
            <w:gridSpan w:val="3"/>
          </w:tcPr>
          <w:p>
            <w:pPr>
              <w:jc w:val="center"/>
              <w:ind w:right="400"/>
              <w:spacing w:after="0" w:line="135" w:lineRule="exact"/>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29"/>
        </w:trPr>
        <w:tc>
          <w:tcPr>
            <w:tcW w:w="3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99"/>
              </w:rPr>
              <w:t>—</w:t>
            </w:r>
          </w:p>
        </w:tc>
        <w:tc>
          <w:tcPr>
            <w:tcW w:w="1140" w:type="dxa"/>
            <w:vAlign w:val="bottom"/>
            <w:gridSpan w:val="3"/>
          </w:tcPr>
          <w:p>
            <w:pPr>
              <w:jc w:val="center"/>
              <w:ind w:right="380"/>
              <w:spacing w:after="0" w:line="129" w:lineRule="exact"/>
              <w:rPr>
                <w:sz w:val="20"/>
                <w:szCs w:val="20"/>
                <w:color w:val="auto"/>
              </w:rPr>
            </w:pPr>
            <w:r>
              <w:rPr>
                <w:rFonts w:ascii="Arial" w:cs="Arial" w:eastAsia="Arial" w:hAnsi="Arial"/>
                <w:sz w:val="14"/>
                <w:szCs w:val="14"/>
                <w:b w:val="1"/>
                <w:bCs w:val="1"/>
                <w:color w:val="auto"/>
                <w:w w:val="87"/>
              </w:rPr>
              <w:t>during the</w:t>
            </w:r>
          </w:p>
        </w:tc>
        <w:tc>
          <w:tcPr>
            <w:tcW w:w="140" w:type="dxa"/>
            <w:vAlign w:val="bottom"/>
          </w:tcPr>
          <w:p>
            <w:pPr>
              <w:spacing w:after="0"/>
              <w:rPr>
                <w:sz w:val="11"/>
                <w:szCs w:val="11"/>
                <w:color w:val="auto"/>
              </w:rPr>
            </w:pPr>
          </w:p>
        </w:tc>
        <w:tc>
          <w:tcPr>
            <w:tcW w:w="72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rPr>
              <w:t>Total</w:t>
            </w:r>
          </w:p>
        </w:tc>
      </w:tr>
      <w:tr>
        <w:trPr>
          <w:trHeight w:val="149"/>
        </w:trPr>
        <w:tc>
          <w:tcPr>
            <w:tcW w:w="3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gridSpan w:val="3"/>
          </w:tcPr>
          <w:p>
            <w:pPr>
              <w:ind w:left="480"/>
              <w:spacing w:after="0" w:line="149" w:lineRule="exact"/>
              <w:rPr>
                <w:sz w:val="20"/>
                <w:szCs w:val="20"/>
                <w:color w:val="auto"/>
              </w:rPr>
            </w:pPr>
            <w:r>
              <w:rPr>
                <w:rFonts w:ascii="Arial" w:cs="Arial" w:eastAsia="Arial" w:hAnsi="Arial"/>
                <w:sz w:val="14"/>
                <w:szCs w:val="14"/>
                <w:b w:val="1"/>
                <w:bCs w:val="1"/>
                <w:color w:val="auto"/>
              </w:rPr>
              <w:t>Shares</w:t>
            </w:r>
          </w:p>
        </w:tc>
        <w:tc>
          <w:tcPr>
            <w:tcW w:w="36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Par</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Additional paid-in</w:t>
            </w:r>
          </w:p>
        </w:tc>
        <w:tc>
          <w:tcPr>
            <w:tcW w:w="120" w:type="dxa"/>
            <w:vAlign w:val="bottom"/>
          </w:tcPr>
          <w:p>
            <w:pPr>
              <w:spacing w:after="0"/>
              <w:rPr>
                <w:sz w:val="12"/>
                <w:szCs w:val="12"/>
                <w:color w:val="auto"/>
              </w:rPr>
            </w:pP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restricted</w:t>
            </w:r>
          </w:p>
        </w:tc>
        <w:tc>
          <w:tcPr>
            <w:tcW w:w="11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development</w:t>
            </w: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0"/>
              </w:rPr>
              <w:t>stockholders’</w:t>
            </w:r>
          </w:p>
        </w:tc>
      </w:tr>
      <w:tr>
        <w:trPr>
          <w:trHeight w:val="174"/>
        </w:trPr>
        <w:tc>
          <w:tcPr>
            <w:tcW w:w="3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gridSpan w:val="3"/>
          </w:tcPr>
          <w:p>
            <w:pPr>
              <w:ind w:left="320"/>
              <w:spacing w:after="0"/>
              <w:rPr>
                <w:sz w:val="20"/>
                <w:szCs w:val="20"/>
                <w:color w:val="auto"/>
              </w:rPr>
            </w:pPr>
            <w:r>
              <w:rPr>
                <w:rFonts w:ascii="Arial" w:cs="Arial" w:eastAsia="Arial" w:hAnsi="Arial"/>
                <w:sz w:val="14"/>
                <w:szCs w:val="14"/>
                <w:b w:val="1"/>
                <w:bCs w:val="1"/>
                <w:color w:val="auto"/>
              </w:rPr>
              <w:t>Outstanding</w:t>
            </w:r>
          </w:p>
        </w:tc>
        <w:tc>
          <w:tcPr>
            <w:tcW w:w="360" w:type="dxa"/>
            <w:vAlign w:val="bottom"/>
          </w:tcPr>
          <w:p>
            <w:pPr>
              <w:ind w:left="20"/>
              <w:spacing w:after="0"/>
              <w:rPr>
                <w:sz w:val="20"/>
                <w:szCs w:val="20"/>
                <w:color w:val="auto"/>
              </w:rPr>
            </w:pPr>
            <w:r>
              <w:rPr>
                <w:rFonts w:ascii="Arial" w:cs="Arial" w:eastAsia="Arial" w:hAnsi="Arial"/>
                <w:sz w:val="14"/>
                <w:szCs w:val="14"/>
                <w:b w:val="1"/>
                <w:bCs w:val="1"/>
                <w:color w:val="auto"/>
                <w:w w:val="85"/>
              </w:rPr>
              <w:t>Value</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3"/>
          </w:tcPr>
          <w:p>
            <w:pPr>
              <w:ind w:left="38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1"/>
              </w:rPr>
              <w:t>stock</w:t>
            </w:r>
          </w:p>
        </w:tc>
        <w:tc>
          <w:tcPr>
            <w:tcW w:w="120" w:type="dxa"/>
            <w:vAlign w:val="bottom"/>
          </w:tcPr>
          <w:p>
            <w:pPr>
              <w:spacing w:after="0"/>
              <w:rPr>
                <w:sz w:val="15"/>
                <w:szCs w:val="15"/>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1"/>
              </w:rPr>
              <w:t>stage</w:t>
            </w:r>
          </w:p>
        </w:tc>
        <w:tc>
          <w:tcPr>
            <w:tcW w:w="14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r>
      <w:tr>
        <w:trPr>
          <w:trHeight w:val="95"/>
        </w:trPr>
        <w:tc>
          <w:tcPr>
            <w:tcW w:w="3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3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Balances, Inception (April 21, 2000)</w:t>
            </w:r>
          </w:p>
        </w:tc>
        <w:tc>
          <w:tcPr>
            <w:tcW w:w="170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Capital contributions</w:t>
            </w:r>
          </w:p>
        </w:tc>
        <w:tc>
          <w:tcPr>
            <w:tcW w:w="1360" w:type="dxa"/>
            <w:vAlign w:val="bottom"/>
          </w:tcPr>
          <w:p>
            <w:pPr>
              <w:jc w:val="right"/>
              <w:spacing w:after="0"/>
              <w:rPr>
                <w:sz w:val="20"/>
                <w:szCs w:val="20"/>
                <w:color w:val="auto"/>
              </w:rPr>
            </w:pPr>
            <w:r>
              <w:rPr>
                <w:rFonts w:ascii="Arial" w:cs="Arial" w:eastAsia="Arial" w:hAnsi="Arial"/>
                <w:sz w:val="18"/>
                <w:szCs w:val="18"/>
                <w:color w:val="auto"/>
              </w:rPr>
              <w:t>37,944,544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w w:val="79"/>
              </w:rPr>
              <w:t>379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512,675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513,054</w:t>
            </w:r>
          </w:p>
        </w:tc>
        <w:tc>
          <w:tcPr>
            <w:tcW w:w="60" w:type="dxa"/>
            <w:vAlign w:val="bottom"/>
          </w:tcPr>
          <w:p>
            <w:pPr>
              <w:spacing w:after="0"/>
              <w:rPr>
                <w:sz w:val="18"/>
                <w:szCs w:val="18"/>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w:t>
            </w:r>
          </w:p>
        </w:tc>
        <w:tc>
          <w:tcPr>
            <w:tcW w:w="170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(110,482)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(110,482)</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Third party fees</w:t>
            </w:r>
          </w:p>
        </w:tc>
        <w:tc>
          <w:tcPr>
            <w:tcW w:w="1700" w:type="dxa"/>
            <w:vAlign w:val="bottom"/>
            <w:gridSpan w:val="3"/>
          </w:tcPr>
          <w:p>
            <w:pPr>
              <w:ind w:left="1100"/>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(10,000)</w:t>
            </w:r>
          </w:p>
        </w:tc>
      </w:tr>
      <w:tr>
        <w:trPr>
          <w:trHeight w:val="208"/>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accumulated during the development</w:t>
            </w: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38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stage</w:t>
            </w:r>
          </w:p>
        </w:tc>
        <w:tc>
          <w:tcPr>
            <w:tcW w:w="170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(10,616)</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(10,616)</w:t>
            </w:r>
          </w:p>
        </w:tc>
      </w:tr>
      <w:tr>
        <w:trPr>
          <w:trHeight w:val="108"/>
        </w:trPr>
        <w:tc>
          <w:tcPr>
            <w:tcW w:w="3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3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Balances, December 31, 2000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37,944,544</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379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392,193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(10,616)</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381,956</w:t>
            </w:r>
          </w:p>
        </w:tc>
        <w:tc>
          <w:tcPr>
            <w:tcW w:w="60" w:type="dxa"/>
            <w:vAlign w:val="bottom"/>
            <w:shd w:val="clear" w:color="auto" w:fill="CCEEFF"/>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Capital contributions</w:t>
            </w:r>
          </w:p>
        </w:tc>
        <w:tc>
          <w:tcPr>
            <w:tcW w:w="1360" w:type="dxa"/>
            <w:vAlign w:val="bottom"/>
          </w:tcPr>
          <w:p>
            <w:pPr>
              <w:jc w:val="right"/>
              <w:spacing w:after="0"/>
              <w:rPr>
                <w:sz w:val="20"/>
                <w:szCs w:val="20"/>
                <w:color w:val="auto"/>
              </w:rPr>
            </w:pPr>
            <w:r>
              <w:rPr>
                <w:rFonts w:ascii="Arial" w:cs="Arial" w:eastAsia="Arial" w:hAnsi="Arial"/>
                <w:sz w:val="18"/>
                <w:szCs w:val="18"/>
                <w:color w:val="auto"/>
              </w:rPr>
              <w:t>1,459,347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20,785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20,800</w:t>
            </w:r>
          </w:p>
        </w:tc>
        <w:tc>
          <w:tcPr>
            <w:tcW w:w="60" w:type="dxa"/>
            <w:vAlign w:val="bottom"/>
          </w:tcPr>
          <w:p>
            <w:pPr>
              <w:spacing w:after="0"/>
              <w:rPr>
                <w:sz w:val="18"/>
                <w:szCs w:val="18"/>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party fees</w:t>
            </w:r>
          </w:p>
        </w:tc>
        <w:tc>
          <w:tcPr>
            <w:tcW w:w="170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08"/>
        </w:trPr>
        <w:tc>
          <w:tcPr>
            <w:tcW w:w="3880" w:type="dxa"/>
            <w:vAlign w:val="bottom"/>
            <w:gridSpan w:val="2"/>
          </w:tcPr>
          <w:p>
            <w:pPr>
              <w:spacing w:after="0"/>
              <w:rPr>
                <w:sz w:val="20"/>
                <w:szCs w:val="20"/>
                <w:color w:val="auto"/>
              </w:rPr>
            </w:pPr>
            <w:r>
              <w:rPr>
                <w:rFonts w:ascii="Arial" w:cs="Arial" w:eastAsia="Arial" w:hAnsi="Arial"/>
                <w:sz w:val="18"/>
                <w:szCs w:val="18"/>
                <w:color w:val="auto"/>
              </w:rPr>
              <w:t>Net loss accumulated during the development</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3880" w:type="dxa"/>
            <w:vAlign w:val="bottom"/>
            <w:gridSpan w:val="2"/>
          </w:tcPr>
          <w:p>
            <w:pPr>
              <w:ind w:left="80"/>
              <w:spacing w:after="0"/>
              <w:rPr>
                <w:sz w:val="20"/>
                <w:szCs w:val="20"/>
                <w:color w:val="auto"/>
              </w:rPr>
            </w:pPr>
            <w:r>
              <w:rPr>
                <w:rFonts w:ascii="Arial" w:cs="Arial" w:eastAsia="Arial" w:hAnsi="Arial"/>
                <w:sz w:val="18"/>
                <w:szCs w:val="18"/>
                <w:color w:val="auto"/>
              </w:rPr>
              <w:t>stage</w:t>
            </w:r>
          </w:p>
        </w:tc>
        <w:tc>
          <w:tcPr>
            <w:tcW w:w="1700" w:type="dxa"/>
            <w:vAlign w:val="bottom"/>
            <w:gridSpan w:val="3"/>
          </w:tcPr>
          <w:p>
            <w:pPr>
              <w:ind w:left="1100"/>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3"/>
          </w:tcPr>
          <w:p>
            <w:pPr>
              <w:ind w:left="10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(17,726)</w:t>
            </w:r>
          </w:p>
        </w:tc>
        <w:tc>
          <w:tcPr>
            <w:tcW w:w="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(17,726)</w:t>
            </w:r>
          </w:p>
        </w:tc>
      </w:tr>
      <w:tr>
        <w:trPr>
          <w:trHeight w:val="110"/>
        </w:trPr>
        <w:tc>
          <w:tcPr>
            <w:tcW w:w="3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3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Balances, December 31, 2001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39,403,891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394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412,178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(28,342)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384,230</w:t>
            </w:r>
          </w:p>
        </w:tc>
        <w:tc>
          <w:tcPr>
            <w:tcW w:w="60" w:type="dxa"/>
            <w:vAlign w:val="bottom"/>
            <w:shd w:val="clear" w:color="auto" w:fill="CCEEFF"/>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Capital contributions</w:t>
            </w:r>
          </w:p>
        </w:tc>
        <w:tc>
          <w:tcPr>
            <w:tcW w:w="1360" w:type="dxa"/>
            <w:vAlign w:val="bottom"/>
          </w:tcPr>
          <w:p>
            <w:pPr>
              <w:jc w:val="right"/>
              <w:spacing w:after="0"/>
              <w:rPr>
                <w:sz w:val="20"/>
                <w:szCs w:val="20"/>
                <w:color w:val="auto"/>
              </w:rPr>
            </w:pPr>
            <w:r>
              <w:rPr>
                <w:rFonts w:ascii="Arial" w:cs="Arial" w:eastAsia="Arial" w:hAnsi="Arial"/>
                <w:sz w:val="18"/>
                <w:szCs w:val="18"/>
                <w:color w:val="auto"/>
              </w:rPr>
              <w:t>596,109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173,488</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173,494</w:t>
            </w:r>
          </w:p>
        </w:tc>
        <w:tc>
          <w:tcPr>
            <w:tcW w:w="60" w:type="dxa"/>
            <w:vAlign w:val="bottom"/>
          </w:tcPr>
          <w:p>
            <w:pPr>
              <w:spacing w:after="0"/>
              <w:rPr>
                <w:sz w:val="18"/>
                <w:szCs w:val="18"/>
                <w:color w:val="auto"/>
              </w:rPr>
            </w:pPr>
          </w:p>
        </w:tc>
      </w:tr>
      <w:tr>
        <w:trPr>
          <w:trHeight w:val="208"/>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common stock through initial public</w:t>
            </w: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38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offering</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34,615,000</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346</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426,024</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426,370</w:t>
            </w:r>
          </w:p>
        </w:tc>
        <w:tc>
          <w:tcPr>
            <w:tcW w:w="60" w:type="dxa"/>
            <w:vAlign w:val="bottom"/>
            <w:shd w:val="clear" w:color="auto" w:fill="CCEEFF"/>
          </w:tcPr>
          <w:p>
            <w:pPr>
              <w:spacing w:after="0"/>
              <w:rPr>
                <w:sz w:val="19"/>
                <w:szCs w:val="19"/>
                <w:color w:val="auto"/>
              </w:rPr>
            </w:pPr>
          </w:p>
        </w:tc>
      </w:tr>
      <w:tr>
        <w:trPr>
          <w:trHeight w:val="208"/>
        </w:trPr>
        <w:tc>
          <w:tcPr>
            <w:tcW w:w="3880" w:type="dxa"/>
            <w:vAlign w:val="bottom"/>
            <w:gridSpan w:val="2"/>
          </w:tcPr>
          <w:p>
            <w:pPr>
              <w:spacing w:after="0"/>
              <w:rPr>
                <w:sz w:val="20"/>
                <w:szCs w:val="20"/>
                <w:color w:val="auto"/>
              </w:rPr>
            </w:pPr>
            <w:r>
              <w:rPr>
                <w:rFonts w:ascii="Arial" w:cs="Arial" w:eastAsia="Arial" w:hAnsi="Arial"/>
                <w:sz w:val="18"/>
                <w:szCs w:val="18"/>
                <w:color w:val="auto"/>
              </w:rPr>
              <w:t>Issuance of common stock through over-</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3880" w:type="dxa"/>
            <w:vAlign w:val="bottom"/>
            <w:gridSpan w:val="2"/>
          </w:tcPr>
          <w:p>
            <w:pPr>
              <w:ind w:left="80"/>
              <w:spacing w:after="0"/>
              <w:rPr>
                <w:sz w:val="20"/>
                <w:szCs w:val="20"/>
                <w:color w:val="auto"/>
              </w:rPr>
            </w:pPr>
            <w:r>
              <w:rPr>
                <w:rFonts w:ascii="Arial" w:cs="Arial" w:eastAsia="Arial" w:hAnsi="Arial"/>
                <w:sz w:val="18"/>
                <w:szCs w:val="18"/>
                <w:color w:val="auto"/>
              </w:rPr>
              <w:t>allotment option</w:t>
            </w:r>
          </w:p>
        </w:tc>
        <w:tc>
          <w:tcPr>
            <w:tcW w:w="1360" w:type="dxa"/>
            <w:vAlign w:val="bottom"/>
          </w:tcPr>
          <w:p>
            <w:pPr>
              <w:jc w:val="right"/>
              <w:spacing w:after="0"/>
              <w:rPr>
                <w:sz w:val="20"/>
                <w:szCs w:val="20"/>
                <w:color w:val="auto"/>
              </w:rPr>
            </w:pPr>
            <w:r>
              <w:rPr>
                <w:rFonts w:ascii="Arial" w:cs="Arial" w:eastAsia="Arial" w:hAnsi="Arial"/>
                <w:sz w:val="18"/>
                <w:szCs w:val="18"/>
                <w:color w:val="auto"/>
              </w:rPr>
              <w:t>3,219,173</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38,888</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38,920</w:t>
            </w:r>
          </w:p>
        </w:tc>
        <w:tc>
          <w:tcPr>
            <w:tcW w:w="60" w:type="dxa"/>
            <w:vAlign w:val="bottom"/>
          </w:tcPr>
          <w:p>
            <w:pPr>
              <w:spacing w:after="0"/>
              <w:rPr>
                <w:sz w:val="19"/>
                <w:szCs w:val="19"/>
                <w:color w:val="auto"/>
              </w:rPr>
            </w:pPr>
          </w:p>
        </w:tc>
      </w:tr>
      <w:tr>
        <w:trPr>
          <w:trHeight w:val="217"/>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restricted stock</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1,138,338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(15,083)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3880" w:type="dxa"/>
            <w:vAlign w:val="bottom"/>
            <w:gridSpan w:val="2"/>
          </w:tcPr>
          <w:p>
            <w:pPr>
              <w:spacing w:after="0"/>
              <w:rPr>
                <w:sz w:val="20"/>
                <w:szCs w:val="20"/>
                <w:color w:val="auto"/>
              </w:rPr>
            </w:pPr>
            <w:r>
              <w:rPr>
                <w:rFonts w:ascii="Arial" w:cs="Arial" w:eastAsia="Arial" w:hAnsi="Arial"/>
                <w:sz w:val="18"/>
                <w:szCs w:val="18"/>
                <w:color w:val="auto"/>
              </w:rPr>
              <w:t>Amortization of deferred compensation—</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3880" w:type="dxa"/>
            <w:vAlign w:val="bottom"/>
            <w:gridSpan w:val="2"/>
          </w:tcPr>
          <w:p>
            <w:pPr>
              <w:ind w:left="80"/>
              <w:spacing w:after="0"/>
              <w:rPr>
                <w:sz w:val="20"/>
                <w:szCs w:val="20"/>
                <w:color w:val="auto"/>
              </w:rPr>
            </w:pPr>
            <w:r>
              <w:rPr>
                <w:rFonts w:ascii="Arial" w:cs="Arial" w:eastAsia="Arial" w:hAnsi="Arial"/>
                <w:sz w:val="18"/>
                <w:szCs w:val="18"/>
                <w:color w:val="auto"/>
              </w:rPr>
              <w:t>restricted stock</w:t>
            </w:r>
          </w:p>
        </w:tc>
        <w:tc>
          <w:tcPr>
            <w:tcW w:w="1700" w:type="dxa"/>
            <w:vAlign w:val="bottom"/>
            <w:gridSpan w:val="3"/>
          </w:tcPr>
          <w:p>
            <w:pPr>
              <w:ind w:left="1100"/>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3"/>
          </w:tcPr>
          <w:p>
            <w:pPr>
              <w:ind w:left="10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w w:val="79"/>
              </w:rPr>
              <w:t>312</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19"/>
                <w:szCs w:val="19"/>
                <w:color w:val="auto"/>
              </w:rPr>
            </w:pPr>
          </w:p>
        </w:tc>
      </w:tr>
      <w:tr>
        <w:trPr>
          <w:trHeight w:val="209"/>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accumulated during the development</w:t>
            </w: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38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stage</w:t>
            </w:r>
          </w:p>
        </w:tc>
        <w:tc>
          <w:tcPr>
            <w:tcW w:w="170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(31,713)</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(31,713)</w:t>
            </w:r>
          </w:p>
        </w:tc>
      </w:tr>
      <w:tr>
        <w:trPr>
          <w:trHeight w:val="108"/>
        </w:trPr>
        <w:tc>
          <w:tcPr>
            <w:tcW w:w="3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3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Balances, December 31, 2002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78,972,511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$790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1,065,649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(14,771)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(60,055)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991,613</w:t>
            </w:r>
          </w:p>
        </w:tc>
        <w:tc>
          <w:tcPr>
            <w:tcW w:w="60" w:type="dxa"/>
            <w:vAlign w:val="bottom"/>
            <w:shd w:val="clear" w:color="auto" w:fill="CCEEFF"/>
          </w:tcPr>
          <w:p>
            <w:pPr>
              <w:spacing w:after="0"/>
              <w:rPr>
                <w:sz w:val="18"/>
                <w:szCs w:val="18"/>
                <w:color w:val="auto"/>
              </w:rPr>
            </w:pPr>
          </w:p>
        </w:tc>
      </w:tr>
      <w:tr>
        <w:trPr>
          <w:trHeight w:val="132"/>
        </w:trPr>
        <w:tc>
          <w:tcPr>
            <w:tcW w:w="38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3313430</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-29210</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-29210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-29210</wp:posOffset>
            </wp:positionV>
            <wp:extent cx="2159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-29210</wp:posOffset>
            </wp:positionV>
            <wp:extent cx="3873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-29210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2159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3873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3873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2159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274"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Period from</w:t>
            </w:r>
          </w:p>
        </w:tc>
        <w:tc>
          <w:tcPr>
            <w:tcW w:w="12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r>
      <w:tr>
        <w:trPr>
          <w:trHeight w:val="149"/>
        </w:trPr>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0"/>
              </w:rPr>
              <w:t>Year Ended</w:t>
            </w:r>
          </w:p>
        </w:tc>
        <w:tc>
          <w:tcPr>
            <w:tcW w:w="10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Year Ended</w:t>
            </w:r>
          </w:p>
        </w:tc>
        <w:tc>
          <w:tcPr>
            <w:tcW w:w="10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Inception to</w:t>
            </w:r>
          </w:p>
        </w:tc>
      </w:tr>
      <w:tr>
        <w:trPr>
          <w:trHeight w:val="149"/>
        </w:trPr>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74"/>
        </w:trPr>
        <w:tc>
          <w:tcPr>
            <w:tcW w:w="6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74"/>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2001</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2000</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2002</w:t>
            </w:r>
          </w:p>
        </w:tc>
        <w:tc>
          <w:tcPr>
            <w:tcW w:w="100" w:type="dxa"/>
            <w:vAlign w:val="bottom"/>
          </w:tcPr>
          <w:p>
            <w:pPr>
              <w:spacing w:after="0"/>
              <w:rPr>
                <w:sz w:val="15"/>
                <w:szCs w:val="15"/>
                <w:color w:val="auto"/>
              </w:rPr>
            </w:pPr>
          </w:p>
        </w:tc>
      </w:tr>
      <w:tr>
        <w:trPr>
          <w:trHeight w:val="95"/>
        </w:trPr>
        <w:tc>
          <w:tcPr>
            <w:tcW w:w="6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6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6040" w:type="dxa"/>
            <w:vAlign w:val="bottom"/>
          </w:tcPr>
          <w:p>
            <w:pPr>
              <w:spacing w:after="0"/>
              <w:rPr>
                <w:sz w:val="20"/>
                <w:szCs w:val="20"/>
                <w:color w:val="auto"/>
              </w:rPr>
            </w:pPr>
            <w:r>
              <w:rPr>
                <w:rFonts w:ascii="Arial" w:cs="Arial" w:eastAsia="Arial" w:hAnsi="Arial"/>
                <w:sz w:val="18"/>
                <w:szCs w:val="18"/>
                <w:color w:val="auto"/>
              </w:rPr>
              <w:t>Net loss accumulated during the development stage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(31,713)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(17,726)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(10,616)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(60,055)</w:t>
            </w:r>
          </w:p>
        </w:tc>
      </w:tr>
      <w:tr>
        <w:trPr>
          <w:trHeight w:val="102"/>
        </w:trPr>
        <w:tc>
          <w:tcPr>
            <w:tcW w:w="6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6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8"/>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w w:val="95"/>
              </w:rPr>
              <w:t>Adjustments to reconcile net loss accumulated during the development stage to</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6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60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8,934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8,163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4,045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21,142</w:t>
            </w: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(866)</w:t>
            </w:r>
          </w:p>
        </w:tc>
      </w:tr>
      <w:tr>
        <w:trPr>
          <w:trHeight w:val="216"/>
        </w:trPr>
        <w:tc>
          <w:tcPr>
            <w:tcW w:w="6040" w:type="dxa"/>
            <w:vAlign w:val="bottom"/>
          </w:tcPr>
          <w:p>
            <w:pPr>
              <w:ind w:left="240"/>
              <w:spacing w:after="0"/>
              <w:rPr>
                <w:sz w:val="20"/>
                <w:szCs w:val="20"/>
                <w:color w:val="auto"/>
              </w:rPr>
            </w:pPr>
            <w:r>
              <w:rPr>
                <w:rFonts w:ascii="Arial" w:cs="Arial" w:eastAsia="Arial" w:hAnsi="Arial"/>
                <w:sz w:val="18"/>
                <w:szCs w:val="18"/>
                <w:color w:val="auto"/>
              </w:rPr>
              <w:t>Amortization of deferred compensation</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(Gain)/Loss on sale of fixed assets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ind w:left="240"/>
              <w:spacing w:after="0"/>
              <w:rPr>
                <w:sz w:val="20"/>
                <w:szCs w:val="20"/>
                <w:color w:val="auto"/>
              </w:rPr>
            </w:pPr>
            <w:r>
              <w:rPr>
                <w:rFonts w:ascii="Arial" w:cs="Arial" w:eastAsia="Arial" w:hAnsi="Arial"/>
                <w:sz w:val="18"/>
                <w:szCs w:val="18"/>
                <w:color w:val="auto"/>
              </w:rPr>
              <w:t>Incidental operations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3,611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6,780</w:t>
            </w: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ind w:left="46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6,970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7,797</w:t>
            </w: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Inventories and prepaid expenses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(1,061)</w:t>
            </w:r>
          </w:p>
        </w:tc>
      </w:tr>
      <w:tr>
        <w:trPr>
          <w:trHeight w:val="222"/>
        </w:trPr>
        <w:tc>
          <w:tcPr>
            <w:tcW w:w="6040" w:type="dxa"/>
            <w:vAlign w:val="bottom"/>
          </w:tcPr>
          <w:p>
            <w:pPr>
              <w:ind w:left="4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11,603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585</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(8,986)</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3,202</w:t>
            </w:r>
          </w:p>
        </w:tc>
        <w:tc>
          <w:tcPr>
            <w:tcW w:w="100" w:type="dxa"/>
            <w:vAlign w:val="bottom"/>
          </w:tcPr>
          <w:p>
            <w:pPr>
              <w:spacing w:after="0"/>
              <w:rPr>
                <w:sz w:val="19"/>
                <w:szCs w:val="19"/>
                <w:color w:val="auto"/>
              </w:rPr>
            </w:pPr>
          </w:p>
        </w:tc>
      </w:tr>
      <w:tr>
        <w:trPr>
          <w:trHeight w:val="102"/>
        </w:trPr>
        <w:tc>
          <w:tcPr>
            <w:tcW w:w="6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6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adjustments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37,679</w:t>
            </w:r>
          </w:p>
        </w:tc>
        <w:tc>
          <w:tcPr>
            <w:tcW w:w="100" w:type="dxa"/>
            <w:vAlign w:val="bottom"/>
            <w:shd w:val="clear" w:color="auto" w:fill="CCEEFF"/>
          </w:tcPr>
          <w:p>
            <w:pPr>
              <w:spacing w:after="0"/>
              <w:rPr>
                <w:sz w:val="18"/>
                <w:szCs w:val="18"/>
                <w:color w:val="auto"/>
              </w:rPr>
            </w:pPr>
          </w:p>
        </w:tc>
      </w:tr>
      <w:tr>
        <w:trPr>
          <w:trHeight w:val="108"/>
        </w:trPr>
        <w:tc>
          <w:tcPr>
            <w:tcW w:w="6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6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(10,348)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(4,591)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(7,437)</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(22,376)</w:t>
            </w:r>
          </w:p>
        </w:tc>
      </w:tr>
      <w:tr>
        <w:trPr>
          <w:trHeight w:val="108"/>
        </w:trPr>
        <w:tc>
          <w:tcPr>
            <w:tcW w:w="6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6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ind w:left="240"/>
              <w:spacing w:after="0"/>
              <w:rPr>
                <w:sz w:val="20"/>
                <w:szCs w:val="20"/>
                <w:color w:val="auto"/>
              </w:rPr>
            </w:pPr>
            <w:r>
              <w:rPr>
                <w:rFonts w:ascii="Arial" w:cs="Arial" w:eastAsia="Arial" w:hAnsi="Arial"/>
                <w:sz w:val="18"/>
                <w:szCs w:val="18"/>
                <w:color w:val="auto"/>
              </w:rPr>
              <w:t>Acquisition of Desert Inn Resort and Casino, net of cash acquired</w:t>
            </w: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(270,718)</w:t>
            </w: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(270,718)</w:t>
            </w: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 expenditures, net of construction payables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(66,255)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(29,082)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(55,641)</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(150,978)</w:t>
            </w:r>
          </w:p>
        </w:tc>
      </w:tr>
      <w:tr>
        <w:trPr>
          <w:trHeight w:val="216"/>
        </w:trPr>
        <w:tc>
          <w:tcPr>
            <w:tcW w:w="6040" w:type="dxa"/>
            <w:vAlign w:val="bottom"/>
          </w:tcPr>
          <w:p>
            <w:pPr>
              <w:ind w:left="240"/>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(792,353)</w:t>
            </w: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(792,877)</w:t>
            </w: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(3,573)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(1,707)</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(1,299)</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(6,579)</w:t>
            </w:r>
          </w:p>
        </w:tc>
      </w:tr>
      <w:tr>
        <w:trPr>
          <w:trHeight w:val="222"/>
        </w:trPr>
        <w:tc>
          <w:tcPr>
            <w:tcW w:w="6040" w:type="dxa"/>
            <w:vAlign w:val="bottom"/>
          </w:tcPr>
          <w:p>
            <w:pPr>
              <w:ind w:left="240"/>
              <w:spacing w:after="0"/>
              <w:rPr>
                <w:sz w:val="20"/>
                <w:szCs w:val="20"/>
                <w:color w:val="auto"/>
              </w:rPr>
            </w:pPr>
            <w:r>
              <w:rPr>
                <w:rFonts w:ascii="Arial" w:cs="Arial" w:eastAsia="Arial" w:hAnsi="Arial"/>
                <w:sz w:val="18"/>
                <w:szCs w:val="18"/>
                <w:color w:val="auto"/>
              </w:rPr>
              <w:t>Proceeds from sale of equipment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8,007</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775</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776</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9,558</w:t>
            </w:r>
          </w:p>
        </w:tc>
        <w:tc>
          <w:tcPr>
            <w:tcW w:w="100" w:type="dxa"/>
            <w:vAlign w:val="bottom"/>
          </w:tcPr>
          <w:p>
            <w:pPr>
              <w:spacing w:after="0"/>
              <w:rPr>
                <w:sz w:val="19"/>
                <w:szCs w:val="19"/>
                <w:color w:val="auto"/>
              </w:rPr>
            </w:pPr>
          </w:p>
        </w:tc>
      </w:tr>
      <w:tr>
        <w:trPr>
          <w:trHeight w:val="102"/>
        </w:trPr>
        <w:tc>
          <w:tcPr>
            <w:tcW w:w="6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6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(854,174)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(30,538)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(326,882)</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(1,211,594)</w:t>
            </w:r>
          </w:p>
        </w:tc>
      </w:tr>
      <w:tr>
        <w:trPr>
          <w:trHeight w:val="108"/>
        </w:trPr>
        <w:tc>
          <w:tcPr>
            <w:tcW w:w="6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6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ind w:left="240"/>
              <w:spacing w:after="0"/>
              <w:rPr>
                <w:sz w:val="20"/>
                <w:szCs w:val="20"/>
                <w:color w:val="auto"/>
              </w:rPr>
            </w:pPr>
            <w:r>
              <w:rPr>
                <w:rFonts w:ascii="Arial" w:cs="Arial" w:eastAsia="Arial" w:hAnsi="Arial"/>
                <w:sz w:val="18"/>
                <w:szCs w:val="18"/>
                <w:color w:val="auto"/>
              </w:rPr>
              <w:t>Equity contributions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173,494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20,800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480,713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675,007</w:t>
            </w: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distributions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(110,482)</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(110,482)</w:t>
            </w:r>
          </w:p>
        </w:tc>
      </w:tr>
      <w:tr>
        <w:trPr>
          <w:trHeight w:val="216"/>
        </w:trPr>
        <w:tc>
          <w:tcPr>
            <w:tcW w:w="6040" w:type="dxa"/>
            <w:vAlign w:val="bottom"/>
          </w:tcPr>
          <w:p>
            <w:pPr>
              <w:ind w:left="240"/>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491,844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491,844</w:t>
            </w: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Third party fees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(26,554)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(37,354)</w:t>
            </w:r>
          </w:p>
        </w:tc>
      </w:tr>
      <w:tr>
        <w:trPr>
          <w:trHeight w:val="216"/>
        </w:trPr>
        <w:tc>
          <w:tcPr>
            <w:tcW w:w="6040" w:type="dxa"/>
            <w:vAlign w:val="bottom"/>
          </w:tcPr>
          <w:p>
            <w:pPr>
              <w:ind w:left="240"/>
              <w:spacing w:after="0"/>
              <w:rPr>
                <w:sz w:val="20"/>
                <w:szCs w:val="20"/>
                <w:color w:val="auto"/>
              </w:rPr>
            </w:pPr>
            <w:r>
              <w:rPr>
                <w:rFonts w:ascii="Arial" w:cs="Arial" w:eastAsia="Arial" w:hAnsi="Arial"/>
                <w:sz w:val="18"/>
                <w:szCs w:val="18"/>
                <w:color w:val="auto"/>
              </w:rPr>
              <w:t>Macau minority contributions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5,050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5,050</w:t>
            </w: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381,334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506,334</w:t>
            </w: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ind w:left="240"/>
              <w:spacing w:after="0"/>
              <w:rPr>
                <w:sz w:val="20"/>
                <w:szCs w:val="20"/>
                <w:color w:val="auto"/>
              </w:rPr>
            </w:pPr>
            <w:r>
              <w:rPr>
                <w:rFonts w:ascii="Arial" w:cs="Arial" w:eastAsia="Arial" w:hAnsi="Arial"/>
                <w:sz w:val="18"/>
                <w:szCs w:val="18"/>
                <w:color w:val="auto"/>
              </w:rPr>
              <w:t>Principal payments of long-term debt</w:t>
            </w: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(28,535)</w:t>
            </w: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(125,018)</w:t>
            </w: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(153,585)</w:t>
            </w: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(61,735)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(1,465)</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(63,200)</w:t>
            </w:r>
          </w:p>
        </w:tc>
      </w:tr>
      <w:tr>
        <w:trPr>
          <w:trHeight w:val="216"/>
        </w:trPr>
        <w:tc>
          <w:tcPr>
            <w:tcW w:w="6040" w:type="dxa"/>
            <w:vAlign w:val="bottom"/>
          </w:tcPr>
          <w:p>
            <w:pPr>
              <w:ind w:left="240"/>
              <w:spacing w:after="0"/>
              <w:rPr>
                <w:sz w:val="20"/>
                <w:szCs w:val="20"/>
                <w:color w:val="auto"/>
              </w:rPr>
            </w:pPr>
            <w:r>
              <w:rPr>
                <w:rFonts w:ascii="Arial" w:cs="Arial" w:eastAsia="Arial" w:hAnsi="Arial"/>
                <w:sz w:val="18"/>
                <w:szCs w:val="18"/>
                <w:color w:val="auto"/>
              </w:rPr>
              <w:t>Proceeds from issuance of related party loan</w:t>
            </w: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100,000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Principal payments of related party loan</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(70,000)</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(70,000)</w:t>
            </w:r>
          </w:p>
        </w:tc>
      </w:tr>
      <w:tr>
        <w:trPr>
          <w:trHeight w:val="108"/>
        </w:trPr>
        <w:tc>
          <w:tcPr>
            <w:tcW w:w="6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6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934,898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388,748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1,343,614</w:t>
            </w:r>
          </w:p>
        </w:tc>
        <w:tc>
          <w:tcPr>
            <w:tcW w:w="100" w:type="dxa"/>
            <w:vAlign w:val="bottom"/>
            <w:shd w:val="clear" w:color="auto" w:fill="CCEEFF"/>
          </w:tcPr>
          <w:p>
            <w:pPr>
              <w:spacing w:after="0"/>
              <w:rPr>
                <w:sz w:val="18"/>
                <w:szCs w:val="18"/>
                <w:color w:val="auto"/>
              </w:rPr>
            </w:pPr>
          </w:p>
        </w:tc>
      </w:tr>
      <w:tr>
        <w:trPr>
          <w:trHeight w:val="108"/>
        </w:trPr>
        <w:tc>
          <w:tcPr>
            <w:tcW w:w="6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6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ind w:left="24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70,376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(15,161)</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54,429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109,644</w:t>
            </w: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108"/>
        </w:trPr>
        <w:tc>
          <w:tcPr>
            <w:tcW w:w="6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6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109,644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109,644</w:t>
            </w:r>
          </w:p>
        </w:tc>
        <w:tc>
          <w:tcPr>
            <w:tcW w:w="100" w:type="dxa"/>
            <w:vAlign w:val="bottom"/>
            <w:shd w:val="clear" w:color="auto" w:fill="CCEEFF"/>
          </w:tcPr>
          <w:p>
            <w:pPr>
              <w:spacing w:after="0"/>
              <w:rPr>
                <w:sz w:val="18"/>
                <w:szCs w:val="18"/>
                <w:color w:val="auto"/>
              </w:rPr>
            </w:pPr>
          </w:p>
        </w:tc>
      </w:tr>
      <w:tr>
        <w:trPr>
          <w:trHeight w:val="132"/>
        </w:trPr>
        <w:tc>
          <w:tcPr>
            <w:tcW w:w="60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5"/>
        </w:trPr>
        <w:tc>
          <w:tcPr>
            <w:tcW w:w="6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disclosures: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ind w:left="240"/>
              <w:spacing w:after="0"/>
              <w:rPr>
                <w:sz w:val="20"/>
                <w:szCs w:val="20"/>
                <w:color w:val="auto"/>
              </w:rPr>
            </w:pPr>
            <w:r>
              <w:rPr>
                <w:rFonts w:ascii="Arial" w:cs="Arial" w:eastAsia="Arial" w:hAnsi="Arial"/>
                <w:sz w:val="18"/>
                <w:szCs w:val="18"/>
                <w:color w:val="auto"/>
              </w:rPr>
              <w:t>Cash paid for interest, net of amounts capitalized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1,443</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1,488</w:t>
            </w: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Advances and loans converted to contributed capital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32,758</w:t>
            </w: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ind w:left="240"/>
              <w:spacing w:after="0"/>
              <w:rPr>
                <w:sz w:val="20"/>
                <w:szCs w:val="20"/>
                <w:color w:val="auto"/>
              </w:rPr>
            </w:pPr>
            <w:r>
              <w:rPr>
                <w:rFonts w:ascii="Arial" w:cs="Arial" w:eastAsia="Arial" w:hAnsi="Arial"/>
                <w:sz w:val="18"/>
                <w:szCs w:val="18"/>
                <w:color w:val="auto"/>
              </w:rPr>
              <w:t>Equipment purchases financed by debt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28,500</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28,500</w:t>
            </w: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Due from related party reclassified to Water rights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00" w:type="dxa"/>
            <w:vAlign w:val="bottom"/>
            <w:shd w:val="clear" w:color="auto" w:fill="CCEEFF"/>
          </w:tcPr>
          <w:p>
            <w:pPr>
              <w:spacing w:after="0"/>
              <w:rPr>
                <w:sz w:val="18"/>
                <w:szCs w:val="18"/>
                <w:color w:val="auto"/>
              </w:rPr>
            </w:pPr>
          </w:p>
        </w:tc>
      </w:tr>
      <w:tr>
        <w:trPr>
          <w:trHeight w:val="222"/>
        </w:trPr>
        <w:tc>
          <w:tcPr>
            <w:tcW w:w="6040" w:type="dxa"/>
            <w:vAlign w:val="bottom"/>
          </w:tcPr>
          <w:p>
            <w:pPr>
              <w:ind w:left="240"/>
              <w:spacing w:after="0"/>
              <w:rPr>
                <w:sz w:val="20"/>
                <w:szCs w:val="20"/>
                <w:color w:val="auto"/>
              </w:rPr>
            </w:pPr>
            <w:r>
              <w:rPr>
                <w:rFonts w:ascii="Arial" w:cs="Arial" w:eastAsia="Arial" w:hAnsi="Arial"/>
                <w:sz w:val="18"/>
                <w:szCs w:val="18"/>
                <w:color w:val="auto"/>
              </w:rPr>
              <w:t>Purchase accounting reduction of land for excess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1,400</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-923290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-923290</wp:posOffset>
            </wp:positionV>
            <wp:extent cx="2159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-923290</wp:posOffset>
            </wp:positionV>
            <wp:extent cx="3873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-923290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-923290</wp:posOffset>
            </wp:positionV>
            <wp:extent cx="2159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-923290</wp:posOffset>
            </wp:positionV>
            <wp:extent cx="3873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-923290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-923290</wp:posOffset>
            </wp:positionV>
            <wp:extent cx="2159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-923290</wp:posOffset>
            </wp:positionV>
            <wp:extent cx="3873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-923290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-923290</wp:posOffset>
            </wp:positionV>
            <wp:extent cx="2159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-923290</wp:posOffset>
            </wp:positionV>
            <wp:extent cx="3873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274" w:right="239" w:bottom="1440" w:gutter="0" w:footer="0" w:header="0"/>
        </w:sectPr>
      </w:pPr>
    </w:p>
    <w:bookmarkStart w:id="82" w:name="page83"/>
    <w:bookmarkEnd w:id="8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6" w:lineRule="exact"/>
        <w:rPr>
          <w:sz w:val="20"/>
          <w:szCs w:val="20"/>
          <w:color w:val="auto"/>
        </w:rPr>
      </w:pPr>
    </w:p>
    <w:p>
      <w:pPr>
        <w:ind w:left="240" w:right="8120" w:hanging="232"/>
        <w:spacing w:after="0" w:line="332" w:lineRule="auto"/>
        <w:tabs>
          <w:tab w:leader="none" w:pos="319"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Wynn Resorts, Limited, a Nevada corporation (“Wynn Resorts”) was formed in June 2002 to offer shares of its common stock for sale to the public in an initial public offering. Wynn Resorts’ predecessor, Valvino Lamore, LLC (“Valvino”), was formed in April 2000 as a Nevada limited liability company to acquire land and design, develop and finance a new resort casino/hotel project named “Le Rêve”. In addition, in June 2002, Valvino, through its majority owned indirect subsidiary, Wynn Resorts (Macau) S.A. (“Wynn Macau”), entered into an agreement with the government of Macau, granting Wynn Macau the right to construct and operate one or more casino gaming properties in the Macau Special Administrative Region of the People’s Republic of China (“Macau”), located 37 miles southwest of Hong Kong.</w:t>
      </w:r>
    </w:p>
    <w:p>
      <w:pPr>
        <w:spacing w:after="0" w:line="13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more fully described in below, on September 24, 2002, Wynn Resorts became the parent company of Valvino when all the members of Valvino contributed 210,834 shares comprising 100% of the membership interests of Valvino to Wynn Resorts in exchange for 40,000,000 shares of the common stock of Wynn Resorts as discussed below. Hereafter, all references to the “Company” refer to Wynn Resorts and its subsidiaries or Valvino and its subsidiaries, as its predecessor company. Direct and indirect subsidiaries of the Company include Valvino; Wynn Design and Development, LLC; Wynn Resorts Holdings, LLC; Wynn Las Vegas, LLC; Wynn Completion Guarantor, LLC; Wynn Las Vegas Capital Corp.; World Travel, LLC; Las Vegas Jet, LLC; Rambas Marketing Company, LLC; Palo, LLC; Toasty, LLC; WorldWide Wynn, LLC; Kevyn, LLC; Desert Inn Water Company, LLC; Desert Inn Improvement Company; Wynn Group Asia, Inc.; Wynn Resorts International, Ltd.; Wynn Resorts (Macau) Holdings, Ltd.; Wynn Resorts (Macau), Limited; and Wynn Macau.</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Acquisitions</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Pursuant to an Asset and Land Purchase Agreement dated as of April 28, 2000, by and among Starwood Hotels &amp; Resorts Worldwide, Inc., Sheraton Gaming Corporation, Sheraton Desert Inn Corporation, Valvino and Stephen A. Wynn (“Mr. Wynn”), the Company acquired the assets and liabilities of the Desert Inn Resort and Casino for approximately $270 million plus an adjustment for working capital, as defined therein. Upon receiving all necessary regulatory approvals, the purchase was completed on June 22, 2000. The acquisition was accounted for using the purchase method of accounting and the purchase price was allocated to the assets acquired and liabilities assumed based on estimated fair values at the date of acquisition. Later in 2000 and early 2001, the Company acquired all of the remaining lots located in the interior of, and some of the lots around, the former Desert Inn Resort and Casino golf course for a total of $47.8 million.</w:t>
      </w:r>
    </w:p>
    <w:p>
      <w:pPr>
        <w:spacing w:after="0" w:line="13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On August 28, 2000, the Company permanently closed the Desert Inn Resort and Casino with the exception of the golf course and its related retail, food and beverage operations, which were subsequently closed in June 2002. Since then, operations of the Company have been primarily limited to the design, development and financing of a new casino/hotel project named “Le Rêve” and the acquisition of a concession to operate casinos in Macau, as more fully described below.</w:t>
      </w:r>
    </w:p>
    <w:p>
      <w:pPr>
        <w:spacing w:after="0" w:line="13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On April 1, 2001, the Company acquired Kevyn, LLC, a previously unconsolidated affiliate which was wholly owned by Mr. Wynn and whose principal asset was an airplane, for approximately $10 million. The acquisition was treated as a reorganization of entities under common control. In accordance with Statement of Financial Accounting Standard (“SFAS”) No. 141, “Business Combinations,” the assets and liabilities acquired have been recorded at the carrying value at the time of the acquisition and the operating results of Kevyn, LLC are included in the operating statements of the Company from the earliest period presented. As a result, the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360"/>
          </w:cols>
          <w:pgMar w:left="240" w:top="274" w:right="29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previously separate historical financial position and results of operations of Kevyn, LLC are combined with the financial position and results of operations of the Company for all periods presented.</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Additionally, effective June 28, 2001, the Public Utilities Commission of Nevada approved the transfer of ownership of Desert Inn Water Company, also a previously unconsolidated affiliate and wholly owned company of Mr. Wynn, to the Company. As the Desert Inn Water Company consisted entirely of all of the shares of Desert Inn Improvement Company whose assets primarily consisted of water rights, this transaction was treated as an acquisition of assets for financial reporting purposes. The Company exchanged the receivable from the Desert Inn Water Company in this acquisition, which was equivalent to the fair market value of the water rights of $6.4 million.</w:t>
      </w:r>
    </w:p>
    <w:p>
      <w:pPr>
        <w:spacing w:after="0" w:line="129"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May 2002, the Company acquired World Travel, LLC and Las Vegas Jet, LLC (entities previously wholly-owned by Mr. Wynn). The acquisitions were accounted for as reorganizations of entities under common control. In accordance with SFAS No. 141, “Business Combinations,” the assets and liabilities of the entities acquired have been recorded at the carrying value at the time of the acquisition and the operating results of the entities are included in the operating statements of the Company from the earliest period presented. As a result, the previously separate historical financial position and results of operations of World Travel, LLC and Las Vegas Jet, LLC are combined with the financial position and results of operations of the Company for all periods presented.</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Contributions</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At formation, Valvino’s sole member was Mr. Wynn. Pursuant to the Amended and Restated Operating Agreement (the “Agreement”) dated October 3, 2000, the Company admitted a new 50% member, Aruze USA, Inc. (“Aruze USA”), in exchange for a capital contribution of $260 million. As part of this capital acquisition, the Company paid a fee of $10 million to a third party. The Company again amended the Agreement on April 16, 2001 when a third member, Baron Asset Fund, was admitted as a 3.7% member in exchange for a capital contribution of $20.8 million. As part of this capital contribution, the Company paid a fee of $800,000 to a third party.</w:t>
      </w:r>
    </w:p>
    <w:p>
      <w:pPr>
        <w:spacing w:after="0" w:line="12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Upon completion of various legal agreements and transactions in April 2002, Mr. Wynn contributed approximately $32 million of cash to the Company. This included the assignment to the Company by Mr. Wynn of his rights to approximately $22.5 million deposited in a Macau bank account which was committed to the Macau project, and an additional $8.6 million of cash. In addition, Mr. Wynn also contributed to the Company his 90% ownership interest in Wynn Macau and the right to be reimbursed for approximately $825,000 of expenses incurred by Mr. Wynn on behalf of Wynn Macau. At the time of the capital contribution, the assets held by Wynn Macau principally consisted of the intangible asset associated with the provisional license to negotiate a concession with the government of Macau. The provisional license had no historical cost basis but the members of Valvino negotiated a fair value of $56 million. In accordance with SFAS No. 141, “Business Combinations,” because the transactions occurred between entities under common control, the contribution of the 90% interest in Wynn Macau by Mr. Wynn was recorded at its historical cost basis with the primary asset recorded in the financial statements being the approximate $22.5 million of cash. However, Mr. Wynn’s ownership interest in the Company after these contributions reflects the fair value of his 90% ownership interest in Wynn Macau relative to the fair value of the contributions from Aruze USA, Inc. and Baron Asset Fund as described below.</w:t>
      </w:r>
    </w:p>
    <w:p>
      <w:pPr>
        <w:spacing w:after="0" w:line="109"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Concurrent with Mr. Wynn’s contributions above, Aruze USA contributed an additional $120 million in cash and Baron Asset Fund contributed an additional $20.3 million in cash.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274" w:right="239" w:bottom="1440" w:gutter="0" w:footer="0" w:header="0"/>
        </w:sectPr>
      </w:pPr>
    </w:p>
    <w:bookmarkStart w:id="84" w:name="page85"/>
    <w:bookmarkEnd w:id="8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1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While neither Mr. Wynn nor Aruze USA received additional shares in connection with the above-described capital contributions, immediately following these additional capital contributions, Mr. Wynn and Aruze USA each owned 47.5% of the membership interests in the Company, and Baron Asset Fund owned 5% of the membership interests in the Company.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April 2002, the Company converted approximately $458,000 of advances to Wynn Macau into capital contributions.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June 2002, the Kenneth R. Wynn Family Trust contributed $1.2 million cash in exchange for a 0.146% membership interest in the Company.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third quarter of 2002, the Company received approximately $2.2 million of capital contributions from minority stockholders for Wynn Macau.</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Upon the final execution of the stockholder agreements in November 2002, the Company’s ownership interest in Wynn Macau was reduced from 90% to 82.5%.</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Exchange</w:t>
      </w:r>
    </w:p>
    <w:p>
      <w:pPr>
        <w:spacing w:after="0" w:line="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At December 31, 2001, there were approximately 207,692 common shares of Valvino outstanding. The most recent sale of shares prior to December 31, 2001 occurred at a price of approximately $2,704 per share. Consistent with the management structure permitted under applicable Nevada law, the Agreement provided that each share was entitled to one vote on all matters requiring the vote of the members. The Agreement also included several additional management provisions. First, Mr. Wynn, as the managing member, had authority to make decisions regarding the day-to-day activities of Valvino. Second, certain fundamental decisions had to be approved by the four-member Board of Representatives. Mr. Wynn and Aruze USA each appointed two representatives to the Board of Representatives. Mr. Wynn acted as Chairman of the Board of Representatives and had certain rights in that capacity, including the right to make the tie-breaking vote with respect to board action. Allocations of Valvino’s profits and losses were made based on the common shares of each member, subject to applicable tax law requirements. Non-liquidating distributions were to be made first based on the initial positive capital account of each member (as determined under federal tax law book accounting) and then based on each member’s percentage interest in Valvino’s profits and losses. Liquidating distributions were to be made based solely on each member’s positive capital account.</w:t>
      </w:r>
    </w:p>
    <w:p>
      <w:pPr>
        <w:spacing w:after="0" w:line="109"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As discussed above, on September 24, 2002, all the members of Valvino contributed 100% of the membership interests in Valvino to the Company in exchange for 40,000,000 shares of the Company’s common stock, making Valvino and its subsidiaries wholly-owned subsidiaries of the Company (hereafter referred to as the “Exchange”).</w:t>
      </w:r>
    </w:p>
    <w:p>
      <w:pPr>
        <w:spacing w:after="0" w:line="12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contributions under the Exchange were tax-free contributions under the Internal Revenue Code, and for financial statement accounting purposes the Exchange was considered to be a recapitalization. Because the ownership interests in the Company after the Exchange were identical to the previous ownership interests in Valvino, the Exchange was considered to be non-substantive. In accordance with Financial Accounting Standards Board (“FASB”) Technical Bulletin 85-5, “Issues Relating to Accounting for Business Combinations,” the Company recognized the assets and liabilities transferred at their carrying value in the books and records of Valvino at the time of exchange. The Company’s consolidated financial statements report the impact of the Exchange as if it had occurred at the beginning of the periods presented.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274" w:right="279" w:bottom="1440" w:gutter="0" w:footer="0" w:header="0"/>
        </w:sectPr>
      </w:pPr>
    </w:p>
    <w:bookmarkStart w:id="85" w:name="page86"/>
    <w:bookmarkEnd w:id="8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06" w:lineRule="exact"/>
        <w:rPr>
          <w:sz w:val="20"/>
          <w:szCs w:val="20"/>
          <w:color w:val="auto"/>
        </w:rPr>
      </w:pPr>
    </w:p>
    <w:p>
      <w:pPr>
        <w:ind w:left="240" w:right="7780" w:hanging="232"/>
        <w:spacing w:after="0" w:line="332" w:lineRule="auto"/>
        <w:tabs>
          <w:tab w:leader="none" w:pos="319"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Development Stage Risk Factors</w:t>
      </w:r>
    </w:p>
    <w:p>
      <w:pPr>
        <w:spacing w:after="0" w:line="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a development stage company, the Company has spent significant amounts in its development activities primarily in the acquisition of land and other assets, in the design and construction of Le Rêve and in obtaining the concession in Macau. As is customary for a development stage company, the Company has not commenced principal operations and therefore revenues are not significant. Consequently, the Company has incurred losses in each period from inception to December 31, 2002. Management expects these losses to continue until planned principal operations have commenced. However, as a development stage company, the Company has risks that may impact its ability to become an operating enterprise or to remain in existence. The Company is subject to many rules and regulations in both the construction and development phases and in operating gaming facilities, including, but not limited, to receiving the appropriate permits for particular construction activities, securing a Nevada state gaming license for the ownership and operation of the “Le Rêve” project, maintaining ongoing suitability requirements in Nevada and Macau as well as fulfilling the requirements of Macau’s largely untested regulatory framework. The completion of the Le Rêve and Macau projects is dependent upon compliance with these rules and regulations. Management anticipates Le Rêve will cost approximately $2.4 billion to design and construct, including the cost of all 212 acres of land, capitalized interest, pre-opening expenses and financing fees. In addition, the Company is currently obligated to invest at least 4 billion Patacas (equivalent to approximately US $520 million at the December 31, 2002 rate of exchange) in Macau by June 2009.</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Principles of Consolidation</w:t>
      </w:r>
    </w:p>
    <w:p>
      <w:pPr>
        <w:spacing w:after="0" w:line="77"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All significant intercompany accounts and transactions have been eliminated.</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7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Certain amounts in the December 31, 2001 and 2000 consolidated financial statements have been reclassified to conform to the December 31, 2002 presentation. These reclassifications had no effect on the previously reported net loss.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a maturity of three months or less. Cash equivalents are carried at cost, which approximates fair value.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Cash</w:t>
      </w:r>
    </w:p>
    <w:p>
      <w:pPr>
        <w:spacing w:after="0" w:line="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Restricted cash consists of certificates of deposits to collateralize certain construction insurance claims, cash deposits for certain required sales taxes, and certain of the proceeds of the Company’s financing activities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274" w:right="259" w:bottom="1440" w:gutter="0" w:footer="0" w:header="0"/>
        </w:sectPr>
      </w:pPr>
    </w:p>
    <w:bookmarkStart w:id="86" w:name="page87"/>
    <w:bookmarkEnd w:id="8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invested in money market funds restricted by the agreements governing the Company’s debt instruments for the payment of certain approved construction and development costs relating to Le Rêve.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Investments</w:t>
      </w:r>
    </w:p>
    <w:p>
      <w:pPr>
        <w:spacing w:after="0" w:line="77"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Restricted investments reflect the invested net proceeds of certain of the financing activities of the Company which are restricted by the agreements governing the Company’s debt instruments for the payment of certain approved construction and development costs relating to Le Rêve. These proceeds are invested in certain approved marketable securities, which are limited to government-backed treasury notes and interest-only strips.</w:t>
      </w:r>
    </w:p>
    <w:p>
      <w:pPr>
        <w:spacing w:after="0" w:line="9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classifies its marketable securities in one of three categories: held-to-maturity, trading or available-for-sale, in accordance with SFAS No. 115, “Accounting for Certain Investments in Debt and Equity Securities.” In accordance with SFAS No. 115, held-to-maturity securities are those securities for which the Company has the ability and intent to hold until maturity. Trading securities are those bought and held principally for the purpose of selling them in the near term. All other securities are classified as available-for-sale. All of the Company’s marketable securities are classified as held-to-maturity. Accordingly, these are recorded at cost, adjusted for the amortization of premiums of accretion of discounts.</w:t>
      </w:r>
    </w:p>
    <w:p>
      <w:pPr>
        <w:spacing w:after="0" w:line="10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balance of restricted investments at December 31, 2002 also includes approximately $3.8 million of accrued interest receivable on the marketable securities.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Retail, food and beverage inventories are stated at the lower of cost or market value. Cost is determined by the first-in, first-out and specific identification methods.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and Equipment</w:t>
      </w:r>
    </w:p>
    <w:p>
      <w:pPr>
        <w:spacing w:after="0" w:line="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allocation of the purchase price of the Desert Inn Resort and Casino to these asset categories was based upon an appraisal and management’s estimate of the fair value of the assets acquired. Subsequent purchases of property and equipment are stated at cost. Depreciation is provided over the estimated useful lives of the assets using the straight-line method as follows:</w:t>
      </w:r>
    </w:p>
    <w:p>
      <w:pPr>
        <w:spacing w:after="0" w:line="135"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4120" w:type="dxa"/>
            <w:vAlign w:val="bottom"/>
            <w:shd w:val="clear" w:color="auto" w:fill="CCEEFF"/>
          </w:tcPr>
          <w:p>
            <w:pPr>
              <w:ind w:left="2640"/>
              <w:spacing w:after="0"/>
              <w:rPr>
                <w:sz w:val="20"/>
                <w:szCs w:val="20"/>
                <w:color w:val="auto"/>
              </w:rPr>
            </w:pPr>
            <w:r>
              <w:rPr>
                <w:rFonts w:ascii="Arial" w:cs="Arial" w:eastAsia="Arial" w:hAnsi="Arial"/>
                <w:sz w:val="18"/>
                <w:szCs w:val="18"/>
                <w:color w:val="auto"/>
              </w:rPr>
              <w:t>1 to 3 years</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Parking garage</w:t>
            </w:r>
          </w:p>
        </w:tc>
        <w:tc>
          <w:tcPr>
            <w:tcW w:w="4120" w:type="dxa"/>
            <w:vAlign w:val="bottom"/>
          </w:tcPr>
          <w:p>
            <w:pPr>
              <w:ind w:left="2640"/>
              <w:spacing w:after="0"/>
              <w:rPr>
                <w:sz w:val="20"/>
                <w:szCs w:val="20"/>
                <w:color w:val="auto"/>
              </w:rPr>
            </w:pPr>
            <w:r>
              <w:rPr>
                <w:rFonts w:ascii="Arial" w:cs="Arial" w:eastAsia="Arial" w:hAnsi="Arial"/>
                <w:sz w:val="18"/>
                <w:szCs w:val="18"/>
                <w:color w:val="auto"/>
              </w:rPr>
              <w:t>15 years</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4120" w:type="dxa"/>
            <w:vAlign w:val="bottom"/>
            <w:shd w:val="clear" w:color="auto" w:fill="CCEEFF"/>
          </w:tcPr>
          <w:p>
            <w:pPr>
              <w:ind w:left="2640"/>
              <w:spacing w:after="0"/>
              <w:rPr>
                <w:sz w:val="20"/>
                <w:szCs w:val="20"/>
                <w:color w:val="auto"/>
              </w:rPr>
            </w:pPr>
            <w:r>
              <w:rPr>
                <w:rFonts w:ascii="Arial" w:cs="Arial" w:eastAsia="Arial" w:hAnsi="Arial"/>
                <w:sz w:val="18"/>
                <w:szCs w:val="18"/>
                <w:color w:val="auto"/>
              </w:rPr>
              <w:t>7 to 20 years</w:t>
            </w:r>
          </w:p>
        </w:tc>
      </w:tr>
      <w:tr>
        <w:trPr>
          <w:trHeight w:val="222"/>
        </w:trPr>
        <w:tc>
          <w:tcPr>
            <w:tcW w:w="500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4120" w:type="dxa"/>
            <w:vAlign w:val="bottom"/>
          </w:tcPr>
          <w:p>
            <w:pPr>
              <w:ind w:left="2640"/>
              <w:spacing w:after="0"/>
              <w:rPr>
                <w:sz w:val="20"/>
                <w:szCs w:val="20"/>
                <w:color w:val="auto"/>
              </w:rPr>
            </w:pPr>
            <w:r>
              <w:rPr>
                <w:rFonts w:ascii="Arial" w:cs="Arial" w:eastAsia="Arial" w:hAnsi="Arial"/>
                <w:sz w:val="18"/>
                <w:szCs w:val="18"/>
                <w:color w:val="auto"/>
              </w:rPr>
              <w:t>5 to 20 years</w:t>
            </w:r>
          </w:p>
        </w:tc>
      </w:tr>
    </w:tbl>
    <w:p>
      <w:pPr>
        <w:spacing w:after="0" w:line="13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design and development costs for the Le Rêve project are capitalized. Costs of building repairs and maintenance are charged to expense as incurred. The cost and accumulated depreciation of property and equipment retired or otherwise disposed of are eliminated from the respective accounts and any resulting gain or loss is included in operating income or loss.</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connection with the acquisition of the Desert Inn Resort and Casino, the Company acquired several parcels of land, some of which will be available for future development. The Company’s decision on whether to proceed with any new gaming opportunity is dependent upon future economic and regulatory factors, the availability of financing and competitive and strategic considerations. As many of these considerations are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274" w:right="279" w:bottom="1440" w:gutter="0" w:footer="0" w:header="0"/>
        </w:sectPr>
      </w:pPr>
    </w:p>
    <w:bookmarkStart w:id="87" w:name="page88"/>
    <w:bookmarkEnd w:id="8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beyond the Company’s control, no assurances can be made that the Company will be able to obtain appropriate licensing or be able to secure additional acceptable financing in order to proceed with any particular project. As of December 31, 2002 and 2001, the Company had approximately 20 acres of land held for future development with a book value of approximately $78.6 million.</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Capitalized Interest</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capitalizes interest costs associated with debt incurred in connection with its major construction projects. Interest capitalization will cease once the project is substantially complete or no longer undergoing construction activities to prepare it for its intended use. When no debt is specifically identified as being incurred in connection with such construction projects, the Company capitalizes interest on amounts expended on the project at the Company’s weighted average cost of borrowed money. Interest of $13.5 million, $0, $6.3 million and $19.8 million was capitalized for the years ended December 31, 2002 and 2001, for the period from inception to December 31, 2000, and for the period from inception to December 31, 2002, respectively.</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Intangible Assets</w:t>
      </w:r>
    </w:p>
    <w:p>
      <w:pPr>
        <w:spacing w:after="0" w:line="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Company has recorded its trademarks at cost and the water rights acquired as part of the overall purchase price of the Desert Inn Resort and Casino, at appraised value. Radio frequencies, which are included in other assets, are recorded at cost. These intangible assets have indefinite useful lives, and accordingly, are not amortized, but are periodically reviewed for impairment.</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Deferred Financing Costs</w:t>
      </w:r>
    </w:p>
    <w:p>
      <w:pPr>
        <w:spacing w:after="0" w:line="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Costs incurred in obtaining loans or with the issuance of long-term debt are capitalized and amortized to interest over the terms of the related debt agreements using the effective interest rate method. Approximately $1.6 million, $0, $1.5 million and $3.1 million was amortized to interest during the years ended December 31, 2002 and 2001, for the period from inception to December 31, 2000, and for the period from inception to December 31, 2002, respectively. Accumulated amortization amounted to $3.1 million and $1.5 million as of December 31, 2002 and 2001, respectively.</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Long-Lived Assets</w:t>
      </w:r>
    </w:p>
    <w:p>
      <w:pPr>
        <w:spacing w:after="0" w:line="7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Long-lived assets, which are not to be disposed of, including intangibles and property and equipment, are periodically reviewed by management for impairment whenever events or changes in circumstances indicate that the carrying value of the asset may not be recoverable. As of December 31, 2002 and 2001, management does not believe any assets have been impaired.</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Pre-opening costs consisting primarily of salaries and wages, legal and consulting fees, insurance, utilities and travel are expensed as incurred.</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Incidental Operations</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Upon completion of the acquisition of the Desert Inn Resort and Casino on June 22, 2000, the Company announced its intention to close the property and to plan the development of a new resort casino/hotel project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60"/>
          </w:cols>
          <w:pgMar w:left="240" w:top="274" w:right="299" w:bottom="1440" w:gutter="0" w:footer="0" w:header="0"/>
        </w:sectPr>
      </w:pPr>
    </w:p>
    <w:bookmarkStart w:id="88" w:name="page89"/>
    <w:bookmarkEnd w:id="8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named “Le Rêve” on the existing site. In accordance with SFAS No. 67, “Accounting for Costs and Initial Rental Operations of Real Estate Projects,” both the resort casino/hotel operation and the golf course and related operations are being accounted for as separate incidental operations. Under this method, incidental operations with a net income are excluded from the Company’s consolidated operating results and the net income from each is recorded as a reduction in the carrying value of land. Incidental operations with a net loss are stated separately on the consolidated statements of operations. The amount of net income from incidental operations recorded as a reduction in the carrying value of land was approximately $2.0 million,$3.6 million, $1.2 million and $6.8 million for the years ended December 31, 2002 and 2001, for the period from inception to December 31, 2000, and for the period from inception to December 31, 2002, respectively.</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period in which it operated as a limited-liability company, the Company was classified as a partnership for federal income tax purposes.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Accordingly, no provision was made for federal income taxes, as such taxes were liabilities of the members during this period.</w:t>
      </w:r>
    </w:p>
    <w:p>
      <w:pPr>
        <w:spacing w:after="0" w:line="15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Upon completion of the Exchange, the Company accounted for income taxes in accordance with SFAS No. 109, “Accounting for Income Taxes.” SFAS No. 109 requires the recognition of deferred tax assets, net of applicable reserves, and liabilities for the estimated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is recognized in the results of operations in the period that includes the enactment date.</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SFAS No. 109 also requires recognition of a future tax benefit to the extent that realization of such benefit is more likely than not. Otherwise, a valuation allowance is applied. The Company, in its development stage, has accumulated significant net operating losses. Accordingly, because of the uncertainty of near-term future taxable income, as of December 31, 2002, the Company’s potential net future domestic and foreign tax benefits of approximately $7.5 million and $747,000, respectively are fully reserved.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Currency translation</w:t>
      </w:r>
    </w:p>
    <w:p>
      <w:pPr>
        <w:spacing w:after="0" w:line="7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Company accounts for currency translation in accordance with SFAS No. 52, “Foreign Currency Translation.” The Macau results of operations and the balance sheet are translated from Macau Patacas to U.S. dollars. Balance sheet accounts are translated at the exchange rate in effect at each year-end. Income statement accounts are translated at the average rate of exchange prevailing during the year. Translation adjustments resulting from this process are charged or credited to other comprehensive income (loss). During the period from inception to December 31, 2002, the effect of foreign currency translation was immaterial.</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80"/>
          </w:cols>
          <w:pgMar w:left="240" w:top="274" w:right="279" w:bottom="1440" w:gutter="0" w:footer="0" w:header="0"/>
        </w:sectPr>
      </w:pPr>
    </w:p>
    <w:bookmarkStart w:id="89" w:name="page90"/>
    <w:bookmarkEnd w:id="8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1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Acquisition of the Desert Inn Resort &amp; Casino</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acquisition of the Desert Inn Resort &amp; Casino has been accounted for as a purchase. Accordingly, the purchase price is allocated to the assets acquired and liabilities assumed based upon the estimated fair values at the acquisition date. Estimated fair values were determined based on independent appraisals, discounted cash flows, market prices for comparable assets and estimates made by management. The allocation of the purchase price was completed within one year from the acquisition date and is as follows:</w:t>
      </w:r>
    </w:p>
    <w:p>
      <w:pPr>
        <w:spacing w:after="0" w:line="125"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2180" w:type="dxa"/>
            <w:vAlign w:val="bottom"/>
          </w:tcPr>
          <w:p>
            <w:pPr>
              <w:spacing w:after="0"/>
              <w:rPr>
                <w:sz w:val="15"/>
                <w:szCs w:val="15"/>
                <w:color w:val="auto"/>
              </w:rPr>
            </w:pPr>
          </w:p>
        </w:tc>
        <w:tc>
          <w:tcPr>
            <w:tcW w:w="1540" w:type="dxa"/>
            <w:vAlign w:val="bottom"/>
          </w:tcPr>
          <w:p>
            <w:pPr>
              <w:ind w:left="160"/>
              <w:spacing w:after="0"/>
              <w:rPr>
                <w:sz w:val="20"/>
                <w:szCs w:val="20"/>
                <w:color w:val="auto"/>
              </w:rPr>
            </w:pPr>
            <w:r>
              <w:rPr>
                <w:rFonts w:ascii="Arial" w:cs="Arial" w:eastAsia="Arial" w:hAnsi="Arial"/>
                <w:sz w:val="14"/>
                <w:szCs w:val="14"/>
                <w:b w:val="1"/>
                <w:bCs w:val="1"/>
                <w:color w:val="auto"/>
                <w:w w:val="94"/>
              </w:rPr>
              <w:t>Description of Assets</w:t>
            </w:r>
          </w:p>
        </w:tc>
        <w:tc>
          <w:tcPr>
            <w:tcW w:w="2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Allocated Fair Value</w:t>
            </w:r>
          </w:p>
        </w:tc>
      </w:tr>
      <w:tr>
        <w:trPr>
          <w:trHeight w:val="95"/>
        </w:trPr>
        <w:tc>
          <w:tcPr>
            <w:tcW w:w="218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250"/>
        </w:trPr>
        <w:tc>
          <w:tcPr>
            <w:tcW w:w="2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28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0"/>
              </w:rPr>
              <w:t>in Millions)</w:t>
            </w: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3280" w:type="dxa"/>
            <w:vAlign w:val="bottom"/>
            <w:gridSpan w:val="3"/>
            <w:shd w:val="clear" w:color="auto" w:fill="CCEEFF"/>
          </w:tcPr>
          <w:p>
            <w:pPr>
              <w:jc w:val="right"/>
              <w:ind w:right="71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8"/>
                <w:szCs w:val="18"/>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Buildings &amp; Improvements</w:t>
            </w:r>
          </w:p>
        </w:tc>
        <w:tc>
          <w:tcPr>
            <w:tcW w:w="2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Property</w:t>
            </w:r>
          </w:p>
        </w:tc>
        <w:tc>
          <w:tcPr>
            <w:tcW w:w="2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Receivables</w:t>
            </w:r>
          </w:p>
        </w:tc>
        <w:tc>
          <w:tcPr>
            <w:tcW w:w="2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Reserve for Bad Debt</w:t>
            </w:r>
          </w:p>
        </w:tc>
        <w:tc>
          <w:tcPr>
            <w:tcW w:w="2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108"/>
        </w:trPr>
        <w:tc>
          <w:tcPr>
            <w:tcW w:w="21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02"/>
        </w:trPr>
        <w:tc>
          <w:tcPr>
            <w:tcW w:w="21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3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Purchase Price</w:t>
            </w:r>
          </w:p>
        </w:tc>
        <w:tc>
          <w:tcPr>
            <w:tcW w:w="3280" w:type="dxa"/>
            <w:vAlign w:val="bottom"/>
            <w:gridSpan w:val="3"/>
            <w:shd w:val="clear" w:color="auto" w:fill="CCEEFF"/>
          </w:tcPr>
          <w:p>
            <w:pPr>
              <w:jc w:val="right"/>
              <w:ind w:right="71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8"/>
                <w:szCs w:val="18"/>
                <w:color w:val="auto"/>
              </w:rPr>
            </w:pPr>
          </w:p>
        </w:tc>
      </w:tr>
      <w:tr>
        <w:trPr>
          <w:trHeight w:val="132"/>
        </w:trPr>
        <w:tc>
          <w:tcPr>
            <w:tcW w:w="21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-29210</wp:posOffset>
            </wp:positionV>
            <wp:extent cx="2159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3873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Earnings Per Share</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Earnings per share are calculated in accordance with SFAS No. 128, “Earnings Per Share.” SFAS No. 128 provides for the reporting of “basic”, or undiluted earnings per share (“EPS”), and “diluted” EPS. Basic EPS is computed by dividing net income by the weighted average number of shares outstanding during the period. Diluted EPS reflects the addition of potentially dilutive securities. For the year ended December 31, 2001, and for the period from inception to December 31, 2000, the Company had no potentially dilutive securities. For all periods presented, the Company has recorded net losses. Accordingly, for the year ended, and the period from inception to, December 31, 2002, the assumed exercise of stock options was anti-dilutive. As a result, basic EPS is equal to diluted EPS for all periods presented.</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80"/>
          </w:cols>
          <w:pgMar w:left="240" w:top="274" w:right="27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1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Employee Stock-Based Compensation</w:t>
      </w:r>
    </w:p>
    <w:p>
      <w:pPr>
        <w:spacing w:after="0" w:line="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of December 31, 2002, the Company has a stock-based employee compensation plan as more fully described in Note 8. As permitted by SFAS No. 148, “Accounting for Stock-Based Compensation—Transition and Disclosure, an amendment of FASB Statement No. 123,” the Company continues to apply the provisions of Accounting Principles Board (“APB”) Opinion No. 25 and related interpretations in accounting for its employee stock-based compensation. Accordingly, compensation expense is recognized only to the extent that the market value at the date of grant exceeds the exercise price. The following table illustrates the effect on the net loss if the Company had applied the fair value recognition provisions of SFAS No. 123 to stock-based employee compensation (amounts in thousands).</w:t>
      </w:r>
    </w:p>
    <w:p>
      <w:pPr>
        <w:spacing w:after="0" w:line="11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Period from Inception to</w:t>
            </w:r>
          </w:p>
        </w:tc>
      </w:tr>
      <w:tr>
        <w:trPr>
          <w:trHeight w:val="174"/>
        </w:trPr>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4"/>
              </w:rPr>
              <w:t>December 31, 2002</w:t>
            </w:r>
          </w:p>
        </w:tc>
        <w:tc>
          <w:tcPr>
            <w:tcW w:w="140" w:type="dxa"/>
            <w:vAlign w:val="bottom"/>
          </w:tcPr>
          <w:p>
            <w:pPr>
              <w:spacing w:after="0"/>
              <w:rPr>
                <w:sz w:val="15"/>
                <w:szCs w:val="15"/>
                <w:color w:val="auto"/>
              </w:rPr>
            </w:pPr>
          </w:p>
        </w:tc>
        <w:tc>
          <w:tcPr>
            <w:tcW w:w="17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 2002</w:t>
            </w:r>
          </w:p>
        </w:tc>
      </w:tr>
      <w:tr>
        <w:trPr>
          <w:trHeight w:val="95"/>
        </w:trPr>
        <w:tc>
          <w:tcPr>
            <w:tcW w:w="5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5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(31,713)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(60,055)</w:t>
            </w:r>
          </w:p>
        </w:tc>
      </w:tr>
      <w:tr>
        <w:trPr>
          <w:trHeight w:val="208"/>
        </w:trPr>
        <w:tc>
          <w:tcPr>
            <w:tcW w:w="5100" w:type="dxa"/>
            <w:vAlign w:val="bottom"/>
          </w:tcPr>
          <w:p>
            <w:pPr>
              <w:ind w:left="200"/>
              <w:spacing w:after="0"/>
              <w:rPr>
                <w:sz w:val="20"/>
                <w:szCs w:val="20"/>
                <w:color w:val="auto"/>
              </w:rPr>
            </w:pPr>
            <w:r>
              <w:rPr>
                <w:rFonts w:ascii="Arial" w:cs="Arial" w:eastAsia="Arial" w:hAnsi="Arial"/>
                <w:sz w:val="18"/>
                <w:szCs w:val="18"/>
                <w:color w:val="auto"/>
              </w:rPr>
              <w:t>Less: total stock-based employee compensation expenses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5100" w:type="dxa"/>
            <w:vAlign w:val="bottom"/>
          </w:tcPr>
          <w:p>
            <w:pPr>
              <w:ind w:left="300"/>
              <w:spacing w:after="0"/>
              <w:rPr>
                <w:sz w:val="20"/>
                <w:szCs w:val="20"/>
                <w:color w:val="auto"/>
              </w:rPr>
            </w:pPr>
            <w:r>
              <w:rPr>
                <w:rFonts w:ascii="Arial" w:cs="Arial" w:eastAsia="Arial" w:hAnsi="Arial"/>
                <w:sz w:val="18"/>
                <w:szCs w:val="18"/>
                <w:color w:val="auto"/>
                <w:w w:val="99"/>
              </w:rPr>
              <w:t>determined under the fair-value based method for all awards</w:t>
            </w:r>
          </w:p>
        </w:tc>
        <w:tc>
          <w:tcPr>
            <w:tcW w:w="100" w:type="dxa"/>
            <w:vAlign w:val="bottom"/>
          </w:tcPr>
          <w:p>
            <w:pPr>
              <w:spacing w:after="0"/>
              <w:rPr>
                <w:sz w:val="19"/>
                <w:szCs w:val="19"/>
                <w:color w:val="auto"/>
              </w:rPr>
            </w:pPr>
          </w:p>
        </w:tc>
        <w:tc>
          <w:tcPr>
            <w:tcW w:w="1480" w:type="dxa"/>
            <w:vAlign w:val="bottom"/>
            <w:gridSpan w:val="3"/>
          </w:tcPr>
          <w:p>
            <w:pPr>
              <w:jc w:val="right"/>
              <w:ind w:right="240"/>
              <w:spacing w:after="0"/>
              <w:rPr>
                <w:sz w:val="20"/>
                <w:szCs w:val="20"/>
                <w:color w:val="auto"/>
              </w:rPr>
            </w:pPr>
            <w:r>
              <w:rPr>
                <w:rFonts w:ascii="Arial" w:cs="Arial" w:eastAsia="Arial" w:hAnsi="Arial"/>
                <w:sz w:val="18"/>
                <w:szCs w:val="18"/>
                <w:color w:val="auto"/>
              </w:rPr>
              <w:t>(309)</w:t>
            </w:r>
          </w:p>
        </w:tc>
        <w:tc>
          <w:tcPr>
            <w:tcW w:w="14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(309)</w:t>
            </w:r>
          </w:p>
        </w:tc>
      </w:tr>
      <w:tr>
        <w:trPr>
          <w:trHeight w:val="110"/>
        </w:trPr>
        <w:tc>
          <w:tcPr>
            <w:tcW w:w="5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5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 forma 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(60,364)</w:t>
            </w:r>
          </w:p>
        </w:tc>
      </w:tr>
      <w:tr>
        <w:trPr>
          <w:trHeight w:val="132"/>
        </w:trPr>
        <w:tc>
          <w:tcPr>
            <w:tcW w:w="5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5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5100" w:type="dxa"/>
            <w:vAlign w:val="bottom"/>
          </w:tcPr>
          <w:p>
            <w:pPr>
              <w:ind w:left="200"/>
              <w:spacing w:after="0"/>
              <w:rPr>
                <w:sz w:val="20"/>
                <w:szCs w:val="20"/>
                <w:color w:val="auto"/>
              </w:rPr>
            </w:pPr>
            <w:r>
              <w:rPr>
                <w:rFonts w:ascii="Arial" w:cs="Arial" w:eastAsia="Arial" w:hAnsi="Arial"/>
                <w:sz w:val="18"/>
                <w:szCs w:val="18"/>
                <w:color w:val="auto"/>
              </w:rPr>
              <w:t>As reported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3"/>
          </w:tcPr>
          <w:p>
            <w:pPr>
              <w:jc w:val="right"/>
              <w:ind w:right="240"/>
              <w:spacing w:after="0"/>
              <w:rPr>
                <w:sz w:val="20"/>
                <w:szCs w:val="20"/>
                <w:color w:val="auto"/>
              </w:rPr>
            </w:pPr>
            <w:r>
              <w:rPr>
                <w:rFonts w:ascii="Arial" w:cs="Arial" w:eastAsia="Arial" w:hAnsi="Arial"/>
                <w:sz w:val="18"/>
                <w:szCs w:val="18"/>
                <w:color w:val="auto"/>
              </w:rPr>
              <w:t>(0.68)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(1.44)</w:t>
            </w:r>
          </w:p>
        </w:tc>
      </w:tr>
      <w:tr>
        <w:trPr>
          <w:trHeight w:val="125"/>
        </w:trPr>
        <w:tc>
          <w:tcPr>
            <w:tcW w:w="5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5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 forma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(0.69)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132"/>
        </w:trPr>
        <w:tc>
          <w:tcPr>
            <w:tcW w:w="5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4153535</wp:posOffset>
            </wp:positionH>
            <wp:positionV relativeFrom="paragraph">
              <wp:posOffset>-766445</wp:posOffset>
            </wp:positionV>
            <wp:extent cx="117919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79195"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-766445</wp:posOffset>
            </wp:positionV>
            <wp:extent cx="3873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-329565</wp:posOffset>
            </wp:positionV>
            <wp:extent cx="117919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179195"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-329565</wp:posOffset>
            </wp:positionV>
            <wp:extent cx="3873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-29210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-29210</wp:posOffset>
            </wp:positionV>
            <wp:extent cx="2159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-29210</wp:posOffset>
            </wp:positionV>
            <wp:extent cx="3873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2159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3873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Equity Instruments Issued to Consultants and Vendors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Company’s accounting policy for equity instruments issued to consultants and vendors in exchange for goods and services follows the provisions of Emerging Issues Task Force (“EITF”) 96-18, “Accounting for Equity Instruments That are Issued to Other Than Employees for Acquiring, or in Conjunction with Selling, Goods or Services” and EITF 00-18, “Accounting Recognition for Certain Transactions Involving Equity Instruments Granted to Other Than Employees.”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 Accounting Pronouncements</w:t>
      </w:r>
    </w:p>
    <w:p>
      <w:pPr>
        <w:spacing w:after="0" w:line="7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June 2001, the Financial Accounting Standards Board (“FASB”) issued SFAS No. 141, “Business Combinations” and SFAS No. 142, “Goodwill and Other Intangible Assets.” SFAS No. 141 prohibits the pooling of interests method of accounting for business combinations initiated after June 30, 2001. SFAS No. 142, which was effective for the Company as of January 1, 2002, requires, among other things, the discontinuance of goodwill amortization. In addition, the standard includes provisions for the reclassification of certain existing intangibles as goodwill, reassessment of the useful lives of existing intangibles and ongoing assessments of potential impairment of existing goodwill. As of December 31, 2001, the Company had no goodwill but did have intangible assets consisting of trademarks and water rights with indefinite useful lives. Accordingly, the adoption of this statement on January 1, 2002 did not have a material impact on the Company’s consolidated financial position or results of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274" w:right="259" w:bottom="1440" w:gutter="0" w:footer="0" w:header="0"/>
        </w:sectPr>
      </w:pPr>
    </w:p>
    <w:bookmarkStart w:id="91" w:name="page92"/>
    <w:bookmarkEnd w:id="9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1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June 2001, the FASB issued SFAS No. 143, “Accounting for Asset Retirement Obligations,” which addresses financial accounting and reporting for obligations associated with the retirement of tangible long-lived assets and the associated asset retirement costs. This Statement applies to legal obligations associated with the retirement of certain obligations of lessees. This Statement is effective for fiscal years beginning after June 15, 2002. The Company does not expect adoption of SFAS No. 143 will have a material impact on the Company’s consolidated financial position or results of operations.</w:t>
      </w:r>
    </w:p>
    <w:p>
      <w:pPr>
        <w:spacing w:after="0" w:line="99"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In August 2001, the FASB issued SFAS No. 144, “Accounting for the Impairment or Disposal of Long-Lived Assets,” which addresses financial accounting and reporting for the impairment or disposal of long-lived assets and supersedes SFAS No. 121, “Accounting for the Impairment of Long-Lived Assets and for Long-Lived Assets to Be Disposed Of.” The provisions of this Statement are effective for fiscal years beginning after December 15, 2001. The Company adopted SFAS No. 144 on January 1, 2002 with no material impact on the Company’s consolidated financial position or results of operations.</w:t>
      </w:r>
    </w:p>
    <w:p>
      <w:pPr>
        <w:spacing w:after="0" w:line="9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April 2002, the FASB issued SFAS No. 145, “Rescission of FASB Statements No. 4, 44, and 64, Amendment of FASB Statement No. 13, and Technical Corrections.” Among other things, this statement rescinds SFAS No. 4, “Reporting Gains and Losses from Extinguishment of Debt” which required all gains and losses from extinguishment of debt to be aggregated and, if material, classified as an extraordinary item, net of related income tax effect. As a result, the criteria in APB Opinion No. 30, “Reporting the Results of Operations—Reporting the Effects of Disposal of a Segment of a Business, and Extraordinary, Unusual and Infrequently Occurring Events and Transactions,” will now be used to classify those gains and losses. The Company does not anticipate the adoption of this statement will have a material impact on its consolidated financial position or results of operations.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June 2002, the FASB issued SFAS No. 146, “Accounting for Costs Associated with Exit or Disposal Activities.” SFAS No.146 addresses financial accounting and reporting for costs associated with exit or disposal activities and nullifies Emerging Issues Task Force Issue No. 94-3, “Liability Recognition for Certain Employee Termination Benefits and Other Costs to Exit an Activity (including Certain Costs Incurred in a Restructuring).” SFAS No. 146 requires that a liability for a cost associated with an exit or disposal activity be recognized when the liability is incurred. A fundamental conclusion reached by the FASB in this statement is that an entity’s commitment to a plan, by itself, does not create a present obligation to others that meets the definition of a liability. Management does not anticipate that adoption of this statement will have a material impact on the Company’s consolidated financial position or results of operations.</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November 2002, the FASB issued FASB Interpretation (“FIN”) No. 45, “Guarantor’s Accounting and Disclosure Requirements for Guarantees, Including Indirect Guarantees of Indebtedness of Others, an interpretation of FASB Statements No. 5, 57, and 107 and rescission of FASB Interpretation No. 34.” FIN No. 45 elaborates on the disclosures to be made by a guarantor in its interim and annual financial statements about its obligations under certain guarantees that it has issued, and requires a guarantor to recognize, at the inception of a guarantee, a liability for the fair value of the obligation undertaken in issuing the guarantee. A fundamental conclusion reached by the FASB in this interpretation is the exclusion from the liability recognition provisions of guarantees issued between entities under common control or parent or subsidiary guarantees of third party debt on behalf of that parent or subsidiary. Such guarantees, however, are not excluded from the enhanced disclosure provisions. The initial recognition and measurement provisions of FIN No. 45 are applicable on a prospective basis to guarantees issued or modified after December 31, 2002, however the disclosure provisions are effective for financial statements of interim or annual periods ending after December 15, 2002. As a result, the Company adopted the disclosure provisions of FIN No. 45 for its 2002 annual consolidated financial statements, which had</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80"/>
          </w:cols>
          <w:pgMar w:left="240" w:top="274" w:right="27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no material impact. The Company will also adopted the recognition and measurement provisions on January 1, 2003, and does not expect such adoption will have a material impact upon its consolidated financial position or results of operations.</w:t>
      </w:r>
    </w:p>
    <w:p>
      <w:pPr>
        <w:spacing w:after="0" w:line="118"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In December 2002, the FASB issued SFAS No. 148, “Accounting for Stock-Based Compensation— Transition and Disclosure, an amendment of FASB Statement No. 123.” SFAS No.148 amends SFAS No. 123 to provide alternative methods of transition for a voluntary change to the fair value based method of accounting for stock-based employee compensation. In addition, this statement amends the disclosure requirements of Statement 123 to require prominent disclosures in both annual and interim financial statements about the method of accounting for stock-based employee compensation and the effect of the method used on reported results. SFAS No. 148 permits companies to continue to apply the intrinsic value based method of accounting for stock-based employee compensation as provided for in Accounting Principles Board Opinion No. 25, “Accounting for Stock Issued to Employees,” however it requires that companies that elect to do so, provide specific tabular pro forma disclosures required by SFAS No. 123 in the Summary of Significant Accounting Policies. In addition, SFAS No.148 requires these disclosures in financial reports for interim periods. The Company continues to apply the intrinsic value based method of accounting for stock-based employee compensation as allowed by SFAS No. 148, and therefore adoption of this statement did not have a material impact upon its consolidated financial position or results of operations. However, the Company provided the required disclosures for the 2002 annual consolidated financial statements and will provide the required disclosures in consolidated financial statements provided prospectively on an interim basis.</w:t>
      </w:r>
    </w:p>
    <w:p>
      <w:pPr>
        <w:spacing w:after="0" w:line="10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Related Party Transactions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periodically incurs costs on behalf of Mr. Wynn and certain other officers of the Company, including costs with respect to personal use of the corporate aircraft. In the past, these balances were settled at regular intervals, usually monthly. At December 31, 2001, receivables from officers amounted to approximately $344,000. The outstanding balance was settled in August 2002, and the Company terminated the arrangements pursuant to which costs were incurred and later reimbursed. Currently, Mr. Wynn and other officers have deposited $105,000 with the Company to prepay any such items. These deposits are replenished on an ongoing basis as needed. At December 31, 2002, the Company’s net liability to Mr. Wynn and other officers was approximately $35,000.</w:t>
      </w:r>
    </w:p>
    <w:p>
      <w:pPr>
        <w:spacing w:after="0" w:line="10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 previously leased the Wynn Collection from Mr. and Mrs. Wynn at a monthly rate equal to the gross revenue received by the gallery each month, less direct expenses, subject to a monthly cap. In August 2002, the lease terms were amended. Under the new terms, one-half of the net income, if any, of the gallery is credited to the Company. If the gallery incurs a net loss, Mr. and Mrs. Wynn have agreed to reimburse the Company to the extent of that loss. The Company made no lease payments during the period from inception to December 31, 2002.</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274" w:right="239" w:bottom="1440" w:gutter="0" w:footer="0" w:header="0"/>
        </w:sectPr>
      </w:pPr>
    </w:p>
    <w:bookmarkStart w:id="93" w:name="page94"/>
    <w:bookmarkEnd w:id="93"/>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06" w:lineRule="exact"/>
        <w:rPr>
          <w:sz w:val="20"/>
          <w:szCs w:val="20"/>
          <w:color w:val="auto"/>
        </w:rPr>
      </w:pPr>
    </w:p>
    <w:p>
      <w:pPr>
        <w:ind w:left="360" w:hanging="352"/>
        <w:spacing w:after="0"/>
        <w:tabs>
          <w:tab w:leader="none" w:pos="3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Receivables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Components of receivables as of December 31, 2002 and 2001 are as follows (amounts in thousands):</w:t>
      </w:r>
    </w:p>
    <w:p>
      <w:pPr>
        <w:spacing w:after="0" w:line="153"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75"/>
              <w:spacing w:after="0"/>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355"/>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15"/>
                <w:szCs w:val="15"/>
                <w:color w:val="auto"/>
              </w:rPr>
            </w:pPr>
          </w:p>
        </w:tc>
      </w:tr>
      <w:tr>
        <w:trPr>
          <w:trHeight w:val="95"/>
        </w:trPr>
        <w:tc>
          <w:tcPr>
            <w:tcW w:w="58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r>
      <w:tr>
        <w:trPr>
          <w:trHeight w:val="102"/>
        </w:trPr>
        <w:tc>
          <w:tcPr>
            <w:tcW w:w="5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6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Hotel</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131</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60" w:type="dxa"/>
            <w:vAlign w:val="bottom"/>
            <w:shd w:val="clear" w:color="auto" w:fill="CCEEFF"/>
          </w:tcPr>
          <w:p>
            <w:pPr>
              <w:spacing w:after="0"/>
              <w:rPr>
                <w:sz w:val="18"/>
                <w:szCs w:val="18"/>
                <w:color w:val="auto"/>
              </w:rPr>
            </w:pPr>
          </w:p>
        </w:tc>
      </w:tr>
      <w:tr>
        <w:trPr>
          <w:trHeight w:val="108"/>
        </w:trPr>
        <w:tc>
          <w:tcPr>
            <w:tcW w:w="58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r>
      <w:tr>
        <w:trPr>
          <w:trHeight w:val="102"/>
        </w:trPr>
        <w:tc>
          <w:tcPr>
            <w:tcW w:w="5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216"/>
        </w:trPr>
        <w:tc>
          <w:tcPr>
            <w:tcW w:w="5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60" w:type="dxa"/>
            <w:vAlign w:val="bottom"/>
            <w:shd w:val="clear" w:color="auto" w:fill="CCEEFF"/>
          </w:tcPr>
          <w:p>
            <w:pPr>
              <w:spacing w:after="0"/>
              <w:rPr>
                <w:sz w:val="18"/>
                <w:szCs w:val="18"/>
                <w:color w:val="auto"/>
              </w:rPr>
            </w:pPr>
          </w:p>
        </w:tc>
      </w:tr>
      <w:tr>
        <w:trPr>
          <w:trHeight w:val="222"/>
        </w:trPr>
        <w:tc>
          <w:tcPr>
            <w:tcW w:w="588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2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(662)</w:t>
            </w:r>
          </w:p>
        </w:tc>
        <w:tc>
          <w:tcPr>
            <w:tcW w:w="2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(627)</w:t>
            </w:r>
          </w:p>
        </w:tc>
      </w:tr>
      <w:tr>
        <w:trPr>
          <w:trHeight w:val="102"/>
        </w:trPr>
        <w:tc>
          <w:tcPr>
            <w:tcW w:w="58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r>
      <w:tr>
        <w:trPr>
          <w:trHeight w:val="102"/>
        </w:trPr>
        <w:tc>
          <w:tcPr>
            <w:tcW w:w="5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216"/>
        </w:trPr>
        <w:tc>
          <w:tcPr>
            <w:tcW w:w="58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60" w:type="dxa"/>
            <w:vAlign w:val="bottom"/>
            <w:shd w:val="clear" w:color="auto" w:fill="CCEEFF"/>
          </w:tcPr>
          <w:p>
            <w:pPr>
              <w:spacing w:after="0"/>
              <w:rPr>
                <w:sz w:val="18"/>
                <w:szCs w:val="18"/>
                <w:color w:val="auto"/>
              </w:rPr>
            </w:pPr>
          </w:p>
        </w:tc>
      </w:tr>
      <w:tr>
        <w:trPr>
          <w:trHeight w:val="132"/>
        </w:trPr>
        <w:tc>
          <w:tcPr>
            <w:tcW w:w="58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-29210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-29210</wp:posOffset>
            </wp:positionV>
            <wp:extent cx="2159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3873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3873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 maintains an allowance for doubtful accounts, which is based on management’s estimate of the amount expected to be uncollectible considering historical experience and the information management obtains regarding the credit worthiness of the customer.</w:t>
      </w:r>
    </w:p>
    <w:p>
      <w:pPr>
        <w:spacing w:after="0" w:line="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tab/>
        <w:t>Property and Equipment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as of December 31, 2002 and 2001 consist of the following (in thousands):</w:t>
      </w:r>
    </w:p>
    <w:p>
      <w:pPr>
        <w:spacing w:after="0" w:line="153"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414"/>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15"/>
                <w:szCs w:val="15"/>
                <w:color w:val="auto"/>
              </w:rPr>
            </w:pPr>
          </w:p>
        </w:tc>
      </w:tr>
      <w:tr>
        <w:trPr>
          <w:trHeight w:val="95"/>
        </w:trPr>
        <w:tc>
          <w:tcPr>
            <w:tcW w:w="54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102"/>
        </w:trPr>
        <w:tc>
          <w:tcPr>
            <w:tcW w:w="5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288,422</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289,521</w:t>
            </w:r>
          </w:p>
        </w:tc>
        <w:tc>
          <w:tcPr>
            <w:tcW w:w="12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8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15,879</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15,879</w:t>
            </w:r>
          </w:p>
        </w:tc>
        <w:tc>
          <w:tcPr>
            <w:tcW w:w="12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Parking garage</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1,041</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2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Airplane</w:t>
            </w:r>
          </w:p>
        </w:tc>
        <w:tc>
          <w:tcPr>
            <w:tcW w:w="18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38,000</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9,489</w:t>
            </w:r>
          </w:p>
        </w:tc>
        <w:tc>
          <w:tcPr>
            <w:tcW w:w="12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4,192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120" w:type="dxa"/>
            <w:vAlign w:val="bottom"/>
            <w:shd w:val="clear" w:color="auto" w:fill="CCEEFF"/>
          </w:tcPr>
          <w:p>
            <w:pPr>
              <w:spacing w:after="0"/>
              <w:rPr>
                <w:sz w:val="18"/>
                <w:szCs w:val="18"/>
                <w:color w:val="auto"/>
              </w:rPr>
            </w:pP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80" w:type="dxa"/>
            <w:vAlign w:val="bottom"/>
          </w:tcPr>
          <w:p>
            <w:pPr>
              <w:spacing w:after="0"/>
              <w:rPr>
                <w:sz w:val="19"/>
                <w:szCs w:val="19"/>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90,189</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27,475</w:t>
            </w:r>
          </w:p>
        </w:tc>
        <w:tc>
          <w:tcPr>
            <w:tcW w:w="120" w:type="dxa"/>
            <w:vAlign w:val="bottom"/>
          </w:tcPr>
          <w:p>
            <w:pPr>
              <w:spacing w:after="0"/>
              <w:rPr>
                <w:sz w:val="19"/>
                <w:szCs w:val="19"/>
                <w:color w:val="auto"/>
              </w:rPr>
            </w:pPr>
          </w:p>
        </w:tc>
      </w:tr>
      <w:tr>
        <w:trPr>
          <w:trHeight w:val="102"/>
        </w:trPr>
        <w:tc>
          <w:tcPr>
            <w:tcW w:w="54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102"/>
        </w:trPr>
        <w:tc>
          <w:tcPr>
            <w:tcW w:w="5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5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437,723</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347,282</w:t>
            </w:r>
          </w:p>
        </w:tc>
        <w:tc>
          <w:tcPr>
            <w:tcW w:w="120" w:type="dxa"/>
            <w:vAlign w:val="bottom"/>
            <w:shd w:val="clear" w:color="auto" w:fill="CCEEFF"/>
          </w:tcPr>
          <w:p>
            <w:pPr>
              <w:spacing w:after="0"/>
              <w:rPr>
                <w:sz w:val="18"/>
                <w:szCs w:val="18"/>
                <w:color w:val="auto"/>
              </w:rPr>
            </w:pP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80" w:type="dxa"/>
            <w:vAlign w:val="bottom"/>
          </w:tcPr>
          <w:p>
            <w:pPr>
              <w:spacing w:after="0"/>
              <w:rPr>
                <w:sz w:val="19"/>
                <w:szCs w:val="19"/>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(17,227)</w:t>
            </w:r>
          </w:p>
        </w:tc>
        <w:tc>
          <w:tcPr>
            <w:tcW w:w="3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(9,815)</w:t>
            </w:r>
          </w:p>
        </w:tc>
      </w:tr>
      <w:tr>
        <w:trPr>
          <w:trHeight w:val="102"/>
        </w:trPr>
        <w:tc>
          <w:tcPr>
            <w:tcW w:w="54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102"/>
        </w:trPr>
        <w:tc>
          <w:tcPr>
            <w:tcW w:w="5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54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420,496</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337,467</w:t>
            </w:r>
          </w:p>
        </w:tc>
        <w:tc>
          <w:tcPr>
            <w:tcW w:w="120" w:type="dxa"/>
            <w:vAlign w:val="bottom"/>
            <w:shd w:val="clear" w:color="auto" w:fill="CCEEFF"/>
          </w:tcPr>
          <w:p>
            <w:pPr>
              <w:spacing w:after="0"/>
              <w:rPr>
                <w:sz w:val="18"/>
                <w:szCs w:val="18"/>
                <w:color w:val="auto"/>
              </w:rPr>
            </w:pPr>
          </w:p>
        </w:tc>
      </w:tr>
      <w:tr>
        <w:trPr>
          <w:trHeight w:val="132"/>
        </w:trPr>
        <w:tc>
          <w:tcPr>
            <w:tcW w:w="54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4376420</wp:posOffset>
            </wp:positionH>
            <wp:positionV relativeFrom="paragraph">
              <wp:posOffset>-29210</wp:posOffset>
            </wp:positionV>
            <wp:extent cx="117030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17030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3873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Construction in progress includes interest and other costs capitalized in conjunction with the new resort casino/hotel project.</w:t>
      </w:r>
    </w:p>
    <w:p>
      <w:pPr>
        <w:spacing w:after="0" w:line="15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Long-Term Debt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consists of the following (amounts in thousands):</w:t>
      </w:r>
    </w:p>
    <w:p>
      <w:pPr>
        <w:spacing w:after="0" w:line="153"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495"/>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12% Second Mortgage Notes, net of original issue discount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of approximately $26.1 million, due November 1, 2010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343,90</w:t>
            </w:r>
          </w:p>
        </w:tc>
        <w:tc>
          <w:tcPr>
            <w:tcW w:w="2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$188.5 Million FF&amp;E Facility</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Note payable—Land Parcel</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326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382,191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326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02"/>
        </w:trPr>
        <w:tc>
          <w:tcPr>
            <w:tcW w:w="58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382,153</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291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5800" w:type="dxa"/>
            <w:vAlign w:val="bottom"/>
            <w:vMerge w:val="restart"/>
          </w:tcPr>
          <w:p>
            <w:pPr>
              <w:ind w:left="4100"/>
              <w:spacing w:after="0"/>
              <w:rPr>
                <w:sz w:val="20"/>
                <w:szCs w:val="20"/>
                <w:color w:val="auto"/>
              </w:rPr>
            </w:pPr>
            <w:r>
              <w:rPr>
                <w:rFonts w:ascii="Arial" w:cs="Arial" w:eastAsia="Arial" w:hAnsi="Arial"/>
                <w:sz w:val="18"/>
                <w:szCs w:val="18"/>
                <w:color w:val="auto"/>
              </w:rPr>
              <w:t>F-18</w:t>
            </w:r>
          </w:p>
        </w:tc>
        <w:tc>
          <w:tcPr>
            <w:tcW w:w="180" w:type="dxa"/>
            <w:vAlign w:val="bottom"/>
            <w:tcBorders>
              <w:bottom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58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-325755</wp:posOffset>
            </wp:positionV>
            <wp:extent cx="168529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685290" cy="29845"/>
                    </a:xfrm>
                    <a:prstGeom prst="rect">
                      <a:avLst/>
                    </a:prstGeom>
                    <a:noFill/>
                  </pic:spPr>
                </pic:pic>
              </a:graphicData>
            </a:graphic>
          </wp:anchor>
        </w:drawing>
      </w:r>
    </w:p>
    <w:p>
      <w:pPr>
        <w:sectPr>
          <w:pgSz w:w="11900" w:h="16838" w:orient="portrait"/>
          <w:cols w:equalWidth="0" w:num="1">
            <w:col w:w="10760"/>
          </w:cols>
          <w:pgMar w:left="240" w:top="274" w:right="89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1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Loan Payable to Mr. Wynn</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June 15, 2000, the Company entered into a loan agreement with Mr. Wynn, for unsecured borrowings totaling $100 million with an original maturity date of June 15, 2002. The interest rate during the loan period was 7.9%, as defined in the loan agreement. Pursuant to the Amended and Restated Operating Agreement dated October 3, 2000, $70 million of this loan was repaid on October 10, 2000. The remaining $30 million principal and $2.3 million accrued interest was converted to equity as a member contribution.</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Note Payable to Bank</w:t>
      </w:r>
    </w:p>
    <w:p>
      <w:pPr>
        <w:spacing w:after="0" w:line="77" w:lineRule="exact"/>
        <w:rPr>
          <w:sz w:val="20"/>
          <w:szCs w:val="20"/>
          <w:color w:val="auto"/>
        </w:rPr>
      </w:pPr>
    </w:p>
    <w:p>
      <w:pPr>
        <w:ind w:right="360" w:firstLine="456"/>
        <w:spacing w:after="0" w:line="294" w:lineRule="auto"/>
        <w:rPr>
          <w:sz w:val="20"/>
          <w:szCs w:val="20"/>
          <w:color w:val="auto"/>
        </w:rPr>
      </w:pPr>
      <w:r>
        <w:rPr>
          <w:rFonts w:ascii="Arial" w:cs="Arial" w:eastAsia="Arial" w:hAnsi="Arial"/>
          <w:sz w:val="16"/>
          <w:szCs w:val="16"/>
          <w:color w:val="auto"/>
        </w:rPr>
        <w:t>On July 10, 2000, the Company entered into a loan agreement with Deutsche Bank Securities Inc., as lead arranger, and Bankers Trust Company, as administrative agent, for a loan in the amount of $125 million with an original maturity date of July 10, 2001. These borrowings were used to make an equity distribution of approximately $110.5 million to Mr. Wynn. The interest during the loan period was 7.9%, as defined in the loan agreement. The loan was collateralized by certain real and personal property of the Company and by a guaranty from Mr. Wynn. Pursuant to the Amended and Restated Operating Agreement dated October 3, 2000, this loan was repaid on October 10, 2000.</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Note Payable for Desert Inn Resort and Casino Land Parcel</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balance at December 31, 2002 and 2001 totals approximately $253,000 and $291,000, respectively, net of the current portion of approximately $38,000 and $35,000, respectively, and represents a note payable related to the acquisition of a parcel of land in 1994. Both the land and related note payable were acquired as part of the acquisition of the Desert Inn Resort and Casino. The note carries an interest rate of 8% and provides for payments of principal and interest totaling $5,000 per month until February 2009.</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Second Mortgage Notes</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October 30, 2002, Wynn Las Vegas, LLC (“Wynn Las Vegas”) and Wynn Las Vegas Capital Corp. (“Wynn Capital”), two wholly-owned subsidiaries of the Company (collectively, the “Issuers”), issued $370 million aggregate principal amount of 12% second mortgage notes (the “Notes”) maturing November 1, 2010 with semi-annual interest payments beginning in May 2003. The Notes are unconditionally guaranteed by Wynn Resorts as the parent company and certain other subsidiary guarantors, are secured by a first priority security interest in the net proceeds of the offering and a second priority security interest in substantially all the assets of the Issuers and certain restricted subsidiaries, and rank senior in right of payment to all of the Issuers’ existing and future subordinated indebtedness. In addition, the Notes contain certain affirmative and negative covenants applicable to the Issuers and the restricted entities, including limitations on additional indebtedness, declarations of dividends, issuance of preferred stock and equity interests of wholly-owned subsidiaries, certain payments or investments, golf course and Phase II land development, transactions with affiliates, asset sales, sale-leaseback transactions, and various other restrictions as defined in the indenture governing the Notes (the “Indenture”). While Wynn Resorts is not subject to a majority of the restrictive covenants in the Indenture, pursuant to the terms of its parent guaranty, if it grants specified liens to secure other guarantees or indebtedness it will be required to grant pari passu liens on the same assets to secure its parent guaranty of the Notes. As of December 31, 2002, the Company is in compliance with all such covenants.</w:t>
      </w:r>
    </w:p>
    <w:p>
      <w:pPr>
        <w:spacing w:after="0" w:line="114"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The Notes were issued on October 30, 2002, for approximately $343.3 million, net of an original issue discount of approximately $26.7 million. The proceeds were further reduced by approximately $10.1 million of underwriting discounts and commissions and approximately $4.3 million of legal and professional expenses, all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274"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of which are capitalized and amortized over the term of the Notes using the effective interest method. Net proceeds were approximately $328.9 million and will be used to finance the development and construction of Le Rêve, to pay pre-opening expenses and meet debt service obligations.</w:t>
      </w:r>
    </w:p>
    <w:p>
      <w:pPr>
        <w:spacing w:after="0" w:line="72"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Other than mandatory redemption required by gaming authorities resulting from unsuitable persons, the Issuers will not be required to make mandatory redemption or sinking fund payments. However, if a change of control occurs, the holders of the Notes may require the Issuers to repurchase all or part of the Notes at 101% of the principal amount, plus accrued interest. In addition, after November 1, 2006, the Issuers may elect to redeem all or part of the Notes at the redemption prices below, plus accrued interest on the redemption date, if redeemed during the twelve-month period beginning on November 1 of the years below:</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54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3880" w:type="dxa"/>
            <w:vAlign w:val="bottom"/>
            <w:gridSpan w:val="2"/>
          </w:tcPr>
          <w:p>
            <w:pPr>
              <w:jc w:val="right"/>
              <w:ind w:right="200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160" w:type="dxa"/>
            <w:vAlign w:val="bottom"/>
          </w:tcPr>
          <w:p>
            <w:pPr>
              <w:spacing w:after="0"/>
              <w:rPr>
                <w:sz w:val="8"/>
                <w:szCs w:val="8"/>
                <w:color w:val="auto"/>
              </w:rPr>
            </w:pPr>
          </w:p>
        </w:tc>
        <w:tc>
          <w:tcPr>
            <w:tcW w:w="31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7160" w:type="dxa"/>
            <w:vAlign w:val="bottom"/>
          </w:tcPr>
          <w:p>
            <w:pPr>
              <w:spacing w:after="0"/>
              <w:rPr>
                <w:sz w:val="8"/>
                <w:szCs w:val="8"/>
                <w:color w:val="auto"/>
              </w:rPr>
            </w:pPr>
          </w:p>
        </w:tc>
        <w:tc>
          <w:tcPr>
            <w:tcW w:w="3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2006</w:t>
            </w:r>
          </w:p>
        </w:tc>
        <w:tc>
          <w:tcPr>
            <w:tcW w:w="716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2007</w:t>
            </w:r>
          </w:p>
        </w:tc>
        <w:tc>
          <w:tcPr>
            <w:tcW w:w="7160" w:type="dxa"/>
            <w:vAlign w:val="bottom"/>
          </w:tcPr>
          <w:p>
            <w:pPr>
              <w:spacing w:after="0"/>
              <w:rPr>
                <w:sz w:val="18"/>
                <w:szCs w:val="18"/>
                <w:color w:val="auto"/>
              </w:rPr>
            </w:pPr>
          </w:p>
        </w:tc>
        <w:tc>
          <w:tcPr>
            <w:tcW w:w="3880" w:type="dxa"/>
            <w:vAlign w:val="bottom"/>
            <w:gridSpan w:val="2"/>
          </w:tcPr>
          <w:p>
            <w:pPr>
              <w:jc w:val="right"/>
              <w:ind w:right="58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2008</w:t>
            </w:r>
          </w:p>
        </w:tc>
        <w:tc>
          <w:tcPr>
            <w:tcW w:w="716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2009 and thereafter</w:t>
            </w:r>
          </w:p>
        </w:tc>
        <w:tc>
          <w:tcPr>
            <w:tcW w:w="3880" w:type="dxa"/>
            <w:vAlign w:val="bottom"/>
            <w:gridSpan w:val="2"/>
          </w:tcPr>
          <w:p>
            <w:pPr>
              <w:jc w:val="right"/>
              <w:ind w:right="5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Credit Facilities</w:t>
      </w:r>
    </w:p>
    <w:p>
      <w:pPr>
        <w:spacing w:after="0" w:line="7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Effective October 30, 2002, Wynn Las Vegas entered into a $750 million senior secured revolving credit facility (the “Revolver”) and a $250 million delay draw senior secured term loan facility (the “Term Loan”, and together with the Revolver, the “Credit Facilities”) for additional construction financing for Le Rêve. The Credit Facilities are guaranteed by Wynn Resorts as the parent company, Valvino and its subsidiaries excluding Wynn Completion Guarantor, LLC, and Desert Inn Improvement Company, LLC, and certain of Valvino’s affiliates. While Wynn Resorts is not subject to the restrictive covenants in the Credit Facilities, pursuant to the terms of its parent guaranty, if it grants specified liens to secure other guarantees or indebtedness it will be required to grant pari passu liens on the same assets to secure its parent guaranty of the Credit Facilities. The Credit Facilities are also secured by a first priority security interest in a $30.0 million liquidity reserve account as further described below, a first priority pledge of all equity interests in, and a first priority security interest in substantially all the assets of, Wynn Las Vegas, Wynn Capital and the restricted entities, first mortgages on all real property constituting Le Rêve, and a second priority security interest on the furniture, fixtures and equipment securing the FF&amp;E facility described below.</w:t>
      </w:r>
    </w:p>
    <w:p>
      <w:pPr>
        <w:spacing w:after="0" w:line="10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Revolver and the Term Loan mature in October 2008 and October 2009, respectively. Prior to the opening of Le Rêve, annual interest is charged on outstanding borrowings at the London Interbank Offered Rate (“LIBOR”) plus 4% on the Revolver and LIBOR plus 5.5% on the Term Loan. Subsequent to the opening of Le Rêve, the rates will be adjusted based upon a leverage ratio. In addition, the Revolver will require quarterly payments on the unused available borrowings at an annual rate of 2%, while the Term Loan will require quarterly payments at an annual rate of 2.5% through December 31, 2002, 3% from January 1, 2003 to June 30, 2003 and 4% thereafter.</w:t>
      </w:r>
    </w:p>
    <w:p>
      <w:pPr>
        <w:spacing w:after="0" w:line="129"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When borrowings outstanding under the Revolver equal or exceed $200 million, lead arrangers holding a majority of the commitments will have the right to convert $100 million to $400 million of the amounts outstanding to term loans with the same terms and conditions as those made under Term Loan facility.</w:t>
      </w:r>
    </w:p>
    <w:p>
      <w:pPr>
        <w:spacing w:after="0" w:line="7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Term Loan provides for draws of funds under one or more term loans no more frequently than once per month for 27 months after the closing. Once repaid, term loans may not be reborrowed.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274" w:right="2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12" w:lineRule="exact"/>
        <w:rPr>
          <w:sz w:val="20"/>
          <w:szCs w:val="20"/>
          <w:color w:val="auto"/>
        </w:rPr>
      </w:pPr>
    </w:p>
    <w:p>
      <w:pPr>
        <w:ind w:right="500" w:firstLine="456"/>
        <w:spacing w:after="0" w:line="298" w:lineRule="auto"/>
        <w:rPr>
          <w:sz w:val="20"/>
          <w:szCs w:val="20"/>
          <w:color w:val="auto"/>
        </w:rPr>
      </w:pPr>
      <w:r>
        <w:rPr>
          <w:rFonts w:ascii="Arial" w:cs="Arial" w:eastAsia="Arial" w:hAnsi="Arial"/>
          <w:sz w:val="16"/>
          <w:szCs w:val="16"/>
          <w:color w:val="auto"/>
        </w:rPr>
        <w:t>The Issuers and guarantors are required to comply with several affirmative and negative covenants, including limitations on additional indebtedness, guarantees, dividends, transactions with affiliates, capital expenditures, asset sales and others. There are also several financial covenants including the maintenance of a minimum fixed charge coverage ratio, minimum earnings before interest, taxes, depreciation and amortization (“EBITDA”), total debt to EBITDA and net worth. As of December 31, 2002, the Company is in compliance with all such covenants.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FF&amp;E Facility</w:t>
      </w:r>
    </w:p>
    <w:p>
      <w:pPr>
        <w:spacing w:after="0" w:line="77"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Effective October 30, 2002, Wynn Las Vegas entered into a $188.5 million FF&amp;E facility (the “FF&amp;E Facility”) to provide financing and refinancing for furniture, fixtures and equipment to be used at Le Rêve. The proceeds from the FF&amp;E Facility may also be used to refinance a replacement corporate aircraft, in which case, Wynn Las Vegas would request the FF&amp;E lenders to increase the total commitment under the FF&amp;E Facility by $10 million to $198.5 million.</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the acquisitions of World Travel, LLC and Las Vegas Jet, LLC, the Company partially financed the purchase of a private jet aircraft for $38.0 million with the issuance of a note payable for $28.5 million collateralized by the aircraft. In November 2002, the Company withdrew $38.0 million against the FF&amp;E Facility to repay the note payable secured by the aircraft acquired in connection with the acquisition of World Travel, LLC. The unused portion of the draw will be used for construction of Le Rêve.</w:t>
      </w:r>
    </w:p>
    <w:p>
      <w:pPr>
        <w:spacing w:after="0" w:line="130"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The FF&amp;E Facility is guaranteed by the same guarantors as the Credit Facilities, on a senior unsecured basis, matures in October 2009, and has substantially the same interest rates and elections as the Revolver discussed above.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Disbursement Agreement</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has entered into an agreement (the “Disbursement Agreement”) with Deutsche Bank Trust Company Americas, as the bank agent and disbursement agent, Wells Fargo Bank, National Association, as the second mortgage note trustee, and Wells Fargo Bank Nevada, National Association as the FF&amp;E agent, which sets forth the Company’s material obligations to construct and complete Le Rêve, establishes a line-item budget and schedule for its construction and establishes the conditions to, and the relative sequencing of, the making of disbursements from the proceeds of the Notes, the Credit Facilities and the FF&amp;E Facility. The Disbursement Agreement restricts the Company’s use of the proceeds of the Notes, the Credit Facilities and the FF&amp;E Facility to only project costs related to Le Rêve and, subject to certain limitations, corporate overhead and related costs.</w:t>
      </w:r>
    </w:p>
    <w:p>
      <w:pPr>
        <w:spacing w:after="0" w:line="10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order to facilitate the funding of disbursements in accordance with the Disbursement Agreement, the Company established certain accounts including, but not limited to, the Completion Guarantee Deposit Account and the Liquidity Reserve Account discussed in further detail below, which are pledged to the lenders under the Credit Facilities and, with respect to the secured account holding the proceeds of the Notes, the holders of the Notes. Prior to borrowing any amounts under the Credit Facilities or the FF&amp;E Facility or receiving any disbursements from the secured account holding the proceeds of the Notes, the Company is required to use a substantial portion of the equity offering proceeds and other available funds to commence construction of Le Rêve. At that point the proceeds of the Notes, other than amounts sufficient to pay interest, will be used; followed thereafter by the proceeds of the Credit Facilities and the FF&amp;E Facility. However, as a condition to borrowing amounts under the Credit Facilities or the FF&amp;E Facility or receiving any disbursements from the secured account holding the proceeds of the Notes, the Company is required to submit evidence acceptable to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274" w:right="25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third-party construction consultant that construction of Le Rêve has been completed at the time of such borrowing in accordance with the plans and specifications, on budget and on schedule.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Completion Guarantee and Liquidity Reserve</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contributed $50 million of the net proceeds of the equity offering to Wynn Completion Guarantor, LLC, a special purpose subsidiary of Wynn Las Vegas formed in October 2002 to provide a completion guarantee in favor of the lenders under the Credit Facilities and the Notes to secure completion of Le Rêve. The funds were deposited into a required escrow Completion Guarantee Deposit Account. These funds will gradually be available to apply to the cost of the project, commencing after 50% of the construction work has been completed. After completion of Le Rêve, any remaining amounts will be released to the Company.</w:t>
      </w:r>
    </w:p>
    <w:p>
      <w:pPr>
        <w:spacing w:after="0" w:line="1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addition, the Company deposited $30.0 million from the net proceeds of the equity offering into a required escrow Liquidity Reserve Account to secure the completion and opening of Le Rêve. The lenders under the Credit Facilities have a first priority security interest and the holders of the Notes have a perfected second priority security interest in these funds. These funds will gradually be available to apply to the cost of the project, commencing after 50% of the construction work has been completed. Any amounts remaining upon completion will be used for debt service under the Credit Facilities and the Notes, and if consolidated EBITDA levels permit, the Revolver.</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estimated fair value of the Notes and the FF&amp;E Facility based upon most recent trades at December 31, 2002 was approximately $373.7 million and $36.5 million respectively.</w:t>
      </w:r>
    </w:p>
    <w:p>
      <w:pPr>
        <w:spacing w:after="0" w:line="118"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360" w:type="dxa"/>
            <w:vAlign w:val="bottom"/>
            <w:gridSpan w:val="2"/>
          </w:tcPr>
          <w:p>
            <w:pPr>
              <w:spacing w:after="0"/>
              <w:rPr>
                <w:sz w:val="20"/>
                <w:szCs w:val="20"/>
                <w:color w:val="auto"/>
              </w:rPr>
            </w:pPr>
            <w:r>
              <w:rPr>
                <w:rFonts w:ascii="Arial" w:cs="Arial" w:eastAsia="Arial" w:hAnsi="Arial"/>
                <w:sz w:val="18"/>
                <w:szCs w:val="18"/>
                <w:color w:val="auto"/>
              </w:rPr>
              <w:t>Scheduled maturities of long-term debt are as follows (amounts in thousands):</w:t>
            </w:r>
          </w:p>
        </w:tc>
        <w:tc>
          <w:tcPr>
            <w:tcW w:w="7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151"/>
        </w:trPr>
        <w:tc>
          <w:tcPr>
            <w:tcW w:w="98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16"/>
        </w:trPr>
        <w:tc>
          <w:tcPr>
            <w:tcW w:w="9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Years Ending December 31,</w:t>
            </w:r>
          </w:p>
        </w:tc>
        <w:tc>
          <w:tcPr>
            <w:tcW w:w="7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6380" w:type="dxa"/>
            <w:vAlign w:val="bottom"/>
          </w:tcPr>
          <w:p>
            <w:pPr>
              <w:ind w:left="260"/>
              <w:spacing w:after="0"/>
              <w:rPr>
                <w:sz w:val="20"/>
                <w:szCs w:val="20"/>
                <w:color w:val="auto"/>
              </w:rPr>
            </w:pPr>
            <w:r>
              <w:rPr>
                <w:rFonts w:ascii="Arial" w:cs="Arial" w:eastAsia="Arial" w:hAnsi="Arial"/>
                <w:sz w:val="18"/>
                <w:szCs w:val="18"/>
                <w:color w:val="auto"/>
              </w:rPr>
              <w:t>2003</w:t>
            </w:r>
          </w:p>
        </w:tc>
        <w:tc>
          <w:tcPr>
            <w:tcW w:w="740" w:type="dxa"/>
            <w:vAlign w:val="bottom"/>
          </w:tcPr>
          <w:p>
            <w:pPr>
              <w:jc w:val="right"/>
              <w:ind w:right="5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6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2004</w:t>
            </w:r>
          </w:p>
        </w:tc>
        <w:tc>
          <w:tcPr>
            <w:tcW w:w="7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6380" w:type="dxa"/>
            <w:vAlign w:val="bottom"/>
          </w:tcPr>
          <w:p>
            <w:pPr>
              <w:ind w:left="260"/>
              <w:spacing w:after="0"/>
              <w:rPr>
                <w:sz w:val="20"/>
                <w:szCs w:val="20"/>
                <w:color w:val="auto"/>
              </w:rPr>
            </w:pPr>
            <w:r>
              <w:rPr>
                <w:rFonts w:ascii="Arial" w:cs="Arial" w:eastAsia="Arial" w:hAnsi="Arial"/>
                <w:sz w:val="18"/>
                <w:szCs w:val="18"/>
                <w:color w:val="auto"/>
              </w:rPr>
              <w:t>2005</w:t>
            </w:r>
          </w:p>
        </w:tc>
        <w:tc>
          <w:tcPr>
            <w:tcW w:w="7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2,420</w:t>
            </w:r>
          </w:p>
        </w:tc>
        <w:tc>
          <w:tcPr>
            <w:tcW w:w="2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6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2006</w:t>
            </w:r>
          </w:p>
        </w:tc>
        <w:tc>
          <w:tcPr>
            <w:tcW w:w="7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9,548</w:t>
            </w:r>
          </w:p>
        </w:tc>
        <w:tc>
          <w:tcPr>
            <w:tcW w:w="20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6380" w:type="dxa"/>
            <w:vAlign w:val="bottom"/>
          </w:tcPr>
          <w:p>
            <w:pPr>
              <w:ind w:left="260"/>
              <w:spacing w:after="0"/>
              <w:rPr>
                <w:sz w:val="20"/>
                <w:szCs w:val="20"/>
                <w:color w:val="auto"/>
              </w:rPr>
            </w:pPr>
            <w:r>
              <w:rPr>
                <w:rFonts w:ascii="Arial" w:cs="Arial" w:eastAsia="Arial" w:hAnsi="Arial"/>
                <w:sz w:val="18"/>
                <w:szCs w:val="18"/>
                <w:color w:val="auto"/>
              </w:rPr>
              <w:t>2007</w:t>
            </w:r>
          </w:p>
        </w:tc>
        <w:tc>
          <w:tcPr>
            <w:tcW w:w="7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9,552</w:t>
            </w:r>
          </w:p>
        </w:tc>
        <w:tc>
          <w:tcPr>
            <w:tcW w:w="2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6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Thereafter</w:t>
            </w:r>
          </w:p>
        </w:tc>
        <w:tc>
          <w:tcPr>
            <w:tcW w:w="7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386,692</w:t>
            </w:r>
          </w:p>
        </w:tc>
        <w:tc>
          <w:tcPr>
            <w:tcW w:w="200" w:type="dxa"/>
            <w:vAlign w:val="bottom"/>
            <w:shd w:val="clear" w:color="auto" w:fill="CCEEFF"/>
          </w:tcPr>
          <w:p>
            <w:pPr>
              <w:spacing w:after="0"/>
              <w:rPr>
                <w:sz w:val="18"/>
                <w:szCs w:val="18"/>
                <w:color w:val="auto"/>
              </w:rPr>
            </w:pPr>
          </w:p>
        </w:tc>
      </w:tr>
      <w:tr>
        <w:trPr>
          <w:trHeight w:val="108"/>
        </w:trPr>
        <w:tc>
          <w:tcPr>
            <w:tcW w:w="980" w:type="dxa"/>
            <w:vAlign w:val="bottom"/>
          </w:tcPr>
          <w:p>
            <w:pPr>
              <w:spacing w:after="0"/>
              <w:rPr>
                <w:sz w:val="9"/>
                <w:szCs w:val="9"/>
                <w:color w:val="auto"/>
              </w:rPr>
            </w:pPr>
          </w:p>
        </w:tc>
        <w:tc>
          <w:tcPr>
            <w:tcW w:w="638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r>
      <w:tr>
        <w:trPr>
          <w:trHeight w:val="102"/>
        </w:trPr>
        <w:tc>
          <w:tcPr>
            <w:tcW w:w="980" w:type="dxa"/>
            <w:vAlign w:val="bottom"/>
          </w:tcPr>
          <w:p>
            <w:pPr>
              <w:spacing w:after="0"/>
              <w:rPr>
                <w:sz w:val="8"/>
                <w:szCs w:val="8"/>
                <w:color w:val="auto"/>
              </w:rPr>
            </w:pPr>
          </w:p>
        </w:tc>
        <w:tc>
          <w:tcPr>
            <w:tcW w:w="6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98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408,291</w:t>
            </w:r>
          </w:p>
        </w:tc>
        <w:tc>
          <w:tcPr>
            <w:tcW w:w="200" w:type="dxa"/>
            <w:vAlign w:val="bottom"/>
            <w:shd w:val="clear" w:color="auto" w:fill="CCEEFF"/>
          </w:tcPr>
          <w:p>
            <w:pPr>
              <w:spacing w:after="0"/>
              <w:rPr>
                <w:sz w:val="18"/>
                <w:szCs w:val="18"/>
                <w:color w:val="auto"/>
              </w:rPr>
            </w:pPr>
          </w:p>
        </w:tc>
      </w:tr>
      <w:tr>
        <w:trPr>
          <w:trHeight w:val="222"/>
        </w:trPr>
        <w:tc>
          <w:tcPr>
            <w:tcW w:w="98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Less: original issue discount</w:t>
            </w:r>
          </w:p>
        </w:tc>
        <w:tc>
          <w:tcPr>
            <w:tcW w:w="74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(26,100)</w:t>
            </w:r>
          </w:p>
        </w:tc>
      </w:tr>
      <w:tr>
        <w:trPr>
          <w:trHeight w:val="102"/>
        </w:trPr>
        <w:tc>
          <w:tcPr>
            <w:tcW w:w="980" w:type="dxa"/>
            <w:vAlign w:val="bottom"/>
          </w:tcPr>
          <w:p>
            <w:pPr>
              <w:spacing w:after="0"/>
              <w:rPr>
                <w:sz w:val="8"/>
                <w:szCs w:val="8"/>
                <w:color w:val="auto"/>
              </w:rPr>
            </w:pPr>
          </w:p>
        </w:tc>
        <w:tc>
          <w:tcPr>
            <w:tcW w:w="63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r>
      <w:tr>
        <w:trPr>
          <w:trHeight w:val="102"/>
        </w:trPr>
        <w:tc>
          <w:tcPr>
            <w:tcW w:w="980" w:type="dxa"/>
            <w:vAlign w:val="bottom"/>
          </w:tcPr>
          <w:p>
            <w:pPr>
              <w:spacing w:after="0"/>
              <w:rPr>
                <w:sz w:val="8"/>
                <w:szCs w:val="8"/>
                <w:color w:val="auto"/>
              </w:rPr>
            </w:pPr>
          </w:p>
        </w:tc>
        <w:tc>
          <w:tcPr>
            <w:tcW w:w="6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98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382,191</w:t>
            </w:r>
          </w:p>
        </w:tc>
        <w:tc>
          <w:tcPr>
            <w:tcW w:w="200" w:type="dxa"/>
            <w:vAlign w:val="bottom"/>
            <w:shd w:val="clear" w:color="auto" w:fill="CCEEFF"/>
          </w:tcPr>
          <w:p>
            <w:pPr>
              <w:spacing w:after="0"/>
              <w:rPr>
                <w:sz w:val="18"/>
                <w:szCs w:val="18"/>
                <w:color w:val="auto"/>
              </w:rPr>
            </w:pPr>
          </w:p>
        </w:tc>
      </w:tr>
      <w:tr>
        <w:trPr>
          <w:trHeight w:val="132"/>
        </w:trPr>
        <w:tc>
          <w:tcPr>
            <w:tcW w:w="98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-29210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-29210</wp:posOffset>
            </wp:positionV>
            <wp:extent cx="2159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3873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left="240" w:right="9520" w:hanging="232"/>
        <w:spacing w:after="0" w:line="373" w:lineRule="auto"/>
        <w:tabs>
          <w:tab w:leader="none" w:pos="319"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i w:val="1"/>
          <w:iCs w:val="1"/>
          <w:color w:val="auto"/>
        </w:rPr>
        <w:t>Common Stock</w:t>
      </w:r>
    </w:p>
    <w:p>
      <w:pPr>
        <w:spacing w:after="0" w:line="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 is authorized to issue up to 400,000,000 shares of its common stock, $0.01 par value per share (the “Common Stock”). On October 25, 2002, the Company completed the initial public offering of 34,615,000 shares of its Common Stock at a $13 per share price. The Common Stock trades on the NASDAQ National Market under the symbol “WYNN”. Stephen A. Wynn, Chairman of the Board, CEO and a principal stockholder of Wynn Resorts, and Aruze USA, another principal stockholder of Wynn Resorts, collectively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274" w:right="23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purchased approximately 11,150,000 of these shares directly from the Company at $13—the same price the shares were offered to the public. Total proceeds of approximately $450 million were reduced by underwriting discounts and commissions of approximately $19.5 million and approximately $4.1 million in legal and professional expenses, for net proceeds to the Company of approximately $426.4 million, which will be used to finance construction of Le Rêve and to provide $40.0 million for the development of the Company’s concession in Macau.</w:t>
      </w:r>
    </w:p>
    <w:p>
      <w:pPr>
        <w:spacing w:after="0" w:line="9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On November 11, 2002, the underwriters to the initial public offering exercised a 3,219,173 share over-allotment option in full, resulting in additional net proceeds of approximately $38.9 million, net of underwriters discounts and commissions of approximately $2.9 million.</w:t>
      </w:r>
    </w:p>
    <w:p>
      <w:pPr>
        <w:spacing w:after="0" w:line="118"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78,972,511 shares of the Company’s Common Stock were issued and are outstanding as of December 31, 2002. Except as otherwise provide by the Company’s articles of incorporation or Nevada law, each holder of the Common Stock is entitled to one vote for each share held of record on each matter submitted to a vote of stockholders. Holders of the Common Stock have no cumulative voting, conversion, redemption or preemptive rights or other rights to subscribe for additional shares. Subject to any preferences that may be granted to the holders of the Company’s preferred stock, each holder of Common Stock is entitled to receive ratably such dividends as may be declared by the Board of Directors out of funds legally available therefore, as well as any distributions to the stockholders and, in the event of liquidation, dissolution or winding up of the Company, is entitled to share ratably in all assets of the Company remaining after payment of liabilities.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Preferred Stock</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is authorized to issue up to 40,000,000 shares of undesignated preferred stock, $0.01 par value per share (the “Preferred Stock”). During the period from inception to, and as of, December 31, 2002, the Company had not issued any Preferred Stock. The Board of Directors, without further action by the holders of Common Stock, may designate and issue shares of Preferred Stock in one or more series and may fix or alter the rights, preferences, privileges and restrictions, including the voting rights, redemption provisions (including sinking fund provisions), dividend rights, dividend rates, liquidation rates, liquidation preferences, conversion rights and the description and number of shares constituting any wholly unissued series of Preferred Stock. The issuance of such shares of Preferred Stock could adversely affect the rights of the holders of Common Stock. The issuance of shares of Preferred Stock under certain circumstances could also have the effect of delaying or preventing a change of control of the Company or other corporate action.</w:t>
      </w:r>
    </w:p>
    <w:p>
      <w:pPr>
        <w:spacing w:after="0" w:line="99" w:lineRule="exact"/>
        <w:rPr>
          <w:sz w:val="20"/>
          <w:szCs w:val="20"/>
          <w:color w:val="auto"/>
        </w:rPr>
      </w:pPr>
    </w:p>
    <w:p>
      <w:pPr>
        <w:ind w:left="240" w:right="9520" w:hanging="232"/>
        <w:spacing w:after="0" w:line="398" w:lineRule="auto"/>
        <w:tabs>
          <w:tab w:leader="none" w:pos="319" w:val="left"/>
        </w:tabs>
        <w:numPr>
          <w:ilvl w:val="0"/>
          <w:numId w:val="4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Benefit Plans </w:t>
      </w:r>
      <w:r>
        <w:rPr>
          <w:rFonts w:ascii="Arial" w:cs="Arial" w:eastAsia="Arial" w:hAnsi="Arial"/>
          <w:sz w:val="15"/>
          <w:szCs w:val="15"/>
          <w:i w:val="1"/>
          <w:iCs w:val="1"/>
          <w:color w:val="auto"/>
        </w:rPr>
        <w:t>Employee Savings Plan</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established a retirement savings plan under Section 401(k) of the Internal Revenue Code covering its non-union employees on July 27, 2000.</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plan allows employees to defer, within prescribed limits, up to 18% of their income on a pre-tax basis through contributions to this plan.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matches the contributions, within prescribed limits, with an amount equal to 100% of the participant’s initial 2% tax deferred contribution and 50% of the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deferred contribution between 2% and 4% of the participant’s compensation. The Company recorded charges for matching contributions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$170,000, $134,000, $57,000 and $361,000 for the years ended December 31, 2002 and 2001, the period from inception to December 31, 2000, and for the period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from inception to December 31, 2002, respectively.</w:t>
      </w:r>
    </w:p>
    <w:p>
      <w:pPr>
        <w:spacing w:after="0" w:line="1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Union employees are covered by various multi-employer pension plans. The Company recorded expenses of approximately $127,000, $181,000, $376,000 and $684,000 under such plans for the years ended December 31,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274" w:right="239" w:bottom="1440" w:gutter="0" w:footer="0" w:header="0"/>
        </w:sectPr>
      </w:pPr>
    </w:p>
    <w:bookmarkStart w:id="99" w:name="page100"/>
    <w:bookmarkEnd w:id="99"/>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2002 and 2001, the period from inception to December 31, 2000, and for the period from inception to December 31, 2002, respectively. Information from the plans’ sponsors is not available to permit the Company to determine its share of unfunded vested benefits, if any.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Based Compensation Plan</w:t>
      </w:r>
    </w:p>
    <w:p>
      <w:pPr>
        <w:spacing w:after="0" w:line="7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Company has adopted the 2002 Stock Incentive Plan (the “Stock Plan”) to provide stock compensation arrangements for directors, officers and key employees, and others. The Stock Plan includes provisions for the grant of (i) Incentive Stock Options (“ISO”), (ii) compensatory (i.e. non qualified) stock options (“NQSO”) and (iii) restricted shares of Common Stock. Officers, key employees, directors (whether employee or nonemployee) and independent contractors or consultants of the Company and its subsidiaries are eligible to participate in the Stock Plan. However, only employees of the Company and its subsidiaries are eligible to receive incentive stock options.</w:t>
      </w:r>
    </w:p>
    <w:p>
      <w:pPr>
        <w:spacing w:after="0" w:line="129"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 maximum of 9,750,000 shares of Common Stock has been reserved for issuance under the Stock Plan. Options are granted at the current market price at the date of grant. The Stock Plan provides for a variety of vesting schedules, including immediate, twenty-five percent after two years and 25% each year for the next 3 years thereafter, cliff vest at the vesting date, and others to be determined at the time of grant. All options expire ten years from the date of grant.</w:t>
      </w:r>
    </w:p>
    <w:p>
      <w:pPr>
        <w:spacing w:after="0" w:line="9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Stock Plan will terminate ten years from the date of adoption, unless terminated earlier by the Board of Directors, and no options or restricted shares may be granted under the Stock Plan after such date. Summarized information for the Stock Plan is as follows:</w:t>
      </w:r>
    </w:p>
    <w:p>
      <w:pPr>
        <w:spacing w:after="0" w:line="10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gridSpan w:val="4"/>
          </w:tcPr>
          <w:p>
            <w:pPr>
              <w:jc w:val="right"/>
              <w:spacing w:after="0"/>
              <w:rPr>
                <w:sz w:val="20"/>
                <w:szCs w:val="20"/>
                <w:color w:val="auto"/>
              </w:rPr>
            </w:pPr>
            <w:r>
              <w:rPr>
                <w:rFonts w:ascii="Arial" w:cs="Arial" w:eastAsia="Arial" w:hAnsi="Arial"/>
                <w:sz w:val="14"/>
                <w:szCs w:val="14"/>
                <w:b w:val="1"/>
                <w:bCs w:val="1"/>
                <w:color w:val="auto"/>
                <w:w w:val="88"/>
              </w:rPr>
              <w:t>Period from Inception to 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920" w:type="dxa"/>
            <w:vAlign w:val="bottom"/>
            <w:gridSpan w:val="4"/>
          </w:tcPr>
          <w:p>
            <w:pPr>
              <w:jc w:val="right"/>
              <w:ind w:right="339"/>
              <w:spacing w:after="0"/>
              <w:rPr>
                <w:sz w:val="20"/>
                <w:szCs w:val="20"/>
                <w:color w:val="auto"/>
              </w:rPr>
            </w:pPr>
            <w:r>
              <w:rPr>
                <w:rFonts w:ascii="Arial" w:cs="Arial" w:eastAsia="Arial" w:hAnsi="Arial"/>
                <w:sz w:val="14"/>
                <w:szCs w:val="14"/>
                <w:b w:val="1"/>
                <w:bCs w:val="1"/>
                <w:color w:val="auto"/>
              </w:rPr>
              <w:t>December 31, 2002</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2002</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6"/>
              </w:rPr>
              <w:t>Average</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3"/>
              </w:rPr>
              <w:t>Exercise</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Average 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960" w:type="dxa"/>
            <w:vAlign w:val="bottom"/>
          </w:tcPr>
          <w:p>
            <w:pPr>
              <w:jc w:val="right"/>
              <w:ind w:right="178"/>
              <w:spacing w:after="0"/>
              <w:rPr>
                <w:sz w:val="20"/>
                <w:szCs w:val="20"/>
                <w:color w:val="auto"/>
              </w:rPr>
            </w:pPr>
            <w:r>
              <w:rPr>
                <w:rFonts w:ascii="Arial" w:cs="Arial" w:eastAsia="Arial" w:hAnsi="Arial"/>
                <w:sz w:val="14"/>
                <w:szCs w:val="14"/>
                <w:b w:val="1"/>
                <w:bCs w:val="1"/>
                <w:color w:val="auto"/>
              </w:rPr>
              <w:t>Options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right="39"/>
              <w:spacing w:after="0"/>
              <w:rPr>
                <w:sz w:val="20"/>
                <w:szCs w:val="20"/>
                <w:color w:val="auto"/>
              </w:rPr>
            </w:pPr>
            <w:r>
              <w:rPr>
                <w:rFonts w:ascii="Arial" w:cs="Arial" w:eastAsia="Arial" w:hAnsi="Arial"/>
                <w:sz w:val="14"/>
                <w:szCs w:val="14"/>
                <w:b w:val="1"/>
                <w:bCs w:val="1"/>
                <w:color w:val="auto"/>
                <w:w w:val="87"/>
              </w:rPr>
              <w:t>Price</w:t>
            </w:r>
          </w:p>
        </w:tc>
        <w:tc>
          <w:tcPr>
            <w:tcW w:w="280" w:type="dxa"/>
            <w:vAlign w:val="bottom"/>
          </w:tcPr>
          <w:p>
            <w:pPr>
              <w:spacing w:after="0"/>
              <w:rPr>
                <w:sz w:val="15"/>
                <w:szCs w:val="15"/>
                <w:color w:val="auto"/>
              </w:rPr>
            </w:pPr>
          </w:p>
        </w:tc>
        <w:tc>
          <w:tcPr>
            <w:tcW w:w="960" w:type="dxa"/>
            <w:vAlign w:val="bottom"/>
          </w:tcPr>
          <w:p>
            <w:pPr>
              <w:jc w:val="right"/>
              <w:ind w:right="180"/>
              <w:spacing w:after="0"/>
              <w:rPr>
                <w:sz w:val="20"/>
                <w:szCs w:val="20"/>
                <w:color w:val="auto"/>
              </w:rPr>
            </w:pPr>
            <w:r>
              <w:rPr>
                <w:rFonts w:ascii="Arial" w:cs="Arial" w:eastAsia="Arial" w:hAnsi="Arial"/>
                <w:sz w:val="14"/>
                <w:szCs w:val="14"/>
                <w:b w:val="1"/>
                <w:bCs w:val="1"/>
                <w:color w:val="auto"/>
              </w:rPr>
              <w:t>Options</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77"/>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9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80"/>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375,000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13.32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375,000</w:t>
            </w:r>
          </w:p>
        </w:tc>
        <w:tc>
          <w:tcPr>
            <w:tcW w:w="4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9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80"/>
              <w:spacing w:after="0"/>
              <w:rPr>
                <w:sz w:val="20"/>
                <w:szCs w:val="20"/>
                <w:color w:val="auto"/>
              </w:rPr>
            </w:pPr>
            <w:r>
              <w:rPr>
                <w:rFonts w:ascii="Arial" w:cs="Arial" w:eastAsia="Arial" w:hAnsi="Arial"/>
                <w:sz w:val="18"/>
                <w:szCs w:val="18"/>
                <w:color w:val="auto"/>
              </w:rPr>
              <w:t>Canceled</w:t>
            </w: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ending of period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4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ending of period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4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Options available for Grant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8,236,662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8,236,662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4410710</wp:posOffset>
            </wp:positionH>
            <wp:positionV relativeFrom="paragraph">
              <wp:posOffset>-629285</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-629285</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-629285</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-629285</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-329565</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-329565</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-329565</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-329565</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-29210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-29210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options were granted, canceled, exercised or outstanding during the year ended December 31, 2001 or for the period from inception to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2000.</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20"/>
          </w:cols>
          <w:pgMar w:left="240" w:top="274"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the options outstanding at December 31, 2002:</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7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Number</w:t>
            </w:r>
          </w:p>
        </w:tc>
        <w:tc>
          <w:tcPr>
            <w:tcW w:w="3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Number</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1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7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of Options</w:t>
            </w:r>
          </w:p>
        </w:tc>
        <w:tc>
          <w:tcPr>
            <w:tcW w:w="36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of Options</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4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rPr>
              <w:t>Exercise</w:t>
            </w:r>
          </w:p>
        </w:tc>
        <w:tc>
          <w:tcPr>
            <w:tcW w:w="37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Outstanding at</w:t>
            </w:r>
          </w:p>
        </w:tc>
        <w:tc>
          <w:tcPr>
            <w:tcW w:w="36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Exercisable at</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r>
      <w:tr>
        <w:trPr>
          <w:trHeight w:val="174"/>
        </w:trPr>
        <w:tc>
          <w:tcPr>
            <w:tcW w:w="204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Prices</w:t>
            </w:r>
          </w:p>
        </w:tc>
        <w:tc>
          <w:tcPr>
            <w:tcW w:w="37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December 31, 2002</w:t>
            </w:r>
          </w:p>
        </w:tc>
        <w:tc>
          <w:tcPr>
            <w:tcW w:w="36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December 31, 2002</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9"/>
              </w:rPr>
              <w:t>Contractual Life (years)</w:t>
            </w:r>
          </w:p>
        </w:tc>
      </w:tr>
      <w:tr>
        <w:trPr>
          <w:trHeight w:val="95"/>
        </w:trPr>
        <w:tc>
          <w:tcPr>
            <w:tcW w:w="1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3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r>
      <w:tr>
        <w:trPr>
          <w:trHeight w:val="102"/>
        </w:trPr>
        <w:tc>
          <w:tcPr>
            <w:tcW w:w="1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60" w:type="dxa"/>
            <w:vAlign w:val="bottom"/>
          </w:tcPr>
          <w:p>
            <w:pPr>
              <w:spacing w:after="0"/>
              <w:rPr>
                <w:sz w:val="8"/>
                <w:szCs w:val="8"/>
                <w:color w:val="auto"/>
              </w:rPr>
            </w:pPr>
          </w:p>
        </w:tc>
      </w:tr>
      <w:tr>
        <w:trPr>
          <w:trHeight w:val="216"/>
        </w:trPr>
        <w:tc>
          <w:tcPr>
            <w:tcW w:w="2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$13.25</w:t>
            </w:r>
          </w:p>
        </w:tc>
        <w:tc>
          <w:tcPr>
            <w:tcW w:w="3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325,000</w:t>
            </w:r>
          </w:p>
        </w:tc>
        <w:tc>
          <w:tcPr>
            <w:tcW w:w="3600" w:type="dxa"/>
            <w:vAlign w:val="bottom"/>
            <w:gridSpan w:val="2"/>
            <w:shd w:val="clear" w:color="auto" w:fill="CCEEFF"/>
          </w:tcPr>
          <w:p>
            <w:pPr>
              <w:ind w:left="296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9.9</w:t>
            </w:r>
          </w:p>
        </w:tc>
      </w:tr>
      <w:tr>
        <w:trPr>
          <w:trHeight w:val="222"/>
        </w:trPr>
        <w:tc>
          <w:tcPr>
            <w:tcW w:w="2040" w:type="dxa"/>
            <w:vAlign w:val="bottom"/>
            <w:gridSpan w:val="2"/>
          </w:tcPr>
          <w:p>
            <w:pPr>
              <w:jc w:val="right"/>
              <w:ind w:right="380"/>
              <w:spacing w:after="0"/>
              <w:rPr>
                <w:sz w:val="20"/>
                <w:szCs w:val="20"/>
                <w:color w:val="auto"/>
              </w:rPr>
            </w:pPr>
            <w:r>
              <w:rPr>
                <w:rFonts w:ascii="Arial" w:cs="Arial" w:eastAsia="Arial" w:hAnsi="Arial"/>
                <w:sz w:val="18"/>
                <w:szCs w:val="18"/>
                <w:color w:val="auto"/>
              </w:rPr>
              <w:t>$13.74</w:t>
            </w:r>
          </w:p>
        </w:tc>
        <w:tc>
          <w:tcPr>
            <w:tcW w:w="3720" w:type="dxa"/>
            <w:vAlign w:val="bottom"/>
            <w:gridSpan w:val="2"/>
          </w:tcPr>
          <w:p>
            <w:pPr>
              <w:jc w:val="right"/>
              <w:ind w:right="380"/>
              <w:spacing w:after="0"/>
              <w:rPr>
                <w:sz w:val="20"/>
                <w:szCs w:val="20"/>
                <w:color w:val="auto"/>
              </w:rPr>
            </w:pPr>
            <w:r>
              <w:rPr>
                <w:rFonts w:ascii="Arial" w:cs="Arial" w:eastAsia="Arial" w:hAnsi="Arial"/>
                <w:sz w:val="18"/>
                <w:szCs w:val="18"/>
                <w:color w:val="auto"/>
              </w:rPr>
              <w:t>50,000</w:t>
            </w:r>
          </w:p>
        </w:tc>
        <w:tc>
          <w:tcPr>
            <w:tcW w:w="3600" w:type="dxa"/>
            <w:vAlign w:val="bottom"/>
            <w:gridSpan w:val="2"/>
          </w:tcPr>
          <w:p>
            <w:pPr>
              <w:jc w:val="right"/>
              <w:ind w:right="380"/>
              <w:spacing w:after="0"/>
              <w:rPr>
                <w:sz w:val="20"/>
                <w:szCs w:val="20"/>
                <w:color w:val="auto"/>
              </w:rPr>
            </w:pPr>
            <w:r>
              <w:rPr>
                <w:rFonts w:ascii="Arial" w:cs="Arial" w:eastAsia="Arial" w:hAnsi="Arial"/>
                <w:sz w:val="18"/>
                <w:szCs w:val="18"/>
                <w:color w:val="auto"/>
              </w:rPr>
              <w:t>50,000</w:t>
            </w:r>
          </w:p>
        </w:tc>
        <w:tc>
          <w:tcPr>
            <w:tcW w:w="2060" w:type="dxa"/>
            <w:vAlign w:val="bottom"/>
          </w:tcPr>
          <w:p>
            <w:pPr>
              <w:jc w:val="center"/>
              <w:spacing w:after="0"/>
              <w:rPr>
                <w:sz w:val="20"/>
                <w:szCs w:val="20"/>
                <w:color w:val="auto"/>
              </w:rPr>
            </w:pPr>
            <w:r>
              <w:rPr>
                <w:rFonts w:ascii="Arial" w:cs="Arial" w:eastAsia="Arial" w:hAnsi="Arial"/>
                <w:sz w:val="18"/>
                <w:szCs w:val="18"/>
                <w:color w:val="auto"/>
                <w:w w:val="87"/>
              </w:rPr>
              <w:t>9.9</w:t>
            </w:r>
          </w:p>
        </w:tc>
      </w:tr>
    </w:tbl>
    <w:p>
      <w:pPr>
        <w:spacing w:after="0" w:line="13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option-pricing method with the following weighted-average assumptions:</w:t>
      </w:r>
    </w:p>
    <w:p>
      <w:pPr>
        <w:spacing w:after="0" w:line="10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Year Ended</w:t>
            </w:r>
          </w:p>
        </w:tc>
        <w:tc>
          <w:tcPr>
            <w:tcW w:w="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5100" w:type="dxa"/>
            <w:vAlign w:val="bottom"/>
          </w:tcPr>
          <w:p>
            <w:pPr>
              <w:spacing w:after="0"/>
              <w:rPr>
                <w:sz w:val="12"/>
                <w:szCs w:val="12"/>
                <w:color w:val="auto"/>
              </w:rPr>
            </w:pPr>
          </w:p>
        </w:tc>
        <w:tc>
          <w:tcPr>
            <w:tcW w:w="12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2"/>
                <w:szCs w:val="12"/>
                <w:color w:val="auto"/>
              </w:rPr>
            </w:pPr>
          </w:p>
        </w:tc>
        <w:tc>
          <w:tcPr>
            <w:tcW w:w="19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3"/>
              </w:rPr>
              <w:t>Period from Inception to</w:t>
            </w:r>
          </w:p>
        </w:tc>
      </w:tr>
      <w:tr>
        <w:trPr>
          <w:trHeight w:val="174"/>
        </w:trPr>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2002</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December 31, 2002</w:t>
            </w:r>
          </w:p>
        </w:tc>
      </w:tr>
      <w:tr>
        <w:trPr>
          <w:trHeight w:val="95"/>
        </w:trPr>
        <w:tc>
          <w:tcPr>
            <w:tcW w:w="5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5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40.00%</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Expected average life of options (years)</w:t>
            </w: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6.00</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Expected fair value of each option granted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5.76</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40" w:type="dxa"/>
            <w:vAlign w:val="bottom"/>
            <w:shd w:val="clear" w:color="auto" w:fill="CCEEFF"/>
          </w:tcPr>
          <w:p>
            <w:pPr>
              <w:spacing w:after="0"/>
              <w:rPr>
                <w:sz w:val="18"/>
                <w:szCs w:val="18"/>
                <w:color w:val="auto"/>
              </w:rPr>
            </w:pPr>
          </w:p>
        </w:tc>
      </w:tr>
    </w:tbl>
    <w:p>
      <w:pPr>
        <w:spacing w:after="0" w:line="140"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In addition to options, restricted stock grants of 1,138,338 shares were issued to employees during the year ended, and the period from inception to, December 31, 2002. No restricted stock grants took place during the year ended December 31, 2001 or the period from inception to December 31, 2000. The effect of these grants is to increase the issued and outstanding shares of the Company’s Common Stock and decrease the number of shares available for grant in the plan. Deferred compensation is recorded for the restricted stock grants equal to the market value of the Common Stock on the date of grant. The deferred compensation is amortized over the period the restricted stock vests and is recorded as compensation expense or capitalized into construction in progress, as appropriate.</w:t>
      </w:r>
    </w:p>
    <w:p>
      <w:pPr>
        <w:spacing w:after="0" w:line="1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Equity Instruments Issued to Non-employees</w:t>
      </w:r>
    </w:p>
    <w:p>
      <w:pPr>
        <w:spacing w:after="0" w:line="83"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On October 21, 2002, the Company entered into an amended production services agreement with the executive producer of the aquatic live theatrical attraction (the “Show”) anticipated to be exhibited at the Le Rêve showroom. As additional compensation for the production services to be rendered, the Company has granted 189,723 restricted shares of Common Stock which will fully vest on June 30, 2006, provided that a complete run of the Show at Le Rêve has commenced. The value of the stock grant is accrued as a deferred compensation liability over the period the restricted stock vests, adjusted each reporting period for changes in the market price of the Company’s stock, and capitalized as part of the Show’s production costs. As of December 31, 2002, the Company had accrued and capitalized approximately $130,000 relating to this grant. As a result of vesting conditions, the grant has no effect on the Company’s shares issued and outstanding.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274" w:right="239" w:bottom="1440" w:gutter="0" w:footer="0" w:header="0"/>
        </w:sectPr>
      </w:pPr>
    </w:p>
    <w:bookmarkStart w:id="101" w:name="page102"/>
    <w:bookmarkEnd w:id="10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0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tab/>
        <w:t>Income Taxes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files a consolidated federal income tax return. The income tax benefit differs from that computed at the federal statutory corporate tax rate as follows:</w:t>
      </w:r>
    </w:p>
    <w:p>
      <w:pPr>
        <w:spacing w:after="0" w:line="10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Year Ended</w:t>
            </w: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5100" w:type="dxa"/>
            <w:vAlign w:val="bottom"/>
          </w:tcPr>
          <w:p>
            <w:pPr>
              <w:spacing w:after="0"/>
              <w:rPr>
                <w:sz w:val="12"/>
                <w:szCs w:val="12"/>
                <w:color w:val="auto"/>
              </w:rPr>
            </w:pPr>
          </w:p>
        </w:tc>
        <w:tc>
          <w:tcPr>
            <w:tcW w:w="14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96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Period from</w:t>
            </w:r>
          </w:p>
        </w:tc>
      </w:tr>
      <w:tr>
        <w:trPr>
          <w:trHeight w:val="174"/>
        </w:trPr>
        <w:tc>
          <w:tcPr>
            <w:tcW w:w="51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2002</w:t>
            </w:r>
          </w:p>
        </w:tc>
        <w:tc>
          <w:tcPr>
            <w:tcW w:w="400" w:type="dxa"/>
            <w:vAlign w:val="bottom"/>
          </w:tcPr>
          <w:p>
            <w:pPr>
              <w:spacing w:after="0"/>
              <w:rPr>
                <w:sz w:val="15"/>
                <w:szCs w:val="15"/>
                <w:color w:val="auto"/>
              </w:rPr>
            </w:pPr>
          </w:p>
        </w:tc>
        <w:tc>
          <w:tcPr>
            <w:tcW w:w="19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Inception to December 31, 2002</w:t>
            </w:r>
          </w:p>
        </w:tc>
      </w:tr>
      <w:tr>
        <w:trPr>
          <w:trHeight w:val="95"/>
        </w:trPr>
        <w:tc>
          <w:tcPr>
            <w:tcW w:w="510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5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35.0%</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Foreign tax rate differential</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(31.2)%</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108"/>
        </w:trPr>
        <w:tc>
          <w:tcPr>
            <w:tcW w:w="510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102"/>
        </w:trPr>
        <w:tc>
          <w:tcPr>
            <w:tcW w:w="5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Effective tax rate</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132"/>
        </w:trPr>
        <w:tc>
          <w:tcPr>
            <w:tcW w:w="510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4153535</wp:posOffset>
            </wp:positionH>
            <wp:positionV relativeFrom="paragraph">
              <wp:posOffset>-29210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-29210</wp:posOffset>
            </wp:positionV>
            <wp:extent cx="3873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3873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tax effects of significant temporary differences representing net deferred tax assets and liabilities are as follows (amounts in thousands):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6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9"/>
              </w:rPr>
              <w:t>December 31, 2002</w:t>
            </w:r>
          </w:p>
        </w:tc>
      </w:tr>
      <w:tr>
        <w:trPr>
          <w:trHeight w:val="95"/>
        </w:trPr>
        <w:tc>
          <w:tcPr>
            <w:tcW w:w="63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102"/>
        </w:trPr>
        <w:tc>
          <w:tcPr>
            <w:tcW w:w="6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assets—US:</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380" w:type="dxa"/>
            <w:vAlign w:val="bottom"/>
          </w:tcPr>
          <w:p>
            <w:pPr>
              <w:ind w:left="260"/>
              <w:spacing w:after="0"/>
              <w:rPr>
                <w:sz w:val="20"/>
                <w:szCs w:val="20"/>
                <w:color w:val="auto"/>
              </w:rPr>
            </w:pPr>
            <w:r>
              <w:rPr>
                <w:rFonts w:ascii="Arial" w:cs="Arial" w:eastAsia="Arial" w:hAnsi="Arial"/>
                <w:sz w:val="18"/>
                <w:szCs w:val="18"/>
                <w:color w:val="auto"/>
              </w:rPr>
              <w:t>Current:</w:t>
            </w: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Receivables, inventories, accrued liabilities and other</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345</w:t>
            </w:r>
          </w:p>
        </w:tc>
      </w:tr>
      <w:tr>
        <w:trPr>
          <w:trHeight w:val="216"/>
        </w:trPr>
        <w:tc>
          <w:tcPr>
            <w:tcW w:w="6380" w:type="dxa"/>
            <w:vAlign w:val="bottom"/>
          </w:tcPr>
          <w:p>
            <w:pPr>
              <w:ind w:left="260"/>
              <w:spacing w:after="0"/>
              <w:rPr>
                <w:sz w:val="20"/>
                <w:szCs w:val="20"/>
                <w:color w:val="auto"/>
              </w:rPr>
            </w:pPr>
            <w:r>
              <w:rPr>
                <w:rFonts w:ascii="Arial" w:cs="Arial" w:eastAsia="Arial" w:hAnsi="Arial"/>
                <w:sz w:val="18"/>
                <w:szCs w:val="18"/>
                <w:color w:val="auto"/>
              </w:rPr>
              <w:t>Long-term:</w:t>
            </w: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11,341</w:t>
            </w:r>
          </w:p>
        </w:tc>
      </w:tr>
      <w:tr>
        <w:trPr>
          <w:trHeight w:val="216"/>
        </w:trPr>
        <w:tc>
          <w:tcPr>
            <w:tcW w:w="6380" w:type="dxa"/>
            <w:vAlign w:val="bottom"/>
          </w:tcPr>
          <w:p>
            <w:pPr>
              <w:ind w:left="500"/>
              <w:spacing w:after="0"/>
              <w:rPr>
                <w:sz w:val="20"/>
                <w:szCs w:val="20"/>
                <w:color w:val="auto"/>
              </w:rPr>
            </w:pPr>
            <w:r>
              <w:rPr>
                <w:rFonts w:ascii="Arial" w:cs="Arial" w:eastAsia="Arial" w:hAnsi="Arial"/>
                <w:sz w:val="18"/>
                <w:szCs w:val="18"/>
                <w:color w:val="auto"/>
              </w:rPr>
              <w:t>Pre-opening costs</w:t>
            </w:r>
          </w:p>
        </w:tc>
        <w:tc>
          <w:tcPr>
            <w:tcW w:w="280" w:type="dxa"/>
            <w:vAlign w:val="bottom"/>
          </w:tcPr>
          <w:p>
            <w:pPr>
              <w:spacing w:after="0"/>
              <w:rPr>
                <w:sz w:val="18"/>
                <w:szCs w:val="18"/>
                <w:color w:val="auto"/>
              </w:rPr>
            </w:pPr>
          </w:p>
        </w:tc>
        <w:tc>
          <w:tcPr>
            <w:tcW w:w="1880" w:type="dxa"/>
            <w:vAlign w:val="bottom"/>
            <w:gridSpan w:val="3"/>
          </w:tcPr>
          <w:p>
            <w:pPr>
              <w:jc w:val="right"/>
              <w:ind w:right="120"/>
              <w:spacing w:after="0"/>
              <w:rPr>
                <w:sz w:val="20"/>
                <w:szCs w:val="20"/>
                <w:color w:val="auto"/>
              </w:rPr>
            </w:pPr>
            <w:r>
              <w:rPr>
                <w:rFonts w:ascii="Arial" w:cs="Arial" w:eastAsia="Arial" w:hAnsi="Arial"/>
                <w:sz w:val="18"/>
                <w:szCs w:val="18"/>
                <w:color w:val="auto"/>
              </w:rPr>
              <w:t>7,480</w:t>
            </w:r>
          </w:p>
        </w:tc>
      </w:tr>
      <w:tr>
        <w:trPr>
          <w:trHeight w:val="216"/>
        </w:trPr>
        <w:tc>
          <w:tcPr>
            <w:tcW w:w="6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Syndication costs</w:t>
            </w:r>
          </w:p>
        </w:tc>
        <w:tc>
          <w:tcPr>
            <w:tcW w:w="28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3,780</w:t>
            </w:r>
          </w:p>
        </w:tc>
      </w:tr>
      <w:tr>
        <w:trPr>
          <w:trHeight w:val="222"/>
        </w:trPr>
        <w:tc>
          <w:tcPr>
            <w:tcW w:w="6380" w:type="dxa"/>
            <w:vAlign w:val="bottom"/>
          </w:tcPr>
          <w:p>
            <w:pPr>
              <w:ind w:left="500"/>
              <w:spacing w:after="0"/>
              <w:rPr>
                <w:sz w:val="20"/>
                <w:szCs w:val="20"/>
                <w:color w:val="auto"/>
              </w:rPr>
            </w:pPr>
            <w:r>
              <w:rPr>
                <w:rFonts w:ascii="Arial" w:cs="Arial" w:eastAsia="Arial" w:hAnsi="Arial"/>
                <w:sz w:val="18"/>
                <w:szCs w:val="18"/>
                <w:color w:val="auto"/>
              </w:rPr>
              <w:t>Other intangibles</w:t>
            </w:r>
          </w:p>
        </w:tc>
        <w:tc>
          <w:tcPr>
            <w:tcW w:w="280" w:type="dxa"/>
            <w:vAlign w:val="bottom"/>
          </w:tcPr>
          <w:p>
            <w:pPr>
              <w:spacing w:after="0"/>
              <w:rPr>
                <w:sz w:val="19"/>
                <w:szCs w:val="19"/>
                <w:color w:val="auto"/>
              </w:rPr>
            </w:pPr>
          </w:p>
        </w:tc>
        <w:tc>
          <w:tcPr>
            <w:tcW w:w="1880" w:type="dxa"/>
            <w:vAlign w:val="bottom"/>
            <w:gridSpan w:val="3"/>
          </w:tcPr>
          <w:p>
            <w:pPr>
              <w:jc w:val="right"/>
              <w:ind w:right="120"/>
              <w:spacing w:after="0"/>
              <w:rPr>
                <w:sz w:val="20"/>
                <w:szCs w:val="20"/>
                <w:color w:val="auto"/>
              </w:rPr>
            </w:pPr>
            <w:r>
              <w:rPr>
                <w:rFonts w:ascii="Arial" w:cs="Arial" w:eastAsia="Arial" w:hAnsi="Arial"/>
                <w:sz w:val="18"/>
                <w:szCs w:val="18"/>
                <w:color w:val="auto"/>
              </w:rPr>
              <w:t>575</w:t>
            </w:r>
          </w:p>
        </w:tc>
      </w:tr>
      <w:tr>
        <w:trPr>
          <w:trHeight w:val="102"/>
        </w:trPr>
        <w:tc>
          <w:tcPr>
            <w:tcW w:w="63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102"/>
        </w:trPr>
        <w:tc>
          <w:tcPr>
            <w:tcW w:w="6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6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23,521</w:t>
            </w:r>
          </w:p>
        </w:tc>
      </w:tr>
      <w:tr>
        <w:trPr>
          <w:trHeight w:val="222"/>
        </w:trPr>
        <w:tc>
          <w:tcPr>
            <w:tcW w:w="6380" w:type="dxa"/>
            <w:vAlign w:val="bottom"/>
          </w:tcPr>
          <w:p>
            <w:pPr>
              <w:ind w:left="500"/>
              <w:spacing w:after="0"/>
              <w:rPr>
                <w:sz w:val="20"/>
                <w:szCs w:val="20"/>
                <w:color w:val="auto"/>
              </w:rPr>
            </w:pPr>
            <w:r>
              <w:rPr>
                <w:rFonts w:ascii="Arial" w:cs="Arial" w:eastAsia="Arial" w:hAnsi="Arial"/>
                <w:sz w:val="18"/>
                <w:szCs w:val="18"/>
                <w:color w:val="auto"/>
              </w:rPr>
              <w:t>Less: valuation allowance</w:t>
            </w:r>
          </w:p>
        </w:tc>
        <w:tc>
          <w:tcPr>
            <w:tcW w:w="280" w:type="dxa"/>
            <w:vAlign w:val="bottom"/>
          </w:tcPr>
          <w:p>
            <w:pPr>
              <w:spacing w:after="0"/>
              <w:rPr>
                <w:sz w:val="19"/>
                <w:szCs w:val="19"/>
                <w:color w:val="auto"/>
              </w:rPr>
            </w:pPr>
          </w:p>
        </w:tc>
        <w:tc>
          <w:tcPr>
            <w:tcW w:w="1880" w:type="dxa"/>
            <w:vAlign w:val="bottom"/>
            <w:gridSpan w:val="3"/>
          </w:tcPr>
          <w:p>
            <w:pPr>
              <w:jc w:val="right"/>
              <w:ind w:right="60"/>
              <w:spacing w:after="0"/>
              <w:rPr>
                <w:sz w:val="20"/>
                <w:szCs w:val="20"/>
                <w:color w:val="auto"/>
              </w:rPr>
            </w:pPr>
            <w:r>
              <w:rPr>
                <w:rFonts w:ascii="Arial" w:cs="Arial" w:eastAsia="Arial" w:hAnsi="Arial"/>
                <w:sz w:val="18"/>
                <w:szCs w:val="18"/>
                <w:color w:val="auto"/>
              </w:rPr>
              <w:t>(7,459)</w:t>
            </w:r>
          </w:p>
        </w:tc>
      </w:tr>
      <w:tr>
        <w:trPr>
          <w:trHeight w:val="102"/>
        </w:trPr>
        <w:tc>
          <w:tcPr>
            <w:tcW w:w="63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102"/>
        </w:trPr>
        <w:tc>
          <w:tcPr>
            <w:tcW w:w="6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6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16,062</w:t>
            </w:r>
          </w:p>
        </w:tc>
      </w:tr>
      <w:tr>
        <w:trPr>
          <w:trHeight w:val="108"/>
        </w:trPr>
        <w:tc>
          <w:tcPr>
            <w:tcW w:w="63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250"/>
        </w:trPr>
        <w:tc>
          <w:tcPr>
            <w:tcW w:w="6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assets—Foreign:</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380" w:type="dxa"/>
            <w:vAlign w:val="bottom"/>
          </w:tcPr>
          <w:p>
            <w:pPr>
              <w:ind w:left="260"/>
              <w:spacing w:after="0"/>
              <w:rPr>
                <w:sz w:val="20"/>
                <w:szCs w:val="20"/>
                <w:color w:val="auto"/>
              </w:rPr>
            </w:pPr>
            <w:r>
              <w:rPr>
                <w:rFonts w:ascii="Arial" w:cs="Arial" w:eastAsia="Arial" w:hAnsi="Arial"/>
                <w:sz w:val="18"/>
                <w:szCs w:val="18"/>
                <w:color w:val="auto"/>
              </w:rPr>
              <w:t>Pre-opening costs</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Less: valuation allowance</w:t>
            </w: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(747)</w:t>
            </w:r>
          </w:p>
        </w:tc>
        <w:tc>
          <w:tcPr>
            <w:tcW w:w="120" w:type="dxa"/>
            <w:vAlign w:val="bottom"/>
            <w:shd w:val="clear" w:color="auto" w:fill="CCEEFF"/>
          </w:tcPr>
          <w:p>
            <w:pPr>
              <w:spacing w:after="0"/>
              <w:rPr>
                <w:sz w:val="18"/>
                <w:szCs w:val="18"/>
                <w:color w:val="auto"/>
              </w:rPr>
            </w:pPr>
          </w:p>
        </w:tc>
      </w:tr>
      <w:tr>
        <w:trPr>
          <w:trHeight w:val="108"/>
        </w:trPr>
        <w:tc>
          <w:tcPr>
            <w:tcW w:w="63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200" w:type="dxa"/>
            <w:vAlign w:val="bottom"/>
            <w:gridSpan w:val="2"/>
          </w:tcPr>
          <w:p>
            <w:pPr>
              <w:spacing w:after="0"/>
              <w:rPr>
                <w:sz w:val="9"/>
                <w:szCs w:val="9"/>
                <w:color w:val="auto"/>
              </w:rPr>
            </w:pPr>
          </w:p>
        </w:tc>
      </w:tr>
      <w:tr>
        <w:trPr>
          <w:trHeight w:val="102"/>
        </w:trPr>
        <w:tc>
          <w:tcPr>
            <w:tcW w:w="6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6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108"/>
        </w:trPr>
        <w:tc>
          <w:tcPr>
            <w:tcW w:w="63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02"/>
        </w:trPr>
        <w:tc>
          <w:tcPr>
            <w:tcW w:w="6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2"/>
        </w:trPr>
        <w:tc>
          <w:tcPr>
            <w:tcW w:w="6380" w:type="dxa"/>
            <w:vAlign w:val="bottom"/>
          </w:tcPr>
          <w:p>
            <w:pPr>
              <w:ind w:left="260"/>
              <w:spacing w:after="0"/>
              <w:rPr>
                <w:sz w:val="20"/>
                <w:szCs w:val="20"/>
                <w:color w:val="auto"/>
              </w:rPr>
            </w:pPr>
            <w:r>
              <w:rPr>
                <w:rFonts w:ascii="Arial" w:cs="Arial" w:eastAsia="Arial" w:hAnsi="Arial"/>
                <w:sz w:val="18"/>
                <w:szCs w:val="18"/>
                <w:color w:val="auto"/>
              </w:rPr>
              <w:t>Property and equipment</w:t>
            </w:r>
          </w:p>
        </w:tc>
        <w:tc>
          <w:tcPr>
            <w:tcW w:w="280" w:type="dxa"/>
            <w:vAlign w:val="bottom"/>
          </w:tcPr>
          <w:p>
            <w:pPr>
              <w:spacing w:after="0"/>
              <w:rPr>
                <w:sz w:val="19"/>
                <w:szCs w:val="19"/>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(16,062)</w:t>
            </w:r>
          </w:p>
        </w:tc>
        <w:tc>
          <w:tcPr>
            <w:tcW w:w="120" w:type="dxa"/>
            <w:vAlign w:val="bottom"/>
          </w:tcPr>
          <w:p>
            <w:pPr>
              <w:spacing w:after="0"/>
              <w:rPr>
                <w:sz w:val="19"/>
                <w:szCs w:val="19"/>
                <w:color w:val="auto"/>
              </w:rPr>
            </w:pPr>
          </w:p>
        </w:tc>
      </w:tr>
      <w:tr>
        <w:trPr>
          <w:trHeight w:val="102"/>
        </w:trPr>
        <w:tc>
          <w:tcPr>
            <w:tcW w:w="63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200" w:type="dxa"/>
            <w:vAlign w:val="bottom"/>
            <w:gridSpan w:val="2"/>
          </w:tcPr>
          <w:p>
            <w:pPr>
              <w:spacing w:after="0"/>
              <w:rPr>
                <w:sz w:val="8"/>
                <w:szCs w:val="8"/>
                <w:color w:val="auto"/>
              </w:rPr>
            </w:pPr>
          </w:p>
        </w:tc>
      </w:tr>
      <w:tr>
        <w:trPr>
          <w:trHeight w:val="102"/>
        </w:trPr>
        <w:tc>
          <w:tcPr>
            <w:tcW w:w="6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63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Net deferred tax asset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132"/>
        </w:trPr>
        <w:tc>
          <w:tcPr>
            <w:tcW w:w="63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-29210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-29210</wp:posOffset>
            </wp:positionV>
            <wp:extent cx="2159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3873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Company recorded a 100% valuation allowance at December 31, 2002 to fully reserve all tax benefits because of the uncertainty of future taxable income.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274" w:right="25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06" w:lineRule="exact"/>
        <w:rPr>
          <w:sz w:val="20"/>
          <w:szCs w:val="20"/>
          <w:color w:val="auto"/>
        </w:rPr>
      </w:pPr>
    </w:p>
    <w:p>
      <w:pPr>
        <w:ind w:left="240" w:right="8540" w:hanging="232"/>
        <w:spacing w:after="0" w:line="398" w:lineRule="auto"/>
        <w:tabs>
          <w:tab w:leader="none" w:pos="397" w:val="left"/>
        </w:tabs>
        <w:numPr>
          <w:ilvl w:val="0"/>
          <w:numId w:val="4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Construction Contracts</w:t>
      </w:r>
    </w:p>
    <w:p>
      <w:pPr>
        <w:spacing w:after="0" w:line="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Company has entered into an agreement with a construction contractor for guaranteed maximum price construction services, effective as of June 4, 2002, and amended by Change Order No. 1, effective as of August 12, 2002 (as amended, the “Construction Agreement”). The Construction Agreement covers approximately $919 million of the approximate $1,407 million budgeted cost to construct Le Rêve, subject to increases based on, among other items, changes in the scope of the work. The Construction Agreement provides that the guaranteed maximum price will be increased and the deadline for the completion of construction extended on account of certain circumstances. The guaranteed maximum price also provides for an “owner contingency” of approximately $7.6 million to cover various items including delays and scope changes resulting from Wynn Las Vegas’ actions.</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also entered into an agreement with a construction contractor for the design and construction of a parking structure for a maximum cost of $9.9 million, subject to specified exceptions, effective as of June 6, 2002. Other construction contracts and committed construction purchase orders at December 31, 2002 totaled approximately $117.3 million. As a result, a total of approximately $1.05 billion has been committed as of December 31, 2002. Of this amount, approximately $66.7 million has been spent through December 31, 2002. Future committed costs at December 31, 2002 under these contracts, therefore, total approximately $979.4 million.</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Macau</w:t>
      </w:r>
    </w:p>
    <w:p>
      <w:pPr>
        <w:spacing w:after="0" w:line="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Wynn Macau has entered into a 20-year concession agreement with the government of Macau permitting it to construct and operate one or more casinos in Macau. The concession agreement obligates Wynn Macau to invest 4 billion patacas (approximately US $519.6 million as of December 31, 2002) in one or more casino projects in Macau by June 26, 2009 and to commence operations of its first permanent casino resort in Macau no later than December 2006. If Wynn Macau does not invest 4 billion patacas by June 26, 2009, it is obligated to invest the remaining amount in projects related to its gaming operations in Macau that the Macau government approves, or in projects of public interest designated by the Macau government. After construction of Wynn Macau’s first casino resort, Wynn Macau intends to satisfy its remaining financial obligations under the concession agreement through the development of future phased expansions and, possibly, additional casino resorts.</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intend to invest at least $40 million of the net proceeds from the initial public offering in Wynn Macau as part of the financing of the Macau opportunity. The indirect minority investors in Wynn Macau have agreed to participate in this additional investment along with Wynn Resorts to the extent of their proportionate effective interests in Wynn Macau. It is expected that significant additional financing will be needed to fund the development, construction and operation of one or more casinos in Macau. Wynn Macau has entered into a $574,000 pre-construction services agreement with a third-party joint venture for: (i) development of the Contractors Proposal, (ii) negotiation of the Contractor’s Proposal, and (iii) negotiation and execution of the construction contract and has begun preliminary discussions to arrange the additional financing, and is considering different alternatives, including debt financing or additional equity financing at the Wynn Macau level or at the level of Wynn Macau’s intermediary holding companies. At the present time, Wynn Macau has not yet determined the amount of financing that will be required. If Wynn Resorts decides to raise additional equity at the Wynn Resorts level or at the Wynn Macau or intermediary holding company level to fund the Macau opportunity, its stockholders would suffer direct or indirect dilution of their interests. Wynn Macau currently has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274"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no commitments relating to any third party financing. Except for Wynn Resorts, we do not expect financing for any such project to be provided by or through any of the issuers or guarantors of the Notes or any other financing relating to the Le Rêve project.</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compliance with the Macau concession agreement, Wynn Macau has obtained an uncollateralized bank guarantee from Banco National Ultramarino, S.A. in the required amount of 700 million patacas (approximately US $90.9 million as of December 31, 2002) for the period from the execution of the concession agreement until March 31, 2007. The amount of this required guarantee will be reduced to 300 million patacas (approximately US $39.0 million as of December 31, 2002) for the period from April 1, 2007 until 180 days after the end of the term of the concession agreement. Wynn Macau pays a commission to the bank in the amount of 0.50% per year of the guarantee amount. The purpose of this bank guarantee is to guarantee Wynn Macau’s performance under the concession agreement, including the payment of premiums, fines and any indemnity for failure to perform the concession agreement.</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significant third party leases exist as of December 31, 2002 or 2001.</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Entertainment Services</w:t>
      </w:r>
    </w:p>
    <w:p>
      <w:pPr>
        <w:spacing w:after="0" w:line="7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has entered into a long-term agreement with a creative production company for the creation, development and executive production of the Show, whereby the Company is required to pay certain up-front creation and licensing fees, pay production costs and, upon opening of the show, pay a royalty of 10% of net ticket revenues and retail sales and 50% of the Show and retail profits with the production company as calculated in accordance with the terms of the agreement. The term of the agreement is ten years after the opening date of the show, which will coincide with the opening of Le Rêve, with a five-year renewal option.</w:t>
      </w:r>
    </w:p>
    <w:p>
      <w:pPr>
        <w:spacing w:after="0" w:line="12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also has an option with respect to a second production for Le Rêve or for another project, which will require the payment of an additional $1 million to exercise.</w:t>
      </w:r>
    </w:p>
    <w:p>
      <w:pPr>
        <w:spacing w:after="0" w:line="118" w:lineRule="exact"/>
        <w:rPr>
          <w:sz w:val="20"/>
          <w:szCs w:val="20"/>
          <w:color w:val="auto"/>
        </w:rPr>
      </w:pPr>
    </w:p>
    <w:p>
      <w:pPr>
        <w:ind w:left="240" w:right="460" w:firstLine="228"/>
        <w:spacing w:after="0" w:line="375" w:lineRule="auto"/>
        <w:rPr>
          <w:sz w:val="20"/>
          <w:szCs w:val="20"/>
          <w:color w:val="auto"/>
        </w:rPr>
      </w:pPr>
      <w:r>
        <w:rPr>
          <w:rFonts w:ascii="Arial" w:cs="Arial" w:eastAsia="Arial" w:hAnsi="Arial"/>
          <w:sz w:val="18"/>
          <w:szCs w:val="18"/>
          <w:color w:val="auto"/>
        </w:rPr>
        <w:t xml:space="preserve">At December 31, 2002 and 2001, other assets include $4.8 million and $1.6 million, respectively, of amounts paid in conjunction with the agreement. </w:t>
      </w:r>
      <w:r>
        <w:rPr>
          <w:rFonts w:ascii="Arial" w:cs="Arial" w:eastAsia="Arial" w:hAnsi="Arial"/>
          <w:sz w:val="18"/>
          <w:szCs w:val="18"/>
          <w:i w:val="1"/>
          <w:iCs w:val="1"/>
          <w:color w:val="auto"/>
        </w:rPr>
        <w:t>Self-insurance</w:t>
      </w:r>
    </w:p>
    <w:p>
      <w:pPr>
        <w:spacing w:after="0" w:line="1"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The Company is self-insured for medical and worker’s compensation claims. The individual Stop Loss Attachment Point for each claim is $40,000 for medical and $250,000 for worker’s compensation claims with a maximum payout of $960,000 and $1,000,000, respectively.</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entered into employment agreements with several executive officers, other members of management and certain key employees. These agreements generally have three to five year terms and typically indicate a base salary with specified annual increases, and often contain provisions for guaranteed bonuses. Certain of the executives are also entitled to a separation payment if terminated without “cause” or upon voluntary termination of employment for “good reason” following a “change of control” (as these terms are defined in the employment contracts). These separation payments are generally the base salary of the remaining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274"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term of the employment contract plus foregone bonuses and certain other payments. At December 31, 2002, the total contractual commitment under these employment contracts is approximately $42.4 million over the next five years.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is a defendant in various lawsuits relating to routine matters incidental to our business. As with all litigation, no assurance can be provided as to the outcome of the following matters. We also note that litigation inherently involves significant costs.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Valvino is currently involved in litigation related to its ownership and development of the former Desert Inn golf course and the residential lots around the golf course. Valvino acquired some, but not all, of the residential lots located in the interior of and around the former Desert Inn golf course when it acquired the former Desert Inn Resort &amp; Casino from Starwood Hotels &amp; Resorts Worldwide, Inc. Valvino later acquired all of the remaining lots located in the interior of, and some of the remaining lots around, the former Desert Inn golf course. In total, Valvino acquired 63 of the 75 residential lots, with Clark County having acquired two of the lots through eminent domain in 1994 as part of the widening of Desert Inn Road. The residential lots, previously known collectively as the Desert Inn Country Club Estates, were subject to various conditions, covenants and restrictions recorded against the lots in 1956 and amended from time to time since then.</w:t>
      </w:r>
    </w:p>
    <w:p>
      <w:pPr>
        <w:spacing w:after="0" w:line="10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October 31, 2000, Ms. Stephanie Swain, as trustee of the Mark Swain Revocable Trust, filed an action in Clark County District Court against Valvino and the then directors of the Desert Inn Country Club Estates Homeowners’ Association. Subsequently, the other remaining homeowners were joined in this lawsuit and asserted claims against Valvino. The plaintiffs are seeking various forms of declaratory relief concerning the continued existence and governance of the homeowners’ association. In addition, the plaintiffs have challenged the termination in June 2001 of the conditions, covenants and restrictions recorded against the residential lots. The plaintiffs also seek to establish certain easement rights that Ms. Swain and the other homeowners claim to possess. Specifically, the remaining homeowners seek to establish implied easement rights to enter upon the golf course for exercise and other leisure purposes, and to use the perimeter roadways for entrance and exit purposes. Additionally, plaintiffs claim that they are entitled to maintain their view of the golf course property. At least two of the plaintiffs also have alleged the existence of an equitable implied restriction prohibiting any alternative commercial development of the golf course. Due to plaintiffs’ failure to properly frame all of the issues and to assert claims against all necessary parties, Valvino filed an action seeking damages based upon a number of legal theories, including abuse of process. This action was consolidated with the action filed by Ms. Swain. Two subsequent actions were filed, one by Ms. Swain against certain homeowners’ association officers and directors and one by Valvino seeking declaratory and injunctive relief similar to the original action. Because the issues in the subsequent actions are present in the original action, both of the subsequent actions have been stayed pending the outcome of the original action. In addition, three of Valvino’s subsidiaries which now own the golf course land and several of the residential lots, have been substituted into the original action as counter-defendants and plaintiffs.</w:t>
      </w:r>
    </w:p>
    <w:p>
      <w:pPr>
        <w:spacing w:after="0" w:line="11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trial in this matter is scheduled for October 2003. The court has, nonetheless, entered several preliminary injunction orders concerning the parties’ respective property rights. Among other things, the court has ordered that Valvino is free to develop the golf course and the remainder of its property as it deems fit, subject to all applicable legal restraints. In that regard, Valvino was permitted to remove all homes and structures on its properties surrounding the golf course and those located on the Country Club Lane cul de sac, which ran to the interior of the golf course. Valvino has removed all structures that were on its lots, together with the cul-de-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274" w:right="23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sac, and has relandscaped the property to blend into the existing golf course. The court has also entered an order prohibiting Ms. Swain from filing a lis pendens against the golf course property and expunging the lis pendens that was filed against the residential lots. A lis pendens is a notice filed on public records to warn all persons that the title to certain property is in litigation and that the effect of such litigation will be binding on the owner of the property. The court has also permitted construction of Le Rêve utilities in Country Club Lane, resulting in temporary closure of one of three access gates for the plaintiffs.</w:t>
      </w:r>
    </w:p>
    <w:p>
      <w:pPr>
        <w:spacing w:after="0" w:line="99"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plaintiffs have sought, and successfully obtained, a preliminary injunction to compel Valvino to subsidize security to homeowners who reside near the project. Valvino has appealed this ruling to the Nevada Supreme Court. The appeal has now been submitted, without oral argument, to the Southern Nevada Panel of the Nevada Supreme Court.</w:t>
      </w:r>
    </w:p>
    <w:p>
      <w:pPr>
        <w:spacing w:after="0" w:line="12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Discovery in this case is currently ongoing. While no assurances can be made with respect to any litigation, Valvino is vigorously contesting all of the homeowners’ claims and will continue to do so. However, if the plaintiffs prevail on their claims and the conditions, covenants and restrictions on the lots remain in effect, we may have to adjust our current plans for the construction of the Le Rêve golf course by redesigning some of the holes located on the periphery of the course. In addition, if the court finds that there is an implied equitable restriction on the golf course lots, any future development of the golf course parcel for an alternative use may be restricted.</w:t>
      </w:r>
    </w:p>
    <w:p>
      <w:pPr>
        <w:spacing w:after="0" w:line="129"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Several of the remaining homeowners have also filed two separate actions seeking judicial review and/or a petition for a writ of mandamus and/or prohibition against Clark County and the Clark County Commissioners in Clark County District Court. One action concerns the Clark County Planning Commission’s approval of Valvino’s application for a use permit. Valvino is not a party to this action. The other action concerns the Clark County Planning Commission’s approval of Valvino’s application for design review of a maintenance facility that Valvino intends to build on the perimeter of the golf course property. Valvino and Wynn Resorts are parties to this action. Both of these actions are in the initial stages of litigation. Valvino intends to vigorously contest the homeowners’ claims.</w:t>
      </w:r>
    </w:p>
    <w:p>
      <w:pPr>
        <w:spacing w:after="0" w:line="1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tab/>
        <w:t>Consolidating Financial Information of Guarantors and Issuers</w:t>
      </w:r>
    </w:p>
    <w:p>
      <w:pPr>
        <w:spacing w:after="0" w:line="83"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The following consolidating financial statements present information related to Wynn Resorts (the “Parent”), the Issuers of the Notes, their guarantors (other than Wynn Resorts) and non-guarantors as of December 31, 2002 and 2001, for the years ended December 31, 2002 and 2001 and for the periods from inception to December 31, 2002 and 2000.</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Guarantors of the Notes are Valvino, Wynn Design and Development, LLC, Wynn Resorts Holdings, LLC, Palo, LLC, Desert Inn Water Company, LLC, World Travel, LLC and Las Vegas Jet, LLC. In October 2002, Valvino transferred certain of its assets, including its equity interests in certain of its subsidiaries such as Wynn Group Asia, Inc.; Kevyn, LLC; Rambas Marketing Co., LLC; Toasty, LLC and World Wide Wynn, LLC which do not guarantee the Notes, to Wynn Resorts. In addition, Valvino transferred certain of its assets, including its equity interests in Las Vegas Jet, LLC and World Travel, LLC directly to Wynn Las Vegas. Because these transfers were between entities under common control, in accordance with SFAS No. 141, “Business Combinations,” the assets and liabilities of the entities acquired have been recorded by the acquiring subsidiary at the carrying value at the time of the acquisition and the operating results of the entities are included in the operating statements of the Company from the earliest period presented.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274" w:right="239" w:bottom="1440" w:gutter="0" w:footer="0" w:header="0"/>
        </w:sectPr>
      </w:pPr>
    </w:p>
    <w:bookmarkStart w:id="106" w:name="page107"/>
    <w:bookmarkEnd w:id="10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1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following condensed consolidating financial statements are presented in the provided form because: (i) the Issuers and guarantors are wholly owned subsidiaries of the Company; (ii) the guarantees are considered to be full and unconditional, that is, if the issuers fail to make a scheduled payment, the guarantors are obligated to make the scheduled payment immediately and, if they don’t, any holder of the Notes may immediately bring suit directly against the guarantors for payment of all amounts due and payable; and (iii) the guarantees are joint and several.</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274" w:right="25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7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AS OF DECEMBER 31,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8"/>
              </w:rPr>
              <w:t>Non-guarantor</w:t>
            </w:r>
          </w:p>
        </w:tc>
        <w:tc>
          <w:tcPr>
            <w:tcW w:w="100" w:type="dxa"/>
            <w:vAlign w:val="bottom"/>
          </w:tcPr>
          <w:p>
            <w:pPr>
              <w:spacing w:after="0"/>
              <w:rPr>
                <w:sz w:val="14"/>
                <w:szCs w:val="14"/>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7"/>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4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5"/>
                <w:szCs w:val="15"/>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9"/>
              </w:rPr>
              <w:t>Issuers</w:t>
            </w:r>
          </w:p>
        </w:tc>
        <w:tc>
          <w:tcPr>
            <w:tcW w:w="100" w:type="dxa"/>
            <w:vAlign w:val="bottom"/>
          </w:tcPr>
          <w:p>
            <w:pPr>
              <w:spacing w:after="0"/>
              <w:rPr>
                <w:sz w:val="15"/>
                <w:szCs w:val="15"/>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4"/>
              </w:rPr>
              <w:t>Subsidiaries</w:t>
            </w:r>
          </w:p>
        </w:tc>
        <w:tc>
          <w:tcPr>
            <w:tcW w:w="100" w:type="dxa"/>
            <w:vAlign w:val="bottom"/>
          </w:tcPr>
          <w:p>
            <w:pPr>
              <w:spacing w:after="0"/>
              <w:rPr>
                <w:sz w:val="15"/>
                <w:szCs w:val="15"/>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3"/>
              </w:rPr>
              <w:t>Subsidiaries</w:t>
            </w:r>
          </w:p>
        </w:tc>
        <w:tc>
          <w:tcPr>
            <w:tcW w:w="100" w:type="dxa"/>
            <w:vAlign w:val="bottom"/>
          </w:tcPr>
          <w:p>
            <w:pPr>
              <w:spacing w:after="0"/>
              <w:rPr>
                <w:sz w:val="15"/>
                <w:szCs w:val="15"/>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Entries</w:t>
            </w:r>
          </w:p>
        </w:tc>
        <w:tc>
          <w:tcPr>
            <w:tcW w:w="8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95"/>
        </w:trPr>
        <w:tc>
          <w:tcPr>
            <w:tcW w:w="4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100" w:type="dxa"/>
            <w:vAlign w:val="bottom"/>
            <w:shd w:val="clear" w:color="auto" w:fill="CCEEFF"/>
          </w:tcPr>
          <w:p>
            <w:pPr>
              <w:jc w:val="center"/>
              <w:ind w:right="232"/>
              <w:spacing w:after="0"/>
              <w:rPr>
                <w:sz w:val="20"/>
                <w:szCs w:val="20"/>
                <w:color w:val="auto"/>
              </w:rPr>
            </w:pPr>
            <w:r>
              <w:rPr>
                <w:rFonts w:ascii="Arial" w:cs="Arial" w:eastAsia="Arial" w:hAnsi="Arial"/>
                <w:sz w:val="18"/>
                <w:szCs w:val="18"/>
                <w:b w:val="1"/>
                <w:bCs w:val="1"/>
                <w:color w:val="auto"/>
                <w:w w:val="91"/>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109,644</w:t>
            </w:r>
          </w:p>
        </w:tc>
        <w:tc>
          <w:tcPr>
            <w:tcW w:w="60" w:type="dxa"/>
            <w:vAlign w:val="bottom"/>
            <w:shd w:val="clear" w:color="auto" w:fill="CCEEFF"/>
          </w:tcPr>
          <w:p>
            <w:pPr>
              <w:spacing w:after="0"/>
              <w:rPr>
                <w:sz w:val="18"/>
                <w:szCs w:val="18"/>
                <w:color w:val="auto"/>
              </w:rPr>
            </w:pPr>
          </w:p>
        </w:tc>
      </w:tr>
      <w:tr>
        <w:trPr>
          <w:trHeight w:val="216"/>
        </w:trPr>
        <w:tc>
          <w:tcPr>
            <w:tcW w:w="410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46,234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46,387</w:t>
            </w:r>
          </w:p>
        </w:tc>
        <w:tc>
          <w:tcPr>
            <w:tcW w:w="60" w:type="dxa"/>
            <w:vAlign w:val="bottom"/>
          </w:tcPr>
          <w:p>
            <w:pPr>
              <w:spacing w:after="0"/>
              <w:rPr>
                <w:sz w:val="18"/>
                <w:szCs w:val="18"/>
                <w:color w:val="auto"/>
              </w:rPr>
            </w:pPr>
          </w:p>
        </w:tc>
      </w:tr>
      <w:tr>
        <w:trPr>
          <w:trHeight w:val="216"/>
        </w:trPr>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investments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696,371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746,490</w:t>
            </w:r>
          </w:p>
        </w:tc>
        <w:tc>
          <w:tcPr>
            <w:tcW w:w="60" w:type="dxa"/>
            <w:vAlign w:val="bottom"/>
            <w:shd w:val="clear" w:color="auto" w:fill="CCEEFF"/>
          </w:tcPr>
          <w:p>
            <w:pPr>
              <w:spacing w:after="0"/>
              <w:rPr>
                <w:sz w:val="18"/>
                <w:szCs w:val="18"/>
                <w:color w:val="auto"/>
              </w:rPr>
            </w:pPr>
          </w:p>
        </w:tc>
      </w:tr>
      <w:tr>
        <w:trPr>
          <w:trHeight w:val="216"/>
        </w:trPr>
        <w:tc>
          <w:tcPr>
            <w:tcW w:w="4100" w:type="dxa"/>
            <w:vAlign w:val="bottom"/>
          </w:tcPr>
          <w:p>
            <w:pPr>
              <w:ind w:left="16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w:t>
            </w:r>
          </w:p>
        </w:tc>
        <w:tc>
          <w:tcPr>
            <w:tcW w:w="60" w:type="dxa"/>
            <w:vAlign w:val="bottom"/>
          </w:tcPr>
          <w:p>
            <w:pPr>
              <w:spacing w:after="0"/>
              <w:rPr>
                <w:sz w:val="18"/>
                <w:szCs w:val="18"/>
                <w:color w:val="auto"/>
              </w:rPr>
            </w:pPr>
          </w:p>
        </w:tc>
      </w:tr>
      <w:tr>
        <w:trPr>
          <w:trHeight w:val="216"/>
        </w:trPr>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60" w:type="dxa"/>
            <w:vAlign w:val="bottom"/>
            <w:shd w:val="clear" w:color="auto" w:fill="CCEEFF"/>
          </w:tcPr>
          <w:p>
            <w:pPr>
              <w:spacing w:after="0"/>
              <w:rPr>
                <w:sz w:val="18"/>
                <w:szCs w:val="18"/>
                <w:color w:val="auto"/>
              </w:rPr>
            </w:pPr>
          </w:p>
        </w:tc>
      </w:tr>
      <w:tr>
        <w:trPr>
          <w:trHeight w:val="222"/>
        </w:trPr>
        <w:tc>
          <w:tcPr>
            <w:tcW w:w="4100" w:type="dxa"/>
            <w:vAlign w:val="bottom"/>
          </w:tcPr>
          <w:p>
            <w:pPr>
              <w:ind w:left="16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w w:val="79"/>
              </w:rPr>
              <w:t>344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1,518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2,010</w:t>
            </w:r>
          </w:p>
        </w:tc>
        <w:tc>
          <w:tcPr>
            <w:tcW w:w="60" w:type="dxa"/>
            <w:vAlign w:val="bottom"/>
          </w:tcPr>
          <w:p>
            <w:pPr>
              <w:spacing w:after="0"/>
              <w:rPr>
                <w:sz w:val="19"/>
                <w:szCs w:val="19"/>
                <w:color w:val="auto"/>
              </w:rPr>
            </w:pPr>
          </w:p>
        </w:tc>
      </w:tr>
      <w:tr>
        <w:trPr>
          <w:trHeight w:val="102"/>
        </w:trPr>
        <w:tc>
          <w:tcPr>
            <w:tcW w:w="4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750,218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74,390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904,927</w:t>
            </w:r>
          </w:p>
        </w:tc>
        <w:tc>
          <w:tcPr>
            <w:tcW w:w="6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251,881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168,309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420,496</w:t>
            </w:r>
          </w:p>
        </w:tc>
        <w:tc>
          <w:tcPr>
            <w:tcW w:w="6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Water rights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6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Trademark</w:t>
            </w:r>
          </w:p>
        </w:tc>
        <w:tc>
          <w:tcPr>
            <w:tcW w:w="10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60,159</w:t>
            </w:r>
          </w:p>
        </w:tc>
        <w:tc>
          <w:tcPr>
            <w:tcW w:w="6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Investment in subsidiaries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593,212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11,925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551,868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(1,157,005)</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5,619</w:t>
            </w:r>
          </w:p>
        </w:tc>
        <w:tc>
          <w:tcPr>
            <w:tcW w:w="60" w:type="dxa"/>
            <w:vAlign w:val="bottom"/>
            <w:shd w:val="clear" w:color="auto" w:fill="CCEEFF"/>
          </w:tcPr>
          <w:p>
            <w:pPr>
              <w:spacing w:after="0"/>
              <w:rPr>
                <w:sz w:val="18"/>
                <w:szCs w:val="18"/>
                <w:color w:val="auto"/>
              </w:rPr>
            </w:pPr>
          </w:p>
        </w:tc>
      </w:tr>
      <w:tr>
        <w:trPr>
          <w:trHeight w:val="222"/>
        </w:trPr>
        <w:tc>
          <w:tcPr>
            <w:tcW w:w="4100" w:type="dxa"/>
            <w:vAlign w:val="bottom"/>
          </w:tcPr>
          <w:p>
            <w:pPr>
              <w:ind w:left="160"/>
              <w:spacing w:after="0"/>
              <w:rPr>
                <w:sz w:val="20"/>
                <w:szCs w:val="20"/>
                <w:color w:val="auto"/>
              </w:rPr>
            </w:pPr>
            <w:r>
              <w:rPr>
                <w:rFonts w:ascii="Arial" w:cs="Arial" w:eastAsia="Arial" w:hAnsi="Arial"/>
                <w:sz w:val="18"/>
                <w:szCs w:val="18"/>
                <w:color w:val="auto"/>
              </w:rPr>
              <w:t>Intercompany balances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379,758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85"/>
              </w:rPr>
              <w:t>(454,927)</w:t>
            </w: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132,236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(57,067)</w:t>
            </w:r>
          </w:p>
        </w:tc>
        <w:tc>
          <w:tcPr>
            <w:tcW w:w="10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02"/>
        </w:trPr>
        <w:tc>
          <w:tcPr>
            <w:tcW w:w="4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1,052,548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625,855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853,174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(1,157,005)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1,398,601</w:t>
            </w:r>
          </w:p>
        </w:tc>
        <w:tc>
          <w:tcPr>
            <w:tcW w:w="60" w:type="dxa"/>
            <w:vAlign w:val="bottom"/>
            <w:shd w:val="clear" w:color="auto" w:fill="CCEEFF"/>
          </w:tcPr>
          <w:p>
            <w:pPr>
              <w:spacing w:after="0"/>
              <w:rPr>
                <w:sz w:val="18"/>
                <w:szCs w:val="18"/>
                <w:color w:val="auto"/>
              </w:rPr>
            </w:pPr>
          </w:p>
        </w:tc>
      </w:tr>
      <w:tr>
        <w:trPr>
          <w:trHeight w:val="132"/>
        </w:trPr>
        <w:tc>
          <w:tcPr>
            <w:tcW w:w="4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4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02"/>
        </w:trPr>
        <w:tc>
          <w:tcPr>
            <w:tcW w:w="4100" w:type="dxa"/>
            <w:vAlign w:val="bottom"/>
            <w:shd w:val="clear" w:color="auto" w:fill="CCEEFF"/>
          </w:tcPr>
          <w:p>
            <w:pPr>
              <w:jc w:val="center"/>
              <w:ind w:right="252"/>
              <w:spacing w:after="0" w:line="201" w:lineRule="exact"/>
              <w:rPr>
                <w:sz w:val="20"/>
                <w:szCs w:val="20"/>
                <w:color w:val="auto"/>
              </w:rPr>
            </w:pPr>
            <w:r>
              <w:rPr>
                <w:rFonts w:ascii="Arial" w:cs="Arial" w:eastAsia="Arial" w:hAnsi="Arial"/>
                <w:sz w:val="18"/>
                <w:szCs w:val="18"/>
                <w:b w:val="1"/>
                <w:bCs w:val="1"/>
                <w:color w:val="auto"/>
                <w:w w:val="99"/>
              </w:rPr>
              <w:t>LIABILITIES AND STOCKHOLDERS’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4100" w:type="dxa"/>
            <w:vAlign w:val="bottom"/>
            <w:shd w:val="clear" w:color="auto" w:fill="CCEEFF"/>
          </w:tcPr>
          <w:p>
            <w:pPr>
              <w:jc w:val="center"/>
              <w:ind w:right="232"/>
              <w:spacing w:after="0"/>
              <w:rPr>
                <w:sz w:val="20"/>
                <w:szCs w:val="20"/>
                <w:color w:val="auto"/>
              </w:rPr>
            </w:pPr>
            <w:r>
              <w:rPr>
                <w:rFonts w:ascii="Arial" w:cs="Arial" w:eastAsia="Arial" w:hAnsi="Arial"/>
                <w:sz w:val="18"/>
                <w:szCs w:val="18"/>
                <w:b w:val="1"/>
                <w:bCs w:val="1"/>
                <w:color w:val="auto"/>
              </w:rPr>
              <w:t>EQUITY</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r>
      <w:tr>
        <w:trPr>
          <w:trHeight w:val="216"/>
        </w:trPr>
        <w:tc>
          <w:tcPr>
            <w:tcW w:w="4100" w:type="dxa"/>
            <w:vAlign w:val="bottom"/>
          </w:tcPr>
          <w:p>
            <w:pPr>
              <w:ind w:left="160"/>
              <w:spacing w:after="0"/>
              <w:rPr>
                <w:sz w:val="20"/>
                <w:szCs w:val="20"/>
                <w:color w:val="auto"/>
              </w:rPr>
            </w:pPr>
            <w:r>
              <w:rPr>
                <w:rFonts w:ascii="Arial" w:cs="Arial" w:eastAsia="Arial" w:hAnsi="Arial"/>
                <w:sz w:val="18"/>
                <w:szCs w:val="18"/>
                <w:color w:val="auto"/>
              </w:rPr>
              <w:t>Accounts and construction payable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3,099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6,974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10,208</w:t>
            </w:r>
          </w:p>
        </w:tc>
        <w:tc>
          <w:tcPr>
            <w:tcW w:w="60" w:type="dxa"/>
            <w:vAlign w:val="bottom"/>
          </w:tcPr>
          <w:p>
            <w:pPr>
              <w:spacing w:after="0"/>
              <w:rPr>
                <w:sz w:val="18"/>
                <w:szCs w:val="18"/>
                <w:color w:val="auto"/>
              </w:rPr>
            </w:pPr>
          </w:p>
        </w:tc>
      </w:tr>
      <w:tr>
        <w:trPr>
          <w:trHeight w:val="216"/>
        </w:trPr>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8,159</w:t>
            </w:r>
          </w:p>
        </w:tc>
        <w:tc>
          <w:tcPr>
            <w:tcW w:w="60" w:type="dxa"/>
            <w:vAlign w:val="bottom"/>
            <w:shd w:val="clear" w:color="auto" w:fill="CCEEFF"/>
          </w:tcPr>
          <w:p>
            <w:pPr>
              <w:spacing w:after="0"/>
              <w:rPr>
                <w:sz w:val="18"/>
                <w:szCs w:val="18"/>
                <w:color w:val="auto"/>
              </w:rPr>
            </w:pPr>
          </w:p>
        </w:tc>
      </w:tr>
      <w:tr>
        <w:trPr>
          <w:trHeight w:val="216"/>
        </w:trPr>
        <w:tc>
          <w:tcPr>
            <w:tcW w:w="4100" w:type="dxa"/>
            <w:vAlign w:val="bottom"/>
          </w:tcPr>
          <w:p>
            <w:pPr>
              <w:ind w:left="16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w w:val="79"/>
              </w:rPr>
              <w:t>186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792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1,359</w:t>
            </w:r>
          </w:p>
        </w:tc>
        <w:tc>
          <w:tcPr>
            <w:tcW w:w="60" w:type="dxa"/>
            <w:vAlign w:val="bottom"/>
          </w:tcPr>
          <w:p>
            <w:pPr>
              <w:spacing w:after="0"/>
              <w:rPr>
                <w:sz w:val="18"/>
                <w:szCs w:val="18"/>
                <w:color w:val="auto"/>
              </w:rPr>
            </w:pPr>
          </w:p>
        </w:tc>
      </w:tr>
      <w:tr>
        <w:trPr>
          <w:trHeight w:val="216"/>
        </w:trPr>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60" w:type="dxa"/>
            <w:vAlign w:val="bottom"/>
            <w:shd w:val="clear" w:color="auto" w:fill="CCEEFF"/>
          </w:tcPr>
          <w:p>
            <w:pPr>
              <w:spacing w:after="0"/>
              <w:rPr>
                <w:sz w:val="18"/>
                <w:szCs w:val="18"/>
                <w:color w:val="auto"/>
              </w:rPr>
            </w:pPr>
          </w:p>
        </w:tc>
      </w:tr>
      <w:tr>
        <w:trPr>
          <w:trHeight w:val="108"/>
        </w:trPr>
        <w:tc>
          <w:tcPr>
            <w:tcW w:w="4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195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8,684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20,652</w:t>
            </w:r>
          </w:p>
        </w:tc>
        <w:tc>
          <w:tcPr>
            <w:tcW w:w="60" w:type="dxa"/>
            <w:vAlign w:val="bottom"/>
            <w:shd w:val="clear" w:color="auto" w:fill="CCEEFF"/>
          </w:tcPr>
          <w:p>
            <w:pPr>
              <w:spacing w:after="0"/>
              <w:rPr>
                <w:sz w:val="18"/>
                <w:szCs w:val="18"/>
                <w:color w:val="auto"/>
              </w:rPr>
            </w:pPr>
          </w:p>
        </w:tc>
      </w:tr>
      <w:tr>
        <w:trPr>
          <w:trHeight w:val="222"/>
        </w:trPr>
        <w:tc>
          <w:tcPr>
            <w:tcW w:w="410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9"/>
                <w:szCs w:val="19"/>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381,900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253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382,153</w:t>
            </w:r>
          </w:p>
        </w:tc>
        <w:tc>
          <w:tcPr>
            <w:tcW w:w="60" w:type="dxa"/>
            <w:vAlign w:val="bottom"/>
          </w:tcPr>
          <w:p>
            <w:pPr>
              <w:spacing w:after="0"/>
              <w:rPr>
                <w:sz w:val="19"/>
                <w:szCs w:val="19"/>
                <w:color w:val="auto"/>
              </w:rPr>
            </w:pPr>
          </w:p>
        </w:tc>
      </w:tr>
      <w:tr>
        <w:trPr>
          <w:trHeight w:val="102"/>
        </w:trPr>
        <w:tc>
          <w:tcPr>
            <w:tcW w:w="4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195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393,539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8,937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402,805</w:t>
            </w:r>
          </w:p>
        </w:tc>
        <w:tc>
          <w:tcPr>
            <w:tcW w:w="60" w:type="dxa"/>
            <w:vAlign w:val="bottom"/>
            <w:shd w:val="clear" w:color="auto" w:fill="CCEEFF"/>
          </w:tcPr>
          <w:p>
            <w:pPr>
              <w:spacing w:after="0"/>
              <w:rPr>
                <w:sz w:val="18"/>
                <w:szCs w:val="18"/>
                <w:color w:val="auto"/>
              </w:rPr>
            </w:pPr>
          </w:p>
        </w:tc>
      </w:tr>
      <w:tr>
        <w:trPr>
          <w:trHeight w:val="108"/>
        </w:trPr>
        <w:tc>
          <w:tcPr>
            <w:tcW w:w="4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60" w:type="dxa"/>
            <w:vAlign w:val="bottom"/>
            <w:shd w:val="clear" w:color="auto" w:fill="CCEEFF"/>
          </w:tcPr>
          <w:p>
            <w:pPr>
              <w:spacing w:after="0"/>
              <w:rPr>
                <w:sz w:val="18"/>
                <w:szCs w:val="18"/>
                <w:color w:val="auto"/>
              </w:rPr>
            </w:pPr>
          </w:p>
        </w:tc>
      </w:tr>
      <w:tr>
        <w:trPr>
          <w:trHeight w:val="108"/>
        </w:trPr>
        <w:tc>
          <w:tcPr>
            <w:tcW w:w="4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69"/>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83"/>
        </w:trPr>
        <w:tc>
          <w:tcPr>
            <w:tcW w:w="410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790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60" w:type="dxa"/>
            <w:vAlign w:val="bottom"/>
            <w:shd w:val="clear" w:color="auto" w:fill="CCEEFF"/>
          </w:tcPr>
          <w:p>
            <w:pPr>
              <w:spacing w:after="0"/>
              <w:rPr>
                <w:sz w:val="18"/>
                <w:szCs w:val="18"/>
                <w:color w:val="auto"/>
              </w:rPr>
            </w:pPr>
          </w:p>
        </w:tc>
      </w:tr>
      <w:tr>
        <w:trPr>
          <w:trHeight w:val="216"/>
        </w:trPr>
        <w:tc>
          <w:tcPr>
            <w:tcW w:w="410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1,065,649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237,075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899,017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30,027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(1,166,119)</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1,065,649</w:t>
            </w:r>
          </w:p>
        </w:tc>
        <w:tc>
          <w:tcPr>
            <w:tcW w:w="60" w:type="dxa"/>
            <w:vAlign w:val="bottom"/>
          </w:tcPr>
          <w:p>
            <w:pPr>
              <w:spacing w:after="0"/>
              <w:rPr>
                <w:sz w:val="18"/>
                <w:szCs w:val="18"/>
                <w:color w:val="auto"/>
              </w:rPr>
            </w:pPr>
          </w:p>
        </w:tc>
      </w:tr>
      <w:tr>
        <w:trPr>
          <w:trHeight w:val="216"/>
        </w:trPr>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compensation—restricted stock</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(4,895)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(9,876)</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(14,771)</w:t>
            </w:r>
          </w:p>
        </w:tc>
      </w:tr>
      <w:tr>
        <w:trPr>
          <w:trHeight w:val="208"/>
        </w:trPr>
        <w:tc>
          <w:tcPr>
            <w:tcW w:w="4100" w:type="dxa"/>
            <w:vAlign w:val="bottom"/>
          </w:tcPr>
          <w:p>
            <w:pPr>
              <w:ind w:left="160"/>
              <w:spacing w:after="0"/>
              <w:rPr>
                <w:sz w:val="20"/>
                <w:szCs w:val="20"/>
                <w:color w:val="auto"/>
              </w:rPr>
            </w:pPr>
            <w:r>
              <w:rPr>
                <w:rFonts w:ascii="Arial" w:cs="Arial" w:eastAsia="Arial" w:hAnsi="Arial"/>
                <w:sz w:val="18"/>
                <w:szCs w:val="18"/>
                <w:color w:val="auto"/>
              </w:rPr>
              <w:t>Deficit accumulated from inception during the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4100" w:type="dxa"/>
            <w:vAlign w:val="bottom"/>
          </w:tcPr>
          <w:p>
            <w:pPr>
              <w:ind w:left="200"/>
              <w:spacing w:after="0"/>
              <w:rPr>
                <w:sz w:val="20"/>
                <w:szCs w:val="20"/>
                <w:color w:val="auto"/>
              </w:rPr>
            </w:pPr>
            <w:r>
              <w:rPr>
                <w:rFonts w:ascii="Arial" w:cs="Arial" w:eastAsia="Arial" w:hAnsi="Arial"/>
                <w:sz w:val="18"/>
                <w:szCs w:val="18"/>
                <w:color w:val="auto"/>
              </w:rPr>
              <w:t>development stage</w:t>
            </w:r>
          </w:p>
        </w:tc>
        <w:tc>
          <w:tcPr>
            <w:tcW w:w="1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(9,191)</w:t>
            </w:r>
          </w:p>
        </w:tc>
        <w:tc>
          <w:tcPr>
            <w:tcW w:w="10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(4,759)</w:t>
            </w:r>
          </w:p>
        </w:tc>
        <w:tc>
          <w:tcPr>
            <w:tcW w:w="100" w:type="dxa"/>
            <w:vAlign w:val="bottom"/>
          </w:tcPr>
          <w:p>
            <w:pPr>
              <w:spacing w:after="0"/>
              <w:rPr>
                <w:sz w:val="19"/>
                <w:szCs w:val="19"/>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(44,904)</w:t>
            </w:r>
          </w:p>
        </w:tc>
        <w:tc>
          <w:tcPr>
            <w:tcW w:w="10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(6,150)</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4,949</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(60,055)</w:t>
            </w:r>
          </w:p>
        </w:tc>
      </w:tr>
      <w:tr>
        <w:trPr>
          <w:trHeight w:val="110"/>
        </w:trPr>
        <w:tc>
          <w:tcPr>
            <w:tcW w:w="4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1,052,353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232,316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844,237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(1,161,188)</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991,613</w:t>
            </w:r>
          </w:p>
        </w:tc>
        <w:tc>
          <w:tcPr>
            <w:tcW w:w="60" w:type="dxa"/>
            <w:vAlign w:val="bottom"/>
            <w:shd w:val="clear" w:color="auto" w:fill="CCEEFF"/>
          </w:tcPr>
          <w:p>
            <w:pPr>
              <w:spacing w:after="0"/>
              <w:rPr>
                <w:sz w:val="18"/>
                <w:szCs w:val="18"/>
                <w:color w:val="auto"/>
              </w:rPr>
            </w:pPr>
          </w:p>
        </w:tc>
      </w:tr>
      <w:tr>
        <w:trPr>
          <w:trHeight w:val="108"/>
        </w:trPr>
        <w:tc>
          <w:tcPr>
            <w:tcW w:w="4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1,052,548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625,855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853,174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(1,157,005)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1,398,601</w:t>
            </w:r>
          </w:p>
        </w:tc>
        <w:tc>
          <w:tcPr>
            <w:tcW w:w="60" w:type="dxa"/>
            <w:vAlign w:val="bottom"/>
            <w:shd w:val="clear" w:color="auto" w:fill="CCEEFF"/>
          </w:tcPr>
          <w:p>
            <w:pPr>
              <w:spacing w:after="0"/>
              <w:rPr>
                <w:sz w:val="18"/>
                <w:szCs w:val="18"/>
                <w:color w:val="auto"/>
              </w:rPr>
            </w:pPr>
          </w:p>
        </w:tc>
      </w:tr>
      <w:tr>
        <w:trPr>
          <w:trHeight w:val="132"/>
        </w:trPr>
        <w:tc>
          <w:tcPr>
            <w:tcW w:w="4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467"/>
        </w:trPr>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F-32</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2601595</wp:posOffset>
            </wp:positionH>
            <wp:positionV relativeFrom="paragraph">
              <wp:posOffset>-4330700</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-4330700</wp:posOffset>
            </wp:positionV>
            <wp:extent cx="2159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-4330700</wp:posOffset>
            </wp:positionV>
            <wp:extent cx="3873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-4330700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-4330700</wp:posOffset>
            </wp:positionV>
            <wp:extent cx="2159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-4330700</wp:posOffset>
            </wp:positionV>
            <wp:extent cx="3873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-4330700</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-4330700</wp:posOffset>
            </wp:positionV>
            <wp:extent cx="2159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-4330700</wp:posOffset>
            </wp:positionV>
            <wp:extent cx="3873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-4330700</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-4330700</wp:posOffset>
            </wp:positionV>
            <wp:extent cx="2159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-4330700</wp:posOffset>
            </wp:positionV>
            <wp:extent cx="3873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-4330700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-4330700</wp:posOffset>
            </wp:positionV>
            <wp:extent cx="2159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-4330700</wp:posOffset>
            </wp:positionV>
            <wp:extent cx="3873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-4330700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-4330700</wp:posOffset>
            </wp:positionV>
            <wp:extent cx="2159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-4330700</wp:posOffset>
            </wp:positionV>
            <wp:extent cx="3873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-325755</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-325755</wp:posOffset>
            </wp:positionV>
            <wp:extent cx="2159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-325755</wp:posOffset>
            </wp:positionV>
            <wp:extent cx="3873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-325755</wp:posOffset>
            </wp:positionV>
            <wp:extent cx="49276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-325755</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-325755</wp:posOffset>
            </wp:positionV>
            <wp:extent cx="2159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-325755</wp:posOffset>
            </wp:positionV>
            <wp:extent cx="3873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-325755</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-325755</wp:posOffset>
            </wp:positionV>
            <wp:extent cx="2159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-325755</wp:posOffset>
            </wp:positionV>
            <wp:extent cx="3873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-325755</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-325755</wp:posOffset>
            </wp:positionV>
            <wp:extent cx="2159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-325755</wp:posOffset>
            </wp:positionV>
            <wp:extent cx="3873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2159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7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AS OF DECEMBER 31, 2001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29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1"/>
              </w:rPr>
              <w:t>Guarantor</w:t>
            </w:r>
          </w:p>
        </w:tc>
        <w:tc>
          <w:tcPr>
            <w:tcW w:w="140" w:type="dxa"/>
            <w:vAlign w:val="bottom"/>
          </w:tcPr>
          <w:p>
            <w:pPr>
              <w:spacing w:after="0"/>
              <w:rPr>
                <w:sz w:val="14"/>
                <w:szCs w:val="14"/>
                <w:color w:val="auto"/>
              </w:rPr>
            </w:pPr>
          </w:p>
        </w:tc>
        <w:tc>
          <w:tcPr>
            <w:tcW w:w="15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2"/>
              </w:rPr>
              <w:t>Non-guarantor</w:t>
            </w:r>
          </w:p>
        </w:tc>
        <w:tc>
          <w:tcPr>
            <w:tcW w:w="100" w:type="dxa"/>
            <w:vAlign w:val="bottom"/>
          </w:tcPr>
          <w:p>
            <w:pPr>
              <w:spacing w:after="0"/>
              <w:rPr>
                <w:sz w:val="14"/>
                <w:szCs w:val="1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0"/>
              </w:rPr>
              <w:t>Eliminating</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456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Parent</w:t>
            </w:r>
          </w:p>
        </w:tc>
        <w:tc>
          <w:tcPr>
            <w:tcW w:w="9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3"/>
              </w:rPr>
              <w:t>Issuers</w:t>
            </w:r>
          </w:p>
        </w:tc>
        <w:tc>
          <w:tcPr>
            <w:tcW w:w="140" w:type="dxa"/>
            <w:vAlign w:val="bottom"/>
          </w:tcPr>
          <w:p>
            <w:pPr>
              <w:spacing w:after="0"/>
              <w:rPr>
                <w:sz w:val="15"/>
                <w:szCs w:val="15"/>
                <w:color w:val="auto"/>
              </w:rPr>
            </w:pPr>
          </w:p>
        </w:tc>
        <w:tc>
          <w:tcPr>
            <w:tcW w:w="132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4"/>
              </w:rPr>
              <w:t>Subsidiaries</w:t>
            </w:r>
          </w:p>
        </w:tc>
        <w:tc>
          <w:tcPr>
            <w:tcW w:w="140" w:type="dxa"/>
            <w:vAlign w:val="bottom"/>
          </w:tcPr>
          <w:p>
            <w:pPr>
              <w:spacing w:after="0"/>
              <w:rPr>
                <w:sz w:val="15"/>
                <w:szCs w:val="15"/>
                <w:color w:val="auto"/>
              </w:rPr>
            </w:pPr>
          </w:p>
        </w:tc>
        <w:tc>
          <w:tcPr>
            <w:tcW w:w="15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8"/>
              </w:rPr>
              <w:t>Subsidiaries</w:t>
            </w:r>
          </w:p>
        </w:tc>
        <w:tc>
          <w:tcPr>
            <w:tcW w:w="100" w:type="dxa"/>
            <w:vAlign w:val="bottom"/>
          </w:tcPr>
          <w:p>
            <w:pPr>
              <w:spacing w:after="0"/>
              <w:rPr>
                <w:sz w:val="15"/>
                <w:szCs w:val="15"/>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95"/>
        </w:trPr>
        <w:tc>
          <w:tcPr>
            <w:tcW w:w="45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29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560" w:type="dxa"/>
            <w:vAlign w:val="bottom"/>
          </w:tcPr>
          <w:p>
            <w:pPr>
              <w:spacing w:after="0"/>
              <w:rPr>
                <w:sz w:val="8"/>
                <w:szCs w:val="8"/>
                <w:color w:val="auto"/>
              </w:rPr>
            </w:pPr>
          </w:p>
        </w:tc>
        <w:tc>
          <w:tcPr>
            <w:tcW w:w="110" w:type="dxa"/>
            <w:vAlign w:val="bottom"/>
          </w:tcPr>
          <w:p>
            <w:pPr>
              <w:spacing w:after="0"/>
              <w:rPr>
                <w:sz w:val="8"/>
                <w:szCs w:val="8"/>
                <w:color w:val="auto"/>
              </w:rPr>
            </w:pPr>
          </w:p>
        </w:tc>
        <w:tc>
          <w:tcPr>
            <w:tcW w:w="29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560" w:type="dxa"/>
            <w:vAlign w:val="bottom"/>
            <w:shd w:val="clear" w:color="auto" w:fill="CCEEFF"/>
          </w:tcPr>
          <w:p>
            <w:pPr>
              <w:ind w:left="1780"/>
              <w:spacing w:after="0"/>
              <w:rPr>
                <w:sz w:val="20"/>
                <w:szCs w:val="20"/>
                <w:color w:val="auto"/>
              </w:rPr>
            </w:pPr>
            <w:r>
              <w:rPr>
                <w:rFonts w:ascii="Arial" w:cs="Arial" w:eastAsia="Arial" w:hAnsi="Arial"/>
                <w:sz w:val="18"/>
                <w:szCs w:val="18"/>
                <w:b w:val="1"/>
                <w:bCs w:val="1"/>
                <w:color w:val="auto"/>
              </w:rPr>
              <w:t>ASSETS</w:t>
            </w:r>
          </w:p>
        </w:tc>
        <w:tc>
          <w:tcPr>
            <w:tcW w:w="110" w:type="dxa"/>
            <w:vAlign w:val="bottom"/>
            <w:shd w:val="clear" w:color="auto" w:fill="CCEEFF"/>
          </w:tcPr>
          <w:p>
            <w:pPr>
              <w:spacing w:after="0"/>
              <w:rPr>
                <w:sz w:val="18"/>
                <w:szCs w:val="18"/>
                <w:color w:val="auto"/>
              </w:rPr>
            </w:pPr>
          </w:p>
        </w:tc>
        <w:tc>
          <w:tcPr>
            <w:tcW w:w="29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Current assets:</w:t>
            </w:r>
          </w:p>
        </w:tc>
        <w:tc>
          <w:tcPr>
            <w:tcW w:w="110" w:type="dxa"/>
            <w:vAlign w:val="bottom"/>
          </w:tcPr>
          <w:p>
            <w:pPr>
              <w:spacing w:after="0"/>
              <w:rPr>
                <w:sz w:val="18"/>
                <w:szCs w:val="18"/>
                <w:color w:val="auto"/>
              </w:rPr>
            </w:pPr>
          </w:p>
        </w:tc>
        <w:tc>
          <w:tcPr>
            <w:tcW w:w="29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10" w:type="dxa"/>
            <w:vAlign w:val="bottom"/>
            <w:gridSpan w:val="2"/>
            <w:shd w:val="clear" w:color="auto" w:fill="CCEEFF"/>
          </w:tcPr>
          <w:p>
            <w:pPr>
              <w:ind w:lef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39,317</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39,268</w:t>
            </w:r>
          </w:p>
        </w:tc>
        <w:tc>
          <w:tcPr>
            <w:tcW w:w="60" w:type="dxa"/>
            <w:vAlign w:val="bottom"/>
            <w:shd w:val="clear" w:color="auto" w:fill="CCEEFF"/>
          </w:tcPr>
          <w:p>
            <w:pPr>
              <w:spacing w:after="0"/>
              <w:rPr>
                <w:sz w:val="18"/>
                <w:szCs w:val="18"/>
                <w:color w:val="auto"/>
              </w:rPr>
            </w:pPr>
          </w:p>
        </w:tc>
      </w:tr>
      <w:tr>
        <w:trPr>
          <w:trHeight w:val="216"/>
        </w:trPr>
        <w:tc>
          <w:tcPr>
            <w:tcW w:w="456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10" w:type="dxa"/>
            <w:vAlign w:val="bottom"/>
          </w:tcPr>
          <w:p>
            <w:pPr>
              <w:spacing w:after="0"/>
              <w:rPr>
                <w:sz w:val="18"/>
                <w:szCs w:val="18"/>
                <w:color w:val="auto"/>
              </w:rPr>
            </w:pPr>
          </w:p>
        </w:tc>
        <w:tc>
          <w:tcPr>
            <w:tcW w:w="610" w:type="dxa"/>
            <w:vAlign w:val="bottom"/>
            <w:gridSpan w:val="2"/>
          </w:tcPr>
          <w:p>
            <w:pPr>
              <w:ind w:lef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500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524</w:t>
            </w:r>
          </w:p>
        </w:tc>
        <w:tc>
          <w:tcPr>
            <w:tcW w:w="60" w:type="dxa"/>
            <w:vAlign w:val="bottom"/>
          </w:tcPr>
          <w:p>
            <w:pPr>
              <w:spacing w:after="0"/>
              <w:rPr>
                <w:sz w:val="18"/>
                <w:szCs w:val="18"/>
                <w:color w:val="auto"/>
              </w:rPr>
            </w:pPr>
          </w:p>
        </w:tc>
      </w:tr>
      <w:tr>
        <w:trPr>
          <w:trHeight w:val="216"/>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Receivables, net</w:t>
            </w:r>
          </w:p>
        </w:tc>
        <w:tc>
          <w:tcPr>
            <w:tcW w:w="110" w:type="dxa"/>
            <w:vAlign w:val="bottom"/>
            <w:shd w:val="clear" w:color="auto" w:fill="CCEEFF"/>
          </w:tcPr>
          <w:p>
            <w:pPr>
              <w:spacing w:after="0"/>
              <w:rPr>
                <w:sz w:val="18"/>
                <w:szCs w:val="18"/>
                <w:color w:val="auto"/>
              </w:rPr>
            </w:pPr>
          </w:p>
        </w:tc>
        <w:tc>
          <w:tcPr>
            <w:tcW w:w="610" w:type="dxa"/>
            <w:vAlign w:val="bottom"/>
            <w:gridSpan w:val="2"/>
            <w:shd w:val="clear" w:color="auto" w:fill="CCEEFF"/>
          </w:tcPr>
          <w:p>
            <w:pPr>
              <w:ind w:lef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527</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60" w:type="dxa"/>
            <w:vAlign w:val="bottom"/>
            <w:shd w:val="clear" w:color="auto" w:fill="CCEEFF"/>
          </w:tcPr>
          <w:p>
            <w:pPr>
              <w:spacing w:after="0"/>
              <w:rPr>
                <w:sz w:val="18"/>
                <w:szCs w:val="18"/>
                <w:color w:val="auto"/>
              </w:rPr>
            </w:pPr>
          </w:p>
        </w:tc>
      </w:tr>
      <w:tr>
        <w:trPr>
          <w:trHeight w:val="216"/>
        </w:trPr>
        <w:tc>
          <w:tcPr>
            <w:tcW w:w="456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10" w:type="dxa"/>
            <w:vAlign w:val="bottom"/>
          </w:tcPr>
          <w:p>
            <w:pPr>
              <w:spacing w:after="0"/>
              <w:rPr>
                <w:sz w:val="18"/>
                <w:szCs w:val="18"/>
                <w:color w:val="auto"/>
              </w:rPr>
            </w:pPr>
          </w:p>
        </w:tc>
        <w:tc>
          <w:tcPr>
            <w:tcW w:w="610" w:type="dxa"/>
            <w:vAlign w:val="bottom"/>
            <w:gridSpan w:val="2"/>
          </w:tcPr>
          <w:p>
            <w:pPr>
              <w:ind w:lef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284</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284</w:t>
            </w:r>
          </w:p>
        </w:tc>
        <w:tc>
          <w:tcPr>
            <w:tcW w:w="60" w:type="dxa"/>
            <w:vAlign w:val="bottom"/>
          </w:tcPr>
          <w:p>
            <w:pPr>
              <w:spacing w:after="0"/>
              <w:rPr>
                <w:sz w:val="18"/>
                <w:szCs w:val="18"/>
                <w:color w:val="auto"/>
              </w:rPr>
            </w:pPr>
          </w:p>
        </w:tc>
      </w:tr>
      <w:tr>
        <w:trPr>
          <w:trHeight w:val="216"/>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10" w:type="dxa"/>
            <w:vAlign w:val="bottom"/>
            <w:shd w:val="clear" w:color="auto" w:fill="CCEEFF"/>
          </w:tcPr>
          <w:p>
            <w:pPr>
              <w:spacing w:after="0"/>
              <w:rPr>
                <w:sz w:val="18"/>
                <w:szCs w:val="18"/>
                <w:color w:val="auto"/>
              </w:rPr>
            </w:pPr>
          </w:p>
        </w:tc>
        <w:tc>
          <w:tcPr>
            <w:tcW w:w="610" w:type="dxa"/>
            <w:vAlign w:val="bottom"/>
            <w:gridSpan w:val="2"/>
            <w:shd w:val="clear" w:color="auto" w:fill="CCEEFF"/>
          </w:tcPr>
          <w:p>
            <w:pPr>
              <w:ind w:lef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60" w:type="dxa"/>
            <w:vAlign w:val="bottom"/>
            <w:shd w:val="clear" w:color="auto" w:fill="CCEEFF"/>
          </w:tcPr>
          <w:p>
            <w:pPr>
              <w:spacing w:after="0"/>
              <w:rPr>
                <w:sz w:val="18"/>
                <w:szCs w:val="18"/>
                <w:color w:val="auto"/>
              </w:rPr>
            </w:pPr>
          </w:p>
        </w:tc>
      </w:tr>
      <w:tr>
        <w:trPr>
          <w:trHeight w:val="108"/>
        </w:trPr>
        <w:tc>
          <w:tcPr>
            <w:tcW w:w="45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29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560" w:type="dxa"/>
            <w:vAlign w:val="bottom"/>
          </w:tcPr>
          <w:p>
            <w:pPr>
              <w:spacing w:after="0"/>
              <w:rPr>
                <w:sz w:val="8"/>
                <w:szCs w:val="8"/>
                <w:color w:val="auto"/>
              </w:rPr>
            </w:pPr>
          </w:p>
        </w:tc>
        <w:tc>
          <w:tcPr>
            <w:tcW w:w="110" w:type="dxa"/>
            <w:vAlign w:val="bottom"/>
          </w:tcPr>
          <w:p>
            <w:pPr>
              <w:spacing w:after="0"/>
              <w:rPr>
                <w:sz w:val="8"/>
                <w:szCs w:val="8"/>
                <w:color w:val="auto"/>
              </w:rPr>
            </w:pPr>
          </w:p>
        </w:tc>
        <w:tc>
          <w:tcPr>
            <w:tcW w:w="29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10" w:type="dxa"/>
            <w:vAlign w:val="bottom"/>
            <w:shd w:val="clear" w:color="auto" w:fill="CCEEFF"/>
          </w:tcPr>
          <w:p>
            <w:pPr>
              <w:spacing w:after="0"/>
              <w:rPr>
                <w:sz w:val="18"/>
                <w:szCs w:val="18"/>
                <w:color w:val="auto"/>
              </w:rPr>
            </w:pPr>
          </w:p>
        </w:tc>
        <w:tc>
          <w:tcPr>
            <w:tcW w:w="610" w:type="dxa"/>
            <w:vAlign w:val="bottom"/>
            <w:gridSpan w:val="2"/>
            <w:shd w:val="clear" w:color="auto" w:fill="CCEEFF"/>
          </w:tcPr>
          <w:p>
            <w:pPr>
              <w:ind w:lef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41,172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41,630</w:t>
            </w:r>
          </w:p>
        </w:tc>
        <w:tc>
          <w:tcPr>
            <w:tcW w:w="6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10" w:type="dxa"/>
            <w:vAlign w:val="bottom"/>
          </w:tcPr>
          <w:p>
            <w:pPr>
              <w:spacing w:after="0"/>
              <w:rPr>
                <w:sz w:val="18"/>
                <w:szCs w:val="18"/>
                <w:color w:val="auto"/>
              </w:rPr>
            </w:pPr>
          </w:p>
        </w:tc>
        <w:tc>
          <w:tcPr>
            <w:tcW w:w="610" w:type="dxa"/>
            <w:vAlign w:val="bottom"/>
            <w:gridSpan w:val="2"/>
          </w:tcPr>
          <w:p>
            <w:pPr>
              <w:ind w:lef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326,258</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11,207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337,467</w:t>
            </w:r>
          </w:p>
        </w:tc>
        <w:tc>
          <w:tcPr>
            <w:tcW w:w="6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Water rights</w:t>
            </w:r>
          </w:p>
        </w:tc>
        <w:tc>
          <w:tcPr>
            <w:tcW w:w="110" w:type="dxa"/>
            <w:vAlign w:val="bottom"/>
            <w:shd w:val="clear" w:color="auto" w:fill="CCEEFF"/>
          </w:tcPr>
          <w:p>
            <w:pPr>
              <w:spacing w:after="0"/>
              <w:rPr>
                <w:sz w:val="18"/>
                <w:szCs w:val="18"/>
                <w:color w:val="auto"/>
              </w:rPr>
            </w:pPr>
          </w:p>
        </w:tc>
        <w:tc>
          <w:tcPr>
            <w:tcW w:w="610" w:type="dxa"/>
            <w:vAlign w:val="bottom"/>
            <w:gridSpan w:val="2"/>
            <w:shd w:val="clear" w:color="auto" w:fill="CCEEFF"/>
          </w:tcPr>
          <w:p>
            <w:pPr>
              <w:ind w:lef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6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Trademark</w:t>
            </w:r>
          </w:p>
        </w:tc>
        <w:tc>
          <w:tcPr>
            <w:tcW w:w="110" w:type="dxa"/>
            <w:vAlign w:val="bottom"/>
          </w:tcPr>
          <w:p>
            <w:pPr>
              <w:spacing w:after="0"/>
              <w:rPr>
                <w:sz w:val="18"/>
                <w:szCs w:val="18"/>
                <w:color w:val="auto"/>
              </w:rPr>
            </w:pPr>
          </w:p>
        </w:tc>
        <w:tc>
          <w:tcPr>
            <w:tcW w:w="610" w:type="dxa"/>
            <w:vAlign w:val="bottom"/>
            <w:gridSpan w:val="2"/>
          </w:tcPr>
          <w:p>
            <w:pPr>
              <w:ind w:lef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4"/>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10" w:type="dxa"/>
            <w:vAlign w:val="bottom"/>
            <w:shd w:val="clear" w:color="auto" w:fill="CCEEFF"/>
          </w:tcPr>
          <w:p>
            <w:pPr>
              <w:spacing w:after="0"/>
              <w:rPr>
                <w:sz w:val="18"/>
                <w:szCs w:val="18"/>
                <w:color w:val="auto"/>
              </w:rPr>
            </w:pPr>
          </w:p>
        </w:tc>
        <w:tc>
          <w:tcPr>
            <w:tcW w:w="610" w:type="dxa"/>
            <w:vAlign w:val="bottom"/>
            <w:gridSpan w:val="2"/>
            <w:shd w:val="clear" w:color="auto" w:fill="CCEEFF"/>
          </w:tcPr>
          <w:p>
            <w:pPr>
              <w:ind w:lef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60" w:type="dxa"/>
            <w:vAlign w:val="bottom"/>
            <w:shd w:val="clear" w:color="auto" w:fill="CCEEFF"/>
          </w:tcPr>
          <w:p>
            <w:pPr>
              <w:spacing w:after="0"/>
              <w:rPr>
                <w:sz w:val="18"/>
                <w:szCs w:val="18"/>
                <w:color w:val="auto"/>
              </w:rPr>
            </w:pP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Intercompany balances</w:t>
            </w:r>
          </w:p>
        </w:tc>
        <w:tc>
          <w:tcPr>
            <w:tcW w:w="110" w:type="dxa"/>
            <w:vAlign w:val="bottom"/>
          </w:tcPr>
          <w:p>
            <w:pPr>
              <w:spacing w:after="0"/>
              <w:rPr>
                <w:sz w:val="19"/>
                <w:szCs w:val="19"/>
                <w:color w:val="auto"/>
              </w:rPr>
            </w:pPr>
          </w:p>
        </w:tc>
        <w:tc>
          <w:tcPr>
            <w:tcW w:w="610" w:type="dxa"/>
            <w:vAlign w:val="bottom"/>
            <w:gridSpan w:val="2"/>
          </w:tcPr>
          <w:p>
            <w:pPr>
              <w:ind w:lef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(2,498)</w:t>
            </w: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20,780</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3"/>
          </w:tcPr>
          <w:p>
            <w:pPr>
              <w:jc w:val="right"/>
              <w:ind w:right="360"/>
              <w:spacing w:after="0"/>
              <w:rPr>
                <w:sz w:val="20"/>
                <w:szCs w:val="20"/>
                <w:color w:val="auto"/>
              </w:rPr>
            </w:pPr>
            <w:r>
              <w:rPr>
                <w:rFonts w:ascii="Arial" w:cs="Arial" w:eastAsia="Arial" w:hAnsi="Arial"/>
                <w:sz w:val="18"/>
                <w:szCs w:val="18"/>
                <w:color w:val="auto"/>
              </w:rPr>
              <w:t>(18,282)</w:t>
            </w:r>
          </w:p>
        </w:tc>
        <w:tc>
          <w:tcPr>
            <w:tcW w:w="10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02"/>
        </w:trPr>
        <w:tc>
          <w:tcPr>
            <w:tcW w:w="45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29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560" w:type="dxa"/>
            <w:vAlign w:val="bottom"/>
          </w:tcPr>
          <w:p>
            <w:pPr>
              <w:spacing w:after="0"/>
              <w:rPr>
                <w:sz w:val="8"/>
                <w:szCs w:val="8"/>
                <w:color w:val="auto"/>
              </w:rPr>
            </w:pPr>
          </w:p>
        </w:tc>
        <w:tc>
          <w:tcPr>
            <w:tcW w:w="110" w:type="dxa"/>
            <w:vAlign w:val="bottom"/>
          </w:tcPr>
          <w:p>
            <w:pPr>
              <w:spacing w:after="0"/>
              <w:rPr>
                <w:sz w:val="8"/>
                <w:szCs w:val="8"/>
                <w:color w:val="auto"/>
              </w:rPr>
            </w:pPr>
          </w:p>
        </w:tc>
        <w:tc>
          <w:tcPr>
            <w:tcW w:w="29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10" w:type="dxa"/>
            <w:vAlign w:val="bottom"/>
            <w:gridSpan w:val="2"/>
            <w:shd w:val="clear" w:color="auto" w:fill="CCEEFF"/>
          </w:tcPr>
          <w:p>
            <w:pPr>
              <w:ind w:lef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390,022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388,543</w:t>
            </w:r>
          </w:p>
        </w:tc>
        <w:tc>
          <w:tcPr>
            <w:tcW w:w="60" w:type="dxa"/>
            <w:vAlign w:val="bottom"/>
            <w:shd w:val="clear" w:color="auto" w:fill="CCEEFF"/>
          </w:tcPr>
          <w:p>
            <w:pPr>
              <w:spacing w:after="0"/>
              <w:rPr>
                <w:sz w:val="18"/>
                <w:szCs w:val="18"/>
                <w:color w:val="auto"/>
              </w:rPr>
            </w:pPr>
          </w:p>
        </w:tc>
      </w:tr>
      <w:tr>
        <w:trPr>
          <w:trHeight w:val="132"/>
        </w:trPr>
        <w:tc>
          <w:tcPr>
            <w:tcW w:w="45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29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4560" w:type="dxa"/>
            <w:vAlign w:val="bottom"/>
          </w:tcPr>
          <w:p>
            <w:pPr>
              <w:spacing w:after="0"/>
              <w:rPr>
                <w:sz w:val="9"/>
                <w:szCs w:val="9"/>
                <w:color w:val="auto"/>
              </w:rPr>
            </w:pPr>
          </w:p>
        </w:tc>
        <w:tc>
          <w:tcPr>
            <w:tcW w:w="110" w:type="dxa"/>
            <w:vAlign w:val="bottom"/>
          </w:tcPr>
          <w:p>
            <w:pPr>
              <w:spacing w:after="0"/>
              <w:rPr>
                <w:sz w:val="9"/>
                <w:szCs w:val="9"/>
                <w:color w:val="auto"/>
              </w:rPr>
            </w:pPr>
          </w:p>
        </w:tc>
        <w:tc>
          <w:tcPr>
            <w:tcW w:w="29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45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LIABILITIES AND STOCKHOLDERS’ EQUITY</w:t>
            </w:r>
          </w:p>
        </w:tc>
        <w:tc>
          <w:tcPr>
            <w:tcW w:w="110" w:type="dxa"/>
            <w:vAlign w:val="bottom"/>
            <w:shd w:val="clear" w:color="auto" w:fill="CCEEFF"/>
          </w:tcPr>
          <w:p>
            <w:pPr>
              <w:spacing w:after="0"/>
              <w:rPr>
                <w:sz w:val="18"/>
                <w:szCs w:val="18"/>
                <w:color w:val="auto"/>
              </w:rPr>
            </w:pPr>
          </w:p>
        </w:tc>
        <w:tc>
          <w:tcPr>
            <w:tcW w:w="29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Current liabilities:</w:t>
            </w:r>
          </w:p>
        </w:tc>
        <w:tc>
          <w:tcPr>
            <w:tcW w:w="110" w:type="dxa"/>
            <w:vAlign w:val="bottom"/>
          </w:tcPr>
          <w:p>
            <w:pPr>
              <w:spacing w:after="0"/>
              <w:rPr>
                <w:sz w:val="18"/>
                <w:szCs w:val="18"/>
                <w:color w:val="auto"/>
              </w:rPr>
            </w:pPr>
          </w:p>
        </w:tc>
        <w:tc>
          <w:tcPr>
            <w:tcW w:w="29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10" w:type="dxa"/>
            <w:vAlign w:val="bottom"/>
            <w:gridSpan w:val="2"/>
            <w:shd w:val="clear" w:color="auto" w:fill="CCEEFF"/>
          </w:tcPr>
          <w:p>
            <w:pPr>
              <w:ind w:lef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r>
      <w:tr>
        <w:trPr>
          <w:trHeight w:val="216"/>
        </w:trPr>
        <w:tc>
          <w:tcPr>
            <w:tcW w:w="4560" w:type="dxa"/>
            <w:vAlign w:val="bottom"/>
          </w:tcPr>
          <w:p>
            <w:pPr>
              <w:ind w:left="180"/>
              <w:spacing w:after="0"/>
              <w:rPr>
                <w:sz w:val="20"/>
                <w:szCs w:val="20"/>
                <w:color w:val="auto"/>
              </w:rPr>
            </w:pPr>
            <w:r>
              <w:rPr>
                <w:rFonts w:ascii="Arial" w:cs="Arial" w:eastAsia="Arial" w:hAnsi="Arial"/>
                <w:sz w:val="18"/>
                <w:szCs w:val="18"/>
                <w:color w:val="auto"/>
              </w:rPr>
              <w:t>Accounts and construction payable</w:t>
            </w:r>
          </w:p>
        </w:tc>
        <w:tc>
          <w:tcPr>
            <w:tcW w:w="110" w:type="dxa"/>
            <w:vAlign w:val="bottom"/>
          </w:tcPr>
          <w:p>
            <w:pPr>
              <w:spacing w:after="0"/>
              <w:rPr>
                <w:sz w:val="18"/>
                <w:szCs w:val="18"/>
                <w:color w:val="auto"/>
              </w:rPr>
            </w:pPr>
          </w:p>
        </w:tc>
        <w:tc>
          <w:tcPr>
            <w:tcW w:w="610" w:type="dxa"/>
            <w:vAlign w:val="bottom"/>
            <w:gridSpan w:val="2"/>
          </w:tcPr>
          <w:p>
            <w:pPr>
              <w:ind w:lef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2,016</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2,077</w:t>
            </w:r>
          </w:p>
        </w:tc>
        <w:tc>
          <w:tcPr>
            <w:tcW w:w="60" w:type="dxa"/>
            <w:vAlign w:val="bottom"/>
          </w:tcPr>
          <w:p>
            <w:pPr>
              <w:spacing w:after="0"/>
              <w:rPr>
                <w:sz w:val="18"/>
                <w:szCs w:val="18"/>
                <w:color w:val="auto"/>
              </w:rPr>
            </w:pPr>
          </w:p>
        </w:tc>
      </w:tr>
      <w:tr>
        <w:trPr>
          <w:trHeight w:val="216"/>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compensation and benefits</w:t>
            </w:r>
          </w:p>
        </w:tc>
        <w:tc>
          <w:tcPr>
            <w:tcW w:w="110" w:type="dxa"/>
            <w:vAlign w:val="bottom"/>
            <w:shd w:val="clear" w:color="auto" w:fill="CCEEFF"/>
          </w:tcPr>
          <w:p>
            <w:pPr>
              <w:spacing w:after="0"/>
              <w:rPr>
                <w:sz w:val="18"/>
                <w:szCs w:val="18"/>
                <w:color w:val="auto"/>
              </w:rPr>
            </w:pPr>
          </w:p>
        </w:tc>
        <w:tc>
          <w:tcPr>
            <w:tcW w:w="610" w:type="dxa"/>
            <w:vAlign w:val="bottom"/>
            <w:gridSpan w:val="2"/>
            <w:shd w:val="clear" w:color="auto" w:fill="CCEEFF"/>
          </w:tcPr>
          <w:p>
            <w:pPr>
              <w:ind w:lef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989</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60" w:type="dxa"/>
            <w:vAlign w:val="bottom"/>
            <w:shd w:val="clear" w:color="auto" w:fill="CCEEFF"/>
          </w:tcPr>
          <w:p>
            <w:pPr>
              <w:spacing w:after="0"/>
              <w:rPr>
                <w:sz w:val="18"/>
                <w:szCs w:val="18"/>
                <w:color w:val="auto"/>
              </w:rPr>
            </w:pPr>
          </w:p>
        </w:tc>
      </w:tr>
      <w:tr>
        <w:trPr>
          <w:trHeight w:val="222"/>
        </w:trPr>
        <w:tc>
          <w:tcPr>
            <w:tcW w:w="4560" w:type="dxa"/>
            <w:vAlign w:val="bottom"/>
          </w:tcPr>
          <w:p>
            <w:pPr>
              <w:ind w:left="180"/>
              <w:spacing w:after="0"/>
              <w:rPr>
                <w:sz w:val="20"/>
                <w:szCs w:val="20"/>
                <w:color w:val="auto"/>
              </w:rPr>
            </w:pPr>
            <w:r>
              <w:rPr>
                <w:rFonts w:ascii="Arial" w:cs="Arial" w:eastAsia="Arial" w:hAnsi="Arial"/>
                <w:sz w:val="18"/>
                <w:szCs w:val="18"/>
                <w:color w:val="auto"/>
              </w:rPr>
              <w:t>Accrued expenses and other</w:t>
            </w:r>
          </w:p>
        </w:tc>
        <w:tc>
          <w:tcPr>
            <w:tcW w:w="110" w:type="dxa"/>
            <w:vAlign w:val="bottom"/>
          </w:tcPr>
          <w:p>
            <w:pPr>
              <w:spacing w:after="0"/>
              <w:rPr>
                <w:sz w:val="19"/>
                <w:szCs w:val="19"/>
                <w:color w:val="auto"/>
              </w:rPr>
            </w:pPr>
          </w:p>
        </w:tc>
        <w:tc>
          <w:tcPr>
            <w:tcW w:w="610" w:type="dxa"/>
            <w:vAlign w:val="bottom"/>
            <w:gridSpan w:val="2"/>
          </w:tcPr>
          <w:p>
            <w:pPr>
              <w:ind w:lef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856</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885</w:t>
            </w:r>
          </w:p>
        </w:tc>
        <w:tc>
          <w:tcPr>
            <w:tcW w:w="60" w:type="dxa"/>
            <w:vAlign w:val="bottom"/>
          </w:tcPr>
          <w:p>
            <w:pPr>
              <w:spacing w:after="0"/>
              <w:rPr>
                <w:sz w:val="19"/>
                <w:szCs w:val="19"/>
                <w:color w:val="auto"/>
              </w:rPr>
            </w:pPr>
          </w:p>
        </w:tc>
      </w:tr>
      <w:tr>
        <w:trPr>
          <w:trHeight w:val="102"/>
        </w:trPr>
        <w:tc>
          <w:tcPr>
            <w:tcW w:w="45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29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560" w:type="dxa"/>
            <w:vAlign w:val="bottom"/>
          </w:tcPr>
          <w:p>
            <w:pPr>
              <w:spacing w:after="0"/>
              <w:rPr>
                <w:sz w:val="8"/>
                <w:szCs w:val="8"/>
                <w:color w:val="auto"/>
              </w:rPr>
            </w:pPr>
          </w:p>
        </w:tc>
        <w:tc>
          <w:tcPr>
            <w:tcW w:w="110" w:type="dxa"/>
            <w:vAlign w:val="bottom"/>
          </w:tcPr>
          <w:p>
            <w:pPr>
              <w:spacing w:after="0"/>
              <w:rPr>
                <w:sz w:val="8"/>
                <w:szCs w:val="8"/>
                <w:color w:val="auto"/>
              </w:rPr>
            </w:pPr>
          </w:p>
        </w:tc>
        <w:tc>
          <w:tcPr>
            <w:tcW w:w="29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10" w:type="dxa"/>
            <w:vAlign w:val="bottom"/>
            <w:shd w:val="clear" w:color="auto" w:fill="CCEEFF"/>
          </w:tcPr>
          <w:p>
            <w:pPr>
              <w:spacing w:after="0"/>
              <w:rPr>
                <w:sz w:val="18"/>
                <w:szCs w:val="18"/>
                <w:color w:val="auto"/>
              </w:rPr>
            </w:pPr>
          </w:p>
        </w:tc>
        <w:tc>
          <w:tcPr>
            <w:tcW w:w="610" w:type="dxa"/>
            <w:vAlign w:val="bottom"/>
            <w:gridSpan w:val="2"/>
            <w:shd w:val="clear" w:color="auto" w:fill="CCEEFF"/>
          </w:tcPr>
          <w:p>
            <w:pPr>
              <w:ind w:lef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60" w:type="dxa"/>
            <w:vAlign w:val="bottom"/>
            <w:shd w:val="clear" w:color="auto" w:fill="CCEEFF"/>
          </w:tcPr>
          <w:p>
            <w:pPr>
              <w:spacing w:after="0"/>
              <w:rPr>
                <w:sz w:val="18"/>
                <w:szCs w:val="18"/>
                <w:color w:val="auto"/>
              </w:rPr>
            </w:pP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Long-term debt</w:t>
            </w:r>
          </w:p>
        </w:tc>
        <w:tc>
          <w:tcPr>
            <w:tcW w:w="110" w:type="dxa"/>
            <w:vAlign w:val="bottom"/>
          </w:tcPr>
          <w:p>
            <w:pPr>
              <w:spacing w:after="0"/>
              <w:rPr>
                <w:sz w:val="19"/>
                <w:szCs w:val="19"/>
                <w:color w:val="auto"/>
              </w:rPr>
            </w:pPr>
          </w:p>
        </w:tc>
        <w:tc>
          <w:tcPr>
            <w:tcW w:w="610" w:type="dxa"/>
            <w:vAlign w:val="bottom"/>
            <w:gridSpan w:val="2"/>
          </w:tcPr>
          <w:p>
            <w:pPr>
              <w:ind w:lef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291</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291</w:t>
            </w:r>
          </w:p>
        </w:tc>
        <w:tc>
          <w:tcPr>
            <w:tcW w:w="60" w:type="dxa"/>
            <w:vAlign w:val="bottom"/>
          </w:tcPr>
          <w:p>
            <w:pPr>
              <w:spacing w:after="0"/>
              <w:rPr>
                <w:sz w:val="19"/>
                <w:szCs w:val="19"/>
                <w:color w:val="auto"/>
              </w:rPr>
            </w:pPr>
          </w:p>
        </w:tc>
      </w:tr>
      <w:tr>
        <w:trPr>
          <w:trHeight w:val="102"/>
        </w:trPr>
        <w:tc>
          <w:tcPr>
            <w:tcW w:w="45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29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560" w:type="dxa"/>
            <w:vAlign w:val="bottom"/>
          </w:tcPr>
          <w:p>
            <w:pPr>
              <w:spacing w:after="0"/>
              <w:rPr>
                <w:sz w:val="8"/>
                <w:szCs w:val="8"/>
                <w:color w:val="auto"/>
              </w:rPr>
            </w:pPr>
          </w:p>
        </w:tc>
        <w:tc>
          <w:tcPr>
            <w:tcW w:w="110" w:type="dxa"/>
            <w:vAlign w:val="bottom"/>
          </w:tcPr>
          <w:p>
            <w:pPr>
              <w:spacing w:after="0"/>
              <w:rPr>
                <w:sz w:val="8"/>
                <w:szCs w:val="8"/>
                <w:color w:val="auto"/>
              </w:rPr>
            </w:pPr>
          </w:p>
        </w:tc>
        <w:tc>
          <w:tcPr>
            <w:tcW w:w="29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10" w:type="dxa"/>
            <w:vAlign w:val="bottom"/>
            <w:shd w:val="clear" w:color="auto" w:fill="CCEEFF"/>
          </w:tcPr>
          <w:p>
            <w:pPr>
              <w:spacing w:after="0"/>
              <w:rPr>
                <w:sz w:val="18"/>
                <w:szCs w:val="18"/>
                <w:color w:val="auto"/>
              </w:rPr>
            </w:pPr>
          </w:p>
        </w:tc>
        <w:tc>
          <w:tcPr>
            <w:tcW w:w="610" w:type="dxa"/>
            <w:vAlign w:val="bottom"/>
            <w:gridSpan w:val="2"/>
            <w:shd w:val="clear" w:color="auto" w:fill="CCEEFF"/>
          </w:tcPr>
          <w:p>
            <w:pPr>
              <w:ind w:lef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4,187</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w:t>
            </w:r>
          </w:p>
        </w:tc>
        <w:tc>
          <w:tcPr>
            <w:tcW w:w="60" w:type="dxa"/>
            <w:vAlign w:val="bottom"/>
            <w:shd w:val="clear" w:color="auto" w:fill="CCEEFF"/>
          </w:tcPr>
          <w:p>
            <w:pPr>
              <w:spacing w:after="0"/>
              <w:rPr>
                <w:sz w:val="18"/>
                <w:szCs w:val="18"/>
                <w:color w:val="auto"/>
              </w:rPr>
            </w:pPr>
          </w:p>
        </w:tc>
      </w:tr>
      <w:tr>
        <w:trPr>
          <w:trHeight w:val="108"/>
        </w:trPr>
        <w:tc>
          <w:tcPr>
            <w:tcW w:w="45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29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69"/>
        </w:trPr>
        <w:tc>
          <w:tcPr>
            <w:tcW w:w="45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29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10" w:type="dxa"/>
            <w:vAlign w:val="bottom"/>
            <w:shd w:val="clear" w:color="auto" w:fill="CCEEFF"/>
          </w:tcPr>
          <w:p>
            <w:pPr>
              <w:spacing w:after="0"/>
              <w:rPr>
                <w:sz w:val="18"/>
                <w:szCs w:val="18"/>
                <w:color w:val="auto"/>
              </w:rPr>
            </w:pPr>
          </w:p>
        </w:tc>
        <w:tc>
          <w:tcPr>
            <w:tcW w:w="29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83"/>
        </w:trPr>
        <w:tc>
          <w:tcPr>
            <w:tcW w:w="4560" w:type="dxa"/>
            <w:vAlign w:val="bottom"/>
          </w:tcPr>
          <w:p>
            <w:pPr>
              <w:spacing w:after="0"/>
              <w:rPr>
                <w:sz w:val="20"/>
                <w:szCs w:val="20"/>
                <w:color w:val="auto"/>
              </w:rPr>
            </w:pPr>
            <w:r>
              <w:rPr>
                <w:rFonts w:ascii="Arial" w:cs="Arial" w:eastAsia="Arial" w:hAnsi="Arial"/>
                <w:sz w:val="18"/>
                <w:szCs w:val="18"/>
                <w:color w:val="auto"/>
              </w:rPr>
              <w:t>Stockholders’ equity:</w:t>
            </w:r>
          </w:p>
        </w:tc>
        <w:tc>
          <w:tcPr>
            <w:tcW w:w="110" w:type="dxa"/>
            <w:vAlign w:val="bottom"/>
          </w:tcPr>
          <w:p>
            <w:pPr>
              <w:spacing w:after="0"/>
              <w:rPr>
                <w:sz w:val="24"/>
                <w:szCs w:val="24"/>
                <w:color w:val="auto"/>
              </w:rPr>
            </w:pPr>
          </w:p>
        </w:tc>
        <w:tc>
          <w:tcPr>
            <w:tcW w:w="29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110" w:type="dxa"/>
            <w:vAlign w:val="bottom"/>
            <w:shd w:val="clear" w:color="auto" w:fill="CCEEFF"/>
          </w:tcPr>
          <w:p>
            <w:pPr>
              <w:spacing w:after="0"/>
              <w:rPr>
                <w:sz w:val="18"/>
                <w:szCs w:val="18"/>
                <w:color w:val="auto"/>
              </w:rPr>
            </w:pPr>
          </w:p>
        </w:tc>
        <w:tc>
          <w:tcPr>
            <w:tcW w:w="610" w:type="dxa"/>
            <w:vAlign w:val="bottom"/>
            <w:gridSpan w:val="2"/>
            <w:shd w:val="clear" w:color="auto" w:fill="CCEEFF"/>
          </w:tcPr>
          <w:p>
            <w:pPr>
              <w:ind w:lef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60" w:type="dxa"/>
            <w:vAlign w:val="bottom"/>
            <w:shd w:val="clear" w:color="auto" w:fill="CCEEFF"/>
          </w:tcPr>
          <w:p>
            <w:pPr>
              <w:spacing w:after="0"/>
              <w:rPr>
                <w:sz w:val="18"/>
                <w:szCs w:val="18"/>
                <w:color w:val="auto"/>
              </w:rPr>
            </w:pPr>
          </w:p>
        </w:tc>
      </w:tr>
      <w:tr>
        <w:trPr>
          <w:trHeight w:val="216"/>
        </w:trPr>
        <w:tc>
          <w:tcPr>
            <w:tcW w:w="45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10" w:type="dxa"/>
            <w:vAlign w:val="bottom"/>
          </w:tcPr>
          <w:p>
            <w:pPr>
              <w:spacing w:after="0"/>
              <w:rPr>
                <w:sz w:val="18"/>
                <w:szCs w:val="18"/>
                <w:color w:val="auto"/>
              </w:rPr>
            </w:pPr>
          </w:p>
        </w:tc>
        <w:tc>
          <w:tcPr>
            <w:tcW w:w="610" w:type="dxa"/>
            <w:vAlign w:val="bottom"/>
            <w:gridSpan w:val="2"/>
          </w:tcPr>
          <w:p>
            <w:pPr>
              <w:ind w:lef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412,178</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412,178</w:t>
            </w:r>
          </w:p>
        </w:tc>
        <w:tc>
          <w:tcPr>
            <w:tcW w:w="60" w:type="dxa"/>
            <w:vAlign w:val="bottom"/>
          </w:tcPr>
          <w:p>
            <w:pPr>
              <w:spacing w:after="0"/>
              <w:rPr>
                <w:sz w:val="18"/>
                <w:szCs w:val="18"/>
                <w:color w:val="auto"/>
              </w:rPr>
            </w:pPr>
          </w:p>
        </w:tc>
      </w:tr>
      <w:tr>
        <w:trPr>
          <w:trHeight w:val="208"/>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Deficit accumulated from inception during the</w:t>
            </w:r>
          </w:p>
        </w:tc>
        <w:tc>
          <w:tcPr>
            <w:tcW w:w="110" w:type="dxa"/>
            <w:vAlign w:val="bottom"/>
            <w:shd w:val="clear" w:color="auto" w:fill="CCEEFF"/>
          </w:tcPr>
          <w:p>
            <w:pPr>
              <w:spacing w:after="0"/>
              <w:rPr>
                <w:sz w:val="18"/>
                <w:szCs w:val="18"/>
                <w:color w:val="auto"/>
              </w:rPr>
            </w:pPr>
          </w:p>
        </w:tc>
        <w:tc>
          <w:tcPr>
            <w:tcW w:w="29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4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development stage</w:t>
            </w:r>
          </w:p>
        </w:tc>
        <w:tc>
          <w:tcPr>
            <w:tcW w:w="110" w:type="dxa"/>
            <w:vAlign w:val="bottom"/>
            <w:shd w:val="clear" w:color="auto" w:fill="CCEEFF"/>
          </w:tcPr>
          <w:p>
            <w:pPr>
              <w:spacing w:after="0"/>
              <w:rPr>
                <w:sz w:val="19"/>
                <w:szCs w:val="19"/>
                <w:color w:val="auto"/>
              </w:rPr>
            </w:pPr>
          </w:p>
        </w:tc>
        <w:tc>
          <w:tcPr>
            <w:tcW w:w="610" w:type="dxa"/>
            <w:vAlign w:val="bottom"/>
            <w:gridSpan w:val="2"/>
            <w:shd w:val="clear" w:color="auto" w:fill="CCEEFF"/>
          </w:tcPr>
          <w:p>
            <w:pPr>
              <w:ind w:lef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(878)</w:t>
            </w: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(26,737)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(28,342)</w:t>
            </w:r>
          </w:p>
        </w:tc>
      </w:tr>
      <w:tr>
        <w:trPr>
          <w:trHeight w:val="108"/>
        </w:trPr>
        <w:tc>
          <w:tcPr>
            <w:tcW w:w="45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29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560" w:type="dxa"/>
            <w:vAlign w:val="bottom"/>
          </w:tcPr>
          <w:p>
            <w:pPr>
              <w:spacing w:after="0"/>
              <w:rPr>
                <w:sz w:val="8"/>
                <w:szCs w:val="8"/>
                <w:color w:val="auto"/>
              </w:rPr>
            </w:pPr>
          </w:p>
        </w:tc>
        <w:tc>
          <w:tcPr>
            <w:tcW w:w="110" w:type="dxa"/>
            <w:vAlign w:val="bottom"/>
          </w:tcPr>
          <w:p>
            <w:pPr>
              <w:spacing w:after="0"/>
              <w:rPr>
                <w:sz w:val="8"/>
                <w:szCs w:val="8"/>
                <w:color w:val="auto"/>
              </w:rPr>
            </w:pPr>
          </w:p>
        </w:tc>
        <w:tc>
          <w:tcPr>
            <w:tcW w:w="29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110" w:type="dxa"/>
            <w:vAlign w:val="bottom"/>
            <w:shd w:val="clear" w:color="auto" w:fill="CCEEFF"/>
          </w:tcPr>
          <w:p>
            <w:pPr>
              <w:spacing w:after="0"/>
              <w:rPr>
                <w:sz w:val="18"/>
                <w:szCs w:val="18"/>
                <w:color w:val="auto"/>
              </w:rPr>
            </w:pPr>
          </w:p>
        </w:tc>
        <w:tc>
          <w:tcPr>
            <w:tcW w:w="610" w:type="dxa"/>
            <w:vAlign w:val="bottom"/>
            <w:gridSpan w:val="2"/>
            <w:shd w:val="clear" w:color="auto" w:fill="CCEEFF"/>
          </w:tcPr>
          <w:p>
            <w:pPr>
              <w:ind w:lef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(878)</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385,835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384,230</w:t>
            </w:r>
          </w:p>
        </w:tc>
        <w:tc>
          <w:tcPr>
            <w:tcW w:w="60" w:type="dxa"/>
            <w:vAlign w:val="bottom"/>
            <w:shd w:val="clear" w:color="auto" w:fill="CCEEFF"/>
          </w:tcPr>
          <w:p>
            <w:pPr>
              <w:spacing w:after="0"/>
              <w:rPr>
                <w:sz w:val="18"/>
                <w:szCs w:val="18"/>
                <w:color w:val="auto"/>
              </w:rPr>
            </w:pPr>
          </w:p>
        </w:tc>
      </w:tr>
      <w:tr>
        <w:trPr>
          <w:trHeight w:val="108"/>
        </w:trPr>
        <w:tc>
          <w:tcPr>
            <w:tcW w:w="45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29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560" w:type="dxa"/>
            <w:vAlign w:val="bottom"/>
          </w:tcPr>
          <w:p>
            <w:pPr>
              <w:spacing w:after="0"/>
              <w:rPr>
                <w:sz w:val="8"/>
                <w:szCs w:val="8"/>
                <w:color w:val="auto"/>
              </w:rPr>
            </w:pPr>
          </w:p>
        </w:tc>
        <w:tc>
          <w:tcPr>
            <w:tcW w:w="110" w:type="dxa"/>
            <w:vAlign w:val="bottom"/>
          </w:tcPr>
          <w:p>
            <w:pPr>
              <w:spacing w:after="0"/>
              <w:rPr>
                <w:sz w:val="8"/>
                <w:szCs w:val="8"/>
                <w:color w:val="auto"/>
              </w:rPr>
            </w:pPr>
          </w:p>
        </w:tc>
        <w:tc>
          <w:tcPr>
            <w:tcW w:w="29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10" w:type="dxa"/>
            <w:vAlign w:val="bottom"/>
            <w:gridSpan w:val="2"/>
            <w:shd w:val="clear" w:color="auto" w:fill="CCEEFF"/>
          </w:tcPr>
          <w:p>
            <w:pPr>
              <w:ind w:lef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390,022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388,543</w:t>
            </w:r>
          </w:p>
        </w:tc>
        <w:tc>
          <w:tcPr>
            <w:tcW w:w="60" w:type="dxa"/>
            <w:vAlign w:val="bottom"/>
            <w:shd w:val="clear" w:color="auto" w:fill="CCEEFF"/>
          </w:tcPr>
          <w:p>
            <w:pPr>
              <w:spacing w:after="0"/>
              <w:rPr>
                <w:sz w:val="18"/>
                <w:szCs w:val="18"/>
                <w:color w:val="auto"/>
              </w:rPr>
            </w:pPr>
          </w:p>
        </w:tc>
      </w:tr>
      <w:tr>
        <w:trPr>
          <w:trHeight w:val="132"/>
        </w:trPr>
        <w:tc>
          <w:tcPr>
            <w:tcW w:w="45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29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467"/>
        </w:trPr>
        <w:tc>
          <w:tcPr>
            <w:tcW w:w="456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29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F-33</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-3636010</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-3636010</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-3636010</wp:posOffset>
            </wp:positionV>
            <wp:extent cx="2159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-3636010</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-3636010</wp:posOffset>
            </wp:positionV>
            <wp:extent cx="2159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-3636010</wp:posOffset>
            </wp:positionV>
            <wp:extent cx="3873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-3636010</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-3636010</wp:posOffset>
            </wp:positionV>
            <wp:extent cx="2159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-3636010</wp:posOffset>
            </wp:positionV>
            <wp:extent cx="3873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-3636010</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-3636010</wp:posOffset>
            </wp:positionV>
            <wp:extent cx="2159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-3636010</wp:posOffset>
            </wp:positionV>
            <wp:extent cx="3873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-3636010</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-3636010</wp:posOffset>
            </wp:positionV>
            <wp:extent cx="2159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-3636010</wp:posOffset>
            </wp:positionV>
            <wp:extent cx="3873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-3636010</wp:posOffset>
            </wp:positionV>
            <wp:extent cx="45847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-325755</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-325755</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-325755</wp:posOffset>
            </wp:positionV>
            <wp:extent cx="2159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-325755</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-325755</wp:posOffset>
            </wp:positionV>
            <wp:extent cx="2159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-325755</wp:posOffset>
            </wp:positionV>
            <wp:extent cx="3873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-325755</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-325755</wp:posOffset>
            </wp:positionV>
            <wp:extent cx="2159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-325755</wp:posOffset>
            </wp:positionV>
            <wp:extent cx="3873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-325755</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-325755</wp:posOffset>
            </wp:positionV>
            <wp:extent cx="2159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-325755</wp:posOffset>
            </wp:positionV>
            <wp:extent cx="3873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-325755</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-325755</wp:posOffset>
            </wp:positionV>
            <wp:extent cx="2159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-325755</wp:posOffset>
            </wp:positionV>
            <wp:extent cx="3873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-325755</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-325755</wp:posOffset>
            </wp:positionV>
            <wp:extent cx="2159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7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YEAR ENDED DECEMBER 31,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2"/>
              </w:rPr>
              <w:t>Non-guarantor</w:t>
            </w:r>
          </w:p>
        </w:tc>
        <w:tc>
          <w:tcPr>
            <w:tcW w:w="100" w:type="dxa"/>
            <w:vAlign w:val="bottom"/>
          </w:tcPr>
          <w:p>
            <w:pPr>
              <w:spacing w:after="0"/>
              <w:rPr>
                <w:sz w:val="14"/>
                <w:szCs w:val="14"/>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0"/>
              </w:rPr>
              <w:t>Eliminating</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4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4"/>
          </w:tcPr>
          <w:p>
            <w:pPr>
              <w:ind w:left="80"/>
              <w:spacing w:after="0"/>
              <w:rPr>
                <w:sz w:val="20"/>
                <w:szCs w:val="20"/>
                <w:color w:val="auto"/>
              </w:rPr>
            </w:pPr>
            <w:r>
              <w:rPr>
                <w:rFonts w:ascii="Arial" w:cs="Arial" w:eastAsia="Arial" w:hAnsi="Arial"/>
                <w:sz w:val="14"/>
                <w:szCs w:val="14"/>
                <w:b w:val="1"/>
                <w:bCs w:val="1"/>
                <w:color w:val="auto"/>
              </w:rPr>
              <w:t>Parent</w:t>
            </w:r>
          </w:p>
        </w:tc>
        <w:tc>
          <w:tcPr>
            <w:tcW w:w="7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4"/>
              </w:rPr>
              <w:t>Subsidiaries</w:t>
            </w:r>
          </w:p>
        </w:tc>
        <w:tc>
          <w:tcPr>
            <w:tcW w:w="140" w:type="dxa"/>
            <w:vAlign w:val="bottom"/>
          </w:tcPr>
          <w:p>
            <w:pPr>
              <w:spacing w:after="0"/>
              <w:rPr>
                <w:sz w:val="15"/>
                <w:szCs w:val="15"/>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6"/>
              </w:rPr>
              <w:t>Subsidiaries</w:t>
            </w:r>
          </w:p>
        </w:tc>
        <w:tc>
          <w:tcPr>
            <w:tcW w:w="100" w:type="dxa"/>
            <w:vAlign w:val="bottom"/>
          </w:tcPr>
          <w:p>
            <w:pPr>
              <w:spacing w:after="0"/>
              <w:rPr>
                <w:sz w:val="15"/>
                <w:szCs w:val="15"/>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r>
      <w:tr>
        <w:trPr>
          <w:trHeight w:val="95"/>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Airplane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3,455</w:t>
            </w:r>
          </w:p>
        </w:tc>
        <w:tc>
          <w:tcPr>
            <w:tcW w:w="4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(2,826)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629</w:t>
            </w:r>
          </w:p>
        </w:tc>
        <w:tc>
          <w:tcPr>
            <w:tcW w:w="60" w:type="dxa"/>
            <w:vAlign w:val="bottom"/>
          </w:tcPr>
          <w:p>
            <w:pPr>
              <w:spacing w:after="0"/>
              <w:rPr>
                <w:sz w:val="18"/>
                <w:szCs w:val="18"/>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Art gallery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60" w:type="dxa"/>
            <w:vAlign w:val="bottom"/>
            <w:shd w:val="clear" w:color="auto" w:fill="CCEEFF"/>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Retail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237</w:t>
            </w:r>
          </w:p>
        </w:tc>
        <w:tc>
          <w:tcPr>
            <w:tcW w:w="60" w:type="dxa"/>
            <w:vAlign w:val="bottom"/>
          </w:tcPr>
          <w:p>
            <w:pPr>
              <w:spacing w:after="0"/>
              <w:rPr>
                <w:sz w:val="18"/>
                <w:szCs w:val="18"/>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Water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r>
      <w:tr>
        <w:trPr>
          <w:trHeight w:val="108"/>
        </w:trPr>
        <w:tc>
          <w:tcPr>
            <w:tcW w:w="4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(2,888)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60" w:type="dxa"/>
            <w:vAlign w:val="bottom"/>
            <w:shd w:val="clear" w:color="auto" w:fill="CCEEFF"/>
          </w:tcPr>
          <w:p>
            <w:pPr>
              <w:spacing w:after="0"/>
              <w:rPr>
                <w:sz w:val="18"/>
                <w:szCs w:val="18"/>
                <w:color w:val="auto"/>
              </w:rPr>
            </w:pPr>
          </w:p>
        </w:tc>
      </w:tr>
      <w:tr>
        <w:trPr>
          <w:trHeight w:val="108"/>
        </w:trPr>
        <w:tc>
          <w:tcPr>
            <w:tcW w:w="4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Pre-opening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5,278</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4,536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13,088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4,963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(2,718)</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25,147</w:t>
            </w:r>
          </w:p>
        </w:tc>
        <w:tc>
          <w:tcPr>
            <w:tcW w:w="60" w:type="dxa"/>
            <w:vAlign w:val="bottom"/>
          </w:tcPr>
          <w:p>
            <w:pPr>
              <w:spacing w:after="0"/>
              <w:rPr>
                <w:sz w:val="18"/>
                <w:szCs w:val="18"/>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8,934</w:t>
            </w:r>
          </w:p>
        </w:tc>
        <w:tc>
          <w:tcPr>
            <w:tcW w:w="60" w:type="dxa"/>
            <w:vAlign w:val="bottom"/>
            <w:shd w:val="clear" w:color="auto" w:fill="CCEEFF"/>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(Gain)/Loss on sale of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60" w:type="dxa"/>
            <w:vAlign w:val="bottom"/>
            <w:shd w:val="clear" w:color="auto" w:fill="CCEEFF"/>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Cost of water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8"/>
                <w:szCs w:val="18"/>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retail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18"/>
                <w:szCs w:val="18"/>
                <w:color w:val="auto"/>
              </w:rPr>
            </w:pPr>
          </w:p>
        </w:tc>
      </w:tr>
      <w:tr>
        <w:trPr>
          <w:trHeight w:val="222"/>
        </w:trPr>
        <w:tc>
          <w:tcPr>
            <w:tcW w:w="4440" w:type="dxa"/>
            <w:vAlign w:val="bottom"/>
          </w:tcPr>
          <w:p>
            <w:pPr>
              <w:ind w:left="180"/>
              <w:spacing w:after="0"/>
              <w:rPr>
                <w:sz w:val="20"/>
                <w:szCs w:val="20"/>
                <w:color w:val="auto"/>
              </w:rPr>
            </w:pPr>
            <w:r>
              <w:rPr>
                <w:rFonts w:ascii="Arial" w:cs="Arial" w:eastAsia="Arial" w:hAnsi="Arial"/>
                <w:sz w:val="18"/>
                <w:szCs w:val="18"/>
                <w:color w:val="auto"/>
              </w:rPr>
              <w:t>Loss from incidental operations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609</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700</w:t>
            </w:r>
          </w:p>
        </w:tc>
        <w:tc>
          <w:tcPr>
            <w:tcW w:w="60" w:type="dxa"/>
            <w:vAlign w:val="bottom"/>
          </w:tcPr>
          <w:p>
            <w:pPr>
              <w:spacing w:after="0"/>
              <w:rPr>
                <w:sz w:val="19"/>
                <w:szCs w:val="19"/>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5,278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4,636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(2,888)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35,559</w:t>
            </w:r>
          </w:p>
        </w:tc>
        <w:tc>
          <w:tcPr>
            <w:tcW w:w="60" w:type="dxa"/>
            <w:vAlign w:val="bottom"/>
            <w:shd w:val="clear" w:color="auto" w:fill="CCEEFF"/>
          </w:tcPr>
          <w:p>
            <w:pPr>
              <w:spacing w:after="0"/>
              <w:rPr>
                <w:sz w:val="18"/>
                <w:szCs w:val="18"/>
                <w:color w:val="auto"/>
              </w:rPr>
            </w:pPr>
          </w:p>
        </w:tc>
      </w:tr>
      <w:tr>
        <w:trPr>
          <w:trHeight w:val="108"/>
        </w:trPr>
        <w:tc>
          <w:tcPr>
            <w:tcW w:w="4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(5,278)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(4,636)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(18,915)</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(5,571)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(34,400)</w:t>
            </w:r>
          </w:p>
        </w:tc>
      </w:tr>
      <w:tr>
        <w:trPr>
          <w:trHeight w:val="108"/>
        </w:trPr>
        <w:tc>
          <w:tcPr>
            <w:tcW w:w="4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(1,014)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(883)</w:t>
            </w:r>
          </w:p>
        </w:tc>
        <w:tc>
          <w:tcPr>
            <w:tcW w:w="14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(1,897)</w:t>
            </w: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170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1,769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60" w:type="dxa"/>
            <w:vAlign w:val="bottom"/>
            <w:shd w:val="clear" w:color="auto" w:fill="CCEEFF"/>
          </w:tcPr>
          <w:p>
            <w:pPr>
              <w:spacing w:after="0"/>
              <w:rPr>
                <w:sz w:val="18"/>
                <w:szCs w:val="18"/>
                <w:color w:val="auto"/>
              </w:rPr>
            </w:pPr>
          </w:p>
        </w:tc>
      </w:tr>
      <w:tr>
        <w:trPr>
          <w:trHeight w:val="222"/>
        </w:trPr>
        <w:tc>
          <w:tcPr>
            <w:tcW w:w="4440" w:type="dxa"/>
            <w:vAlign w:val="bottom"/>
          </w:tcPr>
          <w:p>
            <w:pPr>
              <w:ind w:left="180"/>
              <w:spacing w:after="0"/>
              <w:rPr>
                <w:sz w:val="20"/>
                <w:szCs w:val="20"/>
                <w:color w:val="auto"/>
              </w:rPr>
            </w:pPr>
            <w:r>
              <w:rPr>
                <w:rFonts w:ascii="Arial" w:cs="Arial" w:eastAsia="Arial" w:hAnsi="Arial"/>
                <w:sz w:val="18"/>
                <w:szCs w:val="18"/>
                <w:color w:val="auto"/>
              </w:rPr>
              <w:t>Equity in loss from Macau</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(4,083)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4,083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(3,913)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755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60" w:type="dxa"/>
            <w:vAlign w:val="bottom"/>
            <w:shd w:val="clear" w:color="auto" w:fill="CCEEFF"/>
          </w:tcPr>
          <w:p>
            <w:pPr>
              <w:spacing w:after="0"/>
              <w:rPr>
                <w:sz w:val="18"/>
                <w:szCs w:val="18"/>
                <w:color w:val="auto"/>
              </w:rPr>
            </w:pPr>
          </w:p>
        </w:tc>
      </w:tr>
      <w:tr>
        <w:trPr>
          <w:trHeight w:val="108"/>
        </w:trPr>
        <w:tc>
          <w:tcPr>
            <w:tcW w:w="4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60" w:type="dxa"/>
            <w:vAlign w:val="bottom"/>
            <w:shd w:val="clear" w:color="auto" w:fill="CCEEFF"/>
          </w:tcPr>
          <w:p>
            <w:pPr>
              <w:spacing w:after="0"/>
              <w:rPr>
                <w:sz w:val="18"/>
                <w:szCs w:val="18"/>
                <w:color w:val="auto"/>
              </w:rPr>
            </w:pPr>
          </w:p>
        </w:tc>
      </w:tr>
      <w:tr>
        <w:trPr>
          <w:trHeight w:val="108"/>
        </w:trPr>
        <w:tc>
          <w:tcPr>
            <w:tcW w:w="4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Net loss accumulated during the development stage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(9,191)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(3,881)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(18,167)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(31,713)</w:t>
            </w:r>
          </w:p>
        </w:tc>
      </w:tr>
      <w:tr>
        <w:trPr>
          <w:trHeight w:val="132"/>
        </w:trPr>
        <w:tc>
          <w:tcPr>
            <w:tcW w:w="4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467"/>
        </w:trPr>
        <w:tc>
          <w:tcPr>
            <w:tcW w:w="4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color w:val="auto"/>
              </w:rPr>
              <w:t>F-34</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2824480</wp:posOffset>
            </wp:positionH>
            <wp:positionV relativeFrom="paragraph">
              <wp:posOffset>-325755</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-325755</wp:posOffset>
            </wp:positionV>
            <wp:extent cx="2159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-325755</wp:posOffset>
            </wp:positionV>
            <wp:extent cx="3873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-325755</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-325755</wp:posOffset>
            </wp:positionV>
            <wp:extent cx="2159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-325755</wp:posOffset>
            </wp:positionV>
            <wp:extent cx="130746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307465"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-325755</wp:posOffset>
            </wp:positionV>
            <wp:extent cx="3873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-325755</wp:posOffset>
            </wp:positionV>
            <wp:extent cx="1270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-325755</wp:posOffset>
            </wp:positionV>
            <wp:extent cx="2159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-325755</wp:posOffset>
            </wp:positionV>
            <wp:extent cx="3873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-325755</wp:posOffset>
            </wp:positionV>
            <wp:extent cx="2159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7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YEAR ENDED DECEMBER 31, 2001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Non-guarantor</w:t>
            </w:r>
          </w:p>
        </w:tc>
        <w:tc>
          <w:tcPr>
            <w:tcW w:w="10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7"/>
              </w:rPr>
              <w:t>Eliminating</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4780" w:type="dxa"/>
            <w:vAlign w:val="bottom"/>
          </w:tcPr>
          <w:p>
            <w:pPr>
              <w:spacing w:after="0"/>
              <w:rPr>
                <w:sz w:val="15"/>
                <w:szCs w:val="15"/>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7"/>
              </w:rPr>
              <w:t>Parent</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Issuers</w:t>
            </w:r>
          </w:p>
        </w:tc>
        <w:tc>
          <w:tcPr>
            <w:tcW w:w="120" w:type="dxa"/>
            <w:vAlign w:val="bottom"/>
          </w:tcPr>
          <w:p>
            <w:pPr>
              <w:spacing w:after="0"/>
              <w:rPr>
                <w:sz w:val="15"/>
                <w:szCs w:val="15"/>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5"/>
                <w:szCs w:val="15"/>
                <w:color w:val="auto"/>
              </w:rPr>
            </w:pPr>
          </w:p>
        </w:tc>
        <w:tc>
          <w:tcPr>
            <w:tcW w:w="1480" w:type="dxa"/>
            <w:vAlign w:val="bottom"/>
            <w:gridSpan w:val="3"/>
          </w:tcPr>
          <w:p>
            <w:pPr>
              <w:ind w:left="1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r>
      <w:tr>
        <w:trPr>
          <w:trHeight w:val="95"/>
        </w:trPr>
        <w:tc>
          <w:tcPr>
            <w:tcW w:w="47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ind w:left="200"/>
              <w:spacing w:after="0"/>
              <w:rPr>
                <w:sz w:val="20"/>
                <w:szCs w:val="20"/>
                <w:color w:val="auto"/>
              </w:rPr>
            </w:pPr>
            <w:r>
              <w:rPr>
                <w:rFonts w:ascii="Arial" w:cs="Arial" w:eastAsia="Arial" w:hAnsi="Arial"/>
                <w:sz w:val="18"/>
                <w:szCs w:val="18"/>
                <w:color w:val="auto"/>
              </w:rPr>
              <w:t>Airplane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3"/>
          </w:tcPr>
          <w:p>
            <w:pPr>
              <w:spacing w:after="0"/>
              <w:rPr>
                <w:sz w:val="20"/>
                <w:szCs w:val="20"/>
                <w:color w:val="auto"/>
              </w:rPr>
            </w:pPr>
            <w:r>
              <w:rPr>
                <w:rFonts w:ascii="Arial" w:cs="Arial" w:eastAsia="Arial" w:hAnsi="Arial"/>
                <w:sz w:val="18"/>
                <w:szCs w:val="18"/>
                <w:color w:val="auto"/>
              </w:rPr>
              <w:t>$ —</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2,006</w:t>
            </w:r>
          </w:p>
        </w:tc>
        <w:tc>
          <w:tcPr>
            <w:tcW w:w="4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(929)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1,077</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Art gallery</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ind w:left="200"/>
              <w:spacing w:after="0"/>
              <w:rPr>
                <w:sz w:val="20"/>
                <w:szCs w:val="20"/>
                <w:color w:val="auto"/>
              </w:rPr>
            </w:pPr>
            <w:r>
              <w:rPr>
                <w:rFonts w:ascii="Arial" w:cs="Arial" w:eastAsia="Arial" w:hAnsi="Arial"/>
                <w:sz w:val="18"/>
                <w:szCs w:val="18"/>
                <w:color w:val="auto"/>
              </w:rPr>
              <w:t>Retail</w:t>
            </w:r>
          </w:p>
        </w:tc>
        <w:tc>
          <w:tcPr>
            <w:tcW w:w="160" w:type="dxa"/>
            <w:vAlign w:val="bottom"/>
          </w:tcPr>
          <w:p>
            <w:pPr>
              <w:spacing w:after="0"/>
              <w:rPr>
                <w:sz w:val="18"/>
                <w:szCs w:val="18"/>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Water</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r>
      <w:tr>
        <w:trPr>
          <w:trHeight w:val="108"/>
        </w:trPr>
        <w:tc>
          <w:tcPr>
            <w:tcW w:w="47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60" w:type="dxa"/>
            <w:vAlign w:val="bottom"/>
            <w:shd w:val="clear" w:color="auto" w:fill="CCEEFF"/>
          </w:tcPr>
          <w:p>
            <w:pPr>
              <w:spacing w:after="0"/>
              <w:rPr>
                <w:sz w:val="18"/>
                <w:szCs w:val="18"/>
                <w:color w:val="auto"/>
              </w:rPr>
            </w:pPr>
          </w:p>
        </w:tc>
      </w:tr>
      <w:tr>
        <w:trPr>
          <w:trHeight w:val="108"/>
        </w:trPr>
        <w:tc>
          <w:tcPr>
            <w:tcW w:w="47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ind w:left="200"/>
              <w:spacing w:after="0"/>
              <w:rPr>
                <w:sz w:val="20"/>
                <w:szCs w:val="20"/>
                <w:color w:val="auto"/>
              </w:rPr>
            </w:pPr>
            <w:r>
              <w:rPr>
                <w:rFonts w:ascii="Arial" w:cs="Arial" w:eastAsia="Arial" w:hAnsi="Arial"/>
                <w:sz w:val="18"/>
                <w:szCs w:val="18"/>
                <w:color w:val="auto"/>
              </w:rPr>
              <w:t>Pre-opening costs</w:t>
            </w:r>
          </w:p>
        </w:tc>
        <w:tc>
          <w:tcPr>
            <w:tcW w:w="160" w:type="dxa"/>
            <w:vAlign w:val="bottom"/>
          </w:tcPr>
          <w:p>
            <w:pPr>
              <w:spacing w:after="0"/>
              <w:rPr>
                <w:sz w:val="18"/>
                <w:szCs w:val="18"/>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160"/>
              <w:spacing w:after="0"/>
              <w:rPr>
                <w:sz w:val="20"/>
                <w:szCs w:val="20"/>
                <w:color w:val="auto"/>
              </w:rPr>
            </w:pPr>
            <w:r>
              <w:rPr>
                <w:rFonts w:ascii="Arial" w:cs="Arial" w:eastAsia="Arial" w:hAnsi="Arial"/>
                <w:sz w:val="18"/>
                <w:szCs w:val="18"/>
                <w:color w:val="auto"/>
                <w:w w:val="79"/>
              </w:rPr>
              <w:t>878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12,772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ind w:left="740"/>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11,862</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8,163</w:t>
            </w: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ind w:left="200"/>
              <w:spacing w:after="0"/>
              <w:rPr>
                <w:sz w:val="20"/>
                <w:szCs w:val="20"/>
                <w:color w:val="auto"/>
              </w:rPr>
            </w:pPr>
            <w:r>
              <w:rPr>
                <w:rFonts w:ascii="Arial" w:cs="Arial" w:eastAsia="Arial" w:hAnsi="Arial"/>
                <w:sz w:val="18"/>
                <w:szCs w:val="18"/>
                <w:color w:val="auto"/>
              </w:rPr>
              <w:t>(Gain)/Loss on sale of assets</w:t>
            </w:r>
          </w:p>
        </w:tc>
        <w:tc>
          <w:tcPr>
            <w:tcW w:w="160" w:type="dxa"/>
            <w:vAlign w:val="bottom"/>
          </w:tcPr>
          <w:p>
            <w:pPr>
              <w:spacing w:after="0"/>
              <w:rPr>
                <w:sz w:val="18"/>
                <w:szCs w:val="18"/>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394</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w w:val="79"/>
              </w:rPr>
              <w:t>267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ind w:left="200"/>
              <w:spacing w:after="0"/>
              <w:rPr>
                <w:sz w:val="20"/>
                <w:szCs w:val="20"/>
                <w:color w:val="auto"/>
              </w:rPr>
            </w:pPr>
            <w:r>
              <w:rPr>
                <w:rFonts w:ascii="Arial" w:cs="Arial" w:eastAsia="Arial" w:hAnsi="Arial"/>
                <w:sz w:val="18"/>
                <w:szCs w:val="18"/>
                <w:color w:val="auto"/>
              </w:rPr>
              <w:t>Facility closure</w:t>
            </w:r>
          </w:p>
        </w:tc>
        <w:tc>
          <w:tcPr>
            <w:tcW w:w="160" w:type="dxa"/>
            <w:vAlign w:val="bottom"/>
          </w:tcPr>
          <w:p>
            <w:pPr>
              <w:spacing w:after="0"/>
              <w:rPr>
                <w:sz w:val="18"/>
                <w:szCs w:val="18"/>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373</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water</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w w:val="79"/>
              </w:rPr>
              <w:t>167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r>
      <w:tr>
        <w:trPr>
          <w:trHeight w:val="222"/>
        </w:trPr>
        <w:tc>
          <w:tcPr>
            <w:tcW w:w="4780" w:type="dxa"/>
            <w:vAlign w:val="bottom"/>
          </w:tcPr>
          <w:p>
            <w:pPr>
              <w:ind w:left="200"/>
              <w:spacing w:after="0"/>
              <w:rPr>
                <w:sz w:val="20"/>
                <w:szCs w:val="20"/>
                <w:color w:val="auto"/>
              </w:rPr>
            </w:pPr>
            <w:r>
              <w:rPr>
                <w:rFonts w:ascii="Arial" w:cs="Arial" w:eastAsia="Arial" w:hAnsi="Arial"/>
                <w:sz w:val="18"/>
                <w:szCs w:val="18"/>
                <w:color w:val="auto"/>
              </w:rPr>
              <w:t>Cost of retail sales</w:t>
            </w:r>
          </w:p>
        </w:tc>
        <w:tc>
          <w:tcPr>
            <w:tcW w:w="160" w:type="dxa"/>
            <w:vAlign w:val="bottom"/>
          </w:tcPr>
          <w:p>
            <w:pPr>
              <w:spacing w:after="0"/>
              <w:rPr>
                <w:sz w:val="19"/>
                <w:szCs w:val="19"/>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r>
      <w:tr>
        <w:trPr>
          <w:trHeight w:val="102"/>
        </w:trPr>
        <w:tc>
          <w:tcPr>
            <w:tcW w:w="47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expenses</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878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w w:val="79"/>
              </w:rPr>
              <w:t>749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21,217</w:t>
            </w:r>
          </w:p>
        </w:tc>
        <w:tc>
          <w:tcPr>
            <w:tcW w:w="60" w:type="dxa"/>
            <w:vAlign w:val="bottom"/>
            <w:shd w:val="clear" w:color="auto" w:fill="CCEEFF"/>
          </w:tcPr>
          <w:p>
            <w:pPr>
              <w:spacing w:after="0"/>
              <w:rPr>
                <w:sz w:val="18"/>
                <w:szCs w:val="18"/>
                <w:color w:val="auto"/>
              </w:rPr>
            </w:pPr>
          </w:p>
        </w:tc>
      </w:tr>
      <w:tr>
        <w:trPr>
          <w:trHeight w:val="108"/>
        </w:trPr>
        <w:tc>
          <w:tcPr>
            <w:tcW w:w="47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(878)</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(18,510)</w:t>
            </w: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(20,060)</w:t>
            </w:r>
          </w:p>
        </w:tc>
      </w:tr>
      <w:tr>
        <w:trPr>
          <w:trHeight w:val="108"/>
        </w:trPr>
        <w:tc>
          <w:tcPr>
            <w:tcW w:w="47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8"/>
                <w:szCs w:val="18"/>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148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60" w:type="dxa"/>
            <w:vAlign w:val="bottom"/>
            <w:shd w:val="clear" w:color="auto" w:fill="CCEEFF"/>
          </w:tcPr>
          <w:p>
            <w:pPr>
              <w:spacing w:after="0"/>
              <w:rPr>
                <w:sz w:val="18"/>
                <w:szCs w:val="18"/>
                <w:color w:val="auto"/>
              </w:rPr>
            </w:pPr>
          </w:p>
        </w:tc>
      </w:tr>
      <w:tr>
        <w:trPr>
          <w:trHeight w:val="108"/>
        </w:trPr>
        <w:tc>
          <w:tcPr>
            <w:tcW w:w="47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60" w:type="dxa"/>
            <w:vAlign w:val="bottom"/>
            <w:shd w:val="clear" w:color="auto" w:fill="CCEEFF"/>
          </w:tcPr>
          <w:p>
            <w:pPr>
              <w:spacing w:after="0"/>
              <w:rPr>
                <w:sz w:val="18"/>
                <w:szCs w:val="18"/>
                <w:color w:val="auto"/>
              </w:rPr>
            </w:pPr>
          </w:p>
        </w:tc>
      </w:tr>
      <w:tr>
        <w:trPr>
          <w:trHeight w:val="108"/>
        </w:trPr>
        <w:tc>
          <w:tcPr>
            <w:tcW w:w="47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loss accumulated during the development stage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8"/>
              </w:rPr>
              <w:t>$(878)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(16,176)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(17,726)</w:t>
            </w:r>
          </w:p>
        </w:tc>
      </w:tr>
      <w:tr>
        <w:trPr>
          <w:trHeight w:val="132"/>
        </w:trPr>
        <w:tc>
          <w:tcPr>
            <w:tcW w:w="47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gridSpan w:val="2"/>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467"/>
        </w:trPr>
        <w:tc>
          <w:tcPr>
            <w:tcW w:w="4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gridSpan w:val="3"/>
          </w:tcPr>
          <w:p>
            <w:pPr>
              <w:ind w:left="20"/>
              <w:spacing w:after="0"/>
              <w:rPr>
                <w:sz w:val="20"/>
                <w:szCs w:val="20"/>
                <w:color w:val="auto"/>
              </w:rPr>
            </w:pPr>
            <w:r>
              <w:rPr>
                <w:rFonts w:ascii="Arial" w:cs="Arial" w:eastAsia="Arial" w:hAnsi="Arial"/>
                <w:sz w:val="18"/>
                <w:szCs w:val="18"/>
                <w:color w:val="auto"/>
              </w:rPr>
              <w:t>F-35</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-325755</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-325755</wp:posOffset>
            </wp:positionV>
            <wp:extent cx="1270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-325755</wp:posOffset>
            </wp:positionV>
            <wp:extent cx="2159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-325755</wp:posOffset>
            </wp:positionV>
            <wp:extent cx="29591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-325755</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-325755</wp:posOffset>
            </wp:positionV>
            <wp:extent cx="2159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-325755</wp:posOffset>
            </wp:positionV>
            <wp:extent cx="3873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-325755</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-325755</wp:posOffset>
            </wp:positionV>
            <wp:extent cx="2159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-325755</wp:posOffset>
            </wp:positionV>
            <wp:extent cx="3873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-325755</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-325755</wp:posOffset>
            </wp:positionV>
            <wp:extent cx="2159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-325755</wp:posOffset>
            </wp:positionV>
            <wp:extent cx="3873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-325755</wp:posOffset>
            </wp:positionV>
            <wp:extent cx="2159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7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FROM INCEPTION TO DECEMBER 31, 2000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4"/>
              </w:rPr>
              <w:t>Guarantor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12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8"/>
              </w:rPr>
              <w:t>Eliminating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780" w:type="dxa"/>
            <w:vAlign w:val="bottom"/>
          </w:tcPr>
          <w:p>
            <w:pPr>
              <w:spacing w:after="0"/>
              <w:rPr>
                <w:sz w:val="15"/>
                <w:szCs w:val="15"/>
                <w:color w:val="auto"/>
              </w:rPr>
            </w:pPr>
          </w:p>
        </w:tc>
        <w:tc>
          <w:tcPr>
            <w:tcW w:w="4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Parent</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gridSpan w:val="2"/>
          </w:tcPr>
          <w:p>
            <w:pPr>
              <w:ind w:left="60"/>
              <w:spacing w:after="0"/>
              <w:rPr>
                <w:sz w:val="20"/>
                <w:szCs w:val="20"/>
                <w:color w:val="auto"/>
              </w:rPr>
            </w:pPr>
            <w:r>
              <w:rPr>
                <w:rFonts w:ascii="Arial" w:cs="Arial" w:eastAsia="Arial" w:hAnsi="Arial"/>
                <w:sz w:val="14"/>
                <w:szCs w:val="14"/>
                <w:b w:val="1"/>
                <w:bCs w:val="1"/>
                <w:color w:val="auto"/>
                <w:w w:val="89"/>
              </w:rPr>
              <w:t>Issuers</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1"/>
              </w:rPr>
              <w:t>Subsidiaries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3"/>
          </w:tcPr>
          <w:p>
            <w:pPr>
              <w:ind w:left="10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5"/>
                <w:szCs w:val="15"/>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6"/>
              </w:rPr>
              <w:t>Entries</w:t>
            </w:r>
          </w:p>
        </w:tc>
        <w:tc>
          <w:tcPr>
            <w:tcW w:w="180" w:type="dxa"/>
            <w:vAlign w:val="bottom"/>
          </w:tcPr>
          <w:p>
            <w:pPr>
              <w:spacing w:after="0"/>
              <w:rPr>
                <w:sz w:val="15"/>
                <w:szCs w:val="15"/>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478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7"/>
        </w:trPr>
        <w:tc>
          <w:tcPr>
            <w:tcW w:w="47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Airplane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7"/>
              </w:rPr>
              <w:t>—</w:t>
            </w:r>
          </w:p>
        </w:tc>
        <w:tc>
          <w:tcPr>
            <w:tcW w:w="66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(503)</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7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7"/>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(503)</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780" w:type="dxa"/>
            <w:vAlign w:val="bottom"/>
            <w:vMerge w:val="restart"/>
          </w:tcPr>
          <w:p>
            <w:pPr>
              <w:ind w:left="20"/>
              <w:spacing w:after="0"/>
              <w:rPr>
                <w:sz w:val="20"/>
                <w:szCs w:val="20"/>
                <w:color w:val="auto"/>
              </w:rPr>
            </w:pPr>
            <w:r>
              <w:rPr>
                <w:rFonts w:ascii="Arial" w:cs="Arial" w:eastAsia="Arial" w:hAnsi="Arial"/>
                <w:sz w:val="18"/>
                <w:szCs w:val="18"/>
                <w:color w:val="auto"/>
              </w:rPr>
              <w:t>Expenses:</w:t>
            </w:r>
          </w:p>
        </w:tc>
        <w:tc>
          <w:tcPr>
            <w:tcW w:w="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47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7"/>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(503)</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w w:val="77"/>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3,681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w w:val="79"/>
              </w:rPr>
              <w:t>364</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Facility closure</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7"/>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80" w:type="dxa"/>
            <w:vAlign w:val="bottom"/>
          </w:tcPr>
          <w:p>
            <w:pPr>
              <w:ind w:left="200"/>
              <w:spacing w:after="0"/>
              <w:rPr>
                <w:sz w:val="20"/>
                <w:szCs w:val="20"/>
                <w:color w:val="auto"/>
              </w:rPr>
            </w:pPr>
            <w:r>
              <w:rPr>
                <w:rFonts w:ascii="Arial" w:cs="Arial" w:eastAsia="Arial" w:hAnsi="Arial"/>
                <w:sz w:val="18"/>
                <w:szCs w:val="18"/>
                <w:color w:val="auto"/>
              </w:rPr>
              <w:t>Loss from incidental operations</w:t>
            </w:r>
          </w:p>
        </w:tc>
        <w:tc>
          <w:tcPr>
            <w:tcW w:w="200" w:type="dxa"/>
            <w:vAlign w:val="bottom"/>
          </w:tcPr>
          <w:p>
            <w:pPr>
              <w:spacing w:after="0"/>
              <w:rPr>
                <w:sz w:val="19"/>
                <w:szCs w:val="19"/>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w w:val="77"/>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1,163</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7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expenses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7"/>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(503)</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7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7"/>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(11,978)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(12,033)</w:t>
            </w:r>
          </w:p>
        </w:tc>
        <w:tc>
          <w:tcPr>
            <w:tcW w:w="0" w:type="dxa"/>
            <w:vAlign w:val="bottom"/>
          </w:tcPr>
          <w:p>
            <w:pPr>
              <w:spacing w:after="0"/>
              <w:rPr>
                <w:sz w:val="1"/>
                <w:szCs w:val="1"/>
                <w:color w:val="auto"/>
              </w:rPr>
            </w:pPr>
          </w:p>
        </w:tc>
      </w:tr>
      <w:tr>
        <w:trPr>
          <w:trHeight w:val="108"/>
        </w:trPr>
        <w:tc>
          <w:tcPr>
            <w:tcW w:w="4780" w:type="dxa"/>
            <w:vAlign w:val="bottom"/>
            <w:vMerge w:val="restart"/>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47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7"/>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2"/>
        </w:trPr>
        <w:tc>
          <w:tcPr>
            <w:tcW w:w="478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9"/>
                <w:szCs w:val="19"/>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w w:val="77"/>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1,434</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7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7"/>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7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loss accumulated during the development stage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7"/>
              </w:rPr>
              <w:t>—</w:t>
            </w:r>
          </w:p>
        </w:tc>
        <w:tc>
          <w:tcPr>
            <w:tcW w:w="66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(10,561)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132"/>
        </w:trPr>
        <w:tc>
          <w:tcPr>
            <w:tcW w:w="47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4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F-36</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-325755</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-325755</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-325755</wp:posOffset>
            </wp:positionV>
            <wp:extent cx="2159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-325755</wp:posOffset>
            </wp:positionV>
            <wp:extent cx="1270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-325755</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-325755</wp:posOffset>
            </wp:positionV>
            <wp:extent cx="2159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-325755</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-325755</wp:posOffset>
            </wp:positionV>
            <wp:extent cx="2159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-325755</wp:posOffset>
            </wp:positionV>
            <wp:extent cx="3873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-325755</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-325755</wp:posOffset>
            </wp:positionV>
            <wp:extent cx="2159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-325755</wp:posOffset>
            </wp:positionV>
            <wp:extent cx="3873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-325755</wp:posOffset>
            </wp:positionV>
            <wp:extent cx="2159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-325755</wp:posOffset>
            </wp:positionV>
            <wp:extent cx="3873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-325755</wp:posOffset>
            </wp:positionV>
            <wp:extent cx="1270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-325755</wp:posOffset>
            </wp:positionV>
            <wp:extent cx="3873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7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FROM INCEPTION TO DECEMBER 31,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11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0"/>
              </w:rPr>
              <w:t>Eliminating</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Parent</w:t>
            </w:r>
          </w:p>
        </w:tc>
        <w:tc>
          <w:tcPr>
            <w:tcW w:w="9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3"/>
              </w:rPr>
              <w:t>Issuers</w:t>
            </w:r>
          </w:p>
        </w:tc>
        <w:tc>
          <w:tcPr>
            <w:tcW w:w="180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 Subsidiaries</w:t>
            </w:r>
          </w:p>
        </w:tc>
        <w:tc>
          <w:tcPr>
            <w:tcW w:w="10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5"/>
                <w:szCs w:val="15"/>
                <w:color w:val="auto"/>
              </w:rPr>
            </w:pPr>
          </w:p>
        </w:tc>
        <w:tc>
          <w:tcPr>
            <w:tcW w:w="9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4"/>
              </w:rPr>
              <w:t>Entries</w:t>
            </w:r>
          </w:p>
        </w:tc>
        <w:tc>
          <w:tcPr>
            <w:tcW w:w="120" w:type="dxa"/>
            <w:vAlign w:val="bottom"/>
          </w:tcPr>
          <w:p>
            <w:pPr>
              <w:spacing w:after="0"/>
              <w:rPr>
                <w:sz w:val="15"/>
                <w:szCs w:val="15"/>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444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7"/>
        </w:trPr>
        <w:tc>
          <w:tcPr>
            <w:tcW w:w="44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Airplane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w w:val="74"/>
              </w:rPr>
              <w:t>($</w:t>
            </w: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4,258)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Art gallery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40" w:type="dxa"/>
            <w:vAlign w:val="bottom"/>
          </w:tcPr>
          <w:p>
            <w:pPr>
              <w:ind w:left="180"/>
              <w:spacing w:after="0"/>
              <w:rPr>
                <w:sz w:val="20"/>
                <w:szCs w:val="20"/>
                <w:color w:val="auto"/>
              </w:rPr>
            </w:pPr>
            <w:r>
              <w:rPr>
                <w:rFonts w:ascii="Arial" w:cs="Arial" w:eastAsia="Arial" w:hAnsi="Arial"/>
                <w:sz w:val="18"/>
                <w:szCs w:val="18"/>
                <w:color w:val="auto"/>
              </w:rPr>
              <w:t>Water</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w w:val="86"/>
              </w:rPr>
              <w:t>153</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3"/>
          </w:tcPr>
          <w:p>
            <w:pPr>
              <w:jc w:val="right"/>
              <w:ind w:right="34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6"/>
              </w:rPr>
              <w:t>153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(4,379)</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440" w:type="dxa"/>
            <w:vAlign w:val="bottom"/>
            <w:vMerge w:val="restart"/>
          </w:tcPr>
          <w:p>
            <w:pPr>
              <w:spacing w:after="0"/>
              <w:rPr>
                <w:sz w:val="20"/>
                <w:szCs w:val="20"/>
                <w:color w:val="auto"/>
              </w:rPr>
            </w:pPr>
            <w:r>
              <w:rPr>
                <w:rFonts w:ascii="Arial" w:cs="Arial" w:eastAsia="Arial" w:hAnsi="Arial"/>
                <w:sz w:val="18"/>
                <w:szCs w:val="18"/>
                <w:color w:val="auto"/>
              </w:rPr>
              <w:t>Expenses:</w:t>
            </w: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44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Pre-opening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(4,062)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19,062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2,071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21,142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(Gain)/Loss on sale of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w w:val="86"/>
              </w:rPr>
              <w:t>378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34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Facility closure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Cost of water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w w:val="86"/>
              </w:rPr>
              <w:t>226</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34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retail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40" w:type="dxa"/>
            <w:vAlign w:val="bottom"/>
          </w:tcPr>
          <w:p>
            <w:pPr>
              <w:ind w:left="180"/>
              <w:spacing w:after="0"/>
              <w:rPr>
                <w:sz w:val="20"/>
                <w:szCs w:val="20"/>
                <w:color w:val="auto"/>
              </w:rPr>
            </w:pPr>
            <w:r>
              <w:rPr>
                <w:rFonts w:ascii="Arial" w:cs="Arial" w:eastAsia="Arial" w:hAnsi="Arial"/>
                <w:sz w:val="18"/>
                <w:szCs w:val="18"/>
                <w:color w:val="auto"/>
              </w:rPr>
              <w:t>Loss from incidental operations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w:t>
            </w: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5,514</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(4,379)</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(5,278)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(5,514)</w:t>
            </w: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(49,403)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(6,298)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(66,493)</w:t>
            </w:r>
          </w:p>
        </w:tc>
        <w:tc>
          <w:tcPr>
            <w:tcW w:w="0" w:type="dxa"/>
            <w:vAlign w:val="bottom"/>
          </w:tcPr>
          <w:p>
            <w:pPr>
              <w:spacing w:after="0"/>
              <w:rPr>
                <w:sz w:val="1"/>
                <w:szCs w:val="1"/>
                <w:color w:val="auto"/>
              </w:rPr>
            </w:pPr>
          </w:p>
        </w:tc>
      </w:tr>
      <w:tr>
        <w:trPr>
          <w:trHeight w:val="108"/>
        </w:trPr>
        <w:tc>
          <w:tcPr>
            <w:tcW w:w="4440" w:type="dxa"/>
            <w:vAlign w:val="bottom"/>
            <w:vMerge w:val="restart"/>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44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(1,014)</w:t>
            </w: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w w:val="79"/>
              </w:rPr>
              <w:t>170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1,769</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5,427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w w:val="86"/>
              </w:rPr>
              <w:t>148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loss from Macau</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(4,083)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4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(3,913)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6"/>
              </w:rPr>
              <w:t>755</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6"/>
              </w:rPr>
              <w:t>148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Net loss accumulated during the development stage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(9,191)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(4,759)</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(44,904)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(6,150)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(60,055)</w:t>
            </w:r>
          </w:p>
        </w:tc>
        <w:tc>
          <w:tcPr>
            <w:tcW w:w="0" w:type="dxa"/>
            <w:vAlign w:val="bottom"/>
          </w:tcPr>
          <w:p>
            <w:pPr>
              <w:spacing w:after="0"/>
              <w:rPr>
                <w:sz w:val="1"/>
                <w:szCs w:val="1"/>
                <w:color w:val="auto"/>
              </w:rPr>
            </w:pPr>
          </w:p>
        </w:tc>
      </w:tr>
      <w:tr>
        <w:trPr>
          <w:trHeight w:val="132"/>
        </w:trPr>
        <w:tc>
          <w:tcPr>
            <w:tcW w:w="4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4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F-37</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2824480</wp:posOffset>
            </wp:positionH>
            <wp:positionV relativeFrom="paragraph">
              <wp:posOffset>-325755</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-325755</wp:posOffset>
            </wp:positionV>
            <wp:extent cx="2159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-325755</wp:posOffset>
            </wp:positionV>
            <wp:extent cx="3873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-325755</wp:posOffset>
            </wp:positionV>
            <wp:extent cx="1270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-325755</wp:posOffset>
            </wp:positionV>
            <wp:extent cx="2159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-325755</wp:posOffset>
            </wp:positionV>
            <wp:extent cx="38735"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-325755</wp:posOffset>
            </wp:positionV>
            <wp:extent cx="1270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2159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-325755</wp:posOffset>
            </wp:positionV>
            <wp:extent cx="3873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-325755</wp:posOffset>
            </wp:positionV>
            <wp:extent cx="1270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-325755</wp:posOffset>
            </wp:positionV>
            <wp:extent cx="2159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-325755</wp:posOffset>
            </wp:positionV>
            <wp:extent cx="38735"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-325755</wp:posOffset>
            </wp:positionV>
            <wp:extent cx="48450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1270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-325755</wp:posOffset>
            </wp:positionV>
            <wp:extent cx="2159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-325755</wp:posOffset>
            </wp:positionV>
            <wp:extent cx="3873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7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YEAR ENDED DECEMBER 31,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2"/>
              </w:rPr>
              <w:t>Non-guarantor</w:t>
            </w:r>
          </w:p>
        </w:tc>
        <w:tc>
          <w:tcPr>
            <w:tcW w:w="100" w:type="dxa"/>
            <w:vAlign w:val="bottom"/>
          </w:tcPr>
          <w:p>
            <w:pPr>
              <w:spacing w:after="0"/>
              <w:rPr>
                <w:sz w:val="14"/>
                <w:szCs w:val="1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0"/>
              </w:rPr>
              <w:t>Eliminating</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4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Parent</w:t>
            </w:r>
          </w:p>
        </w:tc>
        <w:tc>
          <w:tcPr>
            <w:tcW w:w="60" w:type="dxa"/>
            <w:vAlign w:val="bottom"/>
          </w:tcPr>
          <w:p>
            <w:pPr>
              <w:spacing w:after="0"/>
              <w:rPr>
                <w:sz w:val="15"/>
                <w:szCs w:val="15"/>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1"/>
              </w:rPr>
              <w:t>Issuers</w:t>
            </w:r>
          </w:p>
        </w:tc>
        <w:tc>
          <w:tcPr>
            <w:tcW w:w="120" w:type="dxa"/>
            <w:vAlign w:val="bottom"/>
          </w:tcPr>
          <w:p>
            <w:pPr>
              <w:spacing w:after="0"/>
              <w:rPr>
                <w:sz w:val="15"/>
                <w:szCs w:val="15"/>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6"/>
              </w:rPr>
              <w:t>Subsidiaries</w:t>
            </w:r>
          </w:p>
        </w:tc>
        <w:tc>
          <w:tcPr>
            <w:tcW w:w="140" w:type="dxa"/>
            <w:vAlign w:val="bottom"/>
          </w:tcPr>
          <w:p>
            <w:pPr>
              <w:spacing w:after="0"/>
              <w:rPr>
                <w:sz w:val="15"/>
                <w:szCs w:val="15"/>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8"/>
              </w:rPr>
              <w:t>Subsidiaries</w:t>
            </w:r>
          </w:p>
        </w:tc>
        <w:tc>
          <w:tcPr>
            <w:tcW w:w="100" w:type="dxa"/>
            <w:vAlign w:val="bottom"/>
          </w:tcPr>
          <w:p>
            <w:pPr>
              <w:spacing w:after="0"/>
              <w:rPr>
                <w:sz w:val="15"/>
                <w:szCs w:val="15"/>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Entries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w:t>
            </w:r>
          </w:p>
        </w:tc>
      </w:tr>
      <w:tr>
        <w:trPr>
          <w:trHeight w:val="95"/>
        </w:trPr>
        <w:tc>
          <w:tcPr>
            <w:tcW w:w="45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5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72"/>
        </w:trPr>
        <w:tc>
          <w:tcPr>
            <w:tcW w:w="4560" w:type="dxa"/>
            <w:vAlign w:val="bottom"/>
          </w:tcPr>
          <w:p>
            <w:pPr>
              <w:ind w:left="180"/>
              <w:spacing w:after="0"/>
              <w:rPr>
                <w:sz w:val="20"/>
                <w:szCs w:val="20"/>
                <w:color w:val="auto"/>
              </w:rPr>
            </w:pPr>
            <w:r>
              <w:rPr>
                <w:rFonts w:ascii="Arial" w:cs="Arial" w:eastAsia="Arial" w:hAnsi="Arial"/>
                <w:sz w:val="14"/>
                <w:szCs w:val="14"/>
                <w:color w:val="auto"/>
              </w:rPr>
              <w:t>Net loss accumulated during the development stage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3"/>
          </w:tcPr>
          <w:p>
            <w:pPr>
              <w:jc w:val="right"/>
              <w:ind w:right="340"/>
              <w:spacing w:after="0"/>
              <w:rPr>
                <w:sz w:val="20"/>
                <w:szCs w:val="20"/>
                <w:color w:val="auto"/>
              </w:rPr>
            </w:pPr>
            <w:r>
              <w:rPr>
                <w:rFonts w:ascii="Arial" w:cs="Arial" w:eastAsia="Arial" w:hAnsi="Arial"/>
                <w:sz w:val="14"/>
                <w:szCs w:val="14"/>
                <w:color w:val="auto"/>
              </w:rPr>
              <w:t>(9,191)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(3,881)</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340"/>
              <w:spacing w:after="0"/>
              <w:rPr>
                <w:sz w:val="20"/>
                <w:szCs w:val="20"/>
                <w:color w:val="auto"/>
              </w:rPr>
            </w:pPr>
            <w:r>
              <w:rPr>
                <w:rFonts w:ascii="Arial" w:cs="Arial" w:eastAsia="Arial" w:hAnsi="Arial"/>
                <w:sz w:val="14"/>
                <w:szCs w:val="14"/>
                <w:color w:val="auto"/>
              </w:rPr>
              <w:t>(18,167)</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gridSpan w:val="2"/>
          </w:tcPr>
          <w:p>
            <w:pPr>
              <w:jc w:val="right"/>
              <w:ind w:right="340"/>
              <w:spacing w:after="0"/>
              <w:rPr>
                <w:sz w:val="20"/>
                <w:szCs w:val="20"/>
                <w:color w:val="auto"/>
              </w:rPr>
            </w:pPr>
            <w:r>
              <w:rPr>
                <w:rFonts w:ascii="Arial" w:cs="Arial" w:eastAsia="Arial" w:hAnsi="Arial"/>
                <w:sz w:val="14"/>
                <w:szCs w:val="14"/>
                <w:color w:val="auto"/>
              </w:rPr>
              <w:t>(5,423)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4,949</w:t>
            </w:r>
          </w:p>
        </w:tc>
        <w:tc>
          <w:tcPr>
            <w:tcW w:w="380" w:type="dxa"/>
            <w:vAlign w:val="bottom"/>
          </w:tcPr>
          <w:p>
            <w:pPr>
              <w:spacing w:after="0"/>
              <w:rPr>
                <w:sz w:val="14"/>
                <w:szCs w:val="14"/>
                <w:color w:val="auto"/>
              </w:rPr>
            </w:pP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w w:val="99"/>
              </w:rPr>
              <w:t>(31,713)</w:t>
            </w:r>
          </w:p>
        </w:tc>
      </w:tr>
      <w:tr>
        <w:trPr>
          <w:trHeight w:val="84"/>
        </w:trPr>
        <w:tc>
          <w:tcPr>
            <w:tcW w:w="45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102"/>
        </w:trPr>
        <w:tc>
          <w:tcPr>
            <w:tcW w:w="45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38"/>
        </w:trPr>
        <w:tc>
          <w:tcPr>
            <w:tcW w:w="4560" w:type="dxa"/>
            <w:vAlign w:val="bottom"/>
            <w:shd w:val="clear" w:color="auto" w:fill="CCEEFF"/>
          </w:tcPr>
          <w:p>
            <w:pPr>
              <w:ind w:left="180"/>
              <w:spacing w:after="0" w:line="138" w:lineRule="exact"/>
              <w:rPr>
                <w:sz w:val="20"/>
                <w:szCs w:val="20"/>
                <w:color w:val="auto"/>
              </w:rPr>
            </w:pPr>
            <w:r>
              <w:rPr>
                <w:rFonts w:ascii="Arial" w:cs="Arial" w:eastAsia="Arial" w:hAnsi="Arial"/>
                <w:sz w:val="14"/>
                <w:szCs w:val="14"/>
                <w:color w:val="auto"/>
                <w:w w:val="99"/>
              </w:rPr>
              <w:t>Adjustments to reconcile net loss accumulated during the development</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59"/>
        </w:trPr>
        <w:tc>
          <w:tcPr>
            <w:tcW w:w="456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stage to net cash used in operating activities:</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49"/>
        </w:trPr>
        <w:tc>
          <w:tcPr>
            <w:tcW w:w="4560" w:type="dxa"/>
            <w:vAlign w:val="bottom"/>
          </w:tcPr>
          <w:p>
            <w:pPr>
              <w:ind w:left="300"/>
              <w:spacing w:after="0" w:line="149" w:lineRule="exact"/>
              <w:rPr>
                <w:sz w:val="20"/>
                <w:szCs w:val="20"/>
                <w:color w:val="auto"/>
              </w:rPr>
            </w:pPr>
            <w:r>
              <w:rPr>
                <w:rFonts w:ascii="Arial" w:cs="Arial" w:eastAsia="Arial" w:hAnsi="Arial"/>
                <w:sz w:val="14"/>
                <w:szCs w:val="14"/>
                <w:color w:val="auto"/>
              </w:rPr>
              <w:t>Depreciation and amortization</w:t>
            </w:r>
          </w:p>
        </w:tc>
        <w:tc>
          <w:tcPr>
            <w:tcW w:w="60" w:type="dxa"/>
            <w:vAlign w:val="bottom"/>
          </w:tcPr>
          <w:p>
            <w:pPr>
              <w:spacing w:after="0"/>
              <w:rPr>
                <w:sz w:val="12"/>
                <w:szCs w:val="12"/>
                <w:color w:val="auto"/>
              </w:rPr>
            </w:pPr>
          </w:p>
        </w:tc>
        <w:tc>
          <w:tcPr>
            <w:tcW w:w="94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8,480</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445</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8,934</w:t>
            </w:r>
          </w:p>
        </w:tc>
        <w:tc>
          <w:tcPr>
            <w:tcW w:w="60" w:type="dxa"/>
            <w:vAlign w:val="bottom"/>
          </w:tcPr>
          <w:p>
            <w:pPr>
              <w:spacing w:after="0"/>
              <w:rPr>
                <w:sz w:val="12"/>
                <w:szCs w:val="12"/>
                <w:color w:val="auto"/>
              </w:rPr>
            </w:pPr>
          </w:p>
        </w:tc>
      </w:tr>
      <w:tr>
        <w:trPr>
          <w:trHeight w:val="149"/>
        </w:trPr>
        <w:tc>
          <w:tcPr>
            <w:tcW w:w="45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Minority interest</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(866)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(866)</w:t>
            </w:r>
          </w:p>
        </w:tc>
      </w:tr>
      <w:tr>
        <w:trPr>
          <w:trHeight w:val="149"/>
        </w:trPr>
        <w:tc>
          <w:tcPr>
            <w:tcW w:w="4560" w:type="dxa"/>
            <w:vAlign w:val="bottom"/>
          </w:tcPr>
          <w:p>
            <w:pPr>
              <w:ind w:left="300"/>
              <w:spacing w:after="0" w:line="149" w:lineRule="exact"/>
              <w:rPr>
                <w:sz w:val="20"/>
                <w:szCs w:val="20"/>
                <w:color w:val="auto"/>
              </w:rPr>
            </w:pPr>
            <w:r>
              <w:rPr>
                <w:rFonts w:ascii="Arial" w:cs="Arial" w:eastAsia="Arial" w:hAnsi="Arial"/>
                <w:sz w:val="14"/>
                <w:szCs w:val="14"/>
                <w:color w:val="auto"/>
              </w:rPr>
              <w:t>Amortization of deferred compensation</w:t>
            </w:r>
          </w:p>
        </w:tc>
        <w:tc>
          <w:tcPr>
            <w:tcW w:w="6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w w:val="76"/>
              </w:rPr>
              <w:t>134</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134</w:t>
            </w:r>
          </w:p>
        </w:tc>
        <w:tc>
          <w:tcPr>
            <w:tcW w:w="60" w:type="dxa"/>
            <w:vAlign w:val="bottom"/>
          </w:tcPr>
          <w:p>
            <w:pPr>
              <w:spacing w:after="0"/>
              <w:rPr>
                <w:sz w:val="12"/>
                <w:szCs w:val="12"/>
                <w:color w:val="auto"/>
              </w:rPr>
            </w:pPr>
          </w:p>
        </w:tc>
      </w:tr>
      <w:tr>
        <w:trPr>
          <w:trHeight w:val="149"/>
        </w:trPr>
        <w:tc>
          <w:tcPr>
            <w:tcW w:w="45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(Gain)/Loss on sale of fixed assets</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(90)</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r>
      <w:tr>
        <w:trPr>
          <w:trHeight w:val="149"/>
        </w:trPr>
        <w:tc>
          <w:tcPr>
            <w:tcW w:w="4560" w:type="dxa"/>
            <w:vAlign w:val="bottom"/>
          </w:tcPr>
          <w:p>
            <w:pPr>
              <w:ind w:left="300"/>
              <w:spacing w:after="0" w:line="149" w:lineRule="exact"/>
              <w:rPr>
                <w:sz w:val="20"/>
                <w:szCs w:val="20"/>
                <w:color w:val="auto"/>
              </w:rPr>
            </w:pPr>
            <w:r>
              <w:rPr>
                <w:rFonts w:ascii="Arial" w:cs="Arial" w:eastAsia="Arial" w:hAnsi="Arial"/>
                <w:sz w:val="14"/>
                <w:szCs w:val="14"/>
                <w:color w:val="auto"/>
              </w:rPr>
              <w:t>Equity in loss from Macau</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4,083</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(4,083)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45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Incidental operations</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1,971</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1,971</w:t>
            </w:r>
          </w:p>
        </w:tc>
        <w:tc>
          <w:tcPr>
            <w:tcW w:w="60" w:type="dxa"/>
            <w:vAlign w:val="bottom"/>
            <w:shd w:val="clear" w:color="auto" w:fill="CCEEFF"/>
          </w:tcPr>
          <w:p>
            <w:pPr>
              <w:spacing w:after="0"/>
              <w:rPr>
                <w:sz w:val="12"/>
                <w:szCs w:val="12"/>
                <w:color w:val="auto"/>
              </w:rPr>
            </w:pPr>
          </w:p>
        </w:tc>
      </w:tr>
      <w:tr>
        <w:trPr>
          <w:trHeight w:val="149"/>
        </w:trPr>
        <w:tc>
          <w:tcPr>
            <w:tcW w:w="4560" w:type="dxa"/>
            <w:vAlign w:val="bottom"/>
          </w:tcPr>
          <w:p>
            <w:pPr>
              <w:ind w:left="300"/>
              <w:spacing w:after="0" w:line="149" w:lineRule="exact"/>
              <w:rPr>
                <w:sz w:val="20"/>
                <w:szCs w:val="20"/>
                <w:color w:val="auto"/>
              </w:rPr>
            </w:pPr>
            <w:r>
              <w:rPr>
                <w:rFonts w:ascii="Arial" w:cs="Arial" w:eastAsia="Arial" w:hAnsi="Arial"/>
                <w:sz w:val="14"/>
                <w:szCs w:val="14"/>
                <w:color w:val="auto"/>
              </w:rPr>
              <w:t>Increase (decrease) in cash from changes in:</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56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Receivables, net</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w:t>
            </w:r>
          </w:p>
        </w:tc>
        <w:tc>
          <w:tcPr>
            <w:tcW w:w="60" w:type="dxa"/>
            <w:vAlign w:val="bottom"/>
            <w:shd w:val="clear" w:color="auto" w:fill="CCEEFF"/>
          </w:tcPr>
          <w:p>
            <w:pPr>
              <w:spacing w:after="0"/>
              <w:rPr>
                <w:sz w:val="12"/>
                <w:szCs w:val="12"/>
                <w:color w:val="auto"/>
              </w:rPr>
            </w:pPr>
          </w:p>
        </w:tc>
      </w:tr>
      <w:tr>
        <w:trPr>
          <w:trHeight w:val="149"/>
        </w:trPr>
        <w:tc>
          <w:tcPr>
            <w:tcW w:w="4560" w:type="dxa"/>
            <w:vAlign w:val="bottom"/>
          </w:tcPr>
          <w:p>
            <w:pPr>
              <w:ind w:left="480"/>
              <w:spacing w:after="0" w:line="149" w:lineRule="exact"/>
              <w:rPr>
                <w:sz w:val="20"/>
                <w:szCs w:val="20"/>
                <w:color w:val="auto"/>
              </w:rPr>
            </w:pPr>
            <w:r>
              <w:rPr>
                <w:rFonts w:ascii="Arial" w:cs="Arial" w:eastAsia="Arial" w:hAnsi="Arial"/>
                <w:sz w:val="14"/>
                <w:szCs w:val="14"/>
                <w:color w:val="auto"/>
              </w:rPr>
              <w:t>Inventories and prepaid expenses</w:t>
            </w:r>
          </w:p>
        </w:tc>
        <w:tc>
          <w:tcPr>
            <w:tcW w:w="60" w:type="dxa"/>
            <w:vAlign w:val="bottom"/>
          </w:tcPr>
          <w:p>
            <w:pPr>
              <w:spacing w:after="0"/>
              <w:rPr>
                <w:sz w:val="12"/>
                <w:szCs w:val="12"/>
                <w:color w:val="auto"/>
              </w:rPr>
            </w:pPr>
          </w:p>
        </w:tc>
        <w:tc>
          <w:tcPr>
            <w:tcW w:w="94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(344)</w:t>
            </w: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(94)</w:t>
            </w:r>
          </w:p>
        </w:tc>
        <w:tc>
          <w:tcPr>
            <w:tcW w:w="120" w:type="dxa"/>
            <w:vAlign w:val="bottom"/>
          </w:tcPr>
          <w:p>
            <w:pPr>
              <w:spacing w:after="0"/>
              <w:rPr>
                <w:sz w:val="12"/>
                <w:szCs w:val="12"/>
                <w:color w:val="auto"/>
              </w:rPr>
            </w:pPr>
          </w:p>
        </w:tc>
        <w:tc>
          <w:tcPr>
            <w:tcW w:w="12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(426)</w:t>
            </w:r>
          </w:p>
        </w:tc>
        <w:tc>
          <w:tcPr>
            <w:tcW w:w="140" w:type="dxa"/>
            <w:vAlign w:val="bottom"/>
          </w:tcPr>
          <w:p>
            <w:pPr>
              <w:spacing w:after="0"/>
              <w:rPr>
                <w:sz w:val="12"/>
                <w:szCs w:val="12"/>
                <w:color w:val="auto"/>
              </w:rPr>
            </w:pPr>
          </w:p>
        </w:tc>
        <w:tc>
          <w:tcPr>
            <w:tcW w:w="14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(54)</w:t>
            </w:r>
          </w:p>
        </w:tc>
        <w:tc>
          <w:tcPr>
            <w:tcW w:w="100" w:type="dxa"/>
            <w:vAlign w:val="bottom"/>
          </w:tcPr>
          <w:p>
            <w:pPr>
              <w:spacing w:after="0"/>
              <w:rPr>
                <w:sz w:val="12"/>
                <w:szCs w:val="12"/>
                <w:color w:val="auto"/>
              </w:rPr>
            </w:pPr>
          </w:p>
        </w:tc>
        <w:tc>
          <w:tcPr>
            <w:tcW w:w="11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(918)</w:t>
            </w:r>
          </w:p>
        </w:tc>
      </w:tr>
      <w:tr>
        <w:trPr>
          <w:trHeight w:val="149"/>
        </w:trPr>
        <w:tc>
          <w:tcPr>
            <w:tcW w:w="456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Accounts payable and accrued expenses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76"/>
              </w:rPr>
              <w:t>195</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11,554</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(239)</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11,603</w:t>
            </w:r>
          </w:p>
        </w:tc>
        <w:tc>
          <w:tcPr>
            <w:tcW w:w="60" w:type="dxa"/>
            <w:vAlign w:val="bottom"/>
            <w:shd w:val="clear" w:color="auto" w:fill="CCEEFF"/>
          </w:tcPr>
          <w:p>
            <w:pPr>
              <w:spacing w:after="0"/>
              <w:rPr>
                <w:sz w:val="12"/>
                <w:szCs w:val="12"/>
                <w:color w:val="auto"/>
              </w:rPr>
            </w:pPr>
          </w:p>
        </w:tc>
      </w:tr>
      <w:tr>
        <w:trPr>
          <w:trHeight w:val="108"/>
        </w:trPr>
        <w:tc>
          <w:tcPr>
            <w:tcW w:w="45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5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56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Total adjustments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4,068</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11,458</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10,057</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553</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(4,949)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21,187</w:t>
            </w:r>
          </w:p>
        </w:tc>
        <w:tc>
          <w:tcPr>
            <w:tcW w:w="60" w:type="dxa"/>
            <w:vAlign w:val="bottom"/>
            <w:shd w:val="clear" w:color="auto" w:fill="CCEEFF"/>
          </w:tcPr>
          <w:p>
            <w:pPr>
              <w:spacing w:after="0"/>
              <w:rPr>
                <w:sz w:val="12"/>
                <w:szCs w:val="12"/>
                <w:color w:val="auto"/>
              </w:rPr>
            </w:pPr>
          </w:p>
        </w:tc>
      </w:tr>
      <w:tr>
        <w:trPr>
          <w:trHeight w:val="108"/>
        </w:trPr>
        <w:tc>
          <w:tcPr>
            <w:tcW w:w="45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5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56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Net cash used in operating activities</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(5,123)</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7,577</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(8,110)</w:t>
            </w:r>
          </w:p>
        </w:tc>
        <w:tc>
          <w:tcPr>
            <w:tcW w:w="1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(4,870)</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(10,526)</w:t>
            </w:r>
          </w:p>
        </w:tc>
      </w:tr>
      <w:tr>
        <w:trPr>
          <w:trHeight w:val="108"/>
        </w:trPr>
        <w:tc>
          <w:tcPr>
            <w:tcW w:w="45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5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4560" w:type="dxa"/>
            <w:vAlign w:val="bottom"/>
          </w:tcPr>
          <w:p>
            <w:pPr>
              <w:ind w:left="180"/>
              <w:spacing w:after="0" w:line="149" w:lineRule="exact"/>
              <w:rPr>
                <w:sz w:val="20"/>
                <w:szCs w:val="20"/>
                <w:color w:val="auto"/>
              </w:rPr>
            </w:pPr>
            <w:r>
              <w:rPr>
                <w:rFonts w:ascii="Arial" w:cs="Arial" w:eastAsia="Arial" w:hAnsi="Arial"/>
                <w:sz w:val="14"/>
                <w:szCs w:val="14"/>
                <w:color w:val="auto"/>
              </w:rPr>
              <w:t>Capital expenditures, net of construction payables</w:t>
            </w:r>
          </w:p>
        </w:tc>
        <w:tc>
          <w:tcPr>
            <w:tcW w:w="60" w:type="dxa"/>
            <w:vAlign w:val="bottom"/>
          </w:tcPr>
          <w:p>
            <w:pPr>
              <w:spacing w:after="0"/>
              <w:rPr>
                <w:sz w:val="12"/>
                <w:szCs w:val="12"/>
                <w:color w:val="auto"/>
              </w:rPr>
            </w:pPr>
          </w:p>
        </w:tc>
        <w:tc>
          <w:tcPr>
            <w:tcW w:w="94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(31,693)</w:t>
            </w:r>
          </w:p>
        </w:tc>
        <w:tc>
          <w:tcPr>
            <w:tcW w:w="120" w:type="dxa"/>
            <w:vAlign w:val="bottom"/>
          </w:tcPr>
          <w:p>
            <w:pPr>
              <w:spacing w:after="0"/>
              <w:rPr>
                <w:sz w:val="12"/>
                <w:szCs w:val="12"/>
                <w:color w:val="auto"/>
              </w:rPr>
            </w:pPr>
          </w:p>
        </w:tc>
        <w:tc>
          <w:tcPr>
            <w:tcW w:w="12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(34,133)</w:t>
            </w:r>
          </w:p>
        </w:tc>
        <w:tc>
          <w:tcPr>
            <w:tcW w:w="140" w:type="dxa"/>
            <w:vAlign w:val="bottom"/>
          </w:tcPr>
          <w:p>
            <w:pPr>
              <w:spacing w:after="0"/>
              <w:rPr>
                <w:sz w:val="12"/>
                <w:szCs w:val="12"/>
                <w:color w:val="auto"/>
              </w:rPr>
            </w:pPr>
          </w:p>
        </w:tc>
        <w:tc>
          <w:tcPr>
            <w:tcW w:w="14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(251)</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9"/>
              </w:rPr>
              <w:t>(66,077)</w:t>
            </w:r>
          </w:p>
        </w:tc>
      </w:tr>
      <w:tr>
        <w:trPr>
          <w:trHeight w:val="149"/>
        </w:trPr>
        <w:tc>
          <w:tcPr>
            <w:tcW w:w="45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Restricted cash and Investments</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6"/>
              </w:rPr>
              <w:t>(742,105)</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(50,248)</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(792,353)</w:t>
            </w:r>
          </w:p>
        </w:tc>
      </w:tr>
      <w:tr>
        <w:trPr>
          <w:trHeight w:val="149"/>
        </w:trPr>
        <w:tc>
          <w:tcPr>
            <w:tcW w:w="4560" w:type="dxa"/>
            <w:vAlign w:val="bottom"/>
          </w:tcPr>
          <w:p>
            <w:pPr>
              <w:ind w:left="180"/>
              <w:spacing w:after="0" w:line="149" w:lineRule="exact"/>
              <w:rPr>
                <w:sz w:val="20"/>
                <w:szCs w:val="20"/>
                <w:color w:val="auto"/>
              </w:rPr>
            </w:pPr>
            <w:r>
              <w:rPr>
                <w:rFonts w:ascii="Arial" w:cs="Arial" w:eastAsia="Arial" w:hAnsi="Arial"/>
                <w:sz w:val="14"/>
                <w:szCs w:val="14"/>
                <w:color w:val="auto"/>
              </w:rPr>
              <w:t>Investment in subsidiaries</w:t>
            </w:r>
          </w:p>
        </w:tc>
        <w:tc>
          <w:tcPr>
            <w:tcW w:w="60" w:type="dxa"/>
            <w:vAlign w:val="bottom"/>
          </w:tcPr>
          <w:p>
            <w:pPr>
              <w:spacing w:after="0"/>
              <w:rPr>
                <w:sz w:val="12"/>
                <w:szCs w:val="12"/>
                <w:color w:val="auto"/>
              </w:rPr>
            </w:pPr>
          </w:p>
        </w:tc>
        <w:tc>
          <w:tcPr>
            <w:tcW w:w="94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w w:val="96"/>
              </w:rPr>
              <w:t>(597,295)</w:t>
            </w: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(11,925)</w:t>
            </w:r>
          </w:p>
        </w:tc>
        <w:tc>
          <w:tcPr>
            <w:tcW w:w="120" w:type="dxa"/>
            <w:vAlign w:val="bottom"/>
          </w:tcPr>
          <w:p>
            <w:pPr>
              <w:spacing w:after="0"/>
              <w:rPr>
                <w:sz w:val="12"/>
                <w:szCs w:val="12"/>
                <w:color w:val="auto"/>
              </w:rPr>
            </w:pPr>
          </w:p>
        </w:tc>
        <w:tc>
          <w:tcPr>
            <w:tcW w:w="12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(551,867)</w:t>
            </w:r>
          </w:p>
        </w:tc>
        <w:tc>
          <w:tcPr>
            <w:tcW w:w="140" w:type="dxa"/>
            <w:vAlign w:val="bottom"/>
          </w:tcPr>
          <w:p>
            <w:pPr>
              <w:spacing w:after="0"/>
              <w:rPr>
                <w:sz w:val="12"/>
                <w:szCs w:val="12"/>
                <w:color w:val="auto"/>
              </w:rPr>
            </w:pPr>
          </w:p>
        </w:tc>
        <w:tc>
          <w:tcPr>
            <w:tcW w:w="14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1,161,087</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45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Other assets</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(5,347)</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1,792</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(3,573)</w:t>
            </w:r>
          </w:p>
        </w:tc>
      </w:tr>
      <w:tr>
        <w:trPr>
          <w:trHeight w:val="149"/>
        </w:trPr>
        <w:tc>
          <w:tcPr>
            <w:tcW w:w="4560" w:type="dxa"/>
            <w:vAlign w:val="bottom"/>
          </w:tcPr>
          <w:p>
            <w:pPr>
              <w:ind w:left="180"/>
              <w:spacing w:after="0" w:line="149" w:lineRule="exact"/>
              <w:rPr>
                <w:sz w:val="20"/>
                <w:szCs w:val="20"/>
                <w:color w:val="auto"/>
              </w:rPr>
            </w:pPr>
            <w:r>
              <w:rPr>
                <w:rFonts w:ascii="Arial" w:cs="Arial" w:eastAsia="Arial" w:hAnsi="Arial"/>
                <w:sz w:val="14"/>
                <w:szCs w:val="14"/>
                <w:color w:val="auto"/>
              </w:rPr>
              <w:t>Intercompany balances</w:t>
            </w:r>
          </w:p>
        </w:tc>
        <w:tc>
          <w:tcPr>
            <w:tcW w:w="60" w:type="dxa"/>
            <w:vAlign w:val="bottom"/>
          </w:tcPr>
          <w:p>
            <w:pPr>
              <w:spacing w:after="0"/>
              <w:rPr>
                <w:sz w:val="12"/>
                <w:szCs w:val="12"/>
                <w:color w:val="auto"/>
              </w:rPr>
            </w:pPr>
          </w:p>
        </w:tc>
        <w:tc>
          <w:tcPr>
            <w:tcW w:w="94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w w:val="96"/>
              </w:rPr>
              <w:t>(379,758)</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234,376</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103,877</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41,505</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45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Proceeds from sale of equipment</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7,917</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8,007</w:t>
            </w:r>
          </w:p>
        </w:tc>
        <w:tc>
          <w:tcPr>
            <w:tcW w:w="60" w:type="dxa"/>
            <w:vAlign w:val="bottom"/>
            <w:shd w:val="clear" w:color="auto" w:fill="CCEEFF"/>
          </w:tcPr>
          <w:p>
            <w:pPr>
              <w:spacing w:after="0"/>
              <w:rPr>
                <w:sz w:val="12"/>
                <w:szCs w:val="12"/>
                <w:color w:val="auto"/>
              </w:rPr>
            </w:pPr>
          </w:p>
        </w:tc>
      </w:tr>
      <w:tr>
        <w:trPr>
          <w:trHeight w:val="108"/>
        </w:trPr>
        <w:tc>
          <w:tcPr>
            <w:tcW w:w="45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5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56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Net cash used in investing activities</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(977,053)</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6"/>
              </w:rPr>
              <w:t>(556,694)</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(480,241)</w:t>
            </w:r>
          </w:p>
        </w:tc>
        <w:tc>
          <w:tcPr>
            <w:tcW w:w="1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(1,077)</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1,161,069</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(853,996)</w:t>
            </w:r>
          </w:p>
        </w:tc>
      </w:tr>
      <w:tr>
        <w:trPr>
          <w:trHeight w:val="108"/>
        </w:trPr>
        <w:tc>
          <w:tcPr>
            <w:tcW w:w="45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5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4560" w:type="dxa"/>
            <w:vAlign w:val="bottom"/>
          </w:tcPr>
          <w:p>
            <w:pPr>
              <w:ind w:left="180"/>
              <w:spacing w:after="0" w:line="149" w:lineRule="exact"/>
              <w:rPr>
                <w:sz w:val="20"/>
                <w:szCs w:val="20"/>
                <w:color w:val="auto"/>
              </w:rPr>
            </w:pPr>
            <w:r>
              <w:rPr>
                <w:rFonts w:ascii="Arial" w:cs="Arial" w:eastAsia="Arial" w:hAnsi="Arial"/>
                <w:sz w:val="14"/>
                <w:szCs w:val="14"/>
                <w:color w:val="auto"/>
              </w:rPr>
              <w:t>Equity contributions</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596,120</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237,075</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476,391</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24,977</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(1,161,069)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173,494</w:t>
            </w:r>
          </w:p>
        </w:tc>
        <w:tc>
          <w:tcPr>
            <w:tcW w:w="60" w:type="dxa"/>
            <w:vAlign w:val="bottom"/>
          </w:tcPr>
          <w:p>
            <w:pPr>
              <w:spacing w:after="0"/>
              <w:rPr>
                <w:sz w:val="12"/>
                <w:szCs w:val="12"/>
                <w:color w:val="auto"/>
              </w:rPr>
            </w:pPr>
          </w:p>
        </w:tc>
      </w:tr>
      <w:tr>
        <w:trPr>
          <w:trHeight w:val="149"/>
        </w:trPr>
        <w:tc>
          <w:tcPr>
            <w:tcW w:w="45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Proceeds from issuance of common stock</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491,844</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491,844</w:t>
            </w:r>
          </w:p>
        </w:tc>
        <w:tc>
          <w:tcPr>
            <w:tcW w:w="60" w:type="dxa"/>
            <w:vAlign w:val="bottom"/>
            <w:shd w:val="clear" w:color="auto" w:fill="CCEEFF"/>
          </w:tcPr>
          <w:p>
            <w:pPr>
              <w:spacing w:after="0"/>
              <w:rPr>
                <w:sz w:val="12"/>
                <w:szCs w:val="12"/>
                <w:color w:val="auto"/>
              </w:rPr>
            </w:pPr>
          </w:p>
        </w:tc>
      </w:tr>
      <w:tr>
        <w:trPr>
          <w:trHeight w:val="149"/>
        </w:trPr>
        <w:tc>
          <w:tcPr>
            <w:tcW w:w="4560" w:type="dxa"/>
            <w:vAlign w:val="bottom"/>
          </w:tcPr>
          <w:p>
            <w:pPr>
              <w:ind w:left="180"/>
              <w:spacing w:after="0" w:line="149" w:lineRule="exact"/>
              <w:rPr>
                <w:sz w:val="20"/>
                <w:szCs w:val="20"/>
                <w:color w:val="auto"/>
              </w:rPr>
            </w:pPr>
            <w:r>
              <w:rPr>
                <w:rFonts w:ascii="Arial" w:cs="Arial" w:eastAsia="Arial" w:hAnsi="Arial"/>
                <w:sz w:val="14"/>
                <w:szCs w:val="14"/>
                <w:color w:val="auto"/>
              </w:rPr>
              <w:t>Third party fees</w:t>
            </w:r>
          </w:p>
        </w:tc>
        <w:tc>
          <w:tcPr>
            <w:tcW w:w="60" w:type="dxa"/>
            <w:vAlign w:val="bottom"/>
          </w:tcPr>
          <w:p>
            <w:pPr>
              <w:spacing w:after="0"/>
              <w:rPr>
                <w:sz w:val="12"/>
                <w:szCs w:val="12"/>
                <w:color w:val="auto"/>
              </w:rPr>
            </w:pPr>
          </w:p>
        </w:tc>
        <w:tc>
          <w:tcPr>
            <w:tcW w:w="94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(26,554)</w:t>
            </w:r>
          </w:p>
        </w:tc>
        <w:tc>
          <w:tcPr>
            <w:tcW w:w="6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9"/>
              </w:rPr>
              <w:t>(26,554)</w:t>
            </w:r>
          </w:p>
        </w:tc>
      </w:tr>
      <w:tr>
        <w:trPr>
          <w:trHeight w:val="149"/>
        </w:trPr>
        <w:tc>
          <w:tcPr>
            <w:tcW w:w="45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Macau minority contributions</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5,050</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5,050</w:t>
            </w:r>
          </w:p>
        </w:tc>
        <w:tc>
          <w:tcPr>
            <w:tcW w:w="60" w:type="dxa"/>
            <w:vAlign w:val="bottom"/>
            <w:shd w:val="clear" w:color="auto" w:fill="CCEEFF"/>
          </w:tcPr>
          <w:p>
            <w:pPr>
              <w:spacing w:after="0"/>
              <w:rPr>
                <w:sz w:val="12"/>
                <w:szCs w:val="12"/>
                <w:color w:val="auto"/>
              </w:rPr>
            </w:pPr>
          </w:p>
        </w:tc>
      </w:tr>
      <w:tr>
        <w:trPr>
          <w:trHeight w:val="149"/>
        </w:trPr>
        <w:tc>
          <w:tcPr>
            <w:tcW w:w="4560" w:type="dxa"/>
            <w:vAlign w:val="bottom"/>
          </w:tcPr>
          <w:p>
            <w:pPr>
              <w:ind w:left="180"/>
              <w:spacing w:after="0" w:line="149" w:lineRule="exact"/>
              <w:rPr>
                <w:sz w:val="20"/>
                <w:szCs w:val="20"/>
                <w:color w:val="auto"/>
              </w:rPr>
            </w:pPr>
            <w:r>
              <w:rPr>
                <w:rFonts w:ascii="Arial" w:cs="Arial" w:eastAsia="Arial" w:hAnsi="Arial"/>
                <w:sz w:val="14"/>
                <w:szCs w:val="14"/>
                <w:color w:val="auto"/>
              </w:rPr>
              <w:t>Deferred financing costs</w:t>
            </w:r>
          </w:p>
        </w:tc>
        <w:tc>
          <w:tcPr>
            <w:tcW w:w="60" w:type="dxa"/>
            <w:vAlign w:val="bottom"/>
          </w:tcPr>
          <w:p>
            <w:pPr>
              <w:spacing w:after="0"/>
              <w:rPr>
                <w:sz w:val="12"/>
                <w:szCs w:val="12"/>
                <w:color w:val="auto"/>
              </w:rPr>
            </w:pPr>
          </w:p>
        </w:tc>
        <w:tc>
          <w:tcPr>
            <w:tcW w:w="94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(61,735)</w:t>
            </w:r>
          </w:p>
        </w:tc>
        <w:tc>
          <w:tcPr>
            <w:tcW w:w="120" w:type="dxa"/>
            <w:vAlign w:val="bottom"/>
          </w:tcPr>
          <w:p>
            <w:pPr>
              <w:spacing w:after="0"/>
              <w:rPr>
                <w:sz w:val="12"/>
                <w:szCs w:val="12"/>
                <w:color w:val="auto"/>
              </w:rPr>
            </w:pPr>
          </w:p>
        </w:tc>
        <w:tc>
          <w:tcPr>
            <w:tcW w:w="12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9"/>
              </w:rPr>
              <w:t>(61,735)</w:t>
            </w:r>
          </w:p>
        </w:tc>
      </w:tr>
      <w:tr>
        <w:trPr>
          <w:trHeight w:val="149"/>
        </w:trPr>
        <w:tc>
          <w:tcPr>
            <w:tcW w:w="45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Proceeds from issuance of long-term debt</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381,334</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381,334</w:t>
            </w:r>
          </w:p>
        </w:tc>
        <w:tc>
          <w:tcPr>
            <w:tcW w:w="60" w:type="dxa"/>
            <w:vAlign w:val="bottom"/>
            <w:shd w:val="clear" w:color="auto" w:fill="CCEEFF"/>
          </w:tcPr>
          <w:p>
            <w:pPr>
              <w:spacing w:after="0"/>
              <w:rPr>
                <w:sz w:val="12"/>
                <w:szCs w:val="12"/>
                <w:color w:val="auto"/>
              </w:rPr>
            </w:pPr>
          </w:p>
        </w:tc>
      </w:tr>
      <w:tr>
        <w:trPr>
          <w:trHeight w:val="172"/>
        </w:trPr>
        <w:tc>
          <w:tcPr>
            <w:tcW w:w="4560" w:type="dxa"/>
            <w:vAlign w:val="bottom"/>
          </w:tcPr>
          <w:p>
            <w:pPr>
              <w:ind w:left="180"/>
              <w:spacing w:after="0"/>
              <w:rPr>
                <w:sz w:val="20"/>
                <w:szCs w:val="20"/>
                <w:color w:val="auto"/>
              </w:rPr>
            </w:pPr>
            <w:r>
              <w:rPr>
                <w:rFonts w:ascii="Arial" w:cs="Arial" w:eastAsia="Arial" w:hAnsi="Arial"/>
                <w:sz w:val="14"/>
                <w:szCs w:val="14"/>
                <w:color w:val="auto"/>
              </w:rPr>
              <w:t>Principal payments of long-term debt</w:t>
            </w:r>
          </w:p>
        </w:tc>
        <w:tc>
          <w:tcPr>
            <w:tcW w:w="60" w:type="dxa"/>
            <w:vAlign w:val="bottom"/>
          </w:tcPr>
          <w:p>
            <w:pPr>
              <w:spacing w:after="0"/>
              <w:rPr>
                <w:sz w:val="14"/>
                <w:szCs w:val="14"/>
                <w:color w:val="auto"/>
              </w:rPr>
            </w:pPr>
          </w:p>
        </w:tc>
        <w:tc>
          <w:tcPr>
            <w:tcW w:w="940" w:type="dxa"/>
            <w:vAlign w:val="bottom"/>
            <w:gridSpan w:val="3"/>
          </w:tcPr>
          <w:p>
            <w:pPr>
              <w:ind w:lef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4"/>
                <w:szCs w:val="14"/>
                <w:color w:val="auto"/>
              </w:rPr>
              <w:t>(28,535)</w:t>
            </w:r>
          </w:p>
        </w:tc>
        <w:tc>
          <w:tcPr>
            <w:tcW w:w="140" w:type="dxa"/>
            <w:vAlign w:val="bottom"/>
          </w:tcPr>
          <w:p>
            <w:pPr>
              <w:spacing w:after="0"/>
              <w:rPr>
                <w:sz w:val="14"/>
                <w:szCs w:val="14"/>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w w:val="99"/>
              </w:rPr>
              <w:t>(28,535)</w:t>
            </w:r>
          </w:p>
        </w:tc>
      </w:tr>
      <w:tr>
        <w:trPr>
          <w:trHeight w:val="84"/>
        </w:trPr>
        <w:tc>
          <w:tcPr>
            <w:tcW w:w="45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102"/>
        </w:trPr>
        <w:tc>
          <w:tcPr>
            <w:tcW w:w="45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56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1,061,410</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556,674</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447,856</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30,027</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(1,161,069)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934,898</w:t>
            </w:r>
          </w:p>
        </w:tc>
        <w:tc>
          <w:tcPr>
            <w:tcW w:w="60" w:type="dxa"/>
            <w:vAlign w:val="bottom"/>
            <w:shd w:val="clear" w:color="auto" w:fill="CCEEFF"/>
          </w:tcPr>
          <w:p>
            <w:pPr>
              <w:spacing w:after="0"/>
              <w:rPr>
                <w:sz w:val="12"/>
                <w:szCs w:val="12"/>
                <w:color w:val="auto"/>
              </w:rPr>
            </w:pPr>
          </w:p>
        </w:tc>
      </w:tr>
      <w:tr>
        <w:trPr>
          <w:trHeight w:val="108"/>
        </w:trPr>
        <w:tc>
          <w:tcPr>
            <w:tcW w:w="45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5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4560" w:type="dxa"/>
            <w:vAlign w:val="bottom"/>
          </w:tcPr>
          <w:p>
            <w:pPr>
              <w:ind w:left="180"/>
              <w:spacing w:after="0" w:line="149" w:lineRule="exact"/>
              <w:rPr>
                <w:sz w:val="20"/>
                <w:szCs w:val="20"/>
                <w:color w:val="auto"/>
              </w:rPr>
            </w:pPr>
            <w:r>
              <w:rPr>
                <w:rFonts w:ascii="Arial" w:cs="Arial" w:eastAsia="Arial" w:hAnsi="Arial"/>
                <w:sz w:val="14"/>
                <w:szCs w:val="14"/>
                <w:color w:val="auto"/>
              </w:rPr>
              <w:t>Increase (decrease) in cash and cash equivalents</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79,234</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7,557</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(40,495)</w:t>
            </w: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24,080</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70,376</w:t>
            </w:r>
          </w:p>
        </w:tc>
        <w:tc>
          <w:tcPr>
            <w:tcW w:w="60" w:type="dxa"/>
            <w:vAlign w:val="bottom"/>
          </w:tcPr>
          <w:p>
            <w:pPr>
              <w:spacing w:after="0"/>
              <w:rPr>
                <w:sz w:val="12"/>
                <w:szCs w:val="12"/>
                <w:color w:val="auto"/>
              </w:rPr>
            </w:pPr>
          </w:p>
        </w:tc>
      </w:tr>
      <w:tr>
        <w:trPr>
          <w:trHeight w:val="149"/>
        </w:trPr>
        <w:tc>
          <w:tcPr>
            <w:tcW w:w="45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Balance, beginning of period</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39,317</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39,268</w:t>
            </w:r>
          </w:p>
        </w:tc>
        <w:tc>
          <w:tcPr>
            <w:tcW w:w="60" w:type="dxa"/>
            <w:vAlign w:val="bottom"/>
            <w:shd w:val="clear" w:color="auto" w:fill="CCEEFF"/>
          </w:tcPr>
          <w:p>
            <w:pPr>
              <w:spacing w:after="0"/>
              <w:rPr>
                <w:sz w:val="12"/>
                <w:szCs w:val="12"/>
                <w:color w:val="auto"/>
              </w:rPr>
            </w:pPr>
          </w:p>
        </w:tc>
      </w:tr>
      <w:tr>
        <w:trPr>
          <w:trHeight w:val="108"/>
        </w:trPr>
        <w:tc>
          <w:tcPr>
            <w:tcW w:w="45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5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5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Balance, end of period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79,234</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7,508</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(1,178)</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24,080</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109,644</w:t>
            </w:r>
          </w:p>
        </w:tc>
        <w:tc>
          <w:tcPr>
            <w:tcW w:w="60" w:type="dxa"/>
            <w:vAlign w:val="bottom"/>
            <w:shd w:val="clear" w:color="auto" w:fill="CCEEFF"/>
          </w:tcPr>
          <w:p>
            <w:pPr>
              <w:spacing w:after="0"/>
              <w:rPr>
                <w:sz w:val="12"/>
                <w:szCs w:val="12"/>
                <w:color w:val="auto"/>
              </w:rPr>
            </w:pPr>
          </w:p>
        </w:tc>
      </w:tr>
      <w:tr>
        <w:trPr>
          <w:trHeight w:val="132"/>
        </w:trPr>
        <w:tc>
          <w:tcPr>
            <w:tcW w:w="45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-29210</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-29210</wp:posOffset>
            </wp:positionV>
            <wp:extent cx="2159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-29210</wp:posOffset>
            </wp:positionV>
            <wp:extent cx="38735"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-29210</wp:posOffset>
            </wp:positionV>
            <wp:extent cx="1270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-29210</wp:posOffset>
            </wp:positionV>
            <wp:extent cx="2159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-29210</wp:posOffset>
            </wp:positionV>
            <wp:extent cx="38735"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-29210</wp:posOffset>
            </wp:positionV>
            <wp:extent cx="1270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-29210</wp:posOffset>
            </wp:positionV>
            <wp:extent cx="2159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-29210</wp:posOffset>
            </wp:positionV>
            <wp:extent cx="38735"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-29210</wp:posOffset>
            </wp:positionV>
            <wp:extent cx="1270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2159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38735"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2159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3873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1270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-29210</wp:posOffset>
            </wp:positionV>
            <wp:extent cx="2159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274"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7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YEAR ENDED DECEMBER 31, 2001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05" w:type="dxa"/>
            <w:vAlign w:val="bottom"/>
          </w:tcPr>
          <w:p>
            <w:pPr>
              <w:spacing w:after="0"/>
              <w:rPr>
                <w:sz w:val="14"/>
                <w:szCs w:val="14"/>
                <w:color w:val="auto"/>
              </w:rPr>
            </w:pPr>
          </w:p>
        </w:tc>
        <w:tc>
          <w:tcPr>
            <w:tcW w:w="295"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1"/>
              </w:rPr>
              <w:t>Guarantor</w:t>
            </w:r>
          </w:p>
        </w:tc>
        <w:tc>
          <w:tcPr>
            <w:tcW w:w="12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6"/>
              </w:rPr>
              <w:t>Non-guarantor</w:t>
            </w:r>
          </w:p>
        </w:tc>
        <w:tc>
          <w:tcPr>
            <w:tcW w:w="180" w:type="dxa"/>
            <w:vAlign w:val="bottom"/>
          </w:tcPr>
          <w:p>
            <w:pPr>
              <w:spacing w:after="0"/>
              <w:rPr>
                <w:sz w:val="14"/>
                <w:szCs w:val="14"/>
                <w:color w:val="auto"/>
              </w:rPr>
            </w:pPr>
          </w:p>
        </w:tc>
        <w:tc>
          <w:tcPr>
            <w:tcW w:w="12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5"/>
              </w:rPr>
              <w:t>Eliminating</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502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Parent</w:t>
            </w:r>
          </w:p>
        </w:tc>
        <w:tc>
          <w:tcPr>
            <w:tcW w:w="320" w:type="dxa"/>
            <w:vAlign w:val="bottom"/>
          </w:tcPr>
          <w:p>
            <w:pPr>
              <w:spacing w:after="0"/>
              <w:rPr>
                <w:sz w:val="15"/>
                <w:szCs w:val="15"/>
                <w:color w:val="auto"/>
              </w:rPr>
            </w:pPr>
          </w:p>
        </w:tc>
        <w:tc>
          <w:tcPr>
            <w:tcW w:w="9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3"/>
              </w:rPr>
              <w:t>Issuers</w:t>
            </w:r>
          </w:p>
        </w:tc>
        <w:tc>
          <w:tcPr>
            <w:tcW w:w="100" w:type="dxa"/>
            <w:vAlign w:val="bottom"/>
          </w:tcPr>
          <w:p>
            <w:pPr>
              <w:spacing w:after="0"/>
              <w:rPr>
                <w:sz w:val="15"/>
                <w:szCs w:val="15"/>
                <w:color w:val="auto"/>
              </w:rPr>
            </w:pPr>
          </w:p>
        </w:tc>
        <w:tc>
          <w:tcPr>
            <w:tcW w:w="12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4"/>
              </w:rPr>
              <w:t>Subsidiaries</w:t>
            </w:r>
          </w:p>
        </w:tc>
        <w:tc>
          <w:tcPr>
            <w:tcW w:w="160" w:type="dxa"/>
            <w:vAlign w:val="bottom"/>
          </w:tcPr>
          <w:p>
            <w:pPr>
              <w:spacing w:after="0"/>
              <w:rPr>
                <w:sz w:val="15"/>
                <w:szCs w:val="15"/>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4"/>
              </w:rPr>
              <w:t>Subsidiaries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Entries</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r>
      <w:tr>
        <w:trPr>
          <w:trHeight w:val="95"/>
        </w:trPr>
        <w:tc>
          <w:tcPr>
            <w:tcW w:w="5020" w:type="dxa"/>
            <w:vAlign w:val="bottom"/>
          </w:tcPr>
          <w:p>
            <w:pPr>
              <w:spacing w:after="0"/>
              <w:rPr>
                <w:sz w:val="8"/>
                <w:szCs w:val="8"/>
                <w:color w:val="auto"/>
              </w:rPr>
            </w:pPr>
          </w:p>
        </w:tc>
        <w:tc>
          <w:tcPr>
            <w:tcW w:w="105" w:type="dxa"/>
            <w:vAlign w:val="bottom"/>
            <w:tcBorders>
              <w:bottom w:val="single" w:sz="8" w:color="auto"/>
            </w:tcBorders>
          </w:tcPr>
          <w:p>
            <w:pPr>
              <w:spacing w:after="0"/>
              <w:rPr>
                <w:sz w:val="8"/>
                <w:szCs w:val="8"/>
                <w:color w:val="auto"/>
              </w:rPr>
            </w:pPr>
          </w:p>
        </w:tc>
        <w:tc>
          <w:tcPr>
            <w:tcW w:w="295"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5020" w:type="dxa"/>
            <w:vAlign w:val="bottom"/>
          </w:tcPr>
          <w:p>
            <w:pPr>
              <w:spacing w:after="0"/>
              <w:rPr>
                <w:sz w:val="8"/>
                <w:szCs w:val="8"/>
                <w:color w:val="auto"/>
              </w:rPr>
            </w:pPr>
          </w:p>
        </w:tc>
        <w:tc>
          <w:tcPr>
            <w:tcW w:w="105" w:type="dxa"/>
            <w:vAlign w:val="bottom"/>
          </w:tcPr>
          <w:p>
            <w:pPr>
              <w:spacing w:after="0"/>
              <w:rPr>
                <w:sz w:val="8"/>
                <w:szCs w:val="8"/>
                <w:color w:val="auto"/>
              </w:rPr>
            </w:pPr>
          </w:p>
        </w:tc>
        <w:tc>
          <w:tcPr>
            <w:tcW w:w="295"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5" w:type="dxa"/>
            <w:vAlign w:val="bottom"/>
            <w:shd w:val="clear" w:color="auto" w:fill="CCEEFF"/>
          </w:tcPr>
          <w:p>
            <w:pPr>
              <w:spacing w:after="0"/>
              <w:rPr>
                <w:sz w:val="18"/>
                <w:szCs w:val="18"/>
                <w:color w:val="auto"/>
              </w:rPr>
            </w:pPr>
          </w:p>
        </w:tc>
        <w:tc>
          <w:tcPr>
            <w:tcW w:w="295"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5020" w:type="dxa"/>
            <w:vAlign w:val="bottom"/>
          </w:tcPr>
          <w:p>
            <w:pPr>
              <w:ind w:left="200"/>
              <w:spacing w:after="0"/>
              <w:rPr>
                <w:sz w:val="20"/>
                <w:szCs w:val="20"/>
                <w:color w:val="auto"/>
              </w:rPr>
            </w:pPr>
            <w:r>
              <w:rPr>
                <w:rFonts w:ascii="Arial" w:cs="Arial" w:eastAsia="Arial" w:hAnsi="Arial"/>
                <w:sz w:val="18"/>
                <w:szCs w:val="18"/>
                <w:color w:val="auto"/>
              </w:rPr>
              <w:t>Net loss accumulated during the development stage</w:t>
            </w:r>
          </w:p>
        </w:tc>
        <w:tc>
          <w:tcPr>
            <w:tcW w:w="105"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95"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(878)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(16,176)</w:t>
            </w:r>
          </w:p>
        </w:tc>
        <w:tc>
          <w:tcPr>
            <w:tcW w:w="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w w:val="87"/>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672)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5"/>
              </w:rPr>
              <w:t>$ (17,726)</w:t>
            </w:r>
          </w:p>
        </w:tc>
      </w:tr>
      <w:tr>
        <w:trPr>
          <w:trHeight w:val="102"/>
        </w:trPr>
        <w:tc>
          <w:tcPr>
            <w:tcW w:w="5020" w:type="dxa"/>
            <w:vAlign w:val="bottom"/>
          </w:tcPr>
          <w:p>
            <w:pPr>
              <w:spacing w:after="0"/>
              <w:rPr>
                <w:sz w:val="8"/>
                <w:szCs w:val="8"/>
                <w:color w:val="auto"/>
              </w:rPr>
            </w:pPr>
          </w:p>
        </w:tc>
        <w:tc>
          <w:tcPr>
            <w:tcW w:w="105" w:type="dxa"/>
            <w:vAlign w:val="bottom"/>
            <w:tcBorders>
              <w:bottom w:val="single" w:sz="8" w:color="auto"/>
            </w:tcBorders>
          </w:tcPr>
          <w:p>
            <w:pPr>
              <w:spacing w:after="0"/>
              <w:rPr>
                <w:sz w:val="8"/>
                <w:szCs w:val="8"/>
                <w:color w:val="auto"/>
              </w:rPr>
            </w:pPr>
          </w:p>
        </w:tc>
        <w:tc>
          <w:tcPr>
            <w:tcW w:w="295"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5020" w:type="dxa"/>
            <w:vAlign w:val="bottom"/>
          </w:tcPr>
          <w:p>
            <w:pPr>
              <w:spacing w:after="0"/>
              <w:rPr>
                <w:sz w:val="8"/>
                <w:szCs w:val="8"/>
                <w:color w:val="auto"/>
              </w:rPr>
            </w:pPr>
          </w:p>
        </w:tc>
        <w:tc>
          <w:tcPr>
            <w:tcW w:w="105" w:type="dxa"/>
            <w:vAlign w:val="bottom"/>
          </w:tcPr>
          <w:p>
            <w:pPr>
              <w:spacing w:after="0"/>
              <w:rPr>
                <w:sz w:val="8"/>
                <w:szCs w:val="8"/>
                <w:color w:val="auto"/>
              </w:rPr>
            </w:pPr>
          </w:p>
        </w:tc>
        <w:tc>
          <w:tcPr>
            <w:tcW w:w="295"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8"/>
        </w:trPr>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accumulated during the</w:t>
            </w:r>
          </w:p>
        </w:tc>
        <w:tc>
          <w:tcPr>
            <w:tcW w:w="105" w:type="dxa"/>
            <w:vAlign w:val="bottom"/>
            <w:shd w:val="clear" w:color="auto" w:fill="CCEEFF"/>
          </w:tcPr>
          <w:p>
            <w:pPr>
              <w:spacing w:after="0"/>
              <w:rPr>
                <w:sz w:val="18"/>
                <w:szCs w:val="18"/>
                <w:color w:val="auto"/>
              </w:rPr>
            </w:pPr>
          </w:p>
        </w:tc>
        <w:tc>
          <w:tcPr>
            <w:tcW w:w="295"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development stage to net cash used in operating activities:</w:t>
            </w:r>
          </w:p>
        </w:tc>
        <w:tc>
          <w:tcPr>
            <w:tcW w:w="105" w:type="dxa"/>
            <w:vAlign w:val="bottom"/>
            <w:shd w:val="clear" w:color="auto" w:fill="CCEEFF"/>
          </w:tcPr>
          <w:p>
            <w:pPr>
              <w:spacing w:after="0"/>
              <w:rPr>
                <w:sz w:val="19"/>
                <w:szCs w:val="19"/>
                <w:color w:val="auto"/>
              </w:rPr>
            </w:pPr>
          </w:p>
        </w:tc>
        <w:tc>
          <w:tcPr>
            <w:tcW w:w="295"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6"/>
        </w:trPr>
        <w:tc>
          <w:tcPr>
            <w:tcW w:w="50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05" w:type="dxa"/>
            <w:vAlign w:val="bottom"/>
          </w:tcPr>
          <w:p>
            <w:pPr>
              <w:spacing w:after="0"/>
              <w:rPr>
                <w:sz w:val="18"/>
                <w:szCs w:val="18"/>
                <w:color w:val="auto"/>
              </w:rPr>
            </w:pPr>
          </w:p>
        </w:tc>
        <w:tc>
          <w:tcPr>
            <w:tcW w:w="295"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6,901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8,163</w:t>
            </w:r>
          </w:p>
        </w:tc>
        <w:tc>
          <w:tcPr>
            <w:tcW w:w="60" w:type="dxa"/>
            <w:vAlign w:val="bottom"/>
          </w:tcPr>
          <w:p>
            <w:pPr>
              <w:spacing w:after="0"/>
              <w:rPr>
                <w:sz w:val="18"/>
                <w:szCs w:val="18"/>
                <w:color w:val="auto"/>
              </w:rPr>
            </w:pPr>
          </w:p>
        </w:tc>
      </w:tr>
      <w:tr>
        <w:trPr>
          <w:trHeight w:val="216"/>
        </w:trPr>
        <w:tc>
          <w:tcPr>
            <w:tcW w:w="5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(Gain)/Loss on sale of fixed assets</w:t>
            </w:r>
          </w:p>
        </w:tc>
        <w:tc>
          <w:tcPr>
            <w:tcW w:w="105" w:type="dxa"/>
            <w:vAlign w:val="bottom"/>
            <w:shd w:val="clear" w:color="auto" w:fill="CCEEFF"/>
          </w:tcPr>
          <w:p>
            <w:pPr>
              <w:spacing w:after="0"/>
              <w:rPr>
                <w:sz w:val="18"/>
                <w:szCs w:val="18"/>
                <w:color w:val="auto"/>
              </w:rPr>
            </w:pPr>
          </w:p>
        </w:tc>
        <w:tc>
          <w:tcPr>
            <w:tcW w:w="295"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60" w:type="dxa"/>
            <w:vAlign w:val="bottom"/>
            <w:shd w:val="clear" w:color="auto" w:fill="CCEEFF"/>
          </w:tcPr>
          <w:p>
            <w:pPr>
              <w:spacing w:after="0"/>
              <w:rPr>
                <w:sz w:val="18"/>
                <w:szCs w:val="18"/>
                <w:color w:val="auto"/>
              </w:rPr>
            </w:pPr>
          </w:p>
        </w:tc>
      </w:tr>
      <w:tr>
        <w:trPr>
          <w:trHeight w:val="216"/>
        </w:trPr>
        <w:tc>
          <w:tcPr>
            <w:tcW w:w="5020" w:type="dxa"/>
            <w:vAlign w:val="bottom"/>
          </w:tcPr>
          <w:p>
            <w:pPr>
              <w:ind w:left="380"/>
              <w:spacing w:after="0"/>
              <w:rPr>
                <w:sz w:val="20"/>
                <w:szCs w:val="20"/>
                <w:color w:val="auto"/>
              </w:rPr>
            </w:pPr>
            <w:r>
              <w:rPr>
                <w:rFonts w:ascii="Arial" w:cs="Arial" w:eastAsia="Arial" w:hAnsi="Arial"/>
                <w:sz w:val="18"/>
                <w:szCs w:val="18"/>
                <w:color w:val="auto"/>
              </w:rPr>
              <w:t>Incidental operations</w:t>
            </w:r>
          </w:p>
        </w:tc>
        <w:tc>
          <w:tcPr>
            <w:tcW w:w="105" w:type="dxa"/>
            <w:vAlign w:val="bottom"/>
          </w:tcPr>
          <w:p>
            <w:pPr>
              <w:spacing w:after="0"/>
              <w:rPr>
                <w:sz w:val="18"/>
                <w:szCs w:val="18"/>
                <w:color w:val="auto"/>
              </w:rPr>
            </w:pPr>
          </w:p>
        </w:tc>
        <w:tc>
          <w:tcPr>
            <w:tcW w:w="295"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3,611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3,611</w:t>
            </w:r>
          </w:p>
        </w:tc>
        <w:tc>
          <w:tcPr>
            <w:tcW w:w="60" w:type="dxa"/>
            <w:vAlign w:val="bottom"/>
          </w:tcPr>
          <w:p>
            <w:pPr>
              <w:spacing w:after="0"/>
              <w:rPr>
                <w:sz w:val="18"/>
                <w:szCs w:val="18"/>
                <w:color w:val="auto"/>
              </w:rPr>
            </w:pPr>
          </w:p>
        </w:tc>
      </w:tr>
      <w:tr>
        <w:trPr>
          <w:trHeight w:val="216"/>
        </w:trPr>
        <w:tc>
          <w:tcPr>
            <w:tcW w:w="5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Increase (decrease) in cash from changes in:</w:t>
            </w:r>
          </w:p>
        </w:tc>
        <w:tc>
          <w:tcPr>
            <w:tcW w:w="105" w:type="dxa"/>
            <w:vAlign w:val="bottom"/>
            <w:shd w:val="clear" w:color="auto" w:fill="CCEEFF"/>
          </w:tcPr>
          <w:p>
            <w:pPr>
              <w:spacing w:after="0"/>
              <w:rPr>
                <w:sz w:val="18"/>
                <w:szCs w:val="18"/>
                <w:color w:val="auto"/>
              </w:rPr>
            </w:pPr>
          </w:p>
        </w:tc>
        <w:tc>
          <w:tcPr>
            <w:tcW w:w="295"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20" w:type="dxa"/>
            <w:vAlign w:val="bottom"/>
          </w:tcPr>
          <w:p>
            <w:pPr>
              <w:ind w:left="580"/>
              <w:spacing w:after="0"/>
              <w:rPr>
                <w:sz w:val="20"/>
                <w:szCs w:val="20"/>
                <w:color w:val="auto"/>
              </w:rPr>
            </w:pPr>
            <w:r>
              <w:rPr>
                <w:rFonts w:ascii="Arial" w:cs="Arial" w:eastAsia="Arial" w:hAnsi="Arial"/>
                <w:sz w:val="18"/>
                <w:szCs w:val="18"/>
                <w:color w:val="auto"/>
              </w:rPr>
              <w:t>Receivables, net</w:t>
            </w:r>
          </w:p>
        </w:tc>
        <w:tc>
          <w:tcPr>
            <w:tcW w:w="105" w:type="dxa"/>
            <w:vAlign w:val="bottom"/>
          </w:tcPr>
          <w:p>
            <w:pPr>
              <w:spacing w:after="0"/>
              <w:rPr>
                <w:sz w:val="18"/>
                <w:szCs w:val="18"/>
                <w:color w:val="auto"/>
              </w:rPr>
            </w:pPr>
          </w:p>
        </w:tc>
        <w:tc>
          <w:tcPr>
            <w:tcW w:w="295"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484</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477</w:t>
            </w:r>
          </w:p>
        </w:tc>
        <w:tc>
          <w:tcPr>
            <w:tcW w:w="60" w:type="dxa"/>
            <w:vAlign w:val="bottom"/>
          </w:tcPr>
          <w:p>
            <w:pPr>
              <w:spacing w:after="0"/>
              <w:rPr>
                <w:sz w:val="18"/>
                <w:szCs w:val="18"/>
                <w:color w:val="auto"/>
              </w:rPr>
            </w:pPr>
          </w:p>
        </w:tc>
      </w:tr>
      <w:tr>
        <w:trPr>
          <w:trHeight w:val="216"/>
        </w:trPr>
        <w:tc>
          <w:tcPr>
            <w:tcW w:w="5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Inventories and prepaid expenses</w:t>
            </w:r>
          </w:p>
        </w:tc>
        <w:tc>
          <w:tcPr>
            <w:tcW w:w="105" w:type="dxa"/>
            <w:vAlign w:val="bottom"/>
            <w:shd w:val="clear" w:color="auto" w:fill="CCEEFF"/>
          </w:tcPr>
          <w:p>
            <w:pPr>
              <w:spacing w:after="0"/>
              <w:rPr>
                <w:sz w:val="18"/>
                <w:szCs w:val="18"/>
                <w:color w:val="auto"/>
              </w:rPr>
            </w:pPr>
          </w:p>
        </w:tc>
        <w:tc>
          <w:tcPr>
            <w:tcW w:w="295"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22"/>
        </w:trPr>
        <w:tc>
          <w:tcPr>
            <w:tcW w:w="5020" w:type="dxa"/>
            <w:vAlign w:val="bottom"/>
          </w:tcPr>
          <w:p>
            <w:pPr>
              <w:ind w:left="580"/>
              <w:spacing w:after="0"/>
              <w:rPr>
                <w:sz w:val="20"/>
                <w:szCs w:val="20"/>
                <w:color w:val="auto"/>
              </w:rPr>
            </w:pPr>
            <w:r>
              <w:rPr>
                <w:rFonts w:ascii="Arial" w:cs="Arial" w:eastAsia="Arial" w:hAnsi="Arial"/>
                <w:sz w:val="18"/>
                <w:szCs w:val="18"/>
                <w:color w:val="auto"/>
              </w:rPr>
              <w:t>Accounts payable and accrued expenses</w:t>
            </w:r>
          </w:p>
        </w:tc>
        <w:tc>
          <w:tcPr>
            <w:tcW w:w="105" w:type="dxa"/>
            <w:vAlign w:val="bottom"/>
          </w:tcPr>
          <w:p>
            <w:pPr>
              <w:spacing w:after="0"/>
              <w:rPr>
                <w:sz w:val="19"/>
                <w:szCs w:val="19"/>
                <w:color w:val="auto"/>
              </w:rPr>
            </w:pPr>
          </w:p>
        </w:tc>
        <w:tc>
          <w:tcPr>
            <w:tcW w:w="295"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466</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585</w:t>
            </w:r>
          </w:p>
        </w:tc>
        <w:tc>
          <w:tcPr>
            <w:tcW w:w="60" w:type="dxa"/>
            <w:vAlign w:val="bottom"/>
          </w:tcPr>
          <w:p>
            <w:pPr>
              <w:spacing w:after="0"/>
              <w:rPr>
                <w:sz w:val="19"/>
                <w:szCs w:val="19"/>
                <w:color w:val="auto"/>
              </w:rPr>
            </w:pPr>
          </w:p>
        </w:tc>
      </w:tr>
      <w:tr>
        <w:trPr>
          <w:trHeight w:val="102"/>
        </w:trPr>
        <w:tc>
          <w:tcPr>
            <w:tcW w:w="5020" w:type="dxa"/>
            <w:vAlign w:val="bottom"/>
          </w:tcPr>
          <w:p>
            <w:pPr>
              <w:spacing w:after="0"/>
              <w:rPr>
                <w:sz w:val="8"/>
                <w:szCs w:val="8"/>
                <w:color w:val="auto"/>
              </w:rPr>
            </w:pPr>
          </w:p>
        </w:tc>
        <w:tc>
          <w:tcPr>
            <w:tcW w:w="105" w:type="dxa"/>
            <w:vAlign w:val="bottom"/>
            <w:tcBorders>
              <w:bottom w:val="single" w:sz="8" w:color="auto"/>
            </w:tcBorders>
          </w:tcPr>
          <w:p>
            <w:pPr>
              <w:spacing w:after="0"/>
              <w:rPr>
                <w:sz w:val="8"/>
                <w:szCs w:val="8"/>
                <w:color w:val="auto"/>
              </w:rPr>
            </w:pPr>
          </w:p>
        </w:tc>
        <w:tc>
          <w:tcPr>
            <w:tcW w:w="295"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5020" w:type="dxa"/>
            <w:vAlign w:val="bottom"/>
          </w:tcPr>
          <w:p>
            <w:pPr>
              <w:spacing w:after="0"/>
              <w:rPr>
                <w:sz w:val="8"/>
                <w:szCs w:val="8"/>
                <w:color w:val="auto"/>
              </w:rPr>
            </w:pPr>
          </w:p>
        </w:tc>
        <w:tc>
          <w:tcPr>
            <w:tcW w:w="105" w:type="dxa"/>
            <w:vAlign w:val="bottom"/>
          </w:tcPr>
          <w:p>
            <w:pPr>
              <w:spacing w:after="0"/>
              <w:rPr>
                <w:sz w:val="8"/>
                <w:szCs w:val="8"/>
                <w:color w:val="auto"/>
              </w:rPr>
            </w:pPr>
          </w:p>
        </w:tc>
        <w:tc>
          <w:tcPr>
            <w:tcW w:w="295"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Total adjustments</w:t>
            </w:r>
          </w:p>
        </w:tc>
        <w:tc>
          <w:tcPr>
            <w:tcW w:w="105" w:type="dxa"/>
            <w:vAlign w:val="bottom"/>
            <w:shd w:val="clear" w:color="auto" w:fill="CCEEFF"/>
          </w:tcPr>
          <w:p>
            <w:pPr>
              <w:spacing w:after="0"/>
              <w:rPr>
                <w:sz w:val="18"/>
                <w:szCs w:val="18"/>
                <w:color w:val="auto"/>
              </w:rPr>
            </w:pPr>
          </w:p>
        </w:tc>
        <w:tc>
          <w:tcPr>
            <w:tcW w:w="295"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13,135</w:t>
            </w:r>
          </w:p>
        </w:tc>
        <w:tc>
          <w:tcPr>
            <w:tcW w:w="60" w:type="dxa"/>
            <w:vAlign w:val="bottom"/>
            <w:shd w:val="clear" w:color="auto" w:fill="CCEEFF"/>
          </w:tcPr>
          <w:p>
            <w:pPr>
              <w:spacing w:after="0"/>
              <w:rPr>
                <w:sz w:val="18"/>
                <w:szCs w:val="18"/>
                <w:color w:val="auto"/>
              </w:rPr>
            </w:pPr>
          </w:p>
        </w:tc>
      </w:tr>
      <w:tr>
        <w:trPr>
          <w:trHeight w:val="108"/>
        </w:trPr>
        <w:tc>
          <w:tcPr>
            <w:tcW w:w="5020" w:type="dxa"/>
            <w:vAlign w:val="bottom"/>
          </w:tcPr>
          <w:p>
            <w:pPr>
              <w:spacing w:after="0"/>
              <w:rPr>
                <w:sz w:val="9"/>
                <w:szCs w:val="9"/>
                <w:color w:val="auto"/>
              </w:rPr>
            </w:pPr>
          </w:p>
        </w:tc>
        <w:tc>
          <w:tcPr>
            <w:tcW w:w="105" w:type="dxa"/>
            <w:vAlign w:val="bottom"/>
            <w:tcBorders>
              <w:bottom w:val="single" w:sz="8" w:color="auto"/>
            </w:tcBorders>
          </w:tcPr>
          <w:p>
            <w:pPr>
              <w:spacing w:after="0"/>
              <w:rPr>
                <w:sz w:val="9"/>
                <w:szCs w:val="9"/>
                <w:color w:val="auto"/>
              </w:rPr>
            </w:pPr>
          </w:p>
        </w:tc>
        <w:tc>
          <w:tcPr>
            <w:tcW w:w="295"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5020" w:type="dxa"/>
            <w:vAlign w:val="bottom"/>
          </w:tcPr>
          <w:p>
            <w:pPr>
              <w:spacing w:after="0"/>
              <w:rPr>
                <w:sz w:val="8"/>
                <w:szCs w:val="8"/>
                <w:color w:val="auto"/>
              </w:rPr>
            </w:pPr>
          </w:p>
        </w:tc>
        <w:tc>
          <w:tcPr>
            <w:tcW w:w="105" w:type="dxa"/>
            <w:vAlign w:val="bottom"/>
          </w:tcPr>
          <w:p>
            <w:pPr>
              <w:spacing w:after="0"/>
              <w:rPr>
                <w:sz w:val="8"/>
                <w:szCs w:val="8"/>
                <w:color w:val="auto"/>
              </w:rPr>
            </w:pPr>
          </w:p>
        </w:tc>
        <w:tc>
          <w:tcPr>
            <w:tcW w:w="295"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Net cash used in operating activities</w:t>
            </w:r>
          </w:p>
        </w:tc>
        <w:tc>
          <w:tcPr>
            <w:tcW w:w="105" w:type="dxa"/>
            <w:vAlign w:val="bottom"/>
            <w:shd w:val="clear" w:color="auto" w:fill="CCEEFF"/>
          </w:tcPr>
          <w:p>
            <w:pPr>
              <w:spacing w:after="0"/>
              <w:rPr>
                <w:sz w:val="18"/>
                <w:szCs w:val="18"/>
                <w:color w:val="auto"/>
              </w:rPr>
            </w:pPr>
          </w:p>
        </w:tc>
        <w:tc>
          <w:tcPr>
            <w:tcW w:w="295"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(4,438)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(4,591)</w:t>
            </w:r>
          </w:p>
        </w:tc>
      </w:tr>
      <w:tr>
        <w:trPr>
          <w:trHeight w:val="108"/>
        </w:trPr>
        <w:tc>
          <w:tcPr>
            <w:tcW w:w="5020" w:type="dxa"/>
            <w:vAlign w:val="bottom"/>
          </w:tcPr>
          <w:p>
            <w:pPr>
              <w:spacing w:after="0"/>
              <w:rPr>
                <w:sz w:val="9"/>
                <w:szCs w:val="9"/>
                <w:color w:val="auto"/>
              </w:rPr>
            </w:pPr>
          </w:p>
        </w:tc>
        <w:tc>
          <w:tcPr>
            <w:tcW w:w="105" w:type="dxa"/>
            <w:vAlign w:val="bottom"/>
            <w:tcBorders>
              <w:bottom w:val="single" w:sz="8" w:color="auto"/>
            </w:tcBorders>
          </w:tcPr>
          <w:p>
            <w:pPr>
              <w:spacing w:after="0"/>
              <w:rPr>
                <w:sz w:val="9"/>
                <w:szCs w:val="9"/>
                <w:color w:val="auto"/>
              </w:rPr>
            </w:pPr>
          </w:p>
        </w:tc>
        <w:tc>
          <w:tcPr>
            <w:tcW w:w="295"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5020" w:type="dxa"/>
            <w:vAlign w:val="bottom"/>
          </w:tcPr>
          <w:p>
            <w:pPr>
              <w:spacing w:after="0"/>
              <w:rPr>
                <w:sz w:val="8"/>
                <w:szCs w:val="8"/>
                <w:color w:val="auto"/>
              </w:rPr>
            </w:pPr>
          </w:p>
        </w:tc>
        <w:tc>
          <w:tcPr>
            <w:tcW w:w="105" w:type="dxa"/>
            <w:vAlign w:val="bottom"/>
          </w:tcPr>
          <w:p>
            <w:pPr>
              <w:spacing w:after="0"/>
              <w:rPr>
                <w:sz w:val="8"/>
                <w:szCs w:val="8"/>
                <w:color w:val="auto"/>
              </w:rPr>
            </w:pPr>
          </w:p>
        </w:tc>
        <w:tc>
          <w:tcPr>
            <w:tcW w:w="295"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5" w:type="dxa"/>
            <w:vAlign w:val="bottom"/>
            <w:shd w:val="clear" w:color="auto" w:fill="CCEEFF"/>
          </w:tcPr>
          <w:p>
            <w:pPr>
              <w:spacing w:after="0"/>
              <w:rPr>
                <w:sz w:val="18"/>
                <w:szCs w:val="18"/>
                <w:color w:val="auto"/>
              </w:rPr>
            </w:pPr>
          </w:p>
        </w:tc>
        <w:tc>
          <w:tcPr>
            <w:tcW w:w="295"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2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w:t>
            </w:r>
          </w:p>
        </w:tc>
        <w:tc>
          <w:tcPr>
            <w:tcW w:w="105" w:type="dxa"/>
            <w:vAlign w:val="bottom"/>
          </w:tcPr>
          <w:p>
            <w:pPr>
              <w:spacing w:after="0"/>
              <w:rPr>
                <w:sz w:val="18"/>
                <w:szCs w:val="18"/>
                <w:color w:val="auto"/>
              </w:rPr>
            </w:pPr>
          </w:p>
        </w:tc>
        <w:tc>
          <w:tcPr>
            <w:tcW w:w="295"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(29,057)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(29,082)</w:t>
            </w:r>
          </w:p>
        </w:tc>
      </w:tr>
      <w:tr>
        <w:trPr>
          <w:trHeight w:val="216"/>
        </w:trPr>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105" w:type="dxa"/>
            <w:vAlign w:val="bottom"/>
            <w:shd w:val="clear" w:color="auto" w:fill="CCEEFF"/>
          </w:tcPr>
          <w:p>
            <w:pPr>
              <w:spacing w:after="0"/>
              <w:rPr>
                <w:sz w:val="18"/>
                <w:szCs w:val="18"/>
                <w:color w:val="auto"/>
              </w:rPr>
            </w:pPr>
          </w:p>
        </w:tc>
        <w:tc>
          <w:tcPr>
            <w:tcW w:w="295"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w:t>
            </w:r>
          </w:p>
        </w:tc>
      </w:tr>
      <w:tr>
        <w:trPr>
          <w:trHeight w:val="216"/>
        </w:trPr>
        <w:tc>
          <w:tcPr>
            <w:tcW w:w="502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105" w:type="dxa"/>
            <w:vAlign w:val="bottom"/>
          </w:tcPr>
          <w:p>
            <w:pPr>
              <w:spacing w:after="0"/>
              <w:rPr>
                <w:sz w:val="18"/>
                <w:szCs w:val="18"/>
                <w:color w:val="auto"/>
              </w:rPr>
            </w:pPr>
          </w:p>
        </w:tc>
        <w:tc>
          <w:tcPr>
            <w:tcW w:w="295"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(1,252)</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(491)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(1,707)</w:t>
            </w:r>
          </w:p>
        </w:tc>
      </w:tr>
      <w:tr>
        <w:trPr>
          <w:trHeight w:val="216"/>
        </w:trPr>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Intercompany balances</w:t>
            </w:r>
          </w:p>
        </w:tc>
        <w:tc>
          <w:tcPr>
            <w:tcW w:w="105" w:type="dxa"/>
            <w:vAlign w:val="bottom"/>
            <w:shd w:val="clear" w:color="auto" w:fill="CCEEFF"/>
          </w:tcPr>
          <w:p>
            <w:pPr>
              <w:spacing w:after="0"/>
              <w:rPr>
                <w:sz w:val="18"/>
                <w:szCs w:val="18"/>
                <w:color w:val="auto"/>
              </w:rPr>
            </w:pPr>
          </w:p>
        </w:tc>
        <w:tc>
          <w:tcPr>
            <w:tcW w:w="295"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(11,860)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10,017</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5020" w:type="dxa"/>
            <w:vAlign w:val="bottom"/>
          </w:tcPr>
          <w:p>
            <w:pPr>
              <w:ind w:left="200"/>
              <w:spacing w:after="0"/>
              <w:rPr>
                <w:sz w:val="20"/>
                <w:szCs w:val="20"/>
                <w:color w:val="auto"/>
              </w:rPr>
            </w:pPr>
            <w:r>
              <w:rPr>
                <w:rFonts w:ascii="Arial" w:cs="Arial" w:eastAsia="Arial" w:hAnsi="Arial"/>
                <w:sz w:val="18"/>
                <w:szCs w:val="18"/>
                <w:color w:val="auto"/>
              </w:rPr>
              <w:t>Proceeds from sale of equipment</w:t>
            </w:r>
          </w:p>
        </w:tc>
        <w:tc>
          <w:tcPr>
            <w:tcW w:w="105" w:type="dxa"/>
            <w:vAlign w:val="bottom"/>
          </w:tcPr>
          <w:p>
            <w:pPr>
              <w:spacing w:after="0"/>
              <w:rPr>
                <w:sz w:val="19"/>
                <w:szCs w:val="19"/>
                <w:color w:val="auto"/>
              </w:rPr>
            </w:pPr>
          </w:p>
        </w:tc>
        <w:tc>
          <w:tcPr>
            <w:tcW w:w="295"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775</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775</w:t>
            </w:r>
          </w:p>
        </w:tc>
        <w:tc>
          <w:tcPr>
            <w:tcW w:w="60" w:type="dxa"/>
            <w:vAlign w:val="bottom"/>
          </w:tcPr>
          <w:p>
            <w:pPr>
              <w:spacing w:after="0"/>
              <w:rPr>
                <w:sz w:val="19"/>
                <w:szCs w:val="19"/>
                <w:color w:val="auto"/>
              </w:rPr>
            </w:pPr>
          </w:p>
        </w:tc>
      </w:tr>
      <w:tr>
        <w:trPr>
          <w:trHeight w:val="102"/>
        </w:trPr>
        <w:tc>
          <w:tcPr>
            <w:tcW w:w="5020" w:type="dxa"/>
            <w:vAlign w:val="bottom"/>
          </w:tcPr>
          <w:p>
            <w:pPr>
              <w:spacing w:after="0"/>
              <w:rPr>
                <w:sz w:val="8"/>
                <w:szCs w:val="8"/>
                <w:color w:val="auto"/>
              </w:rPr>
            </w:pPr>
          </w:p>
        </w:tc>
        <w:tc>
          <w:tcPr>
            <w:tcW w:w="105" w:type="dxa"/>
            <w:vAlign w:val="bottom"/>
            <w:tcBorders>
              <w:bottom w:val="single" w:sz="8" w:color="auto"/>
            </w:tcBorders>
          </w:tcPr>
          <w:p>
            <w:pPr>
              <w:spacing w:after="0"/>
              <w:rPr>
                <w:sz w:val="8"/>
                <w:szCs w:val="8"/>
                <w:color w:val="auto"/>
              </w:rPr>
            </w:pPr>
          </w:p>
        </w:tc>
        <w:tc>
          <w:tcPr>
            <w:tcW w:w="295"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5020" w:type="dxa"/>
            <w:vAlign w:val="bottom"/>
          </w:tcPr>
          <w:p>
            <w:pPr>
              <w:spacing w:after="0"/>
              <w:rPr>
                <w:sz w:val="8"/>
                <w:szCs w:val="8"/>
                <w:color w:val="auto"/>
              </w:rPr>
            </w:pPr>
          </w:p>
        </w:tc>
        <w:tc>
          <w:tcPr>
            <w:tcW w:w="105" w:type="dxa"/>
            <w:vAlign w:val="bottom"/>
          </w:tcPr>
          <w:p>
            <w:pPr>
              <w:spacing w:after="0"/>
              <w:rPr>
                <w:sz w:val="8"/>
                <w:szCs w:val="8"/>
                <w:color w:val="auto"/>
              </w:rPr>
            </w:pPr>
          </w:p>
        </w:tc>
        <w:tc>
          <w:tcPr>
            <w:tcW w:w="295"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Net cash used in investing activities</w:t>
            </w:r>
          </w:p>
        </w:tc>
        <w:tc>
          <w:tcPr>
            <w:tcW w:w="105" w:type="dxa"/>
            <w:vAlign w:val="bottom"/>
            <w:shd w:val="clear" w:color="auto" w:fill="CCEEFF"/>
          </w:tcPr>
          <w:p>
            <w:pPr>
              <w:spacing w:after="0"/>
              <w:rPr>
                <w:sz w:val="18"/>
                <w:szCs w:val="18"/>
                <w:color w:val="auto"/>
              </w:rPr>
            </w:pPr>
          </w:p>
        </w:tc>
        <w:tc>
          <w:tcPr>
            <w:tcW w:w="295"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744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(40,657)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10,035</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(30,538)</w:t>
            </w:r>
          </w:p>
        </w:tc>
      </w:tr>
      <w:tr>
        <w:trPr>
          <w:trHeight w:val="108"/>
        </w:trPr>
        <w:tc>
          <w:tcPr>
            <w:tcW w:w="5020" w:type="dxa"/>
            <w:vAlign w:val="bottom"/>
          </w:tcPr>
          <w:p>
            <w:pPr>
              <w:spacing w:after="0"/>
              <w:rPr>
                <w:sz w:val="9"/>
                <w:szCs w:val="9"/>
                <w:color w:val="auto"/>
              </w:rPr>
            </w:pPr>
          </w:p>
        </w:tc>
        <w:tc>
          <w:tcPr>
            <w:tcW w:w="105" w:type="dxa"/>
            <w:vAlign w:val="bottom"/>
            <w:tcBorders>
              <w:bottom w:val="single" w:sz="8" w:color="auto"/>
            </w:tcBorders>
          </w:tcPr>
          <w:p>
            <w:pPr>
              <w:spacing w:after="0"/>
              <w:rPr>
                <w:sz w:val="9"/>
                <w:szCs w:val="9"/>
                <w:color w:val="auto"/>
              </w:rPr>
            </w:pPr>
          </w:p>
        </w:tc>
        <w:tc>
          <w:tcPr>
            <w:tcW w:w="295"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5020" w:type="dxa"/>
            <w:vAlign w:val="bottom"/>
          </w:tcPr>
          <w:p>
            <w:pPr>
              <w:spacing w:after="0"/>
              <w:rPr>
                <w:sz w:val="8"/>
                <w:szCs w:val="8"/>
                <w:color w:val="auto"/>
              </w:rPr>
            </w:pPr>
          </w:p>
        </w:tc>
        <w:tc>
          <w:tcPr>
            <w:tcW w:w="105" w:type="dxa"/>
            <w:vAlign w:val="bottom"/>
          </w:tcPr>
          <w:p>
            <w:pPr>
              <w:spacing w:after="0"/>
              <w:rPr>
                <w:sz w:val="8"/>
                <w:szCs w:val="8"/>
                <w:color w:val="auto"/>
              </w:rPr>
            </w:pPr>
          </w:p>
        </w:tc>
        <w:tc>
          <w:tcPr>
            <w:tcW w:w="295"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5" w:type="dxa"/>
            <w:vAlign w:val="bottom"/>
            <w:shd w:val="clear" w:color="auto" w:fill="CCEEFF"/>
          </w:tcPr>
          <w:p>
            <w:pPr>
              <w:spacing w:after="0"/>
              <w:rPr>
                <w:sz w:val="18"/>
                <w:szCs w:val="18"/>
                <w:color w:val="auto"/>
              </w:rPr>
            </w:pPr>
          </w:p>
        </w:tc>
        <w:tc>
          <w:tcPr>
            <w:tcW w:w="295"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20" w:type="dxa"/>
            <w:vAlign w:val="bottom"/>
          </w:tcPr>
          <w:p>
            <w:pPr>
              <w:ind w:left="200"/>
              <w:spacing w:after="0"/>
              <w:rPr>
                <w:sz w:val="20"/>
                <w:szCs w:val="20"/>
                <w:color w:val="auto"/>
              </w:rPr>
            </w:pPr>
            <w:r>
              <w:rPr>
                <w:rFonts w:ascii="Arial" w:cs="Arial" w:eastAsia="Arial" w:hAnsi="Arial"/>
                <w:sz w:val="18"/>
                <w:szCs w:val="18"/>
                <w:color w:val="auto"/>
              </w:rPr>
              <w:t>Equity contributions</w:t>
            </w:r>
          </w:p>
        </w:tc>
        <w:tc>
          <w:tcPr>
            <w:tcW w:w="105" w:type="dxa"/>
            <w:vAlign w:val="bottom"/>
          </w:tcPr>
          <w:p>
            <w:pPr>
              <w:spacing w:after="0"/>
              <w:rPr>
                <w:sz w:val="18"/>
                <w:szCs w:val="18"/>
                <w:color w:val="auto"/>
              </w:rPr>
            </w:pPr>
          </w:p>
        </w:tc>
        <w:tc>
          <w:tcPr>
            <w:tcW w:w="295"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20,800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20,800</w:t>
            </w:r>
          </w:p>
        </w:tc>
        <w:tc>
          <w:tcPr>
            <w:tcW w:w="60" w:type="dxa"/>
            <w:vAlign w:val="bottom"/>
          </w:tcPr>
          <w:p>
            <w:pPr>
              <w:spacing w:after="0"/>
              <w:rPr>
                <w:sz w:val="18"/>
                <w:szCs w:val="18"/>
                <w:color w:val="auto"/>
              </w:rPr>
            </w:pPr>
          </w:p>
        </w:tc>
      </w:tr>
      <w:tr>
        <w:trPr>
          <w:trHeight w:val="216"/>
        </w:trPr>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Third party fee</w:t>
            </w:r>
          </w:p>
        </w:tc>
        <w:tc>
          <w:tcPr>
            <w:tcW w:w="105" w:type="dxa"/>
            <w:vAlign w:val="bottom"/>
            <w:shd w:val="clear" w:color="auto" w:fill="CCEEFF"/>
          </w:tcPr>
          <w:p>
            <w:pPr>
              <w:spacing w:after="0"/>
              <w:rPr>
                <w:sz w:val="18"/>
                <w:szCs w:val="18"/>
                <w:color w:val="auto"/>
              </w:rPr>
            </w:pPr>
          </w:p>
        </w:tc>
        <w:tc>
          <w:tcPr>
            <w:tcW w:w="295"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22"/>
        </w:trPr>
        <w:tc>
          <w:tcPr>
            <w:tcW w:w="5020" w:type="dxa"/>
            <w:vAlign w:val="bottom"/>
          </w:tcPr>
          <w:p>
            <w:pPr>
              <w:ind w:left="200"/>
              <w:spacing w:after="0"/>
              <w:rPr>
                <w:sz w:val="20"/>
                <w:szCs w:val="20"/>
                <w:color w:val="auto"/>
              </w:rPr>
            </w:pPr>
            <w:r>
              <w:rPr>
                <w:rFonts w:ascii="Arial" w:cs="Arial" w:eastAsia="Arial" w:hAnsi="Arial"/>
                <w:sz w:val="18"/>
                <w:szCs w:val="18"/>
                <w:color w:val="auto"/>
              </w:rPr>
              <w:t>Principal payments of long-term debt</w:t>
            </w:r>
          </w:p>
        </w:tc>
        <w:tc>
          <w:tcPr>
            <w:tcW w:w="105" w:type="dxa"/>
            <w:vAlign w:val="bottom"/>
          </w:tcPr>
          <w:p>
            <w:pPr>
              <w:spacing w:after="0"/>
              <w:rPr>
                <w:sz w:val="19"/>
                <w:szCs w:val="19"/>
                <w:color w:val="auto"/>
              </w:rPr>
            </w:pPr>
          </w:p>
        </w:tc>
        <w:tc>
          <w:tcPr>
            <w:tcW w:w="295"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102"/>
        </w:trPr>
        <w:tc>
          <w:tcPr>
            <w:tcW w:w="5020" w:type="dxa"/>
            <w:vAlign w:val="bottom"/>
          </w:tcPr>
          <w:p>
            <w:pPr>
              <w:spacing w:after="0"/>
              <w:rPr>
                <w:sz w:val="8"/>
                <w:szCs w:val="8"/>
                <w:color w:val="auto"/>
              </w:rPr>
            </w:pPr>
          </w:p>
        </w:tc>
        <w:tc>
          <w:tcPr>
            <w:tcW w:w="105" w:type="dxa"/>
            <w:vAlign w:val="bottom"/>
            <w:tcBorders>
              <w:bottom w:val="single" w:sz="8" w:color="auto"/>
            </w:tcBorders>
          </w:tcPr>
          <w:p>
            <w:pPr>
              <w:spacing w:after="0"/>
              <w:rPr>
                <w:sz w:val="8"/>
                <w:szCs w:val="8"/>
                <w:color w:val="auto"/>
              </w:rPr>
            </w:pPr>
          </w:p>
        </w:tc>
        <w:tc>
          <w:tcPr>
            <w:tcW w:w="295"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5020" w:type="dxa"/>
            <w:vAlign w:val="bottom"/>
          </w:tcPr>
          <w:p>
            <w:pPr>
              <w:spacing w:after="0"/>
              <w:rPr>
                <w:sz w:val="8"/>
                <w:szCs w:val="8"/>
                <w:color w:val="auto"/>
              </w:rPr>
            </w:pPr>
          </w:p>
        </w:tc>
        <w:tc>
          <w:tcPr>
            <w:tcW w:w="105" w:type="dxa"/>
            <w:vAlign w:val="bottom"/>
          </w:tcPr>
          <w:p>
            <w:pPr>
              <w:spacing w:after="0"/>
              <w:rPr>
                <w:sz w:val="8"/>
                <w:szCs w:val="8"/>
                <w:color w:val="auto"/>
              </w:rPr>
            </w:pPr>
          </w:p>
        </w:tc>
        <w:tc>
          <w:tcPr>
            <w:tcW w:w="295"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Net cash provided by financing activities</w:t>
            </w:r>
          </w:p>
        </w:tc>
        <w:tc>
          <w:tcPr>
            <w:tcW w:w="105" w:type="dxa"/>
            <w:vAlign w:val="bottom"/>
            <w:shd w:val="clear" w:color="auto" w:fill="CCEEFF"/>
          </w:tcPr>
          <w:p>
            <w:pPr>
              <w:spacing w:after="0"/>
              <w:rPr>
                <w:sz w:val="18"/>
                <w:szCs w:val="18"/>
                <w:color w:val="auto"/>
              </w:rPr>
            </w:pPr>
          </w:p>
        </w:tc>
        <w:tc>
          <w:tcPr>
            <w:tcW w:w="295"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60" w:type="dxa"/>
            <w:vAlign w:val="bottom"/>
            <w:shd w:val="clear" w:color="auto" w:fill="CCEEFF"/>
          </w:tcPr>
          <w:p>
            <w:pPr>
              <w:spacing w:after="0"/>
              <w:rPr>
                <w:sz w:val="18"/>
                <w:szCs w:val="18"/>
                <w:color w:val="auto"/>
              </w:rPr>
            </w:pPr>
          </w:p>
        </w:tc>
      </w:tr>
      <w:tr>
        <w:trPr>
          <w:trHeight w:val="108"/>
        </w:trPr>
        <w:tc>
          <w:tcPr>
            <w:tcW w:w="5020" w:type="dxa"/>
            <w:vAlign w:val="bottom"/>
          </w:tcPr>
          <w:p>
            <w:pPr>
              <w:spacing w:after="0"/>
              <w:rPr>
                <w:sz w:val="9"/>
                <w:szCs w:val="9"/>
                <w:color w:val="auto"/>
              </w:rPr>
            </w:pPr>
          </w:p>
        </w:tc>
        <w:tc>
          <w:tcPr>
            <w:tcW w:w="105" w:type="dxa"/>
            <w:vAlign w:val="bottom"/>
            <w:tcBorders>
              <w:bottom w:val="single" w:sz="8" w:color="auto"/>
            </w:tcBorders>
          </w:tcPr>
          <w:p>
            <w:pPr>
              <w:spacing w:after="0"/>
              <w:rPr>
                <w:sz w:val="9"/>
                <w:szCs w:val="9"/>
                <w:color w:val="auto"/>
              </w:rPr>
            </w:pPr>
          </w:p>
        </w:tc>
        <w:tc>
          <w:tcPr>
            <w:tcW w:w="295"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5020" w:type="dxa"/>
            <w:vAlign w:val="bottom"/>
          </w:tcPr>
          <w:p>
            <w:pPr>
              <w:spacing w:after="0"/>
              <w:rPr>
                <w:sz w:val="8"/>
                <w:szCs w:val="8"/>
                <w:color w:val="auto"/>
              </w:rPr>
            </w:pPr>
          </w:p>
        </w:tc>
        <w:tc>
          <w:tcPr>
            <w:tcW w:w="105" w:type="dxa"/>
            <w:vAlign w:val="bottom"/>
          </w:tcPr>
          <w:p>
            <w:pPr>
              <w:spacing w:after="0"/>
              <w:rPr>
                <w:sz w:val="8"/>
                <w:szCs w:val="8"/>
                <w:color w:val="auto"/>
              </w:rPr>
            </w:pPr>
          </w:p>
        </w:tc>
        <w:tc>
          <w:tcPr>
            <w:tcW w:w="295"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5" w:type="dxa"/>
            <w:vAlign w:val="bottom"/>
            <w:shd w:val="clear" w:color="auto" w:fill="CCEEFF"/>
          </w:tcPr>
          <w:p>
            <w:pPr>
              <w:spacing w:after="0"/>
              <w:rPr>
                <w:sz w:val="18"/>
                <w:szCs w:val="18"/>
                <w:color w:val="auto"/>
              </w:rPr>
            </w:pPr>
          </w:p>
        </w:tc>
        <w:tc>
          <w:tcPr>
            <w:tcW w:w="295"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20" w:type="dxa"/>
            <w:vAlign w:val="bottom"/>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105" w:type="dxa"/>
            <w:vAlign w:val="bottom"/>
          </w:tcPr>
          <w:p>
            <w:pPr>
              <w:spacing w:after="0"/>
              <w:rPr>
                <w:sz w:val="18"/>
                <w:szCs w:val="18"/>
                <w:color w:val="auto"/>
              </w:rPr>
            </w:pPr>
          </w:p>
        </w:tc>
        <w:tc>
          <w:tcPr>
            <w:tcW w:w="295"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(25,127)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10,035</w:t>
            </w:r>
          </w:p>
        </w:tc>
        <w:tc>
          <w:tcPr>
            <w:tcW w:w="4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(15,161)</w:t>
            </w:r>
          </w:p>
        </w:tc>
      </w:tr>
      <w:tr>
        <w:trPr>
          <w:trHeight w:val="216"/>
        </w:trPr>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105" w:type="dxa"/>
            <w:vAlign w:val="bottom"/>
            <w:shd w:val="clear" w:color="auto" w:fill="CCEEFF"/>
          </w:tcPr>
          <w:p>
            <w:pPr>
              <w:spacing w:after="0"/>
              <w:rPr>
                <w:sz w:val="18"/>
                <w:szCs w:val="18"/>
                <w:color w:val="auto"/>
              </w:rPr>
            </w:pPr>
          </w:p>
        </w:tc>
        <w:tc>
          <w:tcPr>
            <w:tcW w:w="295"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(10,035)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60" w:type="dxa"/>
            <w:vAlign w:val="bottom"/>
            <w:shd w:val="clear" w:color="auto" w:fill="CCEEFF"/>
          </w:tcPr>
          <w:p>
            <w:pPr>
              <w:spacing w:after="0"/>
              <w:rPr>
                <w:sz w:val="18"/>
                <w:szCs w:val="18"/>
                <w:color w:val="auto"/>
              </w:rPr>
            </w:pPr>
          </w:p>
        </w:tc>
      </w:tr>
      <w:tr>
        <w:trPr>
          <w:trHeight w:val="108"/>
        </w:trPr>
        <w:tc>
          <w:tcPr>
            <w:tcW w:w="5020" w:type="dxa"/>
            <w:vAlign w:val="bottom"/>
          </w:tcPr>
          <w:p>
            <w:pPr>
              <w:spacing w:after="0"/>
              <w:rPr>
                <w:sz w:val="9"/>
                <w:szCs w:val="9"/>
                <w:color w:val="auto"/>
              </w:rPr>
            </w:pPr>
          </w:p>
        </w:tc>
        <w:tc>
          <w:tcPr>
            <w:tcW w:w="105" w:type="dxa"/>
            <w:vAlign w:val="bottom"/>
            <w:tcBorders>
              <w:bottom w:val="single" w:sz="8" w:color="auto"/>
            </w:tcBorders>
          </w:tcPr>
          <w:p>
            <w:pPr>
              <w:spacing w:after="0"/>
              <w:rPr>
                <w:sz w:val="9"/>
                <w:szCs w:val="9"/>
                <w:color w:val="auto"/>
              </w:rPr>
            </w:pPr>
          </w:p>
        </w:tc>
        <w:tc>
          <w:tcPr>
            <w:tcW w:w="295"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5020" w:type="dxa"/>
            <w:vAlign w:val="bottom"/>
          </w:tcPr>
          <w:p>
            <w:pPr>
              <w:spacing w:after="0"/>
              <w:rPr>
                <w:sz w:val="8"/>
                <w:szCs w:val="8"/>
                <w:color w:val="auto"/>
              </w:rPr>
            </w:pPr>
          </w:p>
        </w:tc>
        <w:tc>
          <w:tcPr>
            <w:tcW w:w="105" w:type="dxa"/>
            <w:vAlign w:val="bottom"/>
          </w:tcPr>
          <w:p>
            <w:pPr>
              <w:spacing w:after="0"/>
              <w:rPr>
                <w:sz w:val="8"/>
                <w:szCs w:val="8"/>
                <w:color w:val="auto"/>
              </w:rPr>
            </w:pPr>
          </w:p>
        </w:tc>
        <w:tc>
          <w:tcPr>
            <w:tcW w:w="295"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105"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95"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$ 39,268</w:t>
            </w:r>
          </w:p>
        </w:tc>
        <w:tc>
          <w:tcPr>
            <w:tcW w:w="60" w:type="dxa"/>
            <w:vAlign w:val="bottom"/>
            <w:shd w:val="clear" w:color="auto" w:fill="CCEEFF"/>
          </w:tcPr>
          <w:p>
            <w:pPr>
              <w:spacing w:after="0"/>
              <w:rPr>
                <w:sz w:val="18"/>
                <w:szCs w:val="18"/>
                <w:color w:val="auto"/>
              </w:rPr>
            </w:pPr>
          </w:p>
        </w:tc>
      </w:tr>
      <w:tr>
        <w:trPr>
          <w:trHeight w:val="132"/>
        </w:trPr>
        <w:tc>
          <w:tcPr>
            <w:tcW w:w="5020" w:type="dxa"/>
            <w:vAlign w:val="bottom"/>
          </w:tcPr>
          <w:p>
            <w:pPr>
              <w:spacing w:after="0"/>
              <w:rPr>
                <w:sz w:val="11"/>
                <w:szCs w:val="11"/>
                <w:color w:val="auto"/>
              </w:rPr>
            </w:pPr>
          </w:p>
        </w:tc>
        <w:tc>
          <w:tcPr>
            <w:tcW w:w="105" w:type="dxa"/>
            <w:vAlign w:val="bottom"/>
            <w:tcBorders>
              <w:bottom w:val="single" w:sz="8" w:color="auto"/>
            </w:tcBorders>
          </w:tcPr>
          <w:p>
            <w:pPr>
              <w:spacing w:after="0"/>
              <w:rPr>
                <w:sz w:val="11"/>
                <w:szCs w:val="11"/>
                <w:color w:val="auto"/>
              </w:rPr>
            </w:pPr>
          </w:p>
        </w:tc>
        <w:tc>
          <w:tcPr>
            <w:tcW w:w="295"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Borders>
              <w:bottom w:val="single" w:sz="8" w:color="auto"/>
            </w:tcBorders>
            <w:gridSpan w:val="2"/>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467"/>
        </w:trPr>
        <w:tc>
          <w:tcPr>
            <w:tcW w:w="5020" w:type="dxa"/>
            <w:vAlign w:val="bottom"/>
          </w:tcPr>
          <w:p>
            <w:pPr>
              <w:spacing w:after="0"/>
              <w:rPr>
                <w:sz w:val="24"/>
                <w:szCs w:val="24"/>
                <w:color w:val="auto"/>
              </w:rPr>
            </w:pPr>
          </w:p>
        </w:tc>
        <w:tc>
          <w:tcPr>
            <w:tcW w:w="105" w:type="dxa"/>
            <w:vAlign w:val="bottom"/>
          </w:tcPr>
          <w:p>
            <w:pPr>
              <w:spacing w:after="0"/>
              <w:rPr>
                <w:sz w:val="24"/>
                <w:szCs w:val="24"/>
                <w:color w:val="auto"/>
              </w:rPr>
            </w:pPr>
          </w:p>
        </w:tc>
        <w:tc>
          <w:tcPr>
            <w:tcW w:w="295" w:type="dxa"/>
            <w:vAlign w:val="bottom"/>
          </w:tcPr>
          <w:p>
            <w:pPr>
              <w:spacing w:after="0"/>
              <w:rPr>
                <w:sz w:val="24"/>
                <w:szCs w:val="24"/>
                <w:color w:val="auto"/>
              </w:rPr>
            </w:pPr>
          </w:p>
        </w:tc>
        <w:tc>
          <w:tcPr>
            <w:tcW w:w="1280" w:type="dxa"/>
            <w:vAlign w:val="bottom"/>
            <w:gridSpan w:val="4"/>
          </w:tcPr>
          <w:p>
            <w:pPr>
              <w:jc w:val="right"/>
              <w:ind w:right="820"/>
              <w:spacing w:after="0"/>
              <w:rPr>
                <w:sz w:val="20"/>
                <w:szCs w:val="20"/>
                <w:color w:val="auto"/>
              </w:rPr>
            </w:pPr>
            <w:r>
              <w:rPr>
                <w:rFonts w:ascii="Arial" w:cs="Arial" w:eastAsia="Arial" w:hAnsi="Arial"/>
                <w:sz w:val="18"/>
                <w:szCs w:val="18"/>
                <w:color w:val="auto"/>
              </w:rPr>
              <w:t>F-39</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3184525</wp:posOffset>
            </wp:positionH>
            <wp:positionV relativeFrom="paragraph">
              <wp:posOffset>-325755</wp:posOffset>
            </wp:positionV>
            <wp:extent cx="1270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-325755</wp:posOffset>
            </wp:positionV>
            <wp:extent cx="1270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-325755</wp:posOffset>
            </wp:positionV>
            <wp:extent cx="2159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-325755</wp:posOffset>
            </wp:positionV>
            <wp:extent cx="1270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-325755</wp:posOffset>
            </wp:positionV>
            <wp:extent cx="2159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-325755</wp:posOffset>
            </wp:positionV>
            <wp:extent cx="38735"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-325755</wp:posOffset>
            </wp:positionV>
            <wp:extent cx="127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-325755</wp:posOffset>
            </wp:positionV>
            <wp:extent cx="2159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-325755</wp:posOffset>
            </wp:positionV>
            <wp:extent cx="38735"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-325755</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-325755</wp:posOffset>
            </wp:positionV>
            <wp:extent cx="2159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-325755</wp:posOffset>
            </wp:positionV>
            <wp:extent cx="3873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-325755</wp:posOffset>
            </wp:positionV>
            <wp:extent cx="53594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1270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-325755</wp:posOffset>
            </wp:positionV>
            <wp:extent cx="2159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7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FROM INCEPTION TO DECEMBER 31, 2000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4"/>
                <w:szCs w:val="14"/>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Non-guarantor</w:t>
            </w: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502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Parent</w:t>
            </w:r>
          </w:p>
        </w:tc>
        <w:tc>
          <w:tcPr>
            <w:tcW w:w="32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w w:val="81"/>
              </w:rPr>
              <w:t>Issuers</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4"/>
              </w:rPr>
              <w:t>Subsidiaries</w:t>
            </w:r>
          </w:p>
        </w:tc>
        <w:tc>
          <w:tcPr>
            <w:tcW w:w="120" w:type="dxa"/>
            <w:vAlign w:val="bottom"/>
          </w:tcPr>
          <w:p>
            <w:pPr>
              <w:spacing w:after="0"/>
              <w:rPr>
                <w:sz w:val="15"/>
                <w:szCs w:val="15"/>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5"/>
                <w:szCs w:val="15"/>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r>
      <w:tr>
        <w:trPr>
          <w:trHeight w:val="95"/>
        </w:trPr>
        <w:tc>
          <w:tcPr>
            <w:tcW w:w="50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5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5020" w:type="dxa"/>
            <w:vAlign w:val="bottom"/>
          </w:tcPr>
          <w:p>
            <w:pPr>
              <w:ind w:left="200"/>
              <w:spacing w:after="0"/>
              <w:rPr>
                <w:sz w:val="20"/>
                <w:szCs w:val="20"/>
                <w:color w:val="auto"/>
              </w:rPr>
            </w:pPr>
            <w:r>
              <w:rPr>
                <w:rFonts w:ascii="Arial" w:cs="Arial" w:eastAsia="Arial" w:hAnsi="Arial"/>
                <w:sz w:val="18"/>
                <w:szCs w:val="18"/>
                <w:color w:val="auto"/>
              </w:rPr>
              <w:t>Net loss accumulated during the development stage</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(10,561)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(55)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(10,616)</w:t>
            </w:r>
          </w:p>
        </w:tc>
      </w:tr>
      <w:tr>
        <w:trPr>
          <w:trHeight w:val="102"/>
        </w:trPr>
        <w:tc>
          <w:tcPr>
            <w:tcW w:w="50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5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8"/>
        </w:trPr>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accumulated during the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development stage to net cash used in operating activities:</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6"/>
        </w:trPr>
        <w:tc>
          <w:tcPr>
            <w:tcW w:w="50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3,681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w w:val="79"/>
              </w:rPr>
              <w:t>364</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4,045</w:t>
            </w:r>
          </w:p>
        </w:tc>
        <w:tc>
          <w:tcPr>
            <w:tcW w:w="60" w:type="dxa"/>
            <w:vAlign w:val="bottom"/>
          </w:tcPr>
          <w:p>
            <w:pPr>
              <w:spacing w:after="0"/>
              <w:rPr>
                <w:sz w:val="18"/>
                <w:szCs w:val="18"/>
                <w:color w:val="auto"/>
              </w:rPr>
            </w:pPr>
          </w:p>
        </w:tc>
      </w:tr>
      <w:tr>
        <w:trPr>
          <w:trHeight w:val="216"/>
        </w:trPr>
        <w:tc>
          <w:tcPr>
            <w:tcW w:w="5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Incidental operations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60" w:type="dxa"/>
            <w:vAlign w:val="bottom"/>
            <w:shd w:val="clear" w:color="auto" w:fill="CCEEFF"/>
          </w:tcPr>
          <w:p>
            <w:pPr>
              <w:spacing w:after="0"/>
              <w:rPr>
                <w:sz w:val="18"/>
                <w:szCs w:val="18"/>
                <w:color w:val="auto"/>
              </w:rPr>
            </w:pPr>
          </w:p>
        </w:tc>
      </w:tr>
      <w:tr>
        <w:trPr>
          <w:trHeight w:val="216"/>
        </w:trPr>
        <w:tc>
          <w:tcPr>
            <w:tcW w:w="5020" w:type="dxa"/>
            <w:vAlign w:val="bottom"/>
          </w:tcPr>
          <w:p>
            <w:pPr>
              <w:ind w:left="380"/>
              <w:spacing w:after="0"/>
              <w:rPr>
                <w:sz w:val="20"/>
                <w:szCs w:val="20"/>
                <w:color w:val="auto"/>
              </w:rPr>
            </w:pPr>
            <w:r>
              <w:rPr>
                <w:rFonts w:ascii="Arial" w:cs="Arial" w:eastAsia="Arial" w:hAnsi="Arial"/>
                <w:sz w:val="18"/>
                <w:szCs w:val="18"/>
                <w:color w:val="auto"/>
              </w:rPr>
              <w:t>Increase (decrease) in cash from changes in:</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Receivables, net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6,970</w:t>
            </w:r>
          </w:p>
        </w:tc>
        <w:tc>
          <w:tcPr>
            <w:tcW w:w="60" w:type="dxa"/>
            <w:vAlign w:val="bottom"/>
            <w:shd w:val="clear" w:color="auto" w:fill="CCEEFF"/>
          </w:tcPr>
          <w:p>
            <w:pPr>
              <w:spacing w:after="0"/>
              <w:rPr>
                <w:sz w:val="18"/>
                <w:szCs w:val="18"/>
                <w:color w:val="auto"/>
              </w:rPr>
            </w:pPr>
          </w:p>
        </w:tc>
      </w:tr>
      <w:tr>
        <w:trPr>
          <w:trHeight w:val="216"/>
        </w:trPr>
        <w:tc>
          <w:tcPr>
            <w:tcW w:w="5020" w:type="dxa"/>
            <w:vAlign w:val="bottom"/>
          </w:tcPr>
          <w:p>
            <w:pPr>
              <w:ind w:left="580"/>
              <w:spacing w:after="0"/>
              <w:rPr>
                <w:sz w:val="20"/>
                <w:szCs w:val="20"/>
                <w:color w:val="auto"/>
              </w:rPr>
            </w:pPr>
            <w:r>
              <w:rPr>
                <w:rFonts w:ascii="Arial" w:cs="Arial" w:eastAsia="Arial" w:hAnsi="Arial"/>
                <w:sz w:val="18"/>
                <w:szCs w:val="18"/>
                <w:color w:val="auto"/>
              </w:rPr>
              <w:t>Inventories and prepaid expenses</w:t>
            </w:r>
          </w:p>
        </w:tc>
        <w:tc>
          <w:tcPr>
            <w:tcW w:w="1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5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(8,993)</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(8,986)</w:t>
            </w:r>
          </w:p>
        </w:tc>
      </w:tr>
      <w:tr>
        <w:trPr>
          <w:trHeight w:val="108"/>
        </w:trPr>
        <w:tc>
          <w:tcPr>
            <w:tcW w:w="50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5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Total adjustments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w w:val="79"/>
              </w:rPr>
              <w:t>348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60" w:type="dxa"/>
            <w:vAlign w:val="bottom"/>
            <w:shd w:val="clear" w:color="auto" w:fill="CCEEFF"/>
          </w:tcPr>
          <w:p>
            <w:pPr>
              <w:spacing w:after="0"/>
              <w:rPr>
                <w:sz w:val="18"/>
                <w:szCs w:val="18"/>
                <w:color w:val="auto"/>
              </w:rPr>
            </w:pPr>
          </w:p>
        </w:tc>
      </w:tr>
      <w:tr>
        <w:trPr>
          <w:trHeight w:val="108"/>
        </w:trPr>
        <w:tc>
          <w:tcPr>
            <w:tcW w:w="50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5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(7,730)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w w:val="79"/>
              </w:rPr>
              <w:t>293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(7,437)</w:t>
            </w:r>
          </w:p>
        </w:tc>
      </w:tr>
      <w:tr>
        <w:trPr>
          <w:trHeight w:val="108"/>
        </w:trPr>
        <w:tc>
          <w:tcPr>
            <w:tcW w:w="50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5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8"/>
        </w:trPr>
        <w:tc>
          <w:tcPr>
            <w:tcW w:w="5020" w:type="dxa"/>
            <w:vAlign w:val="bottom"/>
          </w:tcPr>
          <w:p>
            <w:pPr>
              <w:ind w:left="200"/>
              <w:spacing w:after="0"/>
              <w:rPr>
                <w:sz w:val="20"/>
                <w:szCs w:val="20"/>
                <w:color w:val="auto"/>
              </w:rPr>
            </w:pPr>
            <w:r>
              <w:rPr>
                <w:rFonts w:ascii="Arial" w:cs="Arial" w:eastAsia="Arial" w:hAnsi="Arial"/>
                <w:sz w:val="18"/>
                <w:szCs w:val="18"/>
                <w:color w:val="auto"/>
              </w:rPr>
              <w:t>Acquisition of Desert Inn Resort and Casino, net of cash</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5020" w:type="dxa"/>
            <w:vAlign w:val="bottom"/>
          </w:tcPr>
          <w:p>
            <w:pPr>
              <w:ind w:left="240"/>
              <w:spacing w:after="0"/>
              <w:rPr>
                <w:sz w:val="20"/>
                <w:szCs w:val="20"/>
                <w:color w:val="auto"/>
              </w:rPr>
            </w:pPr>
            <w:r>
              <w:rPr>
                <w:rFonts w:ascii="Arial" w:cs="Arial" w:eastAsia="Arial" w:hAnsi="Arial"/>
                <w:sz w:val="18"/>
                <w:szCs w:val="18"/>
                <w:color w:val="auto"/>
              </w:rPr>
              <w:t>acquired</w:t>
            </w:r>
          </w:p>
        </w:tc>
        <w:tc>
          <w:tcPr>
            <w:tcW w:w="1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(270,718)</w:t>
            </w:r>
          </w:p>
        </w:tc>
        <w:tc>
          <w:tcPr>
            <w:tcW w:w="120" w:type="dxa"/>
            <w:vAlign w:val="bottom"/>
          </w:tcPr>
          <w:p>
            <w:pPr>
              <w:spacing w:after="0"/>
              <w:rPr>
                <w:sz w:val="19"/>
                <w:szCs w:val="19"/>
                <w:color w:val="auto"/>
              </w:rPr>
            </w:pPr>
          </w:p>
        </w:tc>
        <w:tc>
          <w:tcPr>
            <w:tcW w:w="14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(270,718)</w:t>
            </w:r>
          </w:p>
        </w:tc>
      </w:tr>
      <w:tr>
        <w:trPr>
          <w:trHeight w:val="217"/>
        </w:trPr>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 net of construction payables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(45,605)</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(10,036)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(55,641)</w:t>
            </w:r>
          </w:p>
        </w:tc>
      </w:tr>
      <w:tr>
        <w:trPr>
          <w:trHeight w:val="216"/>
        </w:trPr>
        <w:tc>
          <w:tcPr>
            <w:tcW w:w="502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(1,299)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(1,299)</w:t>
            </w:r>
          </w:p>
        </w:tc>
      </w:tr>
      <w:tr>
        <w:trPr>
          <w:trHeight w:val="216"/>
        </w:trPr>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Intercompany balances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5020" w:type="dxa"/>
            <w:vAlign w:val="bottom"/>
          </w:tcPr>
          <w:p>
            <w:pPr>
              <w:ind w:left="200"/>
              <w:spacing w:after="0"/>
              <w:rPr>
                <w:sz w:val="20"/>
                <w:szCs w:val="20"/>
                <w:color w:val="auto"/>
              </w:rPr>
            </w:pPr>
            <w:r>
              <w:rPr>
                <w:rFonts w:ascii="Arial" w:cs="Arial" w:eastAsia="Arial" w:hAnsi="Arial"/>
                <w:sz w:val="18"/>
                <w:szCs w:val="18"/>
                <w:color w:val="auto"/>
              </w:rPr>
              <w:t>Proceeds from sale of equipment</w:t>
            </w:r>
          </w:p>
        </w:tc>
        <w:tc>
          <w:tcPr>
            <w:tcW w:w="1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776</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776</w:t>
            </w:r>
          </w:p>
        </w:tc>
        <w:tc>
          <w:tcPr>
            <w:tcW w:w="60" w:type="dxa"/>
            <w:vAlign w:val="bottom"/>
          </w:tcPr>
          <w:p>
            <w:pPr>
              <w:spacing w:after="0"/>
              <w:rPr>
                <w:sz w:val="19"/>
                <w:szCs w:val="19"/>
                <w:color w:val="auto"/>
              </w:rPr>
            </w:pPr>
          </w:p>
        </w:tc>
      </w:tr>
      <w:tr>
        <w:trPr>
          <w:trHeight w:val="102"/>
        </w:trPr>
        <w:tc>
          <w:tcPr>
            <w:tcW w:w="50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5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(316,574)</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(10,308)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(326,882)</w:t>
            </w:r>
          </w:p>
        </w:tc>
      </w:tr>
      <w:tr>
        <w:trPr>
          <w:trHeight w:val="108"/>
        </w:trPr>
        <w:tc>
          <w:tcPr>
            <w:tcW w:w="50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5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20" w:type="dxa"/>
            <w:vAlign w:val="bottom"/>
          </w:tcPr>
          <w:p>
            <w:pPr>
              <w:ind w:left="200"/>
              <w:spacing w:after="0"/>
              <w:rPr>
                <w:sz w:val="20"/>
                <w:szCs w:val="20"/>
                <w:color w:val="auto"/>
              </w:rPr>
            </w:pPr>
            <w:r>
              <w:rPr>
                <w:rFonts w:ascii="Arial" w:cs="Arial" w:eastAsia="Arial" w:hAnsi="Arial"/>
                <w:sz w:val="18"/>
                <w:szCs w:val="18"/>
                <w:color w:val="auto"/>
              </w:rPr>
              <w:t>Equity contributions</w:t>
            </w:r>
          </w:p>
        </w:tc>
        <w:tc>
          <w:tcPr>
            <w:tcW w:w="1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480,713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10,035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(10,035)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480,713</w:t>
            </w:r>
          </w:p>
        </w:tc>
        <w:tc>
          <w:tcPr>
            <w:tcW w:w="60" w:type="dxa"/>
            <w:vAlign w:val="bottom"/>
          </w:tcPr>
          <w:p>
            <w:pPr>
              <w:spacing w:after="0"/>
              <w:rPr>
                <w:sz w:val="18"/>
                <w:szCs w:val="18"/>
                <w:color w:val="auto"/>
              </w:rPr>
            </w:pPr>
          </w:p>
        </w:tc>
      </w:tr>
      <w:tr>
        <w:trPr>
          <w:trHeight w:val="216"/>
        </w:trPr>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distributions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(110,482)</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(110,482)</w:t>
            </w:r>
          </w:p>
        </w:tc>
      </w:tr>
      <w:tr>
        <w:trPr>
          <w:trHeight w:val="216"/>
        </w:trPr>
        <w:tc>
          <w:tcPr>
            <w:tcW w:w="5020" w:type="dxa"/>
            <w:vAlign w:val="bottom"/>
          </w:tcPr>
          <w:p>
            <w:pPr>
              <w:ind w:left="200"/>
              <w:spacing w:after="0"/>
              <w:rPr>
                <w:sz w:val="20"/>
                <w:szCs w:val="20"/>
                <w:color w:val="auto"/>
              </w:rPr>
            </w:pPr>
            <w:r>
              <w:rPr>
                <w:rFonts w:ascii="Arial" w:cs="Arial" w:eastAsia="Arial" w:hAnsi="Arial"/>
                <w:sz w:val="18"/>
                <w:szCs w:val="18"/>
                <w:color w:val="auto"/>
              </w:rPr>
              <w:t>Third party fee</w:t>
            </w:r>
          </w:p>
        </w:tc>
        <w:tc>
          <w:tcPr>
            <w:tcW w:w="1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8"/>
                <w:szCs w:val="18"/>
                <w:color w:val="auto"/>
              </w:rPr>
            </w:pPr>
          </w:p>
        </w:tc>
        <w:tc>
          <w:tcPr>
            <w:tcW w:w="14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125,000</w:t>
            </w:r>
          </w:p>
        </w:tc>
        <w:tc>
          <w:tcPr>
            <w:tcW w:w="60" w:type="dxa"/>
            <w:vAlign w:val="bottom"/>
            <w:shd w:val="clear" w:color="auto" w:fill="CCEEFF"/>
          </w:tcPr>
          <w:p>
            <w:pPr>
              <w:spacing w:after="0"/>
              <w:rPr>
                <w:sz w:val="18"/>
                <w:szCs w:val="18"/>
                <w:color w:val="auto"/>
              </w:rPr>
            </w:pPr>
          </w:p>
        </w:tc>
      </w:tr>
      <w:tr>
        <w:trPr>
          <w:trHeight w:val="216"/>
        </w:trPr>
        <w:tc>
          <w:tcPr>
            <w:tcW w:w="5020" w:type="dxa"/>
            <w:vAlign w:val="bottom"/>
          </w:tcPr>
          <w:p>
            <w:pPr>
              <w:ind w:left="200"/>
              <w:spacing w:after="0"/>
              <w:rPr>
                <w:sz w:val="20"/>
                <w:szCs w:val="20"/>
                <w:color w:val="auto"/>
              </w:rPr>
            </w:pPr>
            <w:r>
              <w:rPr>
                <w:rFonts w:ascii="Arial" w:cs="Arial" w:eastAsia="Arial" w:hAnsi="Arial"/>
                <w:sz w:val="18"/>
                <w:szCs w:val="18"/>
                <w:color w:val="auto"/>
              </w:rPr>
              <w:t>Principal payments of long-term debt</w:t>
            </w:r>
          </w:p>
        </w:tc>
        <w:tc>
          <w:tcPr>
            <w:tcW w:w="1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(125,018)</w:t>
            </w:r>
          </w:p>
        </w:tc>
        <w:tc>
          <w:tcPr>
            <w:tcW w:w="120" w:type="dxa"/>
            <w:vAlign w:val="bottom"/>
          </w:tcPr>
          <w:p>
            <w:pPr>
              <w:spacing w:after="0"/>
              <w:rPr>
                <w:sz w:val="18"/>
                <w:szCs w:val="18"/>
                <w:color w:val="auto"/>
              </w:rPr>
            </w:pPr>
          </w:p>
        </w:tc>
        <w:tc>
          <w:tcPr>
            <w:tcW w:w="14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(125,018)</w:t>
            </w:r>
          </w:p>
        </w:tc>
      </w:tr>
      <w:tr>
        <w:trPr>
          <w:trHeight w:val="216"/>
        </w:trPr>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financing costs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(1,465)</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(1,465)</w:t>
            </w:r>
          </w:p>
        </w:tc>
      </w:tr>
      <w:tr>
        <w:trPr>
          <w:trHeight w:val="216"/>
        </w:trPr>
        <w:tc>
          <w:tcPr>
            <w:tcW w:w="5020" w:type="dxa"/>
            <w:vAlign w:val="bottom"/>
          </w:tcPr>
          <w:p>
            <w:pPr>
              <w:ind w:left="200"/>
              <w:spacing w:after="0"/>
              <w:rPr>
                <w:sz w:val="20"/>
                <w:szCs w:val="20"/>
                <w:color w:val="auto"/>
              </w:rPr>
            </w:pPr>
            <w:r>
              <w:rPr>
                <w:rFonts w:ascii="Arial" w:cs="Arial" w:eastAsia="Arial" w:hAnsi="Arial"/>
                <w:sz w:val="18"/>
                <w:szCs w:val="18"/>
                <w:color w:val="auto"/>
              </w:rPr>
              <w:t>Proceeds from issuance of related party loan</w:t>
            </w:r>
          </w:p>
        </w:tc>
        <w:tc>
          <w:tcPr>
            <w:tcW w:w="1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100,000</w:t>
            </w:r>
          </w:p>
        </w:tc>
        <w:tc>
          <w:tcPr>
            <w:tcW w:w="60" w:type="dxa"/>
            <w:vAlign w:val="bottom"/>
          </w:tcPr>
          <w:p>
            <w:pPr>
              <w:spacing w:after="0"/>
              <w:rPr>
                <w:sz w:val="18"/>
                <w:szCs w:val="18"/>
                <w:color w:val="auto"/>
              </w:rPr>
            </w:pPr>
          </w:p>
        </w:tc>
      </w:tr>
      <w:tr>
        <w:trPr>
          <w:trHeight w:val="216"/>
        </w:trPr>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Principal payments of related party loan</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(70,000)</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(70,000)</w:t>
            </w:r>
          </w:p>
        </w:tc>
      </w:tr>
      <w:tr>
        <w:trPr>
          <w:trHeight w:val="108"/>
        </w:trPr>
        <w:tc>
          <w:tcPr>
            <w:tcW w:w="50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5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388,748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(10,035)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388,748</w:t>
            </w:r>
          </w:p>
        </w:tc>
        <w:tc>
          <w:tcPr>
            <w:tcW w:w="60" w:type="dxa"/>
            <w:vAlign w:val="bottom"/>
            <w:shd w:val="clear" w:color="auto" w:fill="CCEEFF"/>
          </w:tcPr>
          <w:p>
            <w:pPr>
              <w:spacing w:after="0"/>
              <w:rPr>
                <w:sz w:val="18"/>
                <w:szCs w:val="18"/>
                <w:color w:val="auto"/>
              </w:rPr>
            </w:pPr>
          </w:p>
        </w:tc>
      </w:tr>
      <w:tr>
        <w:trPr>
          <w:trHeight w:val="108"/>
        </w:trPr>
        <w:tc>
          <w:tcPr>
            <w:tcW w:w="50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5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20" w:type="dxa"/>
            <w:vAlign w:val="bottom"/>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1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64,444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(10,035)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54,429</w:t>
            </w:r>
          </w:p>
        </w:tc>
        <w:tc>
          <w:tcPr>
            <w:tcW w:w="60" w:type="dxa"/>
            <w:vAlign w:val="bottom"/>
          </w:tcPr>
          <w:p>
            <w:pPr>
              <w:spacing w:after="0"/>
              <w:rPr>
                <w:sz w:val="18"/>
                <w:szCs w:val="18"/>
                <w:color w:val="auto"/>
              </w:rPr>
            </w:pPr>
          </w:p>
        </w:tc>
      </w:tr>
      <w:tr>
        <w:trPr>
          <w:trHeight w:val="216"/>
        </w:trPr>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108"/>
        </w:trPr>
        <w:tc>
          <w:tcPr>
            <w:tcW w:w="50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5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(10,035)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60" w:type="dxa"/>
            <w:vAlign w:val="bottom"/>
            <w:shd w:val="clear" w:color="auto" w:fill="CCEEFF"/>
          </w:tcPr>
          <w:p>
            <w:pPr>
              <w:spacing w:after="0"/>
              <w:rPr>
                <w:sz w:val="18"/>
                <w:szCs w:val="18"/>
                <w:color w:val="auto"/>
              </w:rPr>
            </w:pPr>
          </w:p>
        </w:tc>
      </w:tr>
      <w:tr>
        <w:trPr>
          <w:trHeight w:val="132"/>
        </w:trPr>
        <w:tc>
          <w:tcPr>
            <w:tcW w:w="50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467"/>
        </w:trPr>
        <w:tc>
          <w:tcPr>
            <w:tcW w:w="5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F-40</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3184525</wp:posOffset>
            </wp:positionH>
            <wp:positionV relativeFrom="paragraph">
              <wp:posOffset>-325755</wp:posOffset>
            </wp:positionV>
            <wp:extent cx="1270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-325755</wp:posOffset>
            </wp:positionV>
            <wp:extent cx="1270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-325755</wp:posOffset>
            </wp:positionV>
            <wp:extent cx="2159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-325755</wp:posOffset>
            </wp:positionV>
            <wp:extent cx="1270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-325755</wp:posOffset>
            </wp:positionV>
            <wp:extent cx="1270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-325755</wp:posOffset>
            </wp:positionV>
            <wp:extent cx="2159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-325755</wp:posOffset>
            </wp:positionV>
            <wp:extent cx="1270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-325755</wp:posOffset>
            </wp:positionV>
            <wp:extent cx="2159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-325755</wp:posOffset>
            </wp:positionV>
            <wp:extent cx="38735"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-325755</wp:posOffset>
            </wp:positionV>
            <wp:extent cx="1270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-325755</wp:posOffset>
            </wp:positionV>
            <wp:extent cx="2159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-325755</wp:posOffset>
            </wp:positionV>
            <wp:extent cx="38735"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-325755</wp:posOffset>
            </wp:positionV>
            <wp:extent cx="1270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-325755</wp:posOffset>
            </wp:positionV>
            <wp:extent cx="2159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-325755</wp:posOffset>
            </wp:positionV>
            <wp:extent cx="38735"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7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FROM INCEPTION TO DECEMBER 31,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8"/>
              </w:rPr>
              <w:t>Non-guarantor</w:t>
            </w:r>
          </w:p>
        </w:tc>
        <w:tc>
          <w:tcPr>
            <w:tcW w:w="10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5"/>
              </w:rPr>
              <w:t>Eliminating</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4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Parent</w:t>
            </w:r>
          </w:p>
        </w:tc>
        <w:tc>
          <w:tcPr>
            <w:tcW w:w="80" w:type="dxa"/>
            <w:vAlign w:val="bottom"/>
          </w:tcPr>
          <w:p>
            <w:pPr>
              <w:spacing w:after="0"/>
              <w:rPr>
                <w:sz w:val="15"/>
                <w:szCs w:val="15"/>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77"/>
              </w:rPr>
              <w:t>Issuers</w:t>
            </w:r>
          </w:p>
        </w:tc>
        <w:tc>
          <w:tcPr>
            <w:tcW w:w="80" w:type="dxa"/>
            <w:vAlign w:val="bottom"/>
          </w:tcPr>
          <w:p>
            <w:pPr>
              <w:spacing w:after="0"/>
              <w:rPr>
                <w:sz w:val="15"/>
                <w:szCs w:val="15"/>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4"/>
              </w:rPr>
              <w:t>Subsidiaries</w:t>
            </w:r>
          </w:p>
        </w:tc>
        <w:tc>
          <w:tcPr>
            <w:tcW w:w="100" w:type="dxa"/>
            <w:vAlign w:val="bottom"/>
          </w:tcPr>
          <w:p>
            <w:pPr>
              <w:spacing w:after="0"/>
              <w:rPr>
                <w:sz w:val="15"/>
                <w:szCs w:val="15"/>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3"/>
              </w:rPr>
              <w:t>Subsidiaries</w:t>
            </w:r>
          </w:p>
        </w:tc>
        <w:tc>
          <w:tcPr>
            <w:tcW w:w="12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Entries</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r>
      <w:tr>
        <w:trPr>
          <w:trHeight w:val="95"/>
        </w:trPr>
        <w:tc>
          <w:tcPr>
            <w:tcW w:w="47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7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72"/>
        </w:trPr>
        <w:tc>
          <w:tcPr>
            <w:tcW w:w="4780" w:type="dxa"/>
            <w:vAlign w:val="bottom"/>
          </w:tcPr>
          <w:p>
            <w:pPr>
              <w:ind w:left="180"/>
              <w:spacing w:after="0"/>
              <w:rPr>
                <w:sz w:val="20"/>
                <w:szCs w:val="20"/>
                <w:color w:val="auto"/>
              </w:rPr>
            </w:pPr>
            <w:r>
              <w:rPr>
                <w:rFonts w:ascii="Arial" w:cs="Arial" w:eastAsia="Arial" w:hAnsi="Arial"/>
                <w:sz w:val="14"/>
                <w:szCs w:val="14"/>
                <w:color w:val="auto"/>
              </w:rPr>
              <w:t>Net loss accumulated during the development stage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(9,191)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360"/>
              <w:spacing w:after="0"/>
              <w:rPr>
                <w:sz w:val="20"/>
                <w:szCs w:val="20"/>
                <w:color w:val="auto"/>
              </w:rPr>
            </w:pPr>
            <w:r>
              <w:rPr>
                <w:rFonts w:ascii="Arial" w:cs="Arial" w:eastAsia="Arial" w:hAnsi="Arial"/>
                <w:sz w:val="14"/>
                <w:szCs w:val="14"/>
                <w:color w:val="auto"/>
              </w:rPr>
              <w:t>(4,759)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340"/>
              <w:spacing w:after="0"/>
              <w:rPr>
                <w:sz w:val="20"/>
                <w:szCs w:val="20"/>
                <w:color w:val="auto"/>
              </w:rPr>
            </w:pPr>
            <w:r>
              <w:rPr>
                <w:rFonts w:ascii="Arial" w:cs="Arial" w:eastAsia="Arial" w:hAnsi="Arial"/>
                <w:sz w:val="14"/>
                <w:szCs w:val="14"/>
                <w:color w:val="auto"/>
              </w:rPr>
              <w:t>(44,904)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360"/>
              <w:spacing w:after="0"/>
              <w:rPr>
                <w:sz w:val="20"/>
                <w:szCs w:val="20"/>
                <w:color w:val="auto"/>
              </w:rPr>
            </w:pPr>
            <w:r>
              <w:rPr>
                <w:rFonts w:ascii="Arial" w:cs="Arial" w:eastAsia="Arial" w:hAnsi="Arial"/>
                <w:sz w:val="14"/>
                <w:szCs w:val="14"/>
                <w:color w:val="auto"/>
              </w:rPr>
              <w:t>(6,150)</w:t>
            </w:r>
          </w:p>
        </w:tc>
        <w:tc>
          <w:tcPr>
            <w:tcW w:w="120" w:type="dxa"/>
            <w:vAlign w:val="bottom"/>
          </w:tcPr>
          <w:p>
            <w:pPr>
              <w:jc w:val="right"/>
              <w:ind w:right="4"/>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4,949</w:t>
            </w:r>
          </w:p>
        </w:tc>
        <w:tc>
          <w:tcPr>
            <w:tcW w:w="22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(60,055)</w:t>
            </w:r>
          </w:p>
        </w:tc>
      </w:tr>
      <w:tr>
        <w:trPr>
          <w:trHeight w:val="84"/>
        </w:trPr>
        <w:tc>
          <w:tcPr>
            <w:tcW w:w="47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102"/>
        </w:trPr>
        <w:tc>
          <w:tcPr>
            <w:tcW w:w="47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38"/>
        </w:trPr>
        <w:tc>
          <w:tcPr>
            <w:tcW w:w="4780" w:type="dxa"/>
            <w:vAlign w:val="bottom"/>
            <w:shd w:val="clear" w:color="auto" w:fill="CCEEFF"/>
          </w:tcPr>
          <w:p>
            <w:pPr>
              <w:ind w:left="180"/>
              <w:spacing w:after="0" w:line="138" w:lineRule="exact"/>
              <w:rPr>
                <w:sz w:val="20"/>
                <w:szCs w:val="20"/>
                <w:color w:val="auto"/>
              </w:rPr>
            </w:pPr>
            <w:r>
              <w:rPr>
                <w:rFonts w:ascii="Arial" w:cs="Arial" w:eastAsia="Arial" w:hAnsi="Arial"/>
                <w:sz w:val="14"/>
                <w:szCs w:val="14"/>
                <w:color w:val="auto"/>
                <w:w w:val="96"/>
              </w:rPr>
              <w:t>Adjustments to reconcile net loss accumulated during the development stage</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59"/>
        </w:trPr>
        <w:tc>
          <w:tcPr>
            <w:tcW w:w="478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to net cash used in operating activities:</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49"/>
        </w:trPr>
        <w:tc>
          <w:tcPr>
            <w:tcW w:w="4780" w:type="dxa"/>
            <w:vAlign w:val="bottom"/>
          </w:tcPr>
          <w:p>
            <w:pPr>
              <w:ind w:left="32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2"/>
                <w:szCs w:val="12"/>
                <w:color w:val="auto"/>
              </w:rPr>
            </w:pPr>
          </w:p>
        </w:tc>
        <w:tc>
          <w:tcPr>
            <w:tcW w:w="9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19,062</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2,071</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21,142</w:t>
            </w:r>
          </w:p>
        </w:tc>
      </w:tr>
      <w:tr>
        <w:trPr>
          <w:trHeight w:val="149"/>
        </w:trPr>
        <w:tc>
          <w:tcPr>
            <w:tcW w:w="47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Minority interest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(866)</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(866)</w:t>
            </w:r>
          </w:p>
        </w:tc>
      </w:tr>
      <w:tr>
        <w:trPr>
          <w:trHeight w:val="149"/>
        </w:trPr>
        <w:tc>
          <w:tcPr>
            <w:tcW w:w="4780" w:type="dxa"/>
            <w:vAlign w:val="bottom"/>
          </w:tcPr>
          <w:p>
            <w:pPr>
              <w:ind w:left="320"/>
              <w:spacing w:after="0" w:line="149" w:lineRule="exact"/>
              <w:rPr>
                <w:sz w:val="20"/>
                <w:szCs w:val="20"/>
                <w:color w:val="auto"/>
              </w:rPr>
            </w:pPr>
            <w:r>
              <w:rPr>
                <w:rFonts w:ascii="Arial" w:cs="Arial" w:eastAsia="Arial" w:hAnsi="Arial"/>
                <w:sz w:val="14"/>
                <w:szCs w:val="14"/>
                <w:color w:val="auto"/>
              </w:rPr>
              <w:t>Amortization of deferred compensation</w:t>
            </w: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w w:val="76"/>
              </w:rPr>
              <w:t>134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134</w:t>
            </w:r>
          </w:p>
        </w:tc>
      </w:tr>
      <w:tr>
        <w:trPr>
          <w:trHeight w:val="149"/>
        </w:trPr>
        <w:tc>
          <w:tcPr>
            <w:tcW w:w="47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(Gain)/Loss on sale of fixed assets</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373</w:t>
            </w:r>
          </w:p>
        </w:tc>
      </w:tr>
      <w:tr>
        <w:trPr>
          <w:trHeight w:val="149"/>
        </w:trPr>
        <w:tc>
          <w:tcPr>
            <w:tcW w:w="4780" w:type="dxa"/>
            <w:vAlign w:val="bottom"/>
          </w:tcPr>
          <w:p>
            <w:pPr>
              <w:ind w:left="320"/>
              <w:spacing w:after="0" w:line="149" w:lineRule="exact"/>
              <w:rPr>
                <w:sz w:val="20"/>
                <w:szCs w:val="20"/>
                <w:color w:val="auto"/>
              </w:rPr>
            </w:pPr>
            <w:r>
              <w:rPr>
                <w:rFonts w:ascii="Arial" w:cs="Arial" w:eastAsia="Arial" w:hAnsi="Arial"/>
                <w:sz w:val="14"/>
                <w:szCs w:val="14"/>
                <w:color w:val="auto"/>
              </w:rPr>
              <w:t>Equity in loss from Macau</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4,083</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(4,083)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47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Incidental operations</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6,510</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6,510</w:t>
            </w:r>
          </w:p>
        </w:tc>
      </w:tr>
      <w:tr>
        <w:trPr>
          <w:trHeight w:val="149"/>
        </w:trPr>
        <w:tc>
          <w:tcPr>
            <w:tcW w:w="4780" w:type="dxa"/>
            <w:vAlign w:val="bottom"/>
          </w:tcPr>
          <w:p>
            <w:pPr>
              <w:ind w:left="320"/>
              <w:spacing w:after="0" w:line="149" w:lineRule="exact"/>
              <w:rPr>
                <w:sz w:val="20"/>
                <w:szCs w:val="20"/>
                <w:color w:val="auto"/>
              </w:rPr>
            </w:pPr>
            <w:r>
              <w:rPr>
                <w:rFonts w:ascii="Arial" w:cs="Arial" w:eastAsia="Arial" w:hAnsi="Arial"/>
                <w:sz w:val="14"/>
                <w:szCs w:val="14"/>
                <w:color w:val="auto"/>
              </w:rPr>
              <w:t>Increase (decrease) in cash from changes in:</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78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Receivables, net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8,085</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8,067</w:t>
            </w:r>
          </w:p>
        </w:tc>
      </w:tr>
      <w:tr>
        <w:trPr>
          <w:trHeight w:val="149"/>
        </w:trPr>
        <w:tc>
          <w:tcPr>
            <w:tcW w:w="4780" w:type="dxa"/>
            <w:vAlign w:val="bottom"/>
          </w:tcPr>
          <w:p>
            <w:pPr>
              <w:ind w:left="500"/>
              <w:spacing w:after="0" w:line="149" w:lineRule="exact"/>
              <w:rPr>
                <w:sz w:val="20"/>
                <w:szCs w:val="20"/>
                <w:color w:val="auto"/>
              </w:rPr>
            </w:pPr>
            <w:r>
              <w:rPr>
                <w:rFonts w:ascii="Arial" w:cs="Arial" w:eastAsia="Arial" w:hAnsi="Arial"/>
                <w:sz w:val="14"/>
                <w:szCs w:val="14"/>
                <w:color w:val="auto"/>
              </w:rPr>
              <w:t>Inventories and prepaid expenses</w:t>
            </w:r>
          </w:p>
        </w:tc>
        <w:tc>
          <w:tcPr>
            <w:tcW w:w="8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(344)</w:t>
            </w:r>
          </w:p>
        </w:tc>
        <w:tc>
          <w:tcPr>
            <w:tcW w:w="80" w:type="dxa"/>
            <w:vAlign w:val="bottom"/>
          </w:tcPr>
          <w:p>
            <w:pPr>
              <w:spacing w:after="0"/>
              <w:rPr>
                <w:sz w:val="12"/>
                <w:szCs w:val="12"/>
                <w:color w:val="auto"/>
              </w:rPr>
            </w:pP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(93)</w:t>
            </w:r>
          </w:p>
        </w:tc>
        <w:tc>
          <w:tcPr>
            <w:tcW w:w="80" w:type="dxa"/>
            <w:vAlign w:val="bottom"/>
          </w:tcPr>
          <w:p>
            <w:pPr>
              <w:spacing w:after="0"/>
              <w:rPr>
                <w:sz w:val="12"/>
                <w:szCs w:val="12"/>
                <w:color w:val="auto"/>
              </w:rPr>
            </w:pPr>
          </w:p>
        </w:tc>
        <w:tc>
          <w:tcPr>
            <w:tcW w:w="12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(569)</w:t>
            </w:r>
          </w:p>
        </w:tc>
        <w:tc>
          <w:tcPr>
            <w:tcW w:w="100" w:type="dxa"/>
            <w:vAlign w:val="bottom"/>
          </w:tcPr>
          <w:p>
            <w:pPr>
              <w:spacing w:after="0"/>
              <w:rPr>
                <w:sz w:val="12"/>
                <w:szCs w:val="12"/>
                <w:color w:val="auto"/>
              </w:rPr>
            </w:pPr>
          </w:p>
        </w:tc>
        <w:tc>
          <w:tcPr>
            <w:tcW w:w="13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(55)</w:t>
            </w:r>
          </w:p>
        </w:tc>
        <w:tc>
          <w:tcPr>
            <w:tcW w:w="12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(1,061)</w:t>
            </w:r>
          </w:p>
        </w:tc>
      </w:tr>
      <w:tr>
        <w:trPr>
          <w:trHeight w:val="149"/>
        </w:trPr>
        <w:tc>
          <w:tcPr>
            <w:tcW w:w="478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Accounts payable and accrued expenses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76"/>
              </w:rPr>
              <w:t>195</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11,639</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(8,766)</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3,202</w:t>
            </w:r>
          </w:p>
        </w:tc>
      </w:tr>
      <w:tr>
        <w:trPr>
          <w:trHeight w:val="108"/>
        </w:trPr>
        <w:tc>
          <w:tcPr>
            <w:tcW w:w="47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7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78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Total adjustments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4,068</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11,543</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24,626</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2,213</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(4,949)</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37,501</w:t>
            </w:r>
          </w:p>
        </w:tc>
      </w:tr>
      <w:tr>
        <w:trPr>
          <w:trHeight w:val="108"/>
        </w:trPr>
        <w:tc>
          <w:tcPr>
            <w:tcW w:w="47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7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78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cash used in operating activities</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(5,123)</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6,784</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(20,278)</w:t>
            </w: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(3,937)</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(22,554)</w:t>
            </w:r>
          </w:p>
        </w:tc>
      </w:tr>
      <w:tr>
        <w:trPr>
          <w:trHeight w:val="108"/>
        </w:trPr>
        <w:tc>
          <w:tcPr>
            <w:tcW w:w="47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7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4780" w:type="dxa"/>
            <w:vAlign w:val="bottom"/>
          </w:tcPr>
          <w:p>
            <w:pPr>
              <w:ind w:left="180"/>
              <w:spacing w:after="0" w:line="149" w:lineRule="exact"/>
              <w:rPr>
                <w:sz w:val="20"/>
                <w:szCs w:val="20"/>
                <w:color w:val="auto"/>
              </w:rPr>
            </w:pPr>
            <w:r>
              <w:rPr>
                <w:rFonts w:ascii="Arial" w:cs="Arial" w:eastAsia="Arial" w:hAnsi="Arial"/>
                <w:sz w:val="14"/>
                <w:szCs w:val="14"/>
                <w:color w:val="auto"/>
              </w:rPr>
              <w:t>Acquisition of Desert Inn Resort and Casino, net of cash acquired</w:t>
            </w:r>
          </w:p>
        </w:tc>
        <w:tc>
          <w:tcPr>
            <w:tcW w:w="80" w:type="dxa"/>
            <w:vAlign w:val="bottom"/>
          </w:tcPr>
          <w:p>
            <w:pPr>
              <w:spacing w:after="0"/>
              <w:rPr>
                <w:sz w:val="12"/>
                <w:szCs w:val="12"/>
                <w:color w:val="auto"/>
              </w:rPr>
            </w:pPr>
          </w:p>
        </w:tc>
        <w:tc>
          <w:tcPr>
            <w:tcW w:w="9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(270,718)</w:t>
            </w:r>
          </w:p>
        </w:tc>
        <w:tc>
          <w:tcPr>
            <w:tcW w:w="10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(270,718)</w:t>
            </w:r>
          </w:p>
        </w:tc>
      </w:tr>
      <w:tr>
        <w:trPr>
          <w:trHeight w:val="149"/>
        </w:trPr>
        <w:tc>
          <w:tcPr>
            <w:tcW w:w="47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Capital expenditures, net of construction payables</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5"/>
              </w:rPr>
              <w:t>(31,695)</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(108,796)</w:t>
            </w: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(10,309)</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(150,800)</w:t>
            </w:r>
          </w:p>
        </w:tc>
      </w:tr>
      <w:tr>
        <w:trPr>
          <w:trHeight w:val="149"/>
        </w:trPr>
        <w:tc>
          <w:tcPr>
            <w:tcW w:w="4780" w:type="dxa"/>
            <w:vAlign w:val="bottom"/>
          </w:tcPr>
          <w:p>
            <w:pPr>
              <w:ind w:left="180"/>
              <w:spacing w:after="0" w:line="149" w:lineRule="exact"/>
              <w:rPr>
                <w:sz w:val="20"/>
                <w:szCs w:val="20"/>
                <w:color w:val="auto"/>
              </w:rPr>
            </w:pPr>
            <w:r>
              <w:rPr>
                <w:rFonts w:ascii="Arial" w:cs="Arial" w:eastAsia="Arial" w:hAnsi="Arial"/>
                <w:sz w:val="14"/>
                <w:szCs w:val="14"/>
                <w:color w:val="auto"/>
              </w:rPr>
              <w:t>Restricted cash and Investments</w:t>
            </w:r>
          </w:p>
        </w:tc>
        <w:tc>
          <w:tcPr>
            <w:tcW w:w="80" w:type="dxa"/>
            <w:vAlign w:val="bottom"/>
          </w:tcPr>
          <w:p>
            <w:pPr>
              <w:spacing w:after="0"/>
              <w:rPr>
                <w:sz w:val="12"/>
                <w:szCs w:val="12"/>
                <w:color w:val="auto"/>
              </w:rPr>
            </w:pPr>
          </w:p>
        </w:tc>
        <w:tc>
          <w:tcPr>
            <w:tcW w:w="9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83"/>
              </w:rPr>
              <w:t>(742,605)</w:t>
            </w:r>
          </w:p>
        </w:tc>
        <w:tc>
          <w:tcPr>
            <w:tcW w:w="80" w:type="dxa"/>
            <w:vAlign w:val="bottom"/>
          </w:tcPr>
          <w:p>
            <w:pPr>
              <w:spacing w:after="0"/>
              <w:rPr>
                <w:sz w:val="12"/>
                <w:szCs w:val="12"/>
                <w:color w:val="auto"/>
              </w:rPr>
            </w:pPr>
          </w:p>
        </w:tc>
        <w:tc>
          <w:tcPr>
            <w:tcW w:w="12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(23)</w:t>
            </w:r>
          </w:p>
        </w:tc>
        <w:tc>
          <w:tcPr>
            <w:tcW w:w="100" w:type="dxa"/>
            <w:vAlign w:val="bottom"/>
          </w:tcPr>
          <w:p>
            <w:pPr>
              <w:spacing w:after="0"/>
              <w:rPr>
                <w:sz w:val="12"/>
                <w:szCs w:val="12"/>
                <w:color w:val="auto"/>
              </w:rPr>
            </w:pPr>
          </w:p>
        </w:tc>
        <w:tc>
          <w:tcPr>
            <w:tcW w:w="13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(50,249)</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(792,877)</w:t>
            </w:r>
          </w:p>
        </w:tc>
      </w:tr>
      <w:tr>
        <w:trPr>
          <w:trHeight w:val="149"/>
        </w:trPr>
        <w:tc>
          <w:tcPr>
            <w:tcW w:w="47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Investment in subsidiaries</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3"/>
              </w:rPr>
              <w:t>(597,295)</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5"/>
              </w:rPr>
              <w:t>(11,925)</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(551,867)</w:t>
            </w: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1,161,087</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4780" w:type="dxa"/>
            <w:vAlign w:val="bottom"/>
          </w:tcPr>
          <w:p>
            <w:pPr>
              <w:ind w:left="180"/>
              <w:spacing w:after="0" w:line="149" w:lineRule="exact"/>
              <w:rPr>
                <w:sz w:val="20"/>
                <w:szCs w:val="20"/>
                <w:color w:val="auto"/>
              </w:rPr>
            </w:pPr>
            <w:r>
              <w:rPr>
                <w:rFonts w:ascii="Arial" w:cs="Arial" w:eastAsia="Arial" w:hAnsi="Arial"/>
                <w:sz w:val="14"/>
                <w:szCs w:val="14"/>
                <w:color w:val="auto"/>
              </w:rPr>
              <w:t>Other assets</w:t>
            </w:r>
          </w:p>
        </w:tc>
        <w:tc>
          <w:tcPr>
            <w:tcW w:w="80" w:type="dxa"/>
            <w:vAlign w:val="bottom"/>
          </w:tcPr>
          <w:p>
            <w:pPr>
              <w:spacing w:after="0"/>
              <w:rPr>
                <w:sz w:val="12"/>
                <w:szCs w:val="12"/>
                <w:color w:val="auto"/>
              </w:rPr>
            </w:pPr>
          </w:p>
        </w:tc>
        <w:tc>
          <w:tcPr>
            <w:tcW w:w="9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(6,599)</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(6,579)</w:t>
            </w:r>
          </w:p>
        </w:tc>
      </w:tr>
      <w:tr>
        <w:trPr>
          <w:trHeight w:val="149"/>
        </w:trPr>
        <w:tc>
          <w:tcPr>
            <w:tcW w:w="47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Intercompany balances</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3"/>
              </w:rPr>
              <w:t>(379,758)</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236,874</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92,289</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40,578</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10,017</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72"/>
        </w:trPr>
        <w:tc>
          <w:tcPr>
            <w:tcW w:w="4780" w:type="dxa"/>
            <w:vAlign w:val="bottom"/>
          </w:tcPr>
          <w:p>
            <w:pPr>
              <w:ind w:left="180"/>
              <w:spacing w:after="0"/>
              <w:rPr>
                <w:sz w:val="20"/>
                <w:szCs w:val="20"/>
                <w:color w:val="auto"/>
              </w:rPr>
            </w:pPr>
            <w:r>
              <w:rPr>
                <w:rFonts w:ascii="Arial" w:cs="Arial" w:eastAsia="Arial" w:hAnsi="Arial"/>
                <w:sz w:val="14"/>
                <w:szCs w:val="14"/>
                <w:color w:val="auto"/>
              </w:rPr>
              <w:t>Proceeds from sale of equipment</w:t>
            </w:r>
          </w:p>
        </w:tc>
        <w:tc>
          <w:tcPr>
            <w:tcW w:w="80" w:type="dxa"/>
            <w:vAlign w:val="bottom"/>
          </w:tcPr>
          <w:p>
            <w:pPr>
              <w:spacing w:after="0"/>
              <w:rPr>
                <w:sz w:val="14"/>
                <w:szCs w:val="14"/>
                <w:color w:val="auto"/>
              </w:rPr>
            </w:pPr>
          </w:p>
        </w:tc>
        <w:tc>
          <w:tcPr>
            <w:tcW w:w="9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1,641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7,917</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9,558</w:t>
            </w:r>
          </w:p>
        </w:tc>
      </w:tr>
      <w:tr>
        <w:trPr>
          <w:trHeight w:val="84"/>
        </w:trPr>
        <w:tc>
          <w:tcPr>
            <w:tcW w:w="47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102"/>
        </w:trPr>
        <w:tc>
          <w:tcPr>
            <w:tcW w:w="47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78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cash used in investing activities</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3"/>
              </w:rPr>
              <w:t>(977,053)</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83"/>
              </w:rPr>
              <w:t>(555,950)</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(837,472)</w:t>
            </w: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(12,045)</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1,171,104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(1,211,416)</w:t>
            </w:r>
          </w:p>
        </w:tc>
      </w:tr>
      <w:tr>
        <w:trPr>
          <w:trHeight w:val="108"/>
        </w:trPr>
        <w:tc>
          <w:tcPr>
            <w:tcW w:w="47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7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4780" w:type="dxa"/>
            <w:vAlign w:val="bottom"/>
          </w:tcPr>
          <w:p>
            <w:pPr>
              <w:ind w:left="180"/>
              <w:spacing w:after="0" w:line="149" w:lineRule="exact"/>
              <w:rPr>
                <w:sz w:val="20"/>
                <w:szCs w:val="20"/>
                <w:color w:val="auto"/>
              </w:rPr>
            </w:pPr>
            <w:r>
              <w:rPr>
                <w:rFonts w:ascii="Arial" w:cs="Arial" w:eastAsia="Arial" w:hAnsi="Arial"/>
                <w:sz w:val="14"/>
                <w:szCs w:val="14"/>
                <w:color w:val="auto"/>
              </w:rPr>
              <w:t>Equity contributions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596,120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237,075</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977,904</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35,012</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(1,171,104)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675,007</w:t>
            </w:r>
          </w:p>
        </w:tc>
      </w:tr>
      <w:tr>
        <w:trPr>
          <w:trHeight w:val="149"/>
        </w:trPr>
        <w:tc>
          <w:tcPr>
            <w:tcW w:w="47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Equity distributions</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(110,482)</w:t>
            </w: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(110,482)</w:t>
            </w:r>
          </w:p>
        </w:tc>
      </w:tr>
      <w:tr>
        <w:trPr>
          <w:trHeight w:val="149"/>
        </w:trPr>
        <w:tc>
          <w:tcPr>
            <w:tcW w:w="4780" w:type="dxa"/>
            <w:vAlign w:val="bottom"/>
          </w:tcPr>
          <w:p>
            <w:pPr>
              <w:ind w:left="180"/>
              <w:spacing w:after="0" w:line="149" w:lineRule="exact"/>
              <w:rPr>
                <w:sz w:val="20"/>
                <w:szCs w:val="20"/>
                <w:color w:val="auto"/>
              </w:rPr>
            </w:pPr>
            <w:r>
              <w:rPr>
                <w:rFonts w:ascii="Arial" w:cs="Arial" w:eastAsia="Arial" w:hAnsi="Arial"/>
                <w:sz w:val="14"/>
                <w:szCs w:val="14"/>
                <w:color w:val="auto"/>
              </w:rPr>
              <w:t>Proceeds from issuance of common stock</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491,844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491,844</w:t>
            </w:r>
          </w:p>
        </w:tc>
      </w:tr>
      <w:tr>
        <w:trPr>
          <w:trHeight w:val="149"/>
        </w:trPr>
        <w:tc>
          <w:tcPr>
            <w:tcW w:w="47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Third party fees</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(26,554)</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(10,800)</w:t>
            </w: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(37,354)</w:t>
            </w:r>
          </w:p>
        </w:tc>
      </w:tr>
      <w:tr>
        <w:trPr>
          <w:trHeight w:val="149"/>
        </w:trPr>
        <w:tc>
          <w:tcPr>
            <w:tcW w:w="4780" w:type="dxa"/>
            <w:vAlign w:val="bottom"/>
          </w:tcPr>
          <w:p>
            <w:pPr>
              <w:ind w:left="180"/>
              <w:spacing w:after="0" w:line="149" w:lineRule="exact"/>
              <w:rPr>
                <w:sz w:val="20"/>
                <w:szCs w:val="20"/>
                <w:color w:val="auto"/>
              </w:rPr>
            </w:pPr>
            <w:r>
              <w:rPr>
                <w:rFonts w:ascii="Arial" w:cs="Arial" w:eastAsia="Arial" w:hAnsi="Arial"/>
                <w:sz w:val="14"/>
                <w:szCs w:val="14"/>
                <w:color w:val="auto"/>
              </w:rPr>
              <w:t>Macau minority contributions</w:t>
            </w:r>
          </w:p>
        </w:tc>
        <w:tc>
          <w:tcPr>
            <w:tcW w:w="80" w:type="dxa"/>
            <w:vAlign w:val="bottom"/>
          </w:tcPr>
          <w:p>
            <w:pPr>
              <w:spacing w:after="0"/>
              <w:rPr>
                <w:sz w:val="12"/>
                <w:szCs w:val="12"/>
                <w:color w:val="auto"/>
              </w:rPr>
            </w:pPr>
          </w:p>
        </w:tc>
        <w:tc>
          <w:tcPr>
            <w:tcW w:w="9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5,050</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5,050</w:t>
            </w:r>
          </w:p>
        </w:tc>
      </w:tr>
      <w:tr>
        <w:trPr>
          <w:trHeight w:val="149"/>
        </w:trPr>
        <w:tc>
          <w:tcPr>
            <w:tcW w:w="47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Proceeds from issuance of related party loan</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100,000</w:t>
            </w:r>
          </w:p>
        </w:tc>
      </w:tr>
      <w:tr>
        <w:trPr>
          <w:trHeight w:val="149"/>
        </w:trPr>
        <w:tc>
          <w:tcPr>
            <w:tcW w:w="4780" w:type="dxa"/>
            <w:vAlign w:val="bottom"/>
          </w:tcPr>
          <w:p>
            <w:pPr>
              <w:ind w:left="180"/>
              <w:spacing w:after="0" w:line="149" w:lineRule="exact"/>
              <w:rPr>
                <w:sz w:val="20"/>
                <w:szCs w:val="20"/>
                <w:color w:val="auto"/>
              </w:rPr>
            </w:pPr>
            <w:r>
              <w:rPr>
                <w:rFonts w:ascii="Arial" w:cs="Arial" w:eastAsia="Arial" w:hAnsi="Arial"/>
                <w:sz w:val="14"/>
                <w:szCs w:val="14"/>
                <w:color w:val="auto"/>
              </w:rPr>
              <w:t>Principal payments of related party loan</w:t>
            </w:r>
          </w:p>
        </w:tc>
        <w:tc>
          <w:tcPr>
            <w:tcW w:w="80" w:type="dxa"/>
            <w:vAlign w:val="bottom"/>
          </w:tcPr>
          <w:p>
            <w:pPr>
              <w:spacing w:after="0"/>
              <w:rPr>
                <w:sz w:val="12"/>
                <w:szCs w:val="12"/>
                <w:color w:val="auto"/>
              </w:rPr>
            </w:pPr>
          </w:p>
        </w:tc>
        <w:tc>
          <w:tcPr>
            <w:tcW w:w="9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(70,000)</w:t>
            </w:r>
          </w:p>
        </w:tc>
        <w:tc>
          <w:tcPr>
            <w:tcW w:w="10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(70,000)</w:t>
            </w:r>
          </w:p>
        </w:tc>
      </w:tr>
      <w:tr>
        <w:trPr>
          <w:trHeight w:val="149"/>
        </w:trPr>
        <w:tc>
          <w:tcPr>
            <w:tcW w:w="47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Deferred financing costs</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5"/>
              </w:rPr>
              <w:t>(61,735)</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(1,465)</w:t>
            </w: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(63,200)</w:t>
            </w:r>
          </w:p>
        </w:tc>
      </w:tr>
      <w:tr>
        <w:trPr>
          <w:trHeight w:val="149"/>
        </w:trPr>
        <w:tc>
          <w:tcPr>
            <w:tcW w:w="4780" w:type="dxa"/>
            <w:vAlign w:val="bottom"/>
          </w:tcPr>
          <w:p>
            <w:pPr>
              <w:ind w:left="180"/>
              <w:spacing w:after="0" w:line="149" w:lineRule="exact"/>
              <w:rPr>
                <w:sz w:val="20"/>
                <w:szCs w:val="20"/>
                <w:color w:val="auto"/>
              </w:rPr>
            </w:pPr>
            <w:r>
              <w:rPr>
                <w:rFonts w:ascii="Arial" w:cs="Arial" w:eastAsia="Arial" w:hAnsi="Arial"/>
                <w:sz w:val="14"/>
                <w:szCs w:val="14"/>
                <w:color w:val="auto"/>
              </w:rPr>
              <w:t>Proceeds from issuance of long-term debt</w:t>
            </w:r>
          </w:p>
        </w:tc>
        <w:tc>
          <w:tcPr>
            <w:tcW w:w="80" w:type="dxa"/>
            <w:vAlign w:val="bottom"/>
          </w:tcPr>
          <w:p>
            <w:pPr>
              <w:spacing w:after="0"/>
              <w:rPr>
                <w:sz w:val="12"/>
                <w:szCs w:val="12"/>
                <w:color w:val="auto"/>
              </w:rPr>
            </w:pPr>
          </w:p>
        </w:tc>
        <w:tc>
          <w:tcPr>
            <w:tcW w:w="9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381,334</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125,000</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506,334</w:t>
            </w:r>
          </w:p>
        </w:tc>
      </w:tr>
      <w:tr>
        <w:trPr>
          <w:trHeight w:val="149"/>
        </w:trPr>
        <w:tc>
          <w:tcPr>
            <w:tcW w:w="47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Principal payments of long-term debt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(153,585)</w:t>
            </w: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(153,585)</w:t>
            </w:r>
          </w:p>
        </w:tc>
      </w:tr>
      <w:tr>
        <w:trPr>
          <w:trHeight w:val="108"/>
        </w:trPr>
        <w:tc>
          <w:tcPr>
            <w:tcW w:w="47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7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78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1,061,410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556,674</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856,572</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40,062</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(1,171,104)</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9"/>
              </w:rPr>
              <w:t>1,343,614</w:t>
            </w:r>
          </w:p>
        </w:tc>
      </w:tr>
      <w:tr>
        <w:trPr>
          <w:trHeight w:val="108"/>
        </w:trPr>
        <w:tc>
          <w:tcPr>
            <w:tcW w:w="47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7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4780" w:type="dxa"/>
            <w:vAlign w:val="bottom"/>
          </w:tcPr>
          <w:p>
            <w:pPr>
              <w:ind w:left="180"/>
              <w:spacing w:after="0" w:line="149" w:lineRule="exact"/>
              <w:rPr>
                <w:sz w:val="20"/>
                <w:szCs w:val="20"/>
                <w:color w:val="auto"/>
              </w:rPr>
            </w:pPr>
            <w:r>
              <w:rPr>
                <w:rFonts w:ascii="Arial" w:cs="Arial" w:eastAsia="Arial" w:hAnsi="Arial"/>
                <w:sz w:val="14"/>
                <w:szCs w:val="14"/>
                <w:color w:val="auto"/>
              </w:rPr>
              <w:t>Increase (decrease) in cash and cash equivalents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79,234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7,508</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(1,178)</w:t>
            </w: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24,080</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109,644</w:t>
            </w:r>
          </w:p>
        </w:tc>
      </w:tr>
      <w:tr>
        <w:trPr>
          <w:trHeight w:val="149"/>
        </w:trPr>
        <w:tc>
          <w:tcPr>
            <w:tcW w:w="47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Balance, beginning of period</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08"/>
        </w:trPr>
        <w:tc>
          <w:tcPr>
            <w:tcW w:w="47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7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7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Balance, end of period</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79,234</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7,508</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(1,178)</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24,080</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109,644</w:t>
            </w:r>
          </w:p>
        </w:tc>
      </w:tr>
      <w:tr>
        <w:trPr>
          <w:trHeight w:val="132"/>
        </w:trPr>
        <w:tc>
          <w:tcPr>
            <w:tcW w:w="47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-29210</wp:posOffset>
            </wp:positionV>
            <wp:extent cx="1270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-29210</wp:posOffset>
            </wp:positionV>
            <wp:extent cx="2159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-29210</wp:posOffset>
            </wp:positionV>
            <wp:extent cx="38735"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-29210</wp:posOffset>
            </wp:positionV>
            <wp:extent cx="1270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-29210</wp:posOffset>
            </wp:positionV>
            <wp:extent cx="2159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-29210</wp:posOffset>
            </wp:positionV>
            <wp:extent cx="38735"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-29210</wp:posOffset>
            </wp:positionV>
            <wp:extent cx="1270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2159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-29210</wp:posOffset>
            </wp:positionV>
            <wp:extent cx="38735"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-29210</wp:posOffset>
            </wp:positionV>
            <wp:extent cx="1270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-29210</wp:posOffset>
            </wp:positionV>
            <wp:extent cx="2159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38735"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1270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2159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-29210</wp:posOffset>
            </wp:positionV>
            <wp:extent cx="38735"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441325"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44132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274" w:right="239" w:bottom="1440" w:gutter="0" w:footer="0" w:header="0"/>
        </w:sectPr>
      </w:pPr>
    </w:p>
    <w:bookmarkStart w:id="117" w:name="page118"/>
    <w:bookmarkEnd w:id="117"/>
    <w:p>
      <w:pPr>
        <w:spacing w:after="0"/>
        <w:tabs>
          <w:tab w:leader="none" w:pos="3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12.</w:t>
        <w:tab/>
        <w:t>Quarterly Financial Information (Unaudited)</w:t>
      </w:r>
    </w:p>
    <w:p>
      <w:pPr>
        <w:spacing w:after="0" w:line="159"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gridSpan w:val="16"/>
          </w:tcPr>
          <w:p>
            <w:pPr>
              <w:jc w:val="right"/>
              <w:ind w:right="660"/>
              <w:spacing w:after="0"/>
              <w:rPr>
                <w:sz w:val="20"/>
                <w:szCs w:val="20"/>
                <w:color w:val="auto"/>
              </w:rPr>
            </w:pPr>
            <w:r>
              <w:rPr>
                <w:rFonts w:ascii="Arial" w:cs="Arial" w:eastAsia="Arial" w:hAnsi="Arial"/>
                <w:sz w:val="14"/>
                <w:szCs w:val="14"/>
                <w:b w:val="1"/>
                <w:bCs w:val="1"/>
                <w:color w:val="auto"/>
              </w:rPr>
              <w:t>Year Ended December 31, 2002</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First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4"/>
          </w:tcPr>
          <w:p>
            <w:pPr>
              <w:ind w:left="20"/>
              <w:spacing w:after="0"/>
              <w:rPr>
                <w:sz w:val="20"/>
                <w:szCs w:val="20"/>
                <w:color w:val="auto"/>
              </w:rPr>
            </w:pPr>
            <w:r>
              <w:rPr>
                <w:rFonts w:ascii="Arial" w:cs="Arial" w:eastAsia="Arial" w:hAnsi="Arial"/>
                <w:sz w:val="14"/>
                <w:szCs w:val="14"/>
                <w:b w:val="1"/>
                <w:bCs w:val="1"/>
                <w:color w:val="auto"/>
              </w:rPr>
              <w:t>Second</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5"/>
              </w:rPr>
              <w:t>Fourth</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Year</w:t>
            </w:r>
          </w:p>
        </w:tc>
      </w:tr>
      <w:tr>
        <w:trPr>
          <w:trHeight w:val="95"/>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60" w:type="dxa"/>
            <w:vAlign w:val="bottom"/>
            <w:gridSpan w:val="16"/>
          </w:tcPr>
          <w:p>
            <w:pPr>
              <w:jc w:val="right"/>
              <w:ind w:right="380"/>
              <w:spacing w:after="0"/>
              <w:rPr>
                <w:sz w:val="20"/>
                <w:szCs w:val="20"/>
                <w:color w:val="auto"/>
              </w:rPr>
            </w:pPr>
            <w:r>
              <w:rPr>
                <w:rFonts w:ascii="Arial" w:cs="Arial" w:eastAsia="Arial" w:hAnsi="Arial"/>
                <w:sz w:val="14"/>
                <w:szCs w:val="14"/>
                <w:b w:val="1"/>
                <w:bCs w:val="1"/>
                <w:color w:val="auto"/>
                <w:w w:val="88"/>
              </w:rPr>
              <w:t>(in thousands, except per share amounts)</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Operating loss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(4,886)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(8,517)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(8,683)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w w:val="95"/>
              </w:rPr>
              <w:t>(12,314)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(34,400)</w:t>
            </w: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(4,892)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(7,884)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(8,194)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5"/>
              </w:rPr>
              <w:t>(10,743)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(31,713)</w:t>
            </w:r>
          </w:p>
        </w:tc>
      </w:tr>
      <w:tr>
        <w:trPr>
          <w:trHeight w:val="222"/>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Basic and diluted loss per share</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(0.12)</w:t>
            </w:r>
          </w:p>
        </w:tc>
        <w:tc>
          <w:tcPr>
            <w:tcW w:w="16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(0.20)</w:t>
            </w:r>
          </w:p>
        </w:tc>
        <w:tc>
          <w:tcPr>
            <w:tcW w:w="16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(0.20)</w:t>
            </w:r>
          </w:p>
        </w:tc>
        <w:tc>
          <w:tcPr>
            <w:tcW w:w="16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(0.16)</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(0.68)</w:t>
            </w:r>
          </w:p>
        </w:tc>
      </w:tr>
      <w:tr>
        <w:trPr>
          <w:trHeight w:val="304"/>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16"/>
          </w:tcPr>
          <w:p>
            <w:pPr>
              <w:jc w:val="right"/>
              <w:ind w:right="600"/>
              <w:spacing w:after="0"/>
              <w:rPr>
                <w:sz w:val="20"/>
                <w:szCs w:val="20"/>
                <w:color w:val="auto"/>
              </w:rPr>
            </w:pPr>
            <w:r>
              <w:rPr>
                <w:rFonts w:ascii="Arial" w:cs="Arial" w:eastAsia="Arial" w:hAnsi="Arial"/>
                <w:sz w:val="14"/>
                <w:szCs w:val="14"/>
                <w:b w:val="1"/>
                <w:bCs w:val="1"/>
                <w:color w:val="auto"/>
              </w:rPr>
              <w:t>Year Ended December 31, 2001</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95"/>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First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2"/>
              </w:rPr>
              <w:t>Second</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4"/>
              </w:rPr>
              <w:t>Fourth</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Year</w:t>
            </w:r>
          </w:p>
        </w:tc>
      </w:tr>
      <w:tr>
        <w:trPr>
          <w:trHeight w:val="95"/>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380" w:type="dxa"/>
            <w:vAlign w:val="bottom"/>
            <w:gridSpan w:val="3"/>
          </w:tcPr>
          <w:p>
            <w:pPr>
              <w:spacing w:after="0"/>
              <w:rPr>
                <w:sz w:val="8"/>
                <w:szCs w:val="8"/>
                <w:color w:val="auto"/>
              </w:rPr>
            </w:pPr>
          </w:p>
        </w:tc>
        <w:tc>
          <w:tcPr>
            <w:tcW w:w="660" w:type="dxa"/>
            <w:vAlign w:val="bottom"/>
            <w:tcBorders>
              <w:bottom w:val="single" w:sz="8" w:color="auto"/>
            </w:tcBorders>
            <w:gridSpan w:val="3"/>
          </w:tcPr>
          <w:p>
            <w:pPr>
              <w:spacing w:after="0"/>
              <w:rPr>
                <w:sz w:val="8"/>
                <w:szCs w:val="8"/>
                <w:color w:val="auto"/>
              </w:rPr>
            </w:pPr>
          </w:p>
        </w:tc>
        <w:tc>
          <w:tcPr>
            <w:tcW w:w="380" w:type="dxa"/>
            <w:vAlign w:val="bottom"/>
            <w:gridSpan w:val="4"/>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22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60" w:type="dxa"/>
            <w:vAlign w:val="bottom"/>
            <w:gridSpan w:val="16"/>
          </w:tcPr>
          <w:p>
            <w:pPr>
              <w:jc w:val="right"/>
              <w:ind w:right="320"/>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Operating loss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(4,521)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(5,249)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(5,034)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(5,256)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(20,060)</w:t>
            </w: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(4,969)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(17,726)</w:t>
            </w:r>
          </w:p>
        </w:tc>
      </w:tr>
      <w:tr>
        <w:trPr>
          <w:trHeight w:val="222"/>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Basic and diluted loss per share</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(0.10)</w:t>
            </w:r>
          </w:p>
        </w:tc>
        <w:tc>
          <w:tcPr>
            <w:tcW w:w="300" w:type="dxa"/>
            <w:vAlign w:val="bottom"/>
            <w:gridSpan w:val="3"/>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(0.12)</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(0.13)</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(0.45)</w:t>
            </w:r>
          </w:p>
        </w:tc>
      </w:tr>
    </w:tbl>
    <w:p>
      <w:pPr>
        <w:spacing w:after="0" w:line="13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Because loss per share amounts are calculated using the weighted average number of common and dilutive common equivalent shares outstanding during each quarter, the sum of the per share amounts for the four quarters may not equal the total income per share amounts for the year.</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60"/>
          </w:cols>
          <w:pgMar w:left="240" w:top="422" w:right="39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YNN</w:t>
      </w:r>
      <w:r>
        <w:rPr>
          <w:rFonts w:ascii="Arial" w:cs="Arial" w:eastAsia="Arial" w:hAnsi="Arial"/>
          <w:sz w:val="18"/>
          <w:szCs w:val="18"/>
          <w:color w:val="auto"/>
        </w:rPr>
        <w:t xml:space="preserve"> R</w:t>
      </w:r>
      <w:r>
        <w:rPr>
          <w:rFonts w:ascii="Arial" w:cs="Arial" w:eastAsia="Arial" w:hAnsi="Arial"/>
          <w:sz w:val="14"/>
          <w:szCs w:val="14"/>
          <w:color w:val="auto"/>
        </w:rPr>
        <w:t>ESORTS</w:t>
      </w:r>
      <w:r>
        <w:rPr>
          <w:rFonts w:ascii="Arial" w:cs="Arial" w:eastAsia="Arial" w:hAnsi="Arial"/>
          <w:sz w:val="18"/>
          <w:szCs w:val="18"/>
          <w:color w:val="auto"/>
        </w:rPr>
        <w:t>, L</w:t>
      </w:r>
      <w:r>
        <w:rPr>
          <w:rFonts w:ascii="Arial" w:cs="Arial" w:eastAsia="Arial" w:hAnsi="Arial"/>
          <w:sz w:val="14"/>
          <w:szCs w:val="14"/>
          <w:color w:val="auto"/>
        </w:rPr>
        <w:t>IMITED</w:t>
      </w:r>
    </w:p>
    <w:p>
      <w:pPr>
        <w:spacing w:after="0" w:line="225" w:lineRule="exact"/>
        <w:rPr>
          <w:sz w:val="20"/>
          <w:szCs w:val="20"/>
          <w:color w:val="auto"/>
        </w:rPr>
      </w:pPr>
    </w:p>
    <w:p>
      <w:pPr>
        <w:spacing w:after="0"/>
        <w:tabs>
          <w:tab w:leader="none" w:pos="5820" w:val="left"/>
          <w:tab w:leader="none" w:pos="8300" w:val="left"/>
        </w:tabs>
        <w:rPr>
          <w:sz w:val="20"/>
          <w:szCs w:val="20"/>
          <w:color w:val="auto"/>
        </w:rPr>
      </w:pPr>
      <w:r>
        <w:rPr>
          <w:rFonts w:ascii="Arial" w:cs="Arial" w:eastAsia="Arial" w:hAnsi="Arial"/>
          <w:sz w:val="18"/>
          <w:szCs w:val="18"/>
          <w:color w:val="auto"/>
        </w:rPr>
        <w:t>Dated: March 26,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4"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Stephen A. Wynn</w:t>
      </w:r>
    </w:p>
    <w:p>
      <w:pPr>
        <w:jc w:val="center"/>
        <w:ind w:left="6520"/>
        <w:spacing w:after="0" w:line="223" w:lineRule="auto"/>
        <w:rPr>
          <w:sz w:val="20"/>
          <w:szCs w:val="20"/>
          <w:color w:val="auto"/>
        </w:rPr>
      </w:pPr>
      <w:r>
        <w:rPr>
          <w:rFonts w:ascii="Arial" w:cs="Arial" w:eastAsia="Arial" w:hAnsi="Arial"/>
          <w:sz w:val="14"/>
          <w:szCs w:val="14"/>
          <w:b w:val="1"/>
          <w:bCs w:val="1"/>
          <w:color w:val="auto"/>
        </w:rPr>
        <w:t>Chairman of the Board and Chief Executive Officer</w:t>
      </w:r>
    </w:p>
    <w:p>
      <w:pPr>
        <w:jc w:val="center"/>
        <w:ind w:left="6520"/>
        <w:spacing w:after="0"/>
        <w:rPr>
          <w:sz w:val="20"/>
          <w:szCs w:val="20"/>
          <w:color w:val="auto"/>
        </w:rPr>
      </w:pPr>
      <w:r>
        <w:rPr>
          <w:rFonts w:ascii="Arial" w:cs="Arial" w:eastAsia="Arial" w:hAnsi="Arial"/>
          <w:sz w:val="14"/>
          <w:szCs w:val="14"/>
          <w:b w:val="1"/>
          <w:bCs w:val="1"/>
          <w:color w:val="auto"/>
        </w:rPr>
        <w:t>(Principal Executive Officer)</w:t>
      </w:r>
    </w:p>
    <w:p>
      <w:pPr>
        <w:spacing w:after="0" w:line="195" w:lineRule="exact"/>
        <w:rPr>
          <w:sz w:val="20"/>
          <w:szCs w:val="20"/>
          <w:color w:val="auto"/>
        </w:rPr>
      </w:pPr>
    </w:p>
    <w:p>
      <w:pPr>
        <w:spacing w:after="0"/>
        <w:tabs>
          <w:tab w:leader="none" w:pos="5820" w:val="left"/>
          <w:tab w:leader="none" w:pos="8440" w:val="left"/>
        </w:tabs>
        <w:rPr>
          <w:sz w:val="20"/>
          <w:szCs w:val="20"/>
          <w:color w:val="auto"/>
        </w:rPr>
      </w:pPr>
      <w:r>
        <w:rPr>
          <w:rFonts w:ascii="Arial" w:cs="Arial" w:eastAsia="Arial" w:hAnsi="Arial"/>
          <w:sz w:val="18"/>
          <w:szCs w:val="18"/>
          <w:color w:val="auto"/>
        </w:rPr>
        <w:t>Dated: March 26,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w:t>
      </w:r>
      <w:r>
        <w:rPr>
          <w:rFonts w:ascii="Arial" w:cs="Arial" w:eastAsia="Arial" w:hAnsi="Arial"/>
          <w:sz w:val="13"/>
          <w:szCs w:val="13"/>
          <w:color w:val="auto"/>
        </w:rPr>
        <w:t>OHN</w:t>
      </w:r>
      <w:r>
        <w:rPr>
          <w:rFonts w:ascii="Arial" w:cs="Arial" w:eastAsia="Arial" w:hAnsi="Arial"/>
          <w:sz w:val="16"/>
          <w:szCs w:val="16"/>
          <w:color w:val="auto"/>
        </w:rPr>
        <w:t xml:space="preserve"> S</w:t>
      </w:r>
      <w:r>
        <w:rPr>
          <w:rFonts w:ascii="Arial" w:cs="Arial" w:eastAsia="Arial" w:hAnsi="Arial"/>
          <w:sz w:val="13"/>
          <w:szCs w:val="13"/>
          <w:color w:val="auto"/>
        </w:rPr>
        <w:t>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4"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John Strzemp</w:t>
      </w:r>
    </w:p>
    <w:p>
      <w:pPr>
        <w:spacing w:after="0" w:line="2" w:lineRule="exact"/>
        <w:rPr>
          <w:sz w:val="20"/>
          <w:szCs w:val="20"/>
          <w:color w:val="auto"/>
        </w:rPr>
      </w:pPr>
    </w:p>
    <w:p>
      <w:pPr>
        <w:jc w:val="center"/>
        <w:ind w:left="6520"/>
        <w:spacing w:after="0"/>
        <w:rPr>
          <w:sz w:val="20"/>
          <w:szCs w:val="20"/>
          <w:color w:val="auto"/>
        </w:rPr>
      </w:pPr>
      <w:r>
        <w:rPr>
          <w:rFonts w:ascii="Arial" w:cs="Arial" w:eastAsia="Arial" w:hAnsi="Arial"/>
          <w:sz w:val="12"/>
          <w:szCs w:val="12"/>
          <w:b w:val="1"/>
          <w:bCs w:val="1"/>
          <w:color w:val="auto"/>
        </w:rPr>
        <w:t>Executive Vice President and Chief Financial Officer (Principal Financial and</w:t>
      </w:r>
    </w:p>
    <w:p>
      <w:pPr>
        <w:spacing w:after="0" w:line="10"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Accounting Officer)</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gridSpan w:val="2"/>
          </w:tcPr>
          <w:p>
            <w:pPr>
              <w:jc w:val="center"/>
              <w:ind w:right="2020"/>
              <w:spacing w:after="0"/>
              <w:rPr>
                <w:sz w:val="20"/>
                <w:szCs w:val="20"/>
                <w:color w:val="auto"/>
              </w:rPr>
            </w:pPr>
            <w:r>
              <w:rPr>
                <w:rFonts w:ascii="Arial" w:cs="Arial" w:eastAsia="Arial" w:hAnsi="Arial"/>
                <w:sz w:val="14"/>
                <w:szCs w:val="14"/>
                <w:b w:val="1"/>
                <w:bCs w:val="1"/>
                <w:color w:val="auto"/>
                <w:w w:val="86"/>
              </w:rPr>
              <w:t>Signature</w:t>
            </w:r>
          </w:p>
        </w:tc>
        <w:tc>
          <w:tcPr>
            <w:tcW w:w="2560" w:type="dxa"/>
            <w:vAlign w:val="bottom"/>
          </w:tcPr>
          <w:p>
            <w:pPr>
              <w:spacing w:after="0"/>
              <w:rPr>
                <w:sz w:val="15"/>
                <w:szCs w:val="15"/>
                <w:color w:val="auto"/>
              </w:rPr>
            </w:pPr>
          </w:p>
        </w:tc>
        <w:tc>
          <w:tcPr>
            <w:tcW w:w="258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c>
          <w:tcPr>
            <w:tcW w:w="720" w:type="dxa"/>
            <w:vAlign w:val="bottom"/>
          </w:tcPr>
          <w:p>
            <w:pPr>
              <w:spacing w:after="0"/>
              <w:rPr>
                <w:sz w:val="15"/>
                <w:szCs w:val="15"/>
                <w:color w:val="auto"/>
              </w:rPr>
            </w:pPr>
          </w:p>
        </w:tc>
        <w:tc>
          <w:tcPr>
            <w:tcW w:w="7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5"/>
        </w:trPr>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5"/>
        </w:trPr>
        <w:tc>
          <w:tcPr>
            <w:tcW w:w="1760" w:type="dxa"/>
            <w:vAlign w:val="bottom"/>
          </w:tcPr>
          <w:p>
            <w:pPr>
              <w:ind w:left="1580"/>
              <w:spacing w:after="0"/>
              <w:rPr>
                <w:sz w:val="20"/>
                <w:szCs w:val="20"/>
                <w:color w:val="auto"/>
              </w:rPr>
            </w:pPr>
            <w:r>
              <w:rPr>
                <w:rFonts w:ascii="Arial" w:cs="Arial" w:eastAsia="Arial" w:hAnsi="Arial"/>
                <w:sz w:val="18"/>
                <w:szCs w:val="18"/>
                <w:color w:val="auto"/>
                <w:w w:val="83"/>
              </w:rPr>
              <w:t>/s/</w:t>
            </w:r>
          </w:p>
        </w:tc>
        <w:tc>
          <w:tcPr>
            <w:tcW w:w="3060" w:type="dxa"/>
            <w:vAlign w:val="bottom"/>
            <w:gridSpan w:val="3"/>
          </w:tcPr>
          <w:p>
            <w:pPr>
              <w:jc w:val="right"/>
              <w:ind w:right="15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c>
          <w:tcPr>
            <w:tcW w:w="5140" w:type="dxa"/>
            <w:vAlign w:val="bottom"/>
            <w:gridSpan w:val="3"/>
          </w:tcPr>
          <w:p>
            <w:pPr>
              <w:ind w:left="340"/>
              <w:spacing w:after="0"/>
              <w:rPr>
                <w:sz w:val="20"/>
                <w:szCs w:val="20"/>
                <w:color w:val="auto"/>
              </w:rPr>
            </w:pPr>
            <w:r>
              <w:rPr>
                <w:rFonts w:ascii="Arial" w:cs="Arial" w:eastAsia="Arial" w:hAnsi="Arial"/>
                <w:sz w:val="18"/>
                <w:szCs w:val="18"/>
                <w:color w:val="auto"/>
                <w:w w:val="98"/>
              </w:rPr>
              <w:t>Chairman of the Board and Chief Executive Officer (Principal</w:t>
            </w:r>
          </w:p>
        </w:tc>
        <w:tc>
          <w:tcPr>
            <w:tcW w:w="146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March 26, 2003</w:t>
            </w:r>
          </w:p>
        </w:tc>
        <w:tc>
          <w:tcPr>
            <w:tcW w:w="0" w:type="dxa"/>
            <w:vAlign w:val="bottom"/>
          </w:tcPr>
          <w:p>
            <w:pPr>
              <w:spacing w:after="0"/>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5140" w:type="dxa"/>
            <w:vAlign w:val="bottom"/>
            <w:gridSpan w:val="3"/>
            <w:vMerge w:val="restart"/>
          </w:tcPr>
          <w:p>
            <w:pPr>
              <w:ind w:left="420"/>
              <w:spacing w:after="0"/>
              <w:rPr>
                <w:sz w:val="20"/>
                <w:szCs w:val="20"/>
                <w:color w:val="auto"/>
              </w:rPr>
            </w:pPr>
            <w:r>
              <w:rPr>
                <w:rFonts w:ascii="Arial" w:cs="Arial" w:eastAsia="Arial" w:hAnsi="Arial"/>
                <w:sz w:val="18"/>
                <w:szCs w:val="18"/>
                <w:color w:val="auto"/>
              </w:rPr>
              <w:t>Executive Officer)</w:t>
            </w: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760" w:type="dxa"/>
            <w:vAlign w:val="bottom"/>
          </w:tcPr>
          <w:p>
            <w:pPr>
              <w:spacing w:after="0"/>
              <w:rPr>
                <w:sz w:val="7"/>
                <w:szCs w:val="7"/>
                <w:color w:val="auto"/>
              </w:rPr>
            </w:pPr>
          </w:p>
        </w:tc>
        <w:tc>
          <w:tcPr>
            <w:tcW w:w="3060" w:type="dxa"/>
            <w:vAlign w:val="bottom"/>
            <w:gridSpan w:val="3"/>
            <w:vMerge w:val="restart"/>
          </w:tcPr>
          <w:p>
            <w:pPr>
              <w:jc w:val="center"/>
              <w:ind w:right="1760"/>
              <w:spacing w:after="0"/>
              <w:rPr>
                <w:sz w:val="20"/>
                <w:szCs w:val="20"/>
                <w:color w:val="auto"/>
              </w:rPr>
            </w:pPr>
            <w:r>
              <w:rPr>
                <w:rFonts w:ascii="Arial" w:cs="Arial" w:eastAsia="Arial" w:hAnsi="Arial"/>
                <w:sz w:val="14"/>
                <w:szCs w:val="14"/>
                <w:b w:val="1"/>
                <w:bCs w:val="1"/>
                <w:color w:val="auto"/>
                <w:w w:val="88"/>
              </w:rPr>
              <w:t>Stephen A. Wynn</w:t>
            </w:r>
          </w:p>
        </w:tc>
        <w:tc>
          <w:tcPr>
            <w:tcW w:w="5140" w:type="dxa"/>
            <w:vAlign w:val="bottom"/>
            <w:gridSpan w:val="3"/>
            <w:vMerge w:val="continue"/>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760" w:type="dxa"/>
            <w:vAlign w:val="bottom"/>
          </w:tcPr>
          <w:p>
            <w:pPr>
              <w:spacing w:after="0"/>
              <w:rPr>
                <w:sz w:val="15"/>
                <w:szCs w:val="15"/>
                <w:color w:val="auto"/>
              </w:rPr>
            </w:pPr>
          </w:p>
        </w:tc>
        <w:tc>
          <w:tcPr>
            <w:tcW w:w="3060" w:type="dxa"/>
            <w:vAlign w:val="bottom"/>
            <w:gridSpan w:val="3"/>
            <w:vMerge w:val="continue"/>
          </w:tcPr>
          <w:p>
            <w:pPr>
              <w:spacing w:after="0"/>
              <w:rPr>
                <w:sz w:val="15"/>
                <w:szCs w:val="15"/>
                <w:color w:val="auto"/>
              </w:rPr>
            </w:pPr>
          </w:p>
        </w:tc>
        <w:tc>
          <w:tcPr>
            <w:tcW w:w="2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7"/>
        </w:trPr>
        <w:tc>
          <w:tcPr>
            <w:tcW w:w="1760" w:type="dxa"/>
            <w:vAlign w:val="bottom"/>
          </w:tcPr>
          <w:p>
            <w:pPr>
              <w:ind w:left="1540"/>
              <w:spacing w:after="0"/>
              <w:rPr>
                <w:sz w:val="20"/>
                <w:szCs w:val="20"/>
                <w:color w:val="auto"/>
              </w:rPr>
            </w:pPr>
            <w:r>
              <w:rPr>
                <w:rFonts w:ascii="Arial" w:cs="Arial" w:eastAsia="Arial" w:hAnsi="Arial"/>
                <w:sz w:val="18"/>
                <w:szCs w:val="18"/>
                <w:color w:val="auto"/>
              </w:rPr>
              <w:t>/s/</w:t>
            </w:r>
          </w:p>
        </w:tc>
        <w:tc>
          <w:tcPr>
            <w:tcW w:w="3060" w:type="dxa"/>
            <w:vAlign w:val="bottom"/>
            <w:gridSpan w:val="3"/>
          </w:tcPr>
          <w:p>
            <w:pPr>
              <w:jc w:val="right"/>
              <w:ind w:right="154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ONALD</w:t>
            </w:r>
            <w:r>
              <w:rPr>
                <w:rFonts w:ascii="Arial" w:cs="Arial" w:eastAsia="Arial" w:hAnsi="Arial"/>
                <w:sz w:val="18"/>
                <w:szCs w:val="18"/>
                <w:color w:val="auto"/>
              </w:rPr>
              <w:t xml:space="preserve"> J. K</w:t>
            </w:r>
            <w:r>
              <w:rPr>
                <w:rFonts w:ascii="Arial" w:cs="Arial" w:eastAsia="Arial" w:hAnsi="Arial"/>
                <w:sz w:val="14"/>
                <w:szCs w:val="14"/>
                <w:color w:val="auto"/>
              </w:rPr>
              <w:t>RAMER</w:t>
            </w:r>
          </w:p>
        </w:tc>
        <w:tc>
          <w:tcPr>
            <w:tcW w:w="5140" w:type="dxa"/>
            <w:vAlign w:val="bottom"/>
            <w:gridSpan w:val="3"/>
          </w:tcPr>
          <w:p>
            <w:pPr>
              <w:ind w:left="340"/>
              <w:spacing w:after="0"/>
              <w:rPr>
                <w:sz w:val="20"/>
                <w:szCs w:val="20"/>
                <w:color w:val="auto"/>
              </w:rPr>
            </w:pPr>
            <w:r>
              <w:rPr>
                <w:rFonts w:ascii="Arial" w:cs="Arial" w:eastAsia="Arial" w:hAnsi="Arial"/>
                <w:sz w:val="18"/>
                <w:szCs w:val="18"/>
                <w:color w:val="auto"/>
              </w:rPr>
              <w:t>President and Director</w:t>
            </w:r>
          </w:p>
        </w:tc>
        <w:tc>
          <w:tcPr>
            <w:tcW w:w="146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March 26, 2003</w:t>
            </w:r>
          </w:p>
        </w:tc>
        <w:tc>
          <w:tcPr>
            <w:tcW w:w="0" w:type="dxa"/>
            <w:vAlign w:val="bottom"/>
          </w:tcPr>
          <w:p>
            <w:pPr>
              <w:spacing w:after="0"/>
              <w:rPr>
                <w:sz w:val="1"/>
                <w:szCs w:val="1"/>
                <w:color w:val="auto"/>
              </w:rPr>
            </w:pPr>
          </w:p>
        </w:tc>
      </w:tr>
      <w:tr>
        <w:trPr>
          <w:trHeight w:val="110"/>
        </w:trPr>
        <w:tc>
          <w:tcPr>
            <w:tcW w:w="176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gridSpan w:val="3"/>
          </w:tcPr>
          <w:p>
            <w:pPr>
              <w:spacing w:after="0"/>
              <w:rPr>
                <w:sz w:val="9"/>
                <w:szCs w:val="9"/>
                <w:color w:val="auto"/>
              </w:rPr>
            </w:pPr>
          </w:p>
        </w:tc>
        <w:tc>
          <w:tcPr>
            <w:tcW w:w="2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760" w:type="dxa"/>
            <w:vAlign w:val="bottom"/>
          </w:tcPr>
          <w:p>
            <w:pPr>
              <w:spacing w:after="0"/>
              <w:rPr>
                <w:sz w:val="22"/>
                <w:szCs w:val="22"/>
                <w:color w:val="auto"/>
              </w:rPr>
            </w:pPr>
          </w:p>
        </w:tc>
        <w:tc>
          <w:tcPr>
            <w:tcW w:w="306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91"/>
              </w:rPr>
              <w:t>Ronald J. Kramer</w:t>
            </w:r>
          </w:p>
        </w:tc>
        <w:tc>
          <w:tcPr>
            <w:tcW w:w="2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4820" w:type="dxa"/>
            <w:vAlign w:val="bottom"/>
            <w:gridSpan w:val="4"/>
          </w:tcPr>
          <w:p>
            <w:pPr>
              <w:jc w:val="center"/>
              <w:spacing w:after="0"/>
              <w:rPr>
                <w:sz w:val="20"/>
                <w:szCs w:val="20"/>
                <w:color w:val="auto"/>
              </w:rPr>
            </w:pPr>
            <w:r>
              <w:rPr>
                <w:rFonts w:ascii="Arial" w:cs="Arial" w:eastAsia="Arial" w:hAnsi="Arial"/>
                <w:sz w:val="18"/>
                <w:szCs w:val="18"/>
                <w:color w:val="auto"/>
                <w:w w:val="99"/>
              </w:rPr>
              <w:t>/s/ R</w:t>
            </w:r>
            <w:r>
              <w:rPr>
                <w:rFonts w:ascii="Arial" w:cs="Arial" w:eastAsia="Arial" w:hAnsi="Arial"/>
                <w:sz w:val="14"/>
                <w:szCs w:val="14"/>
                <w:color w:val="auto"/>
                <w:w w:val="99"/>
              </w:rPr>
              <w:t>OBERT</w:t>
            </w:r>
            <w:r>
              <w:rPr>
                <w:rFonts w:ascii="Arial" w:cs="Arial" w:eastAsia="Arial" w:hAnsi="Arial"/>
                <w:sz w:val="18"/>
                <w:szCs w:val="18"/>
                <w:color w:val="auto"/>
                <w:w w:val="99"/>
              </w:rPr>
              <w:t xml:space="preserve"> J. M</w:t>
            </w:r>
            <w:r>
              <w:rPr>
                <w:rFonts w:ascii="Arial" w:cs="Arial" w:eastAsia="Arial" w:hAnsi="Arial"/>
                <w:sz w:val="14"/>
                <w:szCs w:val="14"/>
                <w:color w:val="auto"/>
                <w:w w:val="99"/>
              </w:rPr>
              <w:t>ILLER</w:t>
            </w:r>
          </w:p>
        </w:tc>
        <w:tc>
          <w:tcPr>
            <w:tcW w:w="514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March 26, 2003</w:t>
            </w:r>
          </w:p>
        </w:tc>
        <w:tc>
          <w:tcPr>
            <w:tcW w:w="0" w:type="dxa"/>
            <w:vAlign w:val="bottom"/>
          </w:tcPr>
          <w:p>
            <w:pPr>
              <w:spacing w:after="0"/>
              <w:rPr>
                <w:sz w:val="1"/>
                <w:szCs w:val="1"/>
                <w:color w:val="auto"/>
              </w:rPr>
            </w:pPr>
          </w:p>
        </w:tc>
      </w:tr>
      <w:tr>
        <w:trPr>
          <w:trHeight w:val="110"/>
        </w:trPr>
        <w:tc>
          <w:tcPr>
            <w:tcW w:w="176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gridSpan w:val="3"/>
          </w:tcPr>
          <w:p>
            <w:pPr>
              <w:spacing w:after="0"/>
              <w:rPr>
                <w:sz w:val="9"/>
                <w:szCs w:val="9"/>
                <w:color w:val="auto"/>
              </w:rPr>
            </w:pPr>
          </w:p>
        </w:tc>
        <w:tc>
          <w:tcPr>
            <w:tcW w:w="2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760" w:type="dxa"/>
            <w:vAlign w:val="bottom"/>
          </w:tcPr>
          <w:p>
            <w:pPr>
              <w:spacing w:after="0"/>
              <w:rPr>
                <w:sz w:val="22"/>
                <w:szCs w:val="22"/>
                <w:color w:val="auto"/>
              </w:rPr>
            </w:pPr>
          </w:p>
        </w:tc>
        <w:tc>
          <w:tcPr>
            <w:tcW w:w="306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92"/>
              </w:rPr>
              <w:t>Robert J. Miller</w:t>
            </w:r>
          </w:p>
        </w:tc>
        <w:tc>
          <w:tcPr>
            <w:tcW w:w="2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1760" w:type="dxa"/>
            <w:vAlign w:val="bottom"/>
          </w:tcPr>
          <w:p>
            <w:pPr>
              <w:spacing w:after="0"/>
              <w:rPr>
                <w:sz w:val="24"/>
                <w:szCs w:val="24"/>
                <w:color w:val="auto"/>
              </w:rPr>
            </w:pPr>
          </w:p>
        </w:tc>
        <w:tc>
          <w:tcPr>
            <w:tcW w:w="3060" w:type="dxa"/>
            <w:vAlign w:val="bottom"/>
            <w:gridSpan w:val="3"/>
          </w:tcPr>
          <w:p>
            <w:pPr>
              <w:jc w:val="right"/>
              <w:ind w:right="1580"/>
              <w:spacing w:after="0"/>
              <w:rPr>
                <w:sz w:val="20"/>
                <w:szCs w:val="20"/>
                <w:color w:val="auto"/>
              </w:rPr>
            </w:pPr>
            <w:r>
              <w:rPr>
                <w:rFonts w:ascii="Arial" w:cs="Arial" w:eastAsia="Arial" w:hAnsi="Arial"/>
                <w:sz w:val="18"/>
                <w:szCs w:val="18"/>
                <w:color w:val="auto"/>
                <w:w w:val="99"/>
              </w:rPr>
              <w:t>/s/ J</w:t>
            </w:r>
            <w:r>
              <w:rPr>
                <w:rFonts w:ascii="Arial" w:cs="Arial" w:eastAsia="Arial" w:hAnsi="Arial"/>
                <w:sz w:val="14"/>
                <w:szCs w:val="14"/>
                <w:color w:val="auto"/>
                <w:w w:val="99"/>
              </w:rPr>
              <w:t>OHN</w:t>
            </w:r>
            <w:r>
              <w:rPr>
                <w:rFonts w:ascii="Arial" w:cs="Arial" w:eastAsia="Arial" w:hAnsi="Arial"/>
                <w:sz w:val="18"/>
                <w:szCs w:val="18"/>
                <w:color w:val="auto"/>
                <w:w w:val="99"/>
              </w:rPr>
              <w:t xml:space="preserve"> A. M</w:t>
            </w:r>
            <w:r>
              <w:rPr>
                <w:rFonts w:ascii="Arial" w:cs="Arial" w:eastAsia="Arial" w:hAnsi="Arial"/>
                <w:sz w:val="14"/>
                <w:szCs w:val="14"/>
                <w:color w:val="auto"/>
                <w:w w:val="99"/>
              </w:rPr>
              <w:t>ORAN</w:t>
            </w:r>
          </w:p>
        </w:tc>
        <w:tc>
          <w:tcPr>
            <w:tcW w:w="514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March 26, 2003</w:t>
            </w:r>
          </w:p>
        </w:tc>
        <w:tc>
          <w:tcPr>
            <w:tcW w:w="0" w:type="dxa"/>
            <w:vAlign w:val="bottom"/>
          </w:tcPr>
          <w:p>
            <w:pPr>
              <w:spacing w:after="0"/>
              <w:rPr>
                <w:sz w:val="1"/>
                <w:szCs w:val="1"/>
                <w:color w:val="auto"/>
              </w:rPr>
            </w:pPr>
          </w:p>
        </w:tc>
      </w:tr>
      <w:tr>
        <w:trPr>
          <w:trHeight w:val="110"/>
        </w:trPr>
        <w:tc>
          <w:tcPr>
            <w:tcW w:w="176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gridSpan w:val="3"/>
          </w:tcPr>
          <w:p>
            <w:pPr>
              <w:spacing w:after="0"/>
              <w:rPr>
                <w:sz w:val="9"/>
                <w:szCs w:val="9"/>
                <w:color w:val="auto"/>
              </w:rPr>
            </w:pPr>
          </w:p>
        </w:tc>
        <w:tc>
          <w:tcPr>
            <w:tcW w:w="2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760" w:type="dxa"/>
            <w:vAlign w:val="bottom"/>
          </w:tcPr>
          <w:p>
            <w:pPr>
              <w:spacing w:after="0"/>
              <w:rPr>
                <w:sz w:val="22"/>
                <w:szCs w:val="22"/>
                <w:color w:val="auto"/>
              </w:rPr>
            </w:pPr>
          </w:p>
        </w:tc>
        <w:tc>
          <w:tcPr>
            <w:tcW w:w="306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90"/>
              </w:rPr>
              <w:t>John A. Moran</w:t>
            </w:r>
          </w:p>
        </w:tc>
        <w:tc>
          <w:tcPr>
            <w:tcW w:w="2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4820" w:type="dxa"/>
            <w:vAlign w:val="bottom"/>
            <w:gridSpan w:val="4"/>
          </w:tcPr>
          <w:p>
            <w:pPr>
              <w:jc w:val="center"/>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LVIN</w:t>
            </w:r>
            <w:r>
              <w:rPr>
                <w:rFonts w:ascii="Arial" w:cs="Arial" w:eastAsia="Arial" w:hAnsi="Arial"/>
                <w:sz w:val="18"/>
                <w:szCs w:val="18"/>
                <w:color w:val="auto"/>
              </w:rPr>
              <w:t xml:space="preserve"> S</w:t>
            </w:r>
            <w:r>
              <w:rPr>
                <w:rFonts w:ascii="Arial" w:cs="Arial" w:eastAsia="Arial" w:hAnsi="Arial"/>
                <w:sz w:val="14"/>
                <w:szCs w:val="14"/>
                <w:color w:val="auto"/>
              </w:rPr>
              <w:t>HOEMAKER</w:t>
            </w:r>
          </w:p>
        </w:tc>
        <w:tc>
          <w:tcPr>
            <w:tcW w:w="514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March 26, 2003</w:t>
            </w:r>
          </w:p>
        </w:tc>
        <w:tc>
          <w:tcPr>
            <w:tcW w:w="0" w:type="dxa"/>
            <w:vAlign w:val="bottom"/>
          </w:tcPr>
          <w:p>
            <w:pPr>
              <w:spacing w:after="0"/>
              <w:rPr>
                <w:sz w:val="1"/>
                <w:szCs w:val="1"/>
                <w:color w:val="auto"/>
              </w:rPr>
            </w:pPr>
          </w:p>
        </w:tc>
      </w:tr>
      <w:tr>
        <w:trPr>
          <w:trHeight w:val="110"/>
        </w:trPr>
        <w:tc>
          <w:tcPr>
            <w:tcW w:w="176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gridSpan w:val="3"/>
          </w:tcPr>
          <w:p>
            <w:pPr>
              <w:spacing w:after="0"/>
              <w:rPr>
                <w:sz w:val="9"/>
                <w:szCs w:val="9"/>
                <w:color w:val="auto"/>
              </w:rPr>
            </w:pPr>
          </w:p>
        </w:tc>
        <w:tc>
          <w:tcPr>
            <w:tcW w:w="2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760" w:type="dxa"/>
            <w:vAlign w:val="bottom"/>
          </w:tcPr>
          <w:p>
            <w:pPr>
              <w:spacing w:after="0"/>
              <w:rPr>
                <w:sz w:val="22"/>
                <w:szCs w:val="22"/>
                <w:color w:val="auto"/>
              </w:rPr>
            </w:pPr>
          </w:p>
        </w:tc>
        <w:tc>
          <w:tcPr>
            <w:tcW w:w="306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87"/>
              </w:rPr>
              <w:t>Alvin Shoemaker</w:t>
            </w:r>
          </w:p>
        </w:tc>
        <w:tc>
          <w:tcPr>
            <w:tcW w:w="2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1760" w:type="dxa"/>
            <w:vAlign w:val="bottom"/>
          </w:tcPr>
          <w:p>
            <w:pPr>
              <w:spacing w:after="0"/>
              <w:rPr>
                <w:sz w:val="24"/>
                <w:szCs w:val="24"/>
                <w:color w:val="auto"/>
              </w:rPr>
            </w:pPr>
          </w:p>
        </w:tc>
        <w:tc>
          <w:tcPr>
            <w:tcW w:w="3060" w:type="dxa"/>
            <w:vAlign w:val="bottom"/>
            <w:gridSpan w:val="3"/>
          </w:tcPr>
          <w:p>
            <w:pPr>
              <w:jc w:val="right"/>
              <w:ind w:right="148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LAINE</w:t>
            </w:r>
            <w:r>
              <w:rPr>
                <w:rFonts w:ascii="Arial" w:cs="Arial" w:eastAsia="Arial" w:hAnsi="Arial"/>
                <w:sz w:val="18"/>
                <w:szCs w:val="18"/>
                <w:color w:val="auto"/>
              </w:rPr>
              <w:t xml:space="preserve"> P. W</w:t>
            </w:r>
            <w:r>
              <w:rPr>
                <w:rFonts w:ascii="Arial" w:cs="Arial" w:eastAsia="Arial" w:hAnsi="Arial"/>
                <w:sz w:val="14"/>
                <w:szCs w:val="14"/>
                <w:color w:val="auto"/>
              </w:rPr>
              <w:t>YNN</w:t>
            </w:r>
          </w:p>
        </w:tc>
        <w:tc>
          <w:tcPr>
            <w:tcW w:w="514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March 26, 2003</w:t>
            </w:r>
          </w:p>
        </w:tc>
        <w:tc>
          <w:tcPr>
            <w:tcW w:w="0" w:type="dxa"/>
            <w:vAlign w:val="bottom"/>
          </w:tcPr>
          <w:p>
            <w:pPr>
              <w:spacing w:after="0"/>
              <w:rPr>
                <w:sz w:val="1"/>
                <w:szCs w:val="1"/>
                <w:color w:val="auto"/>
              </w:rPr>
            </w:pPr>
          </w:p>
        </w:tc>
      </w:tr>
      <w:tr>
        <w:trPr>
          <w:trHeight w:val="110"/>
        </w:trPr>
        <w:tc>
          <w:tcPr>
            <w:tcW w:w="176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gridSpan w:val="3"/>
          </w:tcPr>
          <w:p>
            <w:pPr>
              <w:spacing w:after="0"/>
              <w:rPr>
                <w:sz w:val="9"/>
                <w:szCs w:val="9"/>
                <w:color w:val="auto"/>
              </w:rPr>
            </w:pPr>
          </w:p>
        </w:tc>
        <w:tc>
          <w:tcPr>
            <w:tcW w:w="2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760" w:type="dxa"/>
            <w:vAlign w:val="bottom"/>
          </w:tcPr>
          <w:p>
            <w:pPr>
              <w:spacing w:after="0"/>
              <w:rPr>
                <w:sz w:val="22"/>
                <w:szCs w:val="22"/>
                <w:color w:val="auto"/>
              </w:rPr>
            </w:pPr>
          </w:p>
        </w:tc>
        <w:tc>
          <w:tcPr>
            <w:tcW w:w="306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89"/>
              </w:rPr>
              <w:t>Elaine P. Wynn</w:t>
            </w:r>
          </w:p>
        </w:tc>
        <w:tc>
          <w:tcPr>
            <w:tcW w:w="2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1760" w:type="dxa"/>
            <w:vAlign w:val="bottom"/>
          </w:tcPr>
          <w:p>
            <w:pPr>
              <w:spacing w:after="0"/>
              <w:rPr>
                <w:sz w:val="24"/>
                <w:szCs w:val="24"/>
                <w:color w:val="auto"/>
              </w:rPr>
            </w:pPr>
          </w:p>
        </w:tc>
        <w:tc>
          <w:tcPr>
            <w:tcW w:w="3060" w:type="dxa"/>
            <w:vAlign w:val="bottom"/>
            <w:gridSpan w:val="3"/>
          </w:tcPr>
          <w:p>
            <w:pPr>
              <w:jc w:val="right"/>
              <w:ind w:right="148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TANLEY</w:t>
            </w:r>
            <w:r>
              <w:rPr>
                <w:rFonts w:ascii="Arial" w:cs="Arial" w:eastAsia="Arial" w:hAnsi="Arial"/>
                <w:sz w:val="18"/>
                <w:szCs w:val="18"/>
                <w:color w:val="auto"/>
              </w:rPr>
              <w:t xml:space="preserve"> R. Z</w:t>
            </w:r>
            <w:r>
              <w:rPr>
                <w:rFonts w:ascii="Arial" w:cs="Arial" w:eastAsia="Arial" w:hAnsi="Arial"/>
                <w:sz w:val="14"/>
                <w:szCs w:val="14"/>
                <w:color w:val="auto"/>
              </w:rPr>
              <w:t>AX</w:t>
            </w:r>
          </w:p>
        </w:tc>
        <w:tc>
          <w:tcPr>
            <w:tcW w:w="514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March 26, 2003</w:t>
            </w:r>
          </w:p>
        </w:tc>
        <w:tc>
          <w:tcPr>
            <w:tcW w:w="0" w:type="dxa"/>
            <w:vAlign w:val="bottom"/>
          </w:tcPr>
          <w:p>
            <w:pPr>
              <w:spacing w:after="0"/>
              <w:rPr>
                <w:sz w:val="1"/>
                <w:szCs w:val="1"/>
                <w:color w:val="auto"/>
              </w:rPr>
            </w:pPr>
          </w:p>
        </w:tc>
      </w:tr>
      <w:tr>
        <w:trPr>
          <w:trHeight w:val="110"/>
        </w:trPr>
        <w:tc>
          <w:tcPr>
            <w:tcW w:w="176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gridSpan w:val="3"/>
          </w:tcPr>
          <w:p>
            <w:pPr>
              <w:spacing w:after="0"/>
              <w:rPr>
                <w:sz w:val="9"/>
                <w:szCs w:val="9"/>
                <w:color w:val="auto"/>
              </w:rPr>
            </w:pPr>
          </w:p>
        </w:tc>
        <w:tc>
          <w:tcPr>
            <w:tcW w:w="2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760" w:type="dxa"/>
            <w:vAlign w:val="bottom"/>
          </w:tcPr>
          <w:p>
            <w:pPr>
              <w:spacing w:after="0"/>
              <w:rPr>
                <w:sz w:val="22"/>
                <w:szCs w:val="22"/>
                <w:color w:val="auto"/>
              </w:rPr>
            </w:pPr>
          </w:p>
        </w:tc>
        <w:tc>
          <w:tcPr>
            <w:tcW w:w="306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89"/>
              </w:rPr>
              <w:t>Stanley R. Zax</w:t>
            </w:r>
          </w:p>
        </w:tc>
        <w:tc>
          <w:tcPr>
            <w:tcW w:w="2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1760" w:type="dxa"/>
            <w:vAlign w:val="bottom"/>
          </w:tcPr>
          <w:p>
            <w:pPr>
              <w:spacing w:after="0"/>
              <w:rPr>
                <w:sz w:val="24"/>
                <w:szCs w:val="24"/>
                <w:color w:val="auto"/>
              </w:rPr>
            </w:pPr>
          </w:p>
        </w:tc>
        <w:tc>
          <w:tcPr>
            <w:tcW w:w="3060" w:type="dxa"/>
            <w:vAlign w:val="bottom"/>
            <w:gridSpan w:val="3"/>
          </w:tcPr>
          <w:p>
            <w:pPr>
              <w:jc w:val="right"/>
              <w:ind w:right="148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LLEN</w:t>
            </w:r>
            <w:r>
              <w:rPr>
                <w:rFonts w:ascii="Arial" w:cs="Arial" w:eastAsia="Arial" w:hAnsi="Arial"/>
                <w:sz w:val="18"/>
                <w:szCs w:val="18"/>
                <w:color w:val="auto"/>
              </w:rPr>
              <w:t xml:space="preserve"> Z</w:t>
            </w:r>
            <w:r>
              <w:rPr>
                <w:rFonts w:ascii="Arial" w:cs="Arial" w:eastAsia="Arial" w:hAnsi="Arial"/>
                <w:sz w:val="14"/>
                <w:szCs w:val="14"/>
                <w:color w:val="auto"/>
              </w:rPr>
              <w:t>EMAN</w:t>
            </w:r>
          </w:p>
        </w:tc>
        <w:tc>
          <w:tcPr>
            <w:tcW w:w="514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March 26, 2003</w:t>
            </w:r>
          </w:p>
        </w:tc>
        <w:tc>
          <w:tcPr>
            <w:tcW w:w="0" w:type="dxa"/>
            <w:vAlign w:val="bottom"/>
          </w:tcPr>
          <w:p>
            <w:pPr>
              <w:spacing w:after="0"/>
              <w:rPr>
                <w:sz w:val="1"/>
                <w:szCs w:val="1"/>
                <w:color w:val="auto"/>
              </w:rPr>
            </w:pPr>
          </w:p>
        </w:tc>
      </w:tr>
      <w:tr>
        <w:trPr>
          <w:trHeight w:val="110"/>
        </w:trPr>
        <w:tc>
          <w:tcPr>
            <w:tcW w:w="17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780" w:type="dxa"/>
            <w:vAlign w:val="bottom"/>
            <w:tcBorders>
              <w:bottom w:val="single" w:sz="8" w:color="auto"/>
            </w:tcBorders>
            <w:gridSpan w:val="2"/>
          </w:tcPr>
          <w:p>
            <w:pPr>
              <w:spacing w:after="0"/>
              <w:rPr>
                <w:sz w:val="9"/>
                <w:szCs w:val="9"/>
                <w:color w:val="auto"/>
              </w:rPr>
            </w:pPr>
          </w:p>
        </w:tc>
        <w:tc>
          <w:tcPr>
            <w:tcW w:w="2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80" w:type="dxa"/>
            <w:vAlign w:val="bottom"/>
            <w:gridSpan w:val="2"/>
          </w:tcPr>
          <w:p>
            <w:pPr>
              <w:jc w:val="center"/>
              <w:ind w:right="2040"/>
              <w:spacing w:after="0"/>
              <w:rPr>
                <w:sz w:val="20"/>
                <w:szCs w:val="20"/>
                <w:color w:val="auto"/>
              </w:rPr>
            </w:pPr>
            <w:r>
              <w:rPr>
                <w:rFonts w:ascii="Arial" w:cs="Arial" w:eastAsia="Arial" w:hAnsi="Arial"/>
                <w:sz w:val="14"/>
                <w:szCs w:val="14"/>
                <w:b w:val="1"/>
                <w:bCs w:val="1"/>
                <w:color w:val="auto"/>
                <w:w w:val="88"/>
              </w:rPr>
              <w:t>Allen Zeman</w:t>
            </w:r>
          </w:p>
        </w:tc>
        <w:tc>
          <w:tcPr>
            <w:tcW w:w="2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1"/>
        </w:trPr>
        <w:tc>
          <w:tcPr>
            <w:tcW w:w="1760" w:type="dxa"/>
            <w:vAlign w:val="bottom"/>
          </w:tcPr>
          <w:p>
            <w:pPr>
              <w:spacing w:after="0"/>
              <w:rPr>
                <w:sz w:val="24"/>
                <w:szCs w:val="24"/>
                <w:color w:val="auto"/>
              </w:rPr>
            </w:pPr>
          </w:p>
        </w:tc>
        <w:tc>
          <w:tcPr>
            <w:tcW w:w="3060" w:type="dxa"/>
            <w:vAlign w:val="bottom"/>
            <w:gridSpan w:val="3"/>
          </w:tcPr>
          <w:p>
            <w:pPr>
              <w:jc w:val="right"/>
              <w:ind w:right="146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OHN</w:t>
            </w:r>
            <w:r>
              <w:rPr>
                <w:rFonts w:ascii="Arial" w:cs="Arial" w:eastAsia="Arial" w:hAnsi="Arial"/>
                <w:sz w:val="18"/>
                <w:szCs w:val="18"/>
                <w:color w:val="auto"/>
              </w:rPr>
              <w:t xml:space="preserve"> S</w:t>
            </w:r>
            <w:r>
              <w:rPr>
                <w:rFonts w:ascii="Arial" w:cs="Arial" w:eastAsia="Arial" w:hAnsi="Arial"/>
                <w:sz w:val="14"/>
                <w:szCs w:val="14"/>
                <w:color w:val="auto"/>
              </w:rPr>
              <w:t>TRZEMP</w:t>
            </w:r>
          </w:p>
        </w:tc>
        <w:tc>
          <w:tcPr>
            <w:tcW w:w="5140" w:type="dxa"/>
            <w:vAlign w:val="bottom"/>
            <w:gridSpan w:val="3"/>
          </w:tcPr>
          <w:p>
            <w:pPr>
              <w:ind w:left="340"/>
              <w:spacing w:after="0"/>
              <w:rPr>
                <w:sz w:val="20"/>
                <w:szCs w:val="20"/>
                <w:color w:val="auto"/>
              </w:rPr>
            </w:pPr>
            <w:r>
              <w:rPr>
                <w:rFonts w:ascii="Arial" w:cs="Arial" w:eastAsia="Arial" w:hAnsi="Arial"/>
                <w:sz w:val="18"/>
                <w:szCs w:val="18"/>
                <w:color w:val="auto"/>
                <w:w w:val="96"/>
              </w:rPr>
              <w:t>Executive Vice President and Chief Financial Officer (Principal</w:t>
            </w:r>
          </w:p>
        </w:tc>
        <w:tc>
          <w:tcPr>
            <w:tcW w:w="146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March 26, 2003</w:t>
            </w:r>
          </w:p>
        </w:tc>
        <w:tc>
          <w:tcPr>
            <w:tcW w:w="0" w:type="dxa"/>
            <w:vAlign w:val="bottom"/>
          </w:tcPr>
          <w:p>
            <w:pPr>
              <w:spacing w:after="0"/>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5140" w:type="dxa"/>
            <w:vAlign w:val="bottom"/>
            <w:gridSpan w:val="3"/>
            <w:vMerge w:val="restart"/>
          </w:tcPr>
          <w:p>
            <w:pPr>
              <w:ind w:left="420"/>
              <w:spacing w:after="0"/>
              <w:rPr>
                <w:sz w:val="20"/>
                <w:szCs w:val="20"/>
                <w:color w:val="auto"/>
              </w:rPr>
            </w:pPr>
            <w:r>
              <w:rPr>
                <w:rFonts w:ascii="Arial" w:cs="Arial" w:eastAsia="Arial" w:hAnsi="Arial"/>
                <w:sz w:val="18"/>
                <w:szCs w:val="18"/>
                <w:color w:val="auto"/>
              </w:rPr>
              <w:t>Financial and Accounting Officer)</w:t>
            </w: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20" w:type="dxa"/>
            <w:vAlign w:val="bottom"/>
          </w:tcPr>
          <w:p>
            <w:pPr>
              <w:spacing w:after="0"/>
              <w:rPr>
                <w:sz w:val="7"/>
                <w:szCs w:val="7"/>
                <w:color w:val="auto"/>
              </w:rPr>
            </w:pPr>
          </w:p>
        </w:tc>
        <w:tc>
          <w:tcPr>
            <w:tcW w:w="5140" w:type="dxa"/>
            <w:vAlign w:val="bottom"/>
            <w:gridSpan w:val="3"/>
            <w:vMerge w:val="continue"/>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auto"/>
        </w:rPr>
        <w:t>John Strzemp</w:t>
      </w:r>
    </w:p>
    <w:p>
      <w:pPr>
        <w:sectPr>
          <w:pgSz w:w="11900" w:h="16838" w:orient="portrait"/>
          <w:cols w:equalWidth="0" w:num="1">
            <w:col w:w="11420"/>
          </w:cols>
          <w:pgMar w:left="240" w:top="274" w:right="239" w:bottom="1440" w:gutter="0" w:footer="0" w:header="0"/>
        </w:sectPr>
      </w:pPr>
    </w:p>
    <w:bookmarkStart w:id="119" w:name="page120"/>
    <w:bookmarkEnd w:id="11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Stephen A. Wynn, certify that:</w:t>
      </w:r>
    </w:p>
    <w:p>
      <w:pPr>
        <w:spacing w:after="0" w:line="158"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Resorts, Limited;</w:t>
      </w:r>
    </w:p>
    <w:p>
      <w:pPr>
        <w:spacing w:after="0" w:line="157" w:lineRule="exact"/>
        <w:rPr>
          <w:rFonts w:ascii="Arial" w:cs="Arial" w:eastAsia="Arial" w:hAnsi="Arial"/>
          <w:sz w:val="18"/>
          <w:szCs w:val="18"/>
          <w:color w:val="auto"/>
        </w:rPr>
      </w:pPr>
    </w:p>
    <w:p>
      <w:pPr>
        <w:jc w:val="both"/>
        <w:ind w:left="460" w:right="200" w:hanging="452"/>
        <w:spacing w:after="0" w:line="259"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26" w:lineRule="exact"/>
        <w:rPr>
          <w:rFonts w:ascii="Arial" w:cs="Arial" w:eastAsia="Arial" w:hAnsi="Arial"/>
          <w:sz w:val="18"/>
          <w:szCs w:val="18"/>
          <w:color w:val="auto"/>
        </w:rPr>
      </w:pPr>
    </w:p>
    <w:p>
      <w:pPr>
        <w:ind w:left="460" w:right="160" w:hanging="452"/>
        <w:spacing w:after="0" w:line="332"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71" w:lineRule="exact"/>
        <w:rPr>
          <w:rFonts w:ascii="Arial" w:cs="Arial" w:eastAsia="Arial" w:hAnsi="Arial"/>
          <w:sz w:val="16"/>
          <w:szCs w:val="16"/>
          <w:color w:val="auto"/>
        </w:rPr>
      </w:pPr>
    </w:p>
    <w:p>
      <w:pPr>
        <w:ind w:left="460" w:right="100" w:hanging="452"/>
        <w:spacing w:after="0" w:line="26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have:</w:t>
      </w:r>
    </w:p>
    <w:p>
      <w:pPr>
        <w:spacing w:after="0" w:line="37"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 w:lineRule="exact"/>
        <w:rPr>
          <w:rFonts w:ascii="Arial" w:cs="Arial" w:eastAsia="Arial" w:hAnsi="Arial"/>
          <w:sz w:val="16"/>
          <w:szCs w:val="16"/>
          <w:color w:val="auto"/>
        </w:rPr>
      </w:pPr>
    </w:p>
    <w:p>
      <w:pPr>
        <w:ind w:left="900" w:right="340" w:hanging="446"/>
        <w:spacing w:after="0" w:line="268" w:lineRule="auto"/>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37" w:lineRule="exact"/>
        <w:rPr>
          <w:rFonts w:ascii="Arial" w:cs="Arial" w:eastAsia="Arial" w:hAnsi="Arial"/>
          <w:sz w:val="18"/>
          <w:szCs w:val="18"/>
          <w:color w:val="auto"/>
        </w:rPr>
      </w:pPr>
    </w:p>
    <w:p>
      <w:pPr>
        <w:ind w:left="900" w:right="280" w:hanging="446"/>
        <w:spacing w:after="0" w:line="268" w:lineRule="auto"/>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118"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37" w:lineRule="exact"/>
        <w:rPr>
          <w:rFonts w:ascii="Arial" w:cs="Arial" w:eastAsia="Arial" w:hAnsi="Arial"/>
          <w:sz w:val="18"/>
          <w:szCs w:val="18"/>
          <w:color w:val="auto"/>
        </w:rPr>
      </w:pPr>
    </w:p>
    <w:p>
      <w:pPr>
        <w:ind w:left="900" w:right="460" w:hanging="446"/>
        <w:spacing w:after="0" w:line="325" w:lineRule="auto"/>
        <w:tabs>
          <w:tab w:leader="none" w:pos="9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1"/>
          <w:numId w:val="43"/>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controls; and</w:t>
      </w:r>
    </w:p>
    <w:p>
      <w:pPr>
        <w:spacing w:after="0" w:line="192" w:lineRule="exact"/>
        <w:rPr>
          <w:rFonts w:ascii="Arial" w:cs="Arial" w:eastAsia="Arial" w:hAnsi="Arial"/>
          <w:sz w:val="15"/>
          <w:szCs w:val="15"/>
          <w:color w:val="auto"/>
        </w:rPr>
      </w:pPr>
    </w:p>
    <w:p>
      <w:pPr>
        <w:ind w:left="460" w:right="100" w:hanging="452"/>
        <w:spacing w:after="0" w:line="259"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27" w:lineRule="exact"/>
        <w:rPr>
          <w:sz w:val="20"/>
          <w:szCs w:val="20"/>
          <w:color w:val="auto"/>
        </w:rPr>
      </w:pPr>
    </w:p>
    <w:p>
      <w:pPr>
        <w:spacing w:after="0"/>
        <w:tabs>
          <w:tab w:leader="none" w:pos="5820" w:val="left"/>
          <w:tab w:leader="none" w:pos="7940" w:val="left"/>
          <w:tab w:leader="none" w:pos="8280" w:val="left"/>
        </w:tabs>
        <w:rPr>
          <w:sz w:val="20"/>
          <w:szCs w:val="20"/>
          <w:color w:val="auto"/>
        </w:rPr>
      </w:pPr>
      <w:r>
        <w:rPr>
          <w:rFonts w:ascii="Arial" w:cs="Arial" w:eastAsia="Arial" w:hAnsi="Arial"/>
          <w:sz w:val="18"/>
          <w:szCs w:val="18"/>
          <w:color w:val="auto"/>
        </w:rPr>
        <w:t>Date: March 26,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4"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Stephen A. Wynn</w:t>
      </w:r>
    </w:p>
    <w:p>
      <w:pPr>
        <w:jc w:val="center"/>
        <w:ind w:left="6520"/>
        <w:spacing w:after="0" w:line="223" w:lineRule="auto"/>
        <w:rPr>
          <w:sz w:val="20"/>
          <w:szCs w:val="20"/>
          <w:color w:val="auto"/>
        </w:rPr>
      </w:pPr>
      <w:r>
        <w:rPr>
          <w:rFonts w:ascii="Arial" w:cs="Arial" w:eastAsia="Arial" w:hAnsi="Arial"/>
          <w:sz w:val="14"/>
          <w:szCs w:val="14"/>
          <w:b w:val="1"/>
          <w:bCs w:val="1"/>
          <w:color w:val="auto"/>
        </w:rPr>
        <w:t>Chairman of the Board and</w:t>
      </w:r>
    </w:p>
    <w:p>
      <w:pPr>
        <w:jc w:val="center"/>
        <w:ind w:left="6520"/>
        <w:spacing w:after="0" w:line="222" w:lineRule="auto"/>
        <w:rPr>
          <w:sz w:val="20"/>
          <w:szCs w:val="20"/>
          <w:color w:val="auto"/>
        </w:rPr>
      </w:pPr>
      <w:r>
        <w:rPr>
          <w:rFonts w:ascii="Arial" w:cs="Arial" w:eastAsia="Arial" w:hAnsi="Arial"/>
          <w:sz w:val="14"/>
          <w:szCs w:val="14"/>
          <w:b w:val="1"/>
          <w:bCs w:val="1"/>
          <w:color w:val="auto"/>
        </w:rPr>
        <w:t>Chief Executive Officer</w:t>
      </w:r>
    </w:p>
    <w:p>
      <w:pPr>
        <w:jc w:val="center"/>
        <w:ind w:left="65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380"/>
          </w:cols>
          <w:pgMar w:left="240" w:top="422" w:right="279" w:bottom="1440" w:gutter="0" w:footer="0" w:header="0"/>
        </w:sectPr>
      </w:pPr>
    </w:p>
    <w:bookmarkStart w:id="120" w:name="page121"/>
    <w:bookmarkEnd w:id="12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John Strzemp, certify that:</w:t>
      </w:r>
    </w:p>
    <w:p>
      <w:pPr>
        <w:spacing w:after="0" w:line="158"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Resorts, Limited;</w:t>
      </w:r>
    </w:p>
    <w:p>
      <w:pPr>
        <w:spacing w:after="0" w:line="157" w:lineRule="exact"/>
        <w:rPr>
          <w:rFonts w:ascii="Arial" w:cs="Arial" w:eastAsia="Arial" w:hAnsi="Arial"/>
          <w:sz w:val="18"/>
          <w:szCs w:val="18"/>
          <w:color w:val="auto"/>
        </w:rPr>
      </w:pPr>
    </w:p>
    <w:p>
      <w:pPr>
        <w:jc w:val="both"/>
        <w:ind w:left="460" w:right="200" w:hanging="452"/>
        <w:spacing w:after="0" w:line="259"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26" w:lineRule="exact"/>
        <w:rPr>
          <w:rFonts w:ascii="Arial" w:cs="Arial" w:eastAsia="Arial" w:hAnsi="Arial"/>
          <w:sz w:val="18"/>
          <w:szCs w:val="18"/>
          <w:color w:val="auto"/>
        </w:rPr>
      </w:pPr>
    </w:p>
    <w:p>
      <w:pPr>
        <w:ind w:left="460" w:right="160" w:hanging="452"/>
        <w:spacing w:after="0" w:line="332"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71" w:lineRule="exact"/>
        <w:rPr>
          <w:rFonts w:ascii="Arial" w:cs="Arial" w:eastAsia="Arial" w:hAnsi="Arial"/>
          <w:sz w:val="16"/>
          <w:szCs w:val="16"/>
          <w:color w:val="auto"/>
        </w:rPr>
      </w:pPr>
    </w:p>
    <w:p>
      <w:pPr>
        <w:ind w:left="460" w:right="100" w:hanging="452"/>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have:</w:t>
      </w:r>
    </w:p>
    <w:p>
      <w:pPr>
        <w:spacing w:after="0" w:line="37"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 w:lineRule="exact"/>
        <w:rPr>
          <w:rFonts w:ascii="Arial" w:cs="Arial" w:eastAsia="Arial" w:hAnsi="Arial"/>
          <w:sz w:val="16"/>
          <w:szCs w:val="16"/>
          <w:color w:val="auto"/>
        </w:rPr>
      </w:pPr>
    </w:p>
    <w:p>
      <w:pPr>
        <w:ind w:left="900" w:right="340" w:hanging="446"/>
        <w:spacing w:after="0" w:line="268" w:lineRule="auto"/>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37" w:lineRule="exact"/>
        <w:rPr>
          <w:rFonts w:ascii="Arial" w:cs="Arial" w:eastAsia="Arial" w:hAnsi="Arial"/>
          <w:sz w:val="18"/>
          <w:szCs w:val="18"/>
          <w:color w:val="auto"/>
        </w:rPr>
      </w:pPr>
    </w:p>
    <w:p>
      <w:pPr>
        <w:ind w:left="900" w:right="280" w:hanging="446"/>
        <w:spacing w:after="0" w:line="268" w:lineRule="auto"/>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118"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37" w:lineRule="exact"/>
        <w:rPr>
          <w:rFonts w:ascii="Arial" w:cs="Arial" w:eastAsia="Arial" w:hAnsi="Arial"/>
          <w:sz w:val="18"/>
          <w:szCs w:val="18"/>
          <w:color w:val="auto"/>
        </w:rPr>
      </w:pPr>
    </w:p>
    <w:p>
      <w:pPr>
        <w:ind w:left="900" w:right="460" w:hanging="446"/>
        <w:spacing w:after="0" w:line="325" w:lineRule="auto"/>
        <w:tabs>
          <w:tab w:leader="none" w:pos="9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1"/>
          <w:numId w:val="44"/>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controls; and</w:t>
      </w:r>
    </w:p>
    <w:p>
      <w:pPr>
        <w:spacing w:after="0" w:line="192" w:lineRule="exact"/>
        <w:rPr>
          <w:rFonts w:ascii="Arial" w:cs="Arial" w:eastAsia="Arial" w:hAnsi="Arial"/>
          <w:sz w:val="15"/>
          <w:szCs w:val="15"/>
          <w:color w:val="auto"/>
        </w:rPr>
      </w:pPr>
    </w:p>
    <w:p>
      <w:pPr>
        <w:ind w:left="460" w:right="100" w:hanging="452"/>
        <w:spacing w:after="0" w:line="259"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27" w:lineRule="exact"/>
        <w:rPr>
          <w:sz w:val="20"/>
          <w:szCs w:val="20"/>
          <w:color w:val="auto"/>
        </w:rPr>
      </w:pPr>
    </w:p>
    <w:p>
      <w:pPr>
        <w:spacing w:after="0"/>
        <w:tabs>
          <w:tab w:leader="none" w:pos="5820" w:val="left"/>
          <w:tab w:leader="none" w:pos="8080" w:val="left"/>
          <w:tab w:leader="none" w:pos="8420" w:val="left"/>
        </w:tabs>
        <w:rPr>
          <w:sz w:val="20"/>
          <w:szCs w:val="20"/>
          <w:color w:val="auto"/>
        </w:rPr>
      </w:pPr>
      <w:r>
        <w:rPr>
          <w:rFonts w:ascii="Arial" w:cs="Arial" w:eastAsia="Arial" w:hAnsi="Arial"/>
          <w:sz w:val="18"/>
          <w:szCs w:val="18"/>
          <w:color w:val="auto"/>
        </w:rPr>
        <w:t>Date: March 26,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S</w:t>
      </w:r>
      <w:r>
        <w:rPr>
          <w:rFonts w:ascii="Arial" w:cs="Arial" w:eastAsia="Arial" w:hAnsi="Arial"/>
          <w:sz w:val="13"/>
          <w:szCs w:val="13"/>
          <w:color w:val="auto"/>
        </w:rPr>
        <w:t>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4"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John Strzemp</w:t>
      </w:r>
    </w:p>
    <w:p>
      <w:pPr>
        <w:jc w:val="center"/>
        <w:ind w:left="6520"/>
        <w:spacing w:after="0" w:line="223" w:lineRule="auto"/>
        <w:rPr>
          <w:sz w:val="20"/>
          <w:szCs w:val="20"/>
          <w:color w:val="auto"/>
        </w:rPr>
      </w:pPr>
      <w:r>
        <w:rPr>
          <w:rFonts w:ascii="Arial" w:cs="Arial" w:eastAsia="Arial" w:hAnsi="Arial"/>
          <w:sz w:val="14"/>
          <w:szCs w:val="14"/>
          <w:b w:val="1"/>
          <w:bCs w:val="1"/>
          <w:color w:val="auto"/>
        </w:rPr>
        <w:t>Executive Vice President and</w:t>
      </w:r>
    </w:p>
    <w:p>
      <w:pPr>
        <w:jc w:val="center"/>
        <w:ind w:left="6520"/>
        <w:spacing w:after="0" w:line="222" w:lineRule="auto"/>
        <w:rPr>
          <w:sz w:val="20"/>
          <w:szCs w:val="20"/>
          <w:color w:val="auto"/>
        </w:rPr>
      </w:pPr>
      <w:r>
        <w:rPr>
          <w:rFonts w:ascii="Arial" w:cs="Arial" w:eastAsia="Arial" w:hAnsi="Arial"/>
          <w:sz w:val="14"/>
          <w:szCs w:val="14"/>
          <w:b w:val="1"/>
          <w:bCs w:val="1"/>
          <w:color w:val="auto"/>
        </w:rPr>
        <w:t>Chief Financial Officer</w:t>
      </w:r>
    </w:p>
    <w:p>
      <w:pPr>
        <w:jc w:val="center"/>
        <w:ind w:left="6520"/>
        <w:spacing w:after="0" w:line="221" w:lineRule="auto"/>
        <w:rPr>
          <w:sz w:val="20"/>
          <w:szCs w:val="20"/>
          <w:color w:val="auto"/>
        </w:rPr>
      </w:pPr>
      <w:r>
        <w:rPr>
          <w:rFonts w:ascii="Arial" w:cs="Arial" w:eastAsia="Arial" w:hAnsi="Arial"/>
          <w:sz w:val="14"/>
          <w:szCs w:val="14"/>
          <w:b w:val="1"/>
          <w:bCs w:val="1"/>
          <w:color w:val="auto"/>
        </w:rPr>
        <w:t>(Principal Financial Officer and</w:t>
      </w:r>
    </w:p>
    <w:p>
      <w:pPr>
        <w:jc w:val="center"/>
        <w:ind w:left="6520"/>
        <w:spacing w:after="0"/>
        <w:rPr>
          <w:sz w:val="20"/>
          <w:szCs w:val="20"/>
          <w:color w:val="auto"/>
        </w:rPr>
      </w:pPr>
      <w:r>
        <w:rPr>
          <w:rFonts w:ascii="Arial" w:cs="Arial" w:eastAsia="Arial" w:hAnsi="Arial"/>
          <w:sz w:val="14"/>
          <w:szCs w:val="14"/>
          <w:b w:val="1"/>
          <w:bCs w:val="1"/>
          <w:color w:val="auto"/>
        </w:rPr>
        <w:t>Principal Accounting Officer)</w:t>
      </w:r>
    </w:p>
    <w:p>
      <w:pPr>
        <w:sectPr>
          <w:pgSz w:w="11900" w:h="16838" w:orient="portrait"/>
          <w:cols w:equalWidth="0" w:num="1">
            <w:col w:w="11380"/>
          </w:cols>
          <w:pgMar w:left="240" w:top="422" w:right="27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color w:val="auto"/>
        </w:rPr>
        <w:t>10-25-02</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10.58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387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LICENCE AGREEMENT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3145 Las Vegas Blvd. South, Las Vegas, NV 89109, USA </w:t>
      </w:r>
      <w:r>
        <w:rPr>
          <w:rFonts w:ascii="Arial" w:cs="Arial" w:eastAsia="Arial" w:hAnsi="Arial"/>
          <w:sz w:val="18"/>
          <w:szCs w:val="18"/>
          <w:b w:val="1"/>
          <w:bCs w:val="1"/>
          <w:i w:val="1"/>
          <w:iCs w:val="1"/>
          <w:color w:val="auto"/>
        </w:rPr>
        <w:t>(“Wynn Las Vegas”)</w:t>
      </w:r>
      <w:r>
        <w:rPr>
          <w:rFonts w:ascii="Arial" w:cs="Arial" w:eastAsia="Arial" w:hAnsi="Arial"/>
          <w:sz w:val="18"/>
          <w:szCs w:val="18"/>
          <w:color w:val="auto"/>
        </w:rPr>
        <w: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CALITRI SERVICES AND LICENSING LIMITED LIABILITY COMPANY</w:t>
      </w:r>
    </w:p>
    <w:p>
      <w:pPr>
        <w:spacing w:after="0" w:line="225" w:lineRule="exact"/>
        <w:rPr>
          <w:sz w:val="20"/>
          <w:szCs w:val="20"/>
          <w:color w:val="auto"/>
        </w:rPr>
      </w:pPr>
    </w:p>
    <w:p>
      <w:pPr>
        <w:jc w:val="center"/>
        <w:spacing w:after="0"/>
        <w:tabs>
          <w:tab w:leader="none" w:pos="120" w:val="left"/>
        </w:tabs>
        <w:rPr>
          <w:sz w:val="20"/>
          <w:szCs w:val="20"/>
          <w:color w:val="auto"/>
        </w:rPr>
      </w:pPr>
      <w:r>
        <w:rPr>
          <w:rFonts w:ascii="Arial" w:cs="Arial" w:eastAsia="Arial" w:hAnsi="Arial"/>
          <w:sz w:val="18"/>
          <w:szCs w:val="18"/>
          <w:b w:val="1"/>
          <w:bCs w:val="1"/>
          <w:color w:val="auto"/>
        </w:rPr>
        <w:t>2724 Ujlengyel – Dorsa, Gyorgy – Utea 1 -</w:t>
      </w:r>
      <w:r>
        <w:rPr>
          <w:sz w:val="20"/>
          <w:szCs w:val="20"/>
          <w:color w:val="auto"/>
        </w:rPr>
        <w:tab/>
      </w:r>
      <w:r>
        <w:rPr>
          <w:rFonts w:ascii="Arial" w:cs="Arial" w:eastAsia="Arial" w:hAnsi="Arial"/>
          <w:sz w:val="16"/>
          <w:szCs w:val="16"/>
          <w:b w:val="1"/>
          <w:bCs w:val="1"/>
          <w:color w:val="auto"/>
        </w:rPr>
        <w:t xml:space="preserve">Hungary, Europe </w:t>
      </w:r>
      <w:r>
        <w:rPr>
          <w:rFonts w:ascii="Arial" w:cs="Arial" w:eastAsia="Arial" w:hAnsi="Arial"/>
          <w:sz w:val="16"/>
          <w:szCs w:val="16"/>
          <w:b w:val="1"/>
          <w:bCs w:val="1"/>
          <w:i w:val="1"/>
          <w:iCs w:val="1"/>
          <w:color w:val="auto"/>
        </w:rPr>
        <w:t>(“Calitri”)</w:t>
      </w:r>
      <w:r>
        <w:rPr>
          <w:rFonts w:ascii="Arial" w:cs="Arial" w:eastAsia="Arial" w:hAnsi="Arial"/>
          <w:sz w:val="16"/>
          <w:szCs w:val="16"/>
          <w:color w:val="auto"/>
        </w:rPr>
        <w: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Wynn Las Vegas, wishes to have the right to produce and present an aquatic live show</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(the “Show”)</w:t>
      </w:r>
      <w:r>
        <w:rPr>
          <w:rFonts w:ascii="Arial" w:cs="Arial" w:eastAsia="Arial" w:hAnsi="Arial"/>
          <w:sz w:val="18"/>
          <w:szCs w:val="18"/>
          <w:b w:val="1"/>
          <w:bCs w:val="1"/>
          <w:color w:val="auto"/>
        </w:rPr>
        <w:t xml:space="preserve"> </w:t>
      </w:r>
      <w:r>
        <w:rPr>
          <w:rFonts w:ascii="Arial" w:cs="Arial" w:eastAsia="Arial" w:hAnsi="Arial"/>
          <w:sz w:val="18"/>
          <w:szCs w:val="18"/>
          <w:color w:val="auto"/>
        </w:rPr>
        <w:t>based and developed on a Concept which has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been approved by Wynn Las Vegas and described in a document entitled “Genesis” dated October 2001 </w:t>
      </w:r>
      <w:r>
        <w:rPr>
          <w:rFonts w:ascii="Arial" w:cs="Arial" w:eastAsia="Arial" w:hAnsi="Arial"/>
          <w:sz w:val="18"/>
          <w:szCs w:val="18"/>
          <w:b w:val="1"/>
          <w:bCs w:val="1"/>
          <w:i w:val="1"/>
          <w:iCs w:val="1"/>
          <w:color w:val="auto"/>
        </w:rPr>
        <w:t>(the “Show Concept”)</w:t>
      </w:r>
      <w:r>
        <w:rPr>
          <w:rFonts w:ascii="Arial" w:cs="Arial" w:eastAsia="Arial" w:hAnsi="Arial"/>
          <w:sz w:val="18"/>
          <w:szCs w:val="18"/>
          <w:color w:val="auto"/>
        </w:rPr>
        <w:t xml:space="preserve">, at the Le Rêve resort, in Las Vegas, Nevada </w:t>
      </w:r>
      <w:r>
        <w:rPr>
          <w:rFonts w:ascii="Arial" w:cs="Arial" w:eastAsia="Arial" w:hAnsi="Arial"/>
          <w:sz w:val="18"/>
          <w:szCs w:val="18"/>
          <w:b w:val="1"/>
          <w:bCs w:val="1"/>
          <w:i w:val="1"/>
          <w:iCs w:val="1"/>
          <w:color w:val="auto"/>
        </w:rPr>
        <w:t>(“Le Rêve”)</w:t>
      </w:r>
      <w:r>
        <w:rPr>
          <w:rFonts w:ascii="Arial" w:cs="Arial" w:eastAsia="Arial" w:hAnsi="Arial"/>
          <w:sz w:val="18"/>
          <w:szCs w:val="18"/>
          <w:color w:val="auto"/>
        </w:rPr>
        <w:t>;</w:t>
      </w:r>
    </w:p>
    <w:p>
      <w:pPr>
        <w:spacing w:after="0" w:line="186" w:lineRule="exact"/>
        <w:rPr>
          <w:sz w:val="20"/>
          <w:szCs w:val="20"/>
          <w:color w:val="auto"/>
        </w:rPr>
      </w:pPr>
    </w:p>
    <w:p>
      <w:pPr>
        <w:ind w:right="700"/>
        <w:spacing w:after="0" w:line="378" w:lineRule="auto"/>
        <w:rPr>
          <w:sz w:val="20"/>
          <w:szCs w:val="20"/>
          <w:color w:val="auto"/>
        </w:rPr>
      </w:pPr>
      <w:r>
        <w:rPr>
          <w:rFonts w:ascii="Arial" w:cs="Arial" w:eastAsia="Arial" w:hAnsi="Arial"/>
          <w:sz w:val="15"/>
          <w:szCs w:val="15"/>
          <w:b w:val="1"/>
          <w:bCs w:val="1"/>
          <w:color w:val="auto"/>
        </w:rPr>
        <w:t xml:space="preserve">WHEREAS </w:t>
      </w:r>
      <w:r>
        <w:rPr>
          <w:rFonts w:ascii="Arial" w:cs="Arial" w:eastAsia="Arial" w:hAnsi="Arial"/>
          <w:sz w:val="15"/>
          <w:szCs w:val="15"/>
          <w:color w:val="auto"/>
        </w:rPr>
        <w:t>Calitri will create and own the rights to use and exploit the storyline, plot, themes, characters, concept developments, ideas, costumes, sets,</w:t>
      </w:r>
      <w:r>
        <w:rPr>
          <w:rFonts w:ascii="Arial" w:cs="Arial" w:eastAsia="Arial" w:hAnsi="Arial"/>
          <w:sz w:val="15"/>
          <w:szCs w:val="15"/>
          <w:b w:val="1"/>
          <w:bCs w:val="1"/>
          <w:color w:val="auto"/>
        </w:rPr>
        <w:t xml:space="preserve"> </w:t>
      </w:r>
      <w:r>
        <w:rPr>
          <w:rFonts w:ascii="Arial" w:cs="Arial" w:eastAsia="Arial" w:hAnsi="Arial"/>
          <w:sz w:val="15"/>
          <w:szCs w:val="15"/>
          <w:color w:val="auto"/>
        </w:rPr>
        <w:t>choreographies, lighting concepts, staging, sound designs and copyrights in the Show (all of which being herein together referred to as the “</w:t>
      </w:r>
      <w:r>
        <w:rPr>
          <w:rFonts w:ascii="Arial" w:cs="Arial" w:eastAsia="Arial" w:hAnsi="Arial"/>
          <w:sz w:val="15"/>
          <w:szCs w:val="15"/>
          <w:b w:val="1"/>
          <w:bCs w:val="1"/>
          <w:i w:val="1"/>
          <w:iCs w:val="1"/>
          <w:color w:val="auto"/>
        </w:rPr>
        <w:t>Rights”)</w:t>
      </w:r>
      <w:r>
        <w:rPr>
          <w:rFonts w:ascii="Arial" w:cs="Arial" w:eastAsia="Arial" w:hAnsi="Arial"/>
          <w:sz w:val="15"/>
          <w:szCs w:val="15"/>
          <w:color w:val="auto"/>
        </w:rPr>
        <w:t>;</w:t>
      </w:r>
    </w:p>
    <w:p>
      <w:pPr>
        <w:spacing w:after="0" w:line="10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Calitri agrees to licence to Wynn Las Vegas on an exclusive basis the necessary rights to produce and present live performances of the Show and to</w:t>
      </w:r>
      <w:r>
        <w:rPr>
          <w:rFonts w:ascii="Arial" w:cs="Arial" w:eastAsia="Arial" w:hAnsi="Arial"/>
          <w:sz w:val="18"/>
          <w:szCs w:val="18"/>
          <w:b w:val="1"/>
          <w:bCs w:val="1"/>
          <w:color w:val="auto"/>
        </w:rPr>
        <w:t xml:space="preserve"> </w:t>
      </w:r>
      <w:r>
        <w:rPr>
          <w:rFonts w:ascii="Arial" w:cs="Arial" w:eastAsia="Arial" w:hAnsi="Arial"/>
          <w:sz w:val="18"/>
          <w:szCs w:val="18"/>
          <w:color w:val="auto"/>
        </w:rPr>
        <w:t>create, manufacture, produce, sell and distribute derivative products and merchandising and to produce, distribute and sell publications relating to the Show, subject to the terms and conditions of this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mutual covenants herein contained the parties hereto agree as follows:</w:t>
      </w:r>
    </w:p>
    <w:p>
      <w:pPr>
        <w:spacing w:after="0" w:line="219" w:lineRule="exact"/>
        <w:rPr>
          <w:sz w:val="20"/>
          <w:szCs w:val="20"/>
          <w:color w:val="auto"/>
        </w:rPr>
      </w:pPr>
    </w:p>
    <w:p>
      <w:pPr>
        <w:ind w:left="820" w:hanging="812"/>
        <w:spacing w:after="0"/>
        <w:tabs>
          <w:tab w:leader="none" w:pos="82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31"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All capitalized words and terms not defined in this Agreement shall have the meaning given to them in the “Production Services Agreement” entered into between Wynn Las</w:t>
      </w:r>
    </w:p>
    <w:p>
      <w:pPr>
        <w:sectPr>
          <w:pgSz w:w="11900" w:h="16838" w:orient="portrait"/>
          <w:cols w:equalWidth="0" w:num="1">
            <w:col w:w="11420"/>
          </w:cols>
          <w:pgMar w:left="240" w:top="131" w:right="239" w:bottom="1440" w:gutter="0" w:footer="0" w:header="0"/>
        </w:sectPr>
      </w:pPr>
    </w:p>
    <w:bookmarkStart w:id="122" w:name="page123"/>
    <w:bookmarkEnd w:id="122"/>
    <w:p>
      <w:pPr>
        <w:jc w:val="center"/>
        <w:ind w:right="-1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2 of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Vegas and Productions du Dragon S.A. on October 31, 2002 (the “Dragon Production Agreement”).</w:t>
      </w:r>
    </w:p>
    <w:p>
      <w:pPr>
        <w:spacing w:after="0" w:line="219" w:lineRule="exact"/>
        <w:rPr>
          <w:sz w:val="20"/>
          <w:szCs w:val="20"/>
          <w:color w:val="auto"/>
        </w:rPr>
      </w:pPr>
    </w:p>
    <w:p>
      <w:pPr>
        <w:ind w:left="820" w:hanging="812"/>
        <w:spacing w:after="0"/>
        <w:tabs>
          <w:tab w:leader="none" w:pos="8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GRANT OF LICENSE</w:t>
      </w:r>
    </w:p>
    <w:p>
      <w:pPr>
        <w:spacing w:after="0" w:line="231" w:lineRule="exact"/>
        <w:rPr>
          <w:sz w:val="20"/>
          <w:szCs w:val="20"/>
          <w:color w:val="auto"/>
        </w:rPr>
      </w:pPr>
    </w:p>
    <w:p>
      <w:pPr>
        <w:ind w:left="820" w:right="60" w:hanging="812"/>
        <w:spacing w:after="0" w:line="268" w:lineRule="auto"/>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Subject to the terms of this Agreement and in consideration of the payments to be made pursuant to Section 11 hereto, Calitri hereby grants to Wynn Las Vegas for the whole duration of the Term and any Extension an exclusive license, to:</w:t>
      </w:r>
    </w:p>
    <w:p>
      <w:pPr>
        <w:spacing w:after="0" w:line="185" w:lineRule="exact"/>
        <w:rPr>
          <w:rFonts w:ascii="Arial" w:cs="Arial" w:eastAsia="Arial" w:hAnsi="Arial"/>
          <w:sz w:val="18"/>
          <w:szCs w:val="18"/>
          <w:color w:val="auto"/>
        </w:rPr>
      </w:pPr>
    </w:p>
    <w:p>
      <w:pPr>
        <w:ind w:left="1620" w:hanging="802"/>
        <w:spacing w:after="0"/>
        <w:tabs>
          <w:tab w:leader="none" w:pos="16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produce and present live performances of the Show at Le Rêve and at any other Wynn Casino;</w:t>
      </w:r>
    </w:p>
    <w:p>
      <w:pPr>
        <w:spacing w:after="0" w:line="225" w:lineRule="exact"/>
        <w:rPr>
          <w:rFonts w:ascii="Arial" w:cs="Arial" w:eastAsia="Arial" w:hAnsi="Arial"/>
          <w:sz w:val="18"/>
          <w:szCs w:val="18"/>
          <w:color w:val="auto"/>
        </w:rPr>
      </w:pPr>
    </w:p>
    <w:p>
      <w:pPr>
        <w:ind w:left="1620" w:hanging="802"/>
        <w:spacing w:after="0" w:line="259" w:lineRule="auto"/>
        <w:tabs>
          <w:tab w:leader="none" w:pos="16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adapt, change, rearrange, modify, add to or delete from the Show for the purposes mentioned in Section 2.A) (1) hereof, with the prior consent and the assistance of Calitri and provided that any such adaptation, change, rearrangement, modification or addition shall become the sole property of Calitri;</w:t>
      </w:r>
    </w:p>
    <w:p>
      <w:pPr>
        <w:spacing w:after="0" w:line="194" w:lineRule="exact"/>
        <w:rPr>
          <w:rFonts w:ascii="Arial" w:cs="Arial" w:eastAsia="Arial" w:hAnsi="Arial"/>
          <w:sz w:val="18"/>
          <w:szCs w:val="18"/>
          <w:color w:val="auto"/>
        </w:rPr>
      </w:pPr>
    </w:p>
    <w:p>
      <w:pPr>
        <w:ind w:left="1620" w:right="220" w:hanging="802"/>
        <w:spacing w:after="0" w:line="259" w:lineRule="auto"/>
        <w:tabs>
          <w:tab w:leader="none" w:pos="16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create, manufacture, produce, sell and distribute, anywhere throughout the world, derivative products incorporating or representing the name and/or the logo of the Show </w:t>
      </w:r>
      <w:r>
        <w:rPr>
          <w:rFonts w:ascii="Arial" w:cs="Arial" w:eastAsia="Arial" w:hAnsi="Arial"/>
          <w:sz w:val="18"/>
          <w:szCs w:val="18"/>
          <w:b w:val="1"/>
          <w:bCs w:val="1"/>
          <w:i w:val="1"/>
          <w:iCs w:val="1"/>
          <w:color w:val="auto"/>
        </w:rPr>
        <w:t>(the “Show Trademarks”)</w:t>
      </w:r>
      <w:r>
        <w:rPr>
          <w:rFonts w:ascii="Arial" w:cs="Arial" w:eastAsia="Arial" w:hAnsi="Arial"/>
          <w:sz w:val="18"/>
          <w:szCs w:val="18"/>
          <w:color w:val="auto"/>
        </w:rPr>
        <w:t xml:space="preserve"> or any visual elements of the Show, and any other derivative products approved and authorized by Calitri (collectively the </w:t>
      </w:r>
      <w:r>
        <w:rPr>
          <w:rFonts w:ascii="Arial" w:cs="Arial" w:eastAsia="Arial" w:hAnsi="Arial"/>
          <w:sz w:val="18"/>
          <w:szCs w:val="18"/>
          <w:b w:val="1"/>
          <w:bCs w:val="1"/>
          <w:i w:val="1"/>
          <w:iCs w:val="1"/>
          <w:color w:val="auto"/>
        </w:rPr>
        <w:t>“Show Products”)</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left="1620" w:hanging="802"/>
        <w:spacing w:after="0"/>
        <w:tabs>
          <w:tab w:leader="none" w:pos="16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advertise the Show by any method and through any media; and</w:t>
      </w:r>
    </w:p>
    <w:p>
      <w:pPr>
        <w:spacing w:after="0" w:line="225" w:lineRule="exact"/>
        <w:rPr>
          <w:rFonts w:ascii="Arial" w:cs="Arial" w:eastAsia="Arial" w:hAnsi="Arial"/>
          <w:sz w:val="18"/>
          <w:szCs w:val="18"/>
          <w:color w:val="auto"/>
        </w:rPr>
      </w:pPr>
    </w:p>
    <w:p>
      <w:pPr>
        <w:ind w:left="1620" w:right="20" w:hanging="802"/>
        <w:spacing w:after="0" w:line="268" w:lineRule="auto"/>
        <w:tabs>
          <w:tab w:leader="none" w:pos="16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publish, distribute and sell anywhere throughout the world printed material directly related to the live performances of the Show, in book, magazine, program or other printed form.</w:t>
      </w:r>
    </w:p>
    <w:p>
      <w:pPr>
        <w:spacing w:after="0" w:line="185" w:lineRule="exact"/>
        <w:rPr>
          <w:rFonts w:ascii="Arial" w:cs="Arial" w:eastAsia="Arial" w:hAnsi="Arial"/>
          <w:sz w:val="18"/>
          <w:szCs w:val="18"/>
          <w:color w:val="auto"/>
        </w:rPr>
      </w:pPr>
    </w:p>
    <w:p>
      <w:pPr>
        <w:ind w:left="820" w:right="40" w:hanging="812"/>
        <w:spacing w:after="0" w:line="332" w:lineRule="auto"/>
        <w:tabs>
          <w:tab w:leader="none" w:pos="8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Subject to the terms of this Agreement and in consideration of the payments to be made pursuant to Section 11 hereof, Calitri hereby grants to Wynn Las Vegas the perpetual exclusive license to exploit the Show Trademarks exclusively with the other rights hereunder granted.</w:t>
      </w:r>
    </w:p>
    <w:p>
      <w:pPr>
        <w:spacing w:after="0" w:line="139" w:lineRule="exact"/>
        <w:rPr>
          <w:rFonts w:ascii="Arial" w:cs="Arial" w:eastAsia="Arial" w:hAnsi="Arial"/>
          <w:sz w:val="16"/>
          <w:szCs w:val="16"/>
          <w:color w:val="auto"/>
        </w:rPr>
      </w:pPr>
    </w:p>
    <w:p>
      <w:pPr>
        <w:ind w:left="820" w:hanging="812"/>
        <w:spacing w:after="0" w:line="268" w:lineRule="auto"/>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rights and licenses herein granted are cumulative; Wynn Las Vegas may exercise or use any or all of such rights and licenses simultaneously with or separately from the exercise of any other rights and licenses.</w:t>
      </w:r>
    </w:p>
    <w:p>
      <w:pPr>
        <w:spacing w:after="0" w:line="185" w:lineRule="exact"/>
        <w:rPr>
          <w:rFonts w:ascii="Arial" w:cs="Arial" w:eastAsia="Arial" w:hAnsi="Arial"/>
          <w:sz w:val="18"/>
          <w:szCs w:val="18"/>
          <w:color w:val="auto"/>
        </w:rPr>
      </w:pPr>
    </w:p>
    <w:p>
      <w:pPr>
        <w:ind w:left="820" w:right="40" w:hanging="812"/>
        <w:spacing w:after="0" w:line="259" w:lineRule="auto"/>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Calitri and Wynn Las Vegas mutually acknowledge the relationship of trust and confidence established between the parties. Calitri hereby represents that it and Franco Dragone representing Creations du Dragon S.P.R.L.U. (“Créations”) will use their best efforts in furthering the interests of Wynn Las Vegas to provide</w:t>
      </w:r>
    </w:p>
    <w:p>
      <w:pPr>
        <w:spacing w:after="0" w:line="1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THIS AGREEMENT IS STRICTLY CONFIDENTIAL</w:t>
      </w:r>
    </w:p>
    <w:p>
      <w:pPr>
        <w:sectPr>
          <w:pgSz w:w="11900" w:h="16838" w:orient="portrait"/>
          <w:cols w:equalWidth="0" w:num="1">
            <w:col w:w="11300"/>
          </w:cols>
          <w:pgMar w:left="240" w:top="388" w:right="35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3 of 15</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first-class entertainment attractions for Le Rêve and in the performance of their duties and obligations under this Agreement.</w:t>
      </w:r>
    </w:p>
    <w:p>
      <w:pPr>
        <w:spacing w:after="0" w:line="225" w:lineRule="exact"/>
        <w:rPr>
          <w:sz w:val="20"/>
          <w:szCs w:val="20"/>
          <w:color w:val="auto"/>
        </w:rPr>
      </w:pPr>
    </w:p>
    <w:p>
      <w:pPr>
        <w:ind w:left="820" w:right="20"/>
        <w:spacing w:after="0" w:line="332" w:lineRule="auto"/>
        <w:rPr>
          <w:sz w:val="20"/>
          <w:szCs w:val="20"/>
          <w:color w:val="auto"/>
        </w:rPr>
      </w:pPr>
      <w:r>
        <w:rPr>
          <w:rFonts w:ascii="Arial" w:cs="Arial" w:eastAsia="Arial" w:hAnsi="Arial"/>
          <w:sz w:val="16"/>
          <w:szCs w:val="16"/>
          <w:color w:val="auto"/>
        </w:rPr>
        <w:t>Wynn Las Vegas hereby represents that it and Stephen A. Wynn individually will use their best efforts to further the interests of Calitri to provide first-class entertainment attractions to Le Rêve and in the performance of their duties and obligations under this Agreement.</w:t>
      </w:r>
    </w:p>
    <w:p>
      <w:pPr>
        <w:spacing w:after="0" w:line="139" w:lineRule="exact"/>
        <w:rPr>
          <w:sz w:val="20"/>
          <w:szCs w:val="20"/>
          <w:color w:val="auto"/>
        </w:rPr>
      </w:pPr>
    </w:p>
    <w:p>
      <w:pPr>
        <w:ind w:left="820" w:right="80" w:hanging="812"/>
        <w:spacing w:after="0" w:line="259" w:lineRule="auto"/>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Wynn Las Vegas hereby accepts and acknowledges that Calitri will be the sole creator of the Show and that Calitri, as may be deemed necessary or as may be in the best interests to the Show, may utilize consultants and subcontractors to assist Calitri in the performance of the services contemplated hereunder, provided that</w:t>
      </w:r>
    </w:p>
    <w:p>
      <w:pPr>
        <w:spacing w:after="0" w:line="194" w:lineRule="exact"/>
        <w:rPr>
          <w:rFonts w:ascii="Arial" w:cs="Arial" w:eastAsia="Arial" w:hAnsi="Arial"/>
          <w:sz w:val="18"/>
          <w:szCs w:val="18"/>
          <w:color w:val="auto"/>
        </w:rPr>
      </w:pPr>
    </w:p>
    <w:p>
      <w:pPr>
        <w:ind w:left="1620" w:right="460" w:hanging="802"/>
        <w:spacing w:after="0" w:line="268" w:lineRule="auto"/>
        <w:tabs>
          <w:tab w:leader="none" w:pos="16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Franco Dragone, representing Créations, shall be personally appointed to control and oversee the creation and artistic direction of the Show; and</w:t>
      </w:r>
    </w:p>
    <w:p>
      <w:pPr>
        <w:spacing w:after="0" w:line="185" w:lineRule="exact"/>
        <w:rPr>
          <w:rFonts w:ascii="Arial" w:cs="Arial" w:eastAsia="Arial" w:hAnsi="Arial"/>
          <w:sz w:val="18"/>
          <w:szCs w:val="18"/>
          <w:color w:val="auto"/>
        </w:rPr>
      </w:pPr>
    </w:p>
    <w:p>
      <w:pPr>
        <w:ind w:left="1620" w:hanging="802"/>
        <w:spacing w:after="0"/>
        <w:tabs>
          <w:tab w:leader="none" w:pos="16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Calitri shall remain responsible to Wynn Las Vegas hereunder.</w:t>
      </w:r>
    </w:p>
    <w:p>
      <w:pPr>
        <w:spacing w:after="0" w:line="219" w:lineRule="exact"/>
        <w:rPr>
          <w:sz w:val="20"/>
          <w:szCs w:val="20"/>
          <w:color w:val="auto"/>
        </w:rPr>
      </w:pPr>
    </w:p>
    <w:p>
      <w:pPr>
        <w:ind w:left="820" w:hanging="812"/>
        <w:spacing w:after="0"/>
        <w:tabs>
          <w:tab w:leader="none" w:pos="8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CREATIVE AND ARTISTlC CONTROL</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Calitri will lead all creative and artistic matters concerning the development, production, staging, running and operation of the Show including, without limitation, the Show Concept, creation, preparation, development, production, selection of acts and performers, casting, sets, costumes, lighting, music, staging, and other related showroom operations.</w:t>
      </w:r>
    </w:p>
    <w:p>
      <w:pPr>
        <w:spacing w:after="0" w:line="194"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Calitri will fully and meaningfully consult with Wynn Las Vegas as may be reasonably requested by Wynn Las Vegas on matters relating to the creation of the Show. All creative and artistic decisions pertaining the Show will be made jointly by Franco Dragone, representing Créations, and Stephen A. Wynn.</w:t>
      </w:r>
    </w:p>
    <w:p>
      <w:pPr>
        <w:spacing w:after="0" w:line="13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Without limiting the foregoing, Calitri and Wynn Las Vegas will share control and approval rights on all creative and artistic decisions and matters pertaining to the marketing of the Show including, without limitation, the creation, development, promotion and marketing of the Show Products, the creation of visual campaigns, the use of music and promotion and the names and titles to be associated with said promotion.</w:t>
      </w:r>
    </w:p>
    <w:p>
      <w:pPr>
        <w:spacing w:after="0" w:line="188" w:lineRule="exact"/>
        <w:rPr>
          <w:sz w:val="20"/>
          <w:szCs w:val="20"/>
          <w:color w:val="auto"/>
        </w:rPr>
      </w:pPr>
    </w:p>
    <w:p>
      <w:pPr>
        <w:ind w:left="820" w:hanging="812"/>
        <w:spacing w:after="0"/>
        <w:tabs>
          <w:tab w:leader="none" w:pos="8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LENGTH OF SHOW</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Show shall run for approximately ninety (90) minutes with no intermission.</w:t>
      </w:r>
    </w:p>
    <w:p>
      <w:pPr>
        <w:spacing w:after="0" w:line="219" w:lineRule="exact"/>
        <w:rPr>
          <w:sz w:val="20"/>
          <w:szCs w:val="20"/>
          <w:color w:val="auto"/>
        </w:rPr>
      </w:pPr>
    </w:p>
    <w:p>
      <w:pPr>
        <w:ind w:left="820" w:hanging="812"/>
        <w:spacing w:after="0"/>
        <w:tabs>
          <w:tab w:leader="none" w:pos="8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TITLE OF SHOW</w:t>
      </w:r>
    </w:p>
    <w:p>
      <w:pPr>
        <w:spacing w:after="0" w:line="23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title of the Show will be mutually agreed upon between Wynn Las Vegas and Calitri. Wynn Las Vegas agrees that, at the request of Calitri, whenever or wherever the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AGREEMENT IS STRICTLY CONFIDENTIAL</w:t>
      </w:r>
    </w:p>
    <w:p>
      <w:pPr>
        <w:sectPr>
          <w:pgSz w:w="11900" w:h="16838" w:orient="portrait"/>
          <w:cols w:equalWidth="0" w:num="1">
            <w:col w:w="11420"/>
          </w:cols>
          <w:pgMar w:left="240" w:top="388" w:right="239" w:bottom="1440" w:gutter="0" w:footer="0" w:header="0"/>
        </w:sectPr>
      </w:pPr>
    </w:p>
    <w:bookmarkStart w:id="124" w:name="page125"/>
    <w:bookmarkEnd w:id="12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4 of 15</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title of the Show will figure or be used, reference to such title shall also include a reference as follows: “created by Dragone”, and including Dragone’s logo when possible. Wynn Las Vegas also agrees, at the request of Calitri, to include credits for the various creators of the Show in all printed material, press releases, and souvenir programs related to the Show. Wynn Las Vegas and Calitri mutually agree to establish the parameters of such inclusion or reference when deemed necessary.</w:t>
      </w:r>
    </w:p>
    <w:p>
      <w:pPr>
        <w:spacing w:after="0" w:line="191" w:lineRule="exact"/>
        <w:rPr>
          <w:sz w:val="20"/>
          <w:szCs w:val="20"/>
          <w:color w:val="auto"/>
        </w:rPr>
      </w:pPr>
    </w:p>
    <w:p>
      <w:pPr>
        <w:ind w:left="820" w:hanging="812"/>
        <w:spacing w:after="0"/>
        <w:tabs>
          <w:tab w:leader="none" w:pos="82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PRODUCTION OF SHOW</w:t>
      </w:r>
    </w:p>
    <w:p>
      <w:pPr>
        <w:spacing w:after="0" w:line="23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Any costs of the nature set out in the Show Production Budget and incurred by Calitri pursuant to this Agreement shall be reimbursed to Calitri by Wynn Las Vegas in accordance with Section 11 hereof.</w:t>
      </w:r>
    </w:p>
    <w:p>
      <w:pPr>
        <w:spacing w:after="0" w:line="180" w:lineRule="exact"/>
        <w:rPr>
          <w:sz w:val="20"/>
          <w:szCs w:val="20"/>
          <w:color w:val="auto"/>
        </w:rPr>
      </w:pPr>
    </w:p>
    <w:p>
      <w:pPr>
        <w:ind w:left="820" w:hanging="812"/>
        <w:spacing w:after="0"/>
        <w:tabs>
          <w:tab w:leader="none" w:pos="8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THEATRE AND EQUIPEMENT</w:t>
      </w:r>
    </w:p>
    <w:p>
      <w:pPr>
        <w:spacing w:after="0" w:line="231" w:lineRule="exact"/>
        <w:rPr>
          <w:sz w:val="20"/>
          <w:szCs w:val="20"/>
          <w:color w:val="auto"/>
        </w:rPr>
      </w:pPr>
    </w:p>
    <w:p>
      <w:pPr>
        <w:ind w:left="820" w:right="80" w:hanging="812"/>
        <w:spacing w:after="0" w:line="294" w:lineRule="auto"/>
        <w:tabs>
          <w:tab w:leader="none" w:pos="8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The Show shall be presented by Wynn Las Vegas in a first class theatre situated in the Le Rêve resort, which theatre shall seat approximately 2000 patrons </w:t>
      </w:r>
      <w:r>
        <w:rPr>
          <w:rFonts w:ascii="Arial" w:cs="Arial" w:eastAsia="Arial" w:hAnsi="Arial"/>
          <w:sz w:val="16"/>
          <w:szCs w:val="16"/>
          <w:b w:val="1"/>
          <w:bCs w:val="1"/>
          <w:i w:val="1"/>
          <w:iCs w:val="1"/>
          <w:color w:val="auto"/>
        </w:rPr>
        <w:t>(“Showroom”)</w:t>
      </w:r>
      <w:r>
        <w:rPr>
          <w:rFonts w:ascii="Arial" w:cs="Arial" w:eastAsia="Arial" w:hAnsi="Arial"/>
          <w:sz w:val="16"/>
          <w:szCs w:val="16"/>
          <w:color w:val="auto"/>
        </w:rPr>
        <w:t>. The Showroom shall be designed, constructed and laid out or remodelled, as the case may be, by Wynn Las Vegas in accordance with general parameters and specifications discussed with Calitri, including, without limitation, stage dimensions, sound, backstage services, lighting, and theatrical equipment required by Calitri. Wynn Las Vegas agrees that the theatre and Showroom will have to be completed and delivered to Calitri dust free for the production of the Show by no later than 183 days before the Opening Date.</w:t>
      </w:r>
    </w:p>
    <w:p>
      <w:pPr>
        <w:spacing w:after="0" w:line="169" w:lineRule="exact"/>
        <w:rPr>
          <w:rFonts w:ascii="Arial" w:cs="Arial" w:eastAsia="Arial" w:hAnsi="Arial"/>
          <w:sz w:val="16"/>
          <w:szCs w:val="16"/>
          <w:color w:val="auto"/>
        </w:rPr>
      </w:pPr>
    </w:p>
    <w:p>
      <w:pPr>
        <w:ind w:left="820" w:right="100" w:hanging="812"/>
        <w:spacing w:after="0" w:line="268" w:lineRule="auto"/>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Wynn Las Vegas shall consult with Calitri at every material stage of the construction of the Showroom, so as to ensure that it remains suitable for the Show.</w:t>
      </w:r>
    </w:p>
    <w:p>
      <w:pPr>
        <w:spacing w:after="0" w:line="185" w:lineRule="exact"/>
        <w:rPr>
          <w:rFonts w:ascii="Arial" w:cs="Arial" w:eastAsia="Arial" w:hAnsi="Arial"/>
          <w:sz w:val="18"/>
          <w:szCs w:val="18"/>
          <w:color w:val="auto"/>
        </w:rPr>
      </w:pPr>
    </w:p>
    <w:p>
      <w:pPr>
        <w:ind w:left="820" w:right="60" w:hanging="812"/>
        <w:spacing w:after="0" w:line="268" w:lineRule="auto"/>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During the Term, Wynn Las Vegas shall maintain the Showroom, including its theatrical and specialised equipment, in good working order, at its sole cost.</w:t>
      </w:r>
    </w:p>
    <w:p>
      <w:pPr>
        <w:spacing w:after="0" w:line="180" w:lineRule="exact"/>
        <w:rPr>
          <w:sz w:val="20"/>
          <w:szCs w:val="20"/>
          <w:color w:val="auto"/>
        </w:rPr>
      </w:pPr>
    </w:p>
    <w:p>
      <w:pPr>
        <w:ind w:left="820" w:hanging="812"/>
        <w:spacing w:after="0"/>
        <w:tabs>
          <w:tab w:leader="none" w:pos="8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OF SHOW</w:t>
      </w:r>
    </w:p>
    <w:p>
      <w:pPr>
        <w:spacing w:after="0" w:line="231"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Wynn Las Vegas shall present the Show in the Showroom during the Term, commencing on the Opening Date, at its sole cost and expense. Wynn Las Vegas hereby represents that there shall be a minimum of 470 performances of the Show presented during each complete year of the Term.</w:t>
      </w:r>
    </w:p>
    <w:p>
      <w:pPr>
        <w:spacing w:after="0" w:line="133" w:lineRule="exact"/>
        <w:rPr>
          <w:sz w:val="20"/>
          <w:szCs w:val="20"/>
          <w:color w:val="auto"/>
        </w:rPr>
      </w:pPr>
    </w:p>
    <w:p>
      <w:pPr>
        <w:ind w:left="820" w:hanging="812"/>
        <w:spacing w:after="0"/>
        <w:tabs>
          <w:tab w:leader="none" w:pos="82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EXCLUSIVITY</w:t>
      </w:r>
    </w:p>
    <w:p>
      <w:pPr>
        <w:spacing w:after="0" w:line="231" w:lineRule="exact"/>
        <w:rPr>
          <w:sz w:val="20"/>
          <w:szCs w:val="20"/>
          <w:color w:val="auto"/>
        </w:rPr>
      </w:pPr>
    </w:p>
    <w:p>
      <w:pPr>
        <w:ind w:left="820" w:hanging="812"/>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During the Term, neither Calitri nor any of its affiliates shall present:</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AGREEMENT IS STRICTLY CONFIDENTIAL</w:t>
      </w:r>
    </w:p>
    <w:p>
      <w:pPr>
        <w:sectPr>
          <w:pgSz w:w="11900" w:h="16838" w:orient="portrait"/>
          <w:cols w:equalWidth="0" w:num="1">
            <w:col w:w="11380"/>
          </w:cols>
          <w:pgMar w:left="240" w:top="388" w:right="27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5 of 15</w:t>
      </w:r>
    </w:p>
    <w:p>
      <w:pPr>
        <w:spacing w:after="0" w:line="225" w:lineRule="exact"/>
        <w:rPr>
          <w:sz w:val="20"/>
          <w:szCs w:val="20"/>
          <w:color w:val="auto"/>
        </w:rPr>
      </w:pPr>
    </w:p>
    <w:p>
      <w:pPr>
        <w:ind w:left="1620" w:right="260" w:hanging="802"/>
        <w:spacing w:after="0" w:line="268" w:lineRule="auto"/>
        <w:tabs>
          <w:tab w:leader="none" w:pos="16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Show or any other show using same or similar characters or story line as a live presentation at any place in the world but Le Rêve or any other Wynn Casino; and</w:t>
      </w:r>
    </w:p>
    <w:p>
      <w:pPr>
        <w:spacing w:after="0" w:line="185" w:lineRule="exact"/>
        <w:rPr>
          <w:rFonts w:ascii="Arial" w:cs="Arial" w:eastAsia="Arial" w:hAnsi="Arial"/>
          <w:sz w:val="18"/>
          <w:szCs w:val="18"/>
          <w:color w:val="auto"/>
        </w:rPr>
      </w:pPr>
    </w:p>
    <w:p>
      <w:pPr>
        <w:ind w:left="1620" w:right="280" w:hanging="802"/>
        <w:spacing w:after="0" w:line="306" w:lineRule="auto"/>
        <w:tabs>
          <w:tab w:leader="none" w:pos="16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any show whatsoever at any casino or any casino resort complex in North America (USA and Canada) or Macau other than a Wynn Casino. This provision shall also include the production or creation of any show or theatrical presentation at any theatre or performance venue in North America (USA and Canada) or Macau located within five miles of any Wynn Casino.</w:t>
      </w:r>
    </w:p>
    <w:p>
      <w:pPr>
        <w:spacing w:after="0" w:line="160"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8"/>
          <w:szCs w:val="18"/>
          <w:color w:val="auto"/>
        </w:rPr>
        <w:t>The foregoing restrictions do not apply to:</w:t>
      </w:r>
    </w:p>
    <w:p>
      <w:pPr>
        <w:spacing w:after="0" w:line="225" w:lineRule="exact"/>
        <w:rPr>
          <w:rFonts w:ascii="Arial" w:cs="Arial" w:eastAsia="Arial" w:hAnsi="Arial"/>
          <w:sz w:val="16"/>
          <w:szCs w:val="16"/>
          <w:color w:val="auto"/>
        </w:rPr>
      </w:pPr>
    </w:p>
    <w:p>
      <w:pPr>
        <w:ind w:left="2300" w:hanging="685"/>
        <w:spacing w:after="0"/>
        <w:tabs>
          <w:tab w:leader="none" w:pos="2300" w:val="left"/>
        </w:tabs>
        <w:numPr>
          <w:ilvl w:val="2"/>
          <w:numId w:val="58"/>
        </w:numPr>
        <w:rPr>
          <w:rFonts w:ascii="Arial" w:cs="Arial" w:eastAsia="Arial" w:hAnsi="Arial"/>
          <w:sz w:val="16"/>
          <w:szCs w:val="16"/>
          <w:color w:val="auto"/>
        </w:rPr>
      </w:pPr>
      <w:r>
        <w:rPr>
          <w:rFonts w:ascii="Arial" w:cs="Arial" w:eastAsia="Arial" w:hAnsi="Arial"/>
          <w:sz w:val="16"/>
          <w:szCs w:val="16"/>
          <w:color w:val="auto"/>
        </w:rPr>
        <w:t>Services provided in connection with a Céline Dion production show to be presented in Las Vegas or its replacement show; and</w:t>
      </w:r>
    </w:p>
    <w:p>
      <w:pPr>
        <w:spacing w:after="0" w:line="248" w:lineRule="exact"/>
        <w:rPr>
          <w:rFonts w:ascii="Arial" w:cs="Arial" w:eastAsia="Arial" w:hAnsi="Arial"/>
          <w:sz w:val="16"/>
          <w:szCs w:val="16"/>
          <w:color w:val="auto"/>
        </w:rPr>
      </w:pPr>
    </w:p>
    <w:p>
      <w:pPr>
        <w:ind w:left="2300" w:hanging="685"/>
        <w:spacing w:after="0"/>
        <w:tabs>
          <w:tab w:leader="none" w:pos="2300" w:val="left"/>
        </w:tabs>
        <w:numPr>
          <w:ilvl w:val="2"/>
          <w:numId w:val="58"/>
        </w:numPr>
        <w:rPr>
          <w:rFonts w:ascii="Arial" w:cs="Arial" w:eastAsia="Arial" w:hAnsi="Arial"/>
          <w:sz w:val="18"/>
          <w:szCs w:val="18"/>
          <w:color w:val="auto"/>
        </w:rPr>
      </w:pPr>
      <w:r>
        <w:rPr>
          <w:rFonts w:ascii="Arial" w:cs="Arial" w:eastAsia="Arial" w:hAnsi="Arial"/>
          <w:sz w:val="18"/>
          <w:szCs w:val="18"/>
          <w:color w:val="auto"/>
        </w:rPr>
        <w:t xml:space="preserve">Services provided in connection with </w:t>
      </w:r>
      <w:r>
        <w:rPr>
          <w:rFonts w:ascii="Arial" w:cs="Arial" w:eastAsia="Arial" w:hAnsi="Arial"/>
          <w:sz w:val="18"/>
          <w:szCs w:val="18"/>
          <w:b w:val="1"/>
          <w:bCs w:val="1"/>
          <w:i w:val="1"/>
          <w:iCs w:val="1"/>
          <w:color w:val="auto"/>
        </w:rPr>
        <w:t>“Mystere”</w:t>
      </w:r>
      <w:r>
        <w:rPr>
          <w:rFonts w:ascii="Arial" w:cs="Arial" w:eastAsia="Arial" w:hAnsi="Arial"/>
          <w:sz w:val="18"/>
          <w:szCs w:val="18"/>
          <w:color w:val="auto"/>
        </w:rPr>
        <w:t xml:space="preserve"> and/or </w:t>
      </w:r>
      <w:r>
        <w:rPr>
          <w:rFonts w:ascii="Arial" w:cs="Arial" w:eastAsia="Arial" w:hAnsi="Arial"/>
          <w:sz w:val="18"/>
          <w:szCs w:val="18"/>
          <w:b w:val="1"/>
          <w:bCs w:val="1"/>
          <w:i w:val="1"/>
          <w:iCs w:val="1"/>
          <w:color w:val="auto"/>
        </w:rPr>
        <w:t>“O”</w:t>
      </w:r>
      <w:r>
        <w:rPr>
          <w:rFonts w:ascii="Arial" w:cs="Arial" w:eastAsia="Arial" w:hAnsi="Arial"/>
          <w:sz w:val="18"/>
          <w:szCs w:val="18"/>
          <w:color w:val="auto"/>
        </w:rPr>
        <w:t xml:space="preserve"> in Las Vegas, Nevada.</w:t>
      </w:r>
    </w:p>
    <w:p>
      <w:pPr>
        <w:spacing w:after="0" w:line="225" w:lineRule="exact"/>
        <w:rPr>
          <w:rFonts w:ascii="Arial" w:cs="Arial" w:eastAsia="Arial" w:hAnsi="Arial"/>
          <w:sz w:val="18"/>
          <w:szCs w:val="18"/>
          <w:color w:val="auto"/>
        </w:rPr>
      </w:pPr>
    </w:p>
    <w:p>
      <w:pPr>
        <w:ind w:left="820" w:right="380" w:hanging="812"/>
        <w:spacing w:after="0" w:line="268" w:lineRule="auto"/>
        <w:tabs>
          <w:tab w:leader="none" w:pos="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During the Term, Calitri shall be entitled, at its sole discretion, to prevent Wynn Las Vegas or any other Wynn Casino from presenting, directly or indirectly:</w:t>
      </w:r>
    </w:p>
    <w:p>
      <w:pPr>
        <w:spacing w:after="0" w:line="185" w:lineRule="exact"/>
        <w:rPr>
          <w:rFonts w:ascii="Arial" w:cs="Arial" w:eastAsia="Arial" w:hAnsi="Arial"/>
          <w:sz w:val="18"/>
          <w:szCs w:val="18"/>
          <w:color w:val="auto"/>
        </w:rPr>
      </w:pPr>
    </w:p>
    <w:p>
      <w:pPr>
        <w:ind w:left="1620" w:right="420" w:hanging="802"/>
        <w:spacing w:after="0" w:line="268" w:lineRule="auto"/>
        <w:tabs>
          <w:tab w:leader="none" w:pos="1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Show or any other show using same or similar characters or story line as a live presentations at any place in the world but a Wynn Casino; and</w:t>
      </w:r>
    </w:p>
    <w:p>
      <w:pPr>
        <w:spacing w:after="0" w:line="185" w:lineRule="exact"/>
        <w:rPr>
          <w:rFonts w:ascii="Arial" w:cs="Arial" w:eastAsia="Arial" w:hAnsi="Arial"/>
          <w:sz w:val="18"/>
          <w:szCs w:val="18"/>
          <w:color w:val="auto"/>
        </w:rPr>
      </w:pPr>
    </w:p>
    <w:p>
      <w:pPr>
        <w:ind w:left="1620" w:hanging="802"/>
        <w:spacing w:after="0" w:line="291" w:lineRule="auto"/>
        <w:tabs>
          <w:tab w:leader="none" w:pos="162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any other show whatsoever, provided that such other show is similar in type to those being or having been created, presented by or through Calitri at the time Wynn Las Vegas would be willing to present or produce such other show. Without limiting the foregoing it is agreed that such other shows would include any show of the nature of a theatre play, musical, opera, circus style show and any other production involving many performers or disciplines. In the event Wynn Las Vegas would be willing to present such other show at any place anywhere in the world, Calitri shall have a right of first refusal to create and/or produce said other show at the conditions proposed by Wynn Las Vegas. Calitri’s right of first refusal shall be exercised in a timely manner.</w:t>
      </w:r>
    </w:p>
    <w:p>
      <w:pPr>
        <w:spacing w:after="0" w:line="168" w:lineRule="exact"/>
        <w:rPr>
          <w:sz w:val="20"/>
          <w:szCs w:val="20"/>
          <w:color w:val="auto"/>
        </w:rPr>
      </w:pPr>
    </w:p>
    <w:p>
      <w:pPr>
        <w:ind w:left="820" w:hanging="812"/>
        <w:spacing w:after="0"/>
        <w:tabs>
          <w:tab w:leader="none" w:pos="82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ENHANCEMENTS</w:t>
      </w:r>
    </w:p>
    <w:p>
      <w:pPr>
        <w:spacing w:after="0" w:line="23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If reasonably requested by Calitri and agreed to by Wynn Las Vegas, Wynn Las Vegas shall incur, on a cumulative basis, up to US$1,000,000 in costs per year, for enhancements of the show, during the first nine years of the Term and, if the Term is extended, during each year of the Extension.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AGREEMENT IS STRICTLY CONFIDENTIAL</w:t>
      </w:r>
    </w:p>
    <w:p>
      <w:pPr>
        <w:sectPr>
          <w:pgSz w:w="11900" w:h="16838" w:orient="portrait"/>
          <w:cols w:equalWidth="0" w:num="1">
            <w:col w:w="11420"/>
          </w:cols>
          <w:pgMar w:left="240" w:top="388" w:right="239" w:bottom="1440" w:gutter="0" w:footer="0" w:header="0"/>
        </w:sectPr>
      </w:pPr>
    </w:p>
    <w:bookmarkStart w:id="126" w:name="page127"/>
    <w:bookmarkEnd w:id="126"/>
    <w:p>
      <w:pPr>
        <w:jc w:val="center"/>
        <w:ind w:right="-3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6 of 15</w:t>
      </w:r>
    </w:p>
    <w:p>
      <w:pPr>
        <w:spacing w:after="0" w:line="219" w:lineRule="exact"/>
        <w:rPr>
          <w:sz w:val="20"/>
          <w:szCs w:val="20"/>
          <w:color w:val="auto"/>
        </w:rPr>
      </w:pPr>
    </w:p>
    <w:p>
      <w:pPr>
        <w:ind w:left="812" w:hanging="812"/>
        <w:spacing w:after="0"/>
        <w:tabs>
          <w:tab w:leader="none" w:pos="812"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231" w:lineRule="exact"/>
        <w:rPr>
          <w:sz w:val="20"/>
          <w:szCs w:val="20"/>
          <w:color w:val="auto"/>
        </w:rPr>
      </w:pPr>
    </w:p>
    <w:p>
      <w:pPr>
        <w:ind w:left="812" w:right="20" w:hanging="812"/>
        <w:spacing w:after="0" w:line="268" w:lineRule="auto"/>
        <w:tabs>
          <w:tab w:leader="none" w:pos="812"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consideration of the foregoing grant of licenses and rights, and in addition to the payment of certain costs and expenses as set forth in other sections of this Agreement, Wynn Las Vegas shall pay to Calitri:</w:t>
      </w:r>
    </w:p>
    <w:p>
      <w:pPr>
        <w:spacing w:after="0" w:line="185" w:lineRule="exact"/>
        <w:rPr>
          <w:rFonts w:ascii="Arial" w:cs="Arial" w:eastAsia="Arial" w:hAnsi="Arial"/>
          <w:sz w:val="18"/>
          <w:szCs w:val="18"/>
          <w:color w:val="auto"/>
        </w:rPr>
      </w:pPr>
    </w:p>
    <w:p>
      <w:pPr>
        <w:ind w:left="1612" w:right="120" w:hanging="802"/>
        <w:spacing w:after="0" w:line="370" w:lineRule="auto"/>
        <w:tabs>
          <w:tab w:leader="none" w:pos="1612" w:val="left"/>
        </w:tabs>
        <w:numPr>
          <w:ilvl w:val="1"/>
          <w:numId w:val="62"/>
        </w:numPr>
        <w:rPr>
          <w:rFonts w:ascii="Arial" w:cs="Arial" w:eastAsia="Arial" w:hAnsi="Arial"/>
          <w:sz w:val="15"/>
          <w:szCs w:val="15"/>
          <w:color w:val="auto"/>
        </w:rPr>
      </w:pPr>
      <w:r>
        <w:rPr>
          <w:rFonts w:ascii="Arial" w:cs="Arial" w:eastAsia="Arial" w:hAnsi="Arial"/>
          <w:sz w:val="15"/>
          <w:szCs w:val="15"/>
          <w:color w:val="auto"/>
        </w:rPr>
        <w:t>a non-refundable Creation Fee of US$2,000,000 (the ”Creation Fee”), of which US$1,000,000 has been paid. The balance of the Creation Fee will be payable within thirty (30) days after completion of the Le Rêve financing, but in no event later than December 31, 2002.</w:t>
      </w:r>
    </w:p>
    <w:p>
      <w:pPr>
        <w:spacing w:after="0" w:line="116" w:lineRule="exact"/>
        <w:rPr>
          <w:rFonts w:ascii="Arial" w:cs="Arial" w:eastAsia="Arial" w:hAnsi="Arial"/>
          <w:sz w:val="15"/>
          <w:szCs w:val="15"/>
          <w:color w:val="auto"/>
        </w:rPr>
      </w:pPr>
    </w:p>
    <w:p>
      <w:pPr>
        <w:ind w:left="1612" w:right="20" w:hanging="802"/>
        <w:spacing w:after="0" w:line="290" w:lineRule="auto"/>
        <w:tabs>
          <w:tab w:leader="none" w:pos="1612" w:val="left"/>
        </w:tabs>
        <w:numPr>
          <w:ilvl w:val="1"/>
          <w:numId w:val="62"/>
        </w:numPr>
        <w:rPr>
          <w:rFonts w:ascii="Arial" w:cs="Arial" w:eastAsia="Arial" w:hAnsi="Arial"/>
          <w:sz w:val="16"/>
          <w:szCs w:val="16"/>
          <w:color w:val="auto"/>
        </w:rPr>
      </w:pPr>
      <w:r>
        <w:rPr>
          <w:rFonts w:ascii="Arial" w:cs="Arial" w:eastAsia="Arial" w:hAnsi="Arial"/>
          <w:sz w:val="16"/>
          <w:szCs w:val="16"/>
          <w:color w:val="auto"/>
        </w:rPr>
        <w:t xml:space="preserve">such amounts, by way of advances, as are necessary to pay the non refundable advances, if any, payable to the Show Conceptors other than Créations </w:t>
      </w:r>
      <w:r>
        <w:rPr>
          <w:rFonts w:ascii="Arial" w:cs="Arial" w:eastAsia="Arial" w:hAnsi="Arial"/>
          <w:sz w:val="16"/>
          <w:szCs w:val="16"/>
          <w:b w:val="1"/>
          <w:bCs w:val="1"/>
          <w:i w:val="1"/>
          <w:iCs w:val="1"/>
          <w:color w:val="auto"/>
        </w:rPr>
        <w:t>(“Advances to Conceptors”)</w:t>
      </w:r>
      <w:r>
        <w:rPr>
          <w:rFonts w:ascii="Arial" w:cs="Arial" w:eastAsia="Arial" w:hAnsi="Arial"/>
          <w:sz w:val="16"/>
          <w:szCs w:val="16"/>
          <w:color w:val="auto"/>
        </w:rPr>
        <w:t>. Such Advances to Conceptors shall neither be included in the Show Production Costs nor in Show Operating Expenses for the purpose of this Section 11 hereunder, except for the financing costs of such Advances to Conceptors (as stated below). The Advances to Conceptors shall be reimbursed to Wynn Las Vegas by deduction from the First Royalty (as defined below) to be paid to Calitri. Calitri acknowledges having received from Wynn Las Vegas an amount of US$180,418 as of August 31, 2002, in partial payment of the Advances to Conceptors. The parties agree that the total amount of the Advances to Conceptors shall not exceed US$875,000.</w:t>
      </w:r>
    </w:p>
    <w:p>
      <w:pPr>
        <w:spacing w:after="0" w:line="172" w:lineRule="exact"/>
        <w:rPr>
          <w:rFonts w:ascii="Arial" w:cs="Arial" w:eastAsia="Arial" w:hAnsi="Arial"/>
          <w:sz w:val="16"/>
          <w:szCs w:val="16"/>
          <w:color w:val="auto"/>
        </w:rPr>
      </w:pPr>
    </w:p>
    <w:p>
      <w:pPr>
        <w:ind w:left="1612" w:hanging="802"/>
        <w:spacing w:after="0"/>
        <w:tabs>
          <w:tab w:leader="none" w:pos="1612"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during the Term and any Extension thereof, the following non-refundable royalties </w:t>
      </w:r>
      <w:r>
        <w:rPr>
          <w:rFonts w:ascii="Arial" w:cs="Arial" w:eastAsia="Arial" w:hAnsi="Arial"/>
          <w:sz w:val="18"/>
          <w:szCs w:val="18"/>
          <w:b w:val="1"/>
          <w:bCs w:val="1"/>
          <w:i w:val="1"/>
          <w:iCs w:val="1"/>
          <w:color w:val="auto"/>
        </w:rPr>
        <w:t>(“Royalties”)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292" w:hanging="685"/>
        <w:spacing w:after="0" w:line="268" w:lineRule="auto"/>
        <w:tabs>
          <w:tab w:leader="none" w:pos="2292" w:val="left"/>
        </w:tabs>
        <w:numPr>
          <w:ilvl w:val="2"/>
          <w:numId w:val="62"/>
        </w:numPr>
        <w:rPr>
          <w:rFonts w:ascii="Arial" w:cs="Arial" w:eastAsia="Arial" w:hAnsi="Arial"/>
          <w:sz w:val="18"/>
          <w:szCs w:val="18"/>
          <w:color w:val="auto"/>
        </w:rPr>
      </w:pPr>
      <w:r>
        <w:rPr>
          <w:rFonts w:ascii="Arial" w:cs="Arial" w:eastAsia="Arial" w:hAnsi="Arial"/>
          <w:sz w:val="18"/>
          <w:szCs w:val="18"/>
          <w:color w:val="auto"/>
        </w:rPr>
        <w:t xml:space="preserve">For each week and within seven days from the end thereof, a royalty </w:t>
      </w:r>
      <w:r>
        <w:rPr>
          <w:rFonts w:ascii="Arial" w:cs="Arial" w:eastAsia="Arial" w:hAnsi="Arial"/>
          <w:sz w:val="18"/>
          <w:szCs w:val="18"/>
          <w:b w:val="1"/>
          <w:bCs w:val="1"/>
          <w:i w:val="1"/>
          <w:iCs w:val="1"/>
          <w:color w:val="auto"/>
        </w:rPr>
        <w:t>(“First Royalty”)</w:t>
      </w:r>
      <w:r>
        <w:rPr>
          <w:rFonts w:ascii="Arial" w:cs="Arial" w:eastAsia="Arial" w:hAnsi="Arial"/>
          <w:sz w:val="18"/>
          <w:szCs w:val="18"/>
          <w:color w:val="auto"/>
        </w:rPr>
        <w:t xml:space="preserve"> equal to ten percent (10%) of one hundred percent (100%) of Net Ticket Revenue from the Show.</w:t>
      </w:r>
    </w:p>
    <w:p>
      <w:pPr>
        <w:spacing w:after="0" w:line="185" w:lineRule="exact"/>
        <w:rPr>
          <w:rFonts w:ascii="Arial" w:cs="Arial" w:eastAsia="Arial" w:hAnsi="Arial"/>
          <w:sz w:val="18"/>
          <w:szCs w:val="18"/>
          <w:color w:val="auto"/>
        </w:rPr>
      </w:pPr>
    </w:p>
    <w:p>
      <w:pPr>
        <w:ind w:left="2292" w:hanging="685"/>
        <w:spacing w:after="0"/>
        <w:tabs>
          <w:tab w:leader="none" w:pos="2292" w:val="left"/>
        </w:tabs>
        <w:numPr>
          <w:ilvl w:val="2"/>
          <w:numId w:val="62"/>
        </w:numPr>
        <w:rPr>
          <w:rFonts w:ascii="Arial" w:cs="Arial" w:eastAsia="Arial" w:hAnsi="Arial"/>
          <w:sz w:val="16"/>
          <w:szCs w:val="16"/>
          <w:color w:val="auto"/>
        </w:rPr>
      </w:pPr>
      <w:r>
        <w:rPr>
          <w:rFonts w:ascii="Arial" w:cs="Arial" w:eastAsia="Arial" w:hAnsi="Arial"/>
          <w:sz w:val="16"/>
          <w:szCs w:val="16"/>
          <w:color w:val="auto"/>
        </w:rPr>
        <w:t xml:space="preserve">In respect of each Fiscal Quarter, a royalty </w:t>
      </w:r>
      <w:r>
        <w:rPr>
          <w:rFonts w:ascii="Arial" w:cs="Arial" w:eastAsia="Arial" w:hAnsi="Arial"/>
          <w:sz w:val="16"/>
          <w:szCs w:val="16"/>
          <w:b w:val="1"/>
          <w:bCs w:val="1"/>
          <w:i w:val="1"/>
          <w:iCs w:val="1"/>
          <w:color w:val="auto"/>
        </w:rPr>
        <w:t>(“Second Roya1ty”)</w:t>
      </w:r>
      <w:r>
        <w:rPr>
          <w:rFonts w:ascii="Arial" w:cs="Arial" w:eastAsia="Arial" w:hAnsi="Arial"/>
          <w:sz w:val="16"/>
          <w:szCs w:val="16"/>
          <w:color w:val="auto"/>
        </w:rPr>
        <w:t xml:space="preserve"> equal to thirty percent (30%) of the Show Net Profits.</w:t>
      </w:r>
    </w:p>
    <w:p>
      <w:pPr>
        <w:spacing w:after="0" w:line="248" w:lineRule="exact"/>
        <w:rPr>
          <w:rFonts w:ascii="Arial" w:cs="Arial" w:eastAsia="Arial" w:hAnsi="Arial"/>
          <w:sz w:val="16"/>
          <w:szCs w:val="16"/>
          <w:color w:val="auto"/>
        </w:rPr>
      </w:pPr>
    </w:p>
    <w:p>
      <w:pPr>
        <w:ind w:left="2292" w:right="700" w:hanging="685"/>
        <w:spacing w:after="0" w:line="268" w:lineRule="auto"/>
        <w:tabs>
          <w:tab w:leader="none" w:pos="2292" w:val="left"/>
        </w:tabs>
        <w:numPr>
          <w:ilvl w:val="2"/>
          <w:numId w:val="62"/>
        </w:numPr>
        <w:rPr>
          <w:rFonts w:ascii="Arial" w:cs="Arial" w:eastAsia="Arial" w:hAnsi="Arial"/>
          <w:sz w:val="18"/>
          <w:szCs w:val="18"/>
          <w:color w:val="auto"/>
        </w:rPr>
      </w:pPr>
      <w:r>
        <w:rPr>
          <w:rFonts w:ascii="Arial" w:cs="Arial" w:eastAsia="Arial" w:hAnsi="Arial"/>
          <w:sz w:val="18"/>
          <w:szCs w:val="18"/>
          <w:color w:val="auto"/>
        </w:rPr>
        <w:t>Wynn Las Vegas shall be entitled to deduct from the First Royalty, before paying Calitri, the amount of the Advances to Conceptors (as defined above).</w:t>
      </w:r>
    </w:p>
    <w:p>
      <w:pPr>
        <w:spacing w:after="0" w:line="185" w:lineRule="exact"/>
        <w:rPr>
          <w:rFonts w:ascii="Arial" w:cs="Arial" w:eastAsia="Arial" w:hAnsi="Arial"/>
          <w:sz w:val="18"/>
          <w:szCs w:val="18"/>
          <w:color w:val="auto"/>
        </w:rPr>
      </w:pPr>
    </w:p>
    <w:p>
      <w:pPr>
        <w:ind w:left="1612" w:hanging="802"/>
        <w:spacing w:after="0"/>
        <w:tabs>
          <w:tab w:leader="none" w:pos="1612" w:val="left"/>
        </w:tabs>
        <w:numPr>
          <w:ilvl w:val="1"/>
          <w:numId w:val="62"/>
        </w:numPr>
        <w:rPr>
          <w:rFonts w:ascii="Arial" w:cs="Arial" w:eastAsia="Arial" w:hAnsi="Arial"/>
          <w:sz w:val="18"/>
          <w:szCs w:val="18"/>
          <w:color w:val="auto"/>
        </w:rPr>
      </w:pPr>
      <w:r>
        <w:rPr>
          <w:rFonts w:ascii="Arial" w:cs="Arial" w:eastAsia="Arial" w:hAnsi="Arial"/>
          <w:sz w:val="18"/>
          <w:szCs w:val="18"/>
          <w:color w:val="auto"/>
        </w:rPr>
        <w:t>Reimbursement of all Show Production Costs incurred by Calitri pursuant to Section 6. hereof.</w:t>
      </w:r>
    </w:p>
    <w:p>
      <w:pPr>
        <w:spacing w:after="0" w:line="225" w:lineRule="exact"/>
        <w:rPr>
          <w:rFonts w:ascii="Arial" w:cs="Arial" w:eastAsia="Arial" w:hAnsi="Arial"/>
          <w:sz w:val="18"/>
          <w:szCs w:val="18"/>
          <w:color w:val="auto"/>
        </w:rPr>
      </w:pPr>
    </w:p>
    <w:p>
      <w:pPr>
        <w:ind w:left="1612" w:right="820" w:hanging="802"/>
        <w:spacing w:after="0" w:line="268" w:lineRule="auto"/>
        <w:tabs>
          <w:tab w:leader="none" w:pos="1612" w:val="left"/>
        </w:tabs>
        <w:numPr>
          <w:ilvl w:val="1"/>
          <w:numId w:val="62"/>
        </w:numPr>
        <w:rPr>
          <w:rFonts w:ascii="Arial" w:cs="Arial" w:eastAsia="Arial" w:hAnsi="Arial"/>
          <w:sz w:val="18"/>
          <w:szCs w:val="18"/>
          <w:color w:val="auto"/>
        </w:rPr>
      </w:pPr>
      <w:r>
        <w:rPr>
          <w:rFonts w:ascii="Arial" w:cs="Arial" w:eastAsia="Arial" w:hAnsi="Arial"/>
          <w:sz w:val="18"/>
          <w:szCs w:val="18"/>
          <w:color w:val="auto"/>
        </w:rPr>
        <w:t>Reimbursement of all costs, if any, incurred by Calitri in connection with name searches for the Show and preparing, filing and registration of trademarks in connection with the Show.</w:t>
      </w:r>
    </w:p>
    <w:p>
      <w:pPr>
        <w:spacing w:after="0" w:line="185" w:lineRule="exact"/>
        <w:rPr>
          <w:rFonts w:ascii="Arial" w:cs="Arial" w:eastAsia="Arial" w:hAnsi="Arial"/>
          <w:sz w:val="18"/>
          <w:szCs w:val="18"/>
          <w:color w:val="auto"/>
        </w:rPr>
      </w:pPr>
    </w:p>
    <w:p>
      <w:pPr>
        <w:ind w:left="1612" w:hanging="802"/>
        <w:spacing w:after="0"/>
        <w:tabs>
          <w:tab w:leader="none" w:pos="1612" w:val="left"/>
        </w:tabs>
        <w:numPr>
          <w:ilvl w:val="1"/>
          <w:numId w:val="62"/>
        </w:numPr>
        <w:rPr>
          <w:rFonts w:ascii="Arial" w:cs="Arial" w:eastAsia="Arial" w:hAnsi="Arial"/>
          <w:sz w:val="18"/>
          <w:szCs w:val="18"/>
          <w:color w:val="auto"/>
        </w:rPr>
      </w:pPr>
      <w:r>
        <w:rPr>
          <w:rFonts w:ascii="Arial" w:cs="Arial" w:eastAsia="Arial" w:hAnsi="Arial"/>
          <w:sz w:val="18"/>
          <w:szCs w:val="18"/>
          <w:color w:val="auto"/>
        </w:rPr>
        <w:t>Reimbursement of all operating and follow up costs incurred by Calitri during the Fiscal. Quarter.</w:t>
      </w:r>
    </w:p>
    <w:p>
      <w:pPr>
        <w:spacing w:after="0" w:line="21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THIS AGREEMENT IS STRICTLY CONFIDENTIAL</w:t>
      </w:r>
    </w:p>
    <w:p>
      <w:pPr>
        <w:sectPr>
          <w:pgSz w:w="11900" w:h="16838" w:orient="portrait"/>
          <w:cols w:equalWidth="0" w:num="1">
            <w:col w:w="11392"/>
          </w:cols>
          <w:pgMar w:left="248" w:top="388" w:right="259" w:bottom="1440" w:gutter="0" w:footer="0" w:header="0"/>
        </w:sectPr>
      </w:pPr>
    </w:p>
    <w:bookmarkStart w:id="127" w:name="page128"/>
    <w:bookmarkEnd w:id="127"/>
    <w:p>
      <w:pPr>
        <w:jc w:val="center"/>
        <w:ind w:right="-1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7 of 15</w:t>
      </w:r>
    </w:p>
    <w:p>
      <w:pPr>
        <w:spacing w:after="0" w:line="225" w:lineRule="exact"/>
        <w:rPr>
          <w:sz w:val="20"/>
          <w:szCs w:val="20"/>
          <w:color w:val="auto"/>
        </w:rPr>
      </w:pPr>
    </w:p>
    <w:p>
      <w:pPr>
        <w:ind w:left="812" w:right="80" w:hanging="812"/>
        <w:spacing w:after="0" w:line="268" w:lineRule="auto"/>
        <w:tabs>
          <w:tab w:leader="none" w:pos="812" w:val="left"/>
        </w:tabs>
        <w:numPr>
          <w:ilvl w:val="0"/>
          <w:numId w:val="63"/>
        </w:numPr>
        <w:rPr>
          <w:rFonts w:ascii="Arial" w:cs="Arial" w:eastAsia="Arial" w:hAnsi="Arial"/>
          <w:sz w:val="18"/>
          <w:szCs w:val="18"/>
          <w:color w:val="auto"/>
        </w:rPr>
      </w:pPr>
      <w:r>
        <w:rPr>
          <w:rFonts w:ascii="Arial" w:cs="Arial" w:eastAsia="Arial" w:hAnsi="Arial"/>
          <w:sz w:val="18"/>
          <w:szCs w:val="18"/>
          <w:color w:val="auto"/>
        </w:rPr>
        <w:t>Wynn Las Vegas shall retain for its own account all of the Net Ticket Revenue from the Show, and all of the Show Net Profits, subject to the amounts payable to Calitri hereunder.</w:t>
      </w:r>
    </w:p>
    <w:p>
      <w:pPr>
        <w:spacing w:after="0" w:line="185" w:lineRule="exact"/>
        <w:rPr>
          <w:rFonts w:ascii="Arial" w:cs="Arial" w:eastAsia="Arial" w:hAnsi="Arial"/>
          <w:sz w:val="18"/>
          <w:szCs w:val="18"/>
          <w:color w:val="auto"/>
        </w:rPr>
      </w:pPr>
    </w:p>
    <w:p>
      <w:pPr>
        <w:ind w:left="812" w:hanging="812"/>
        <w:spacing w:after="0"/>
        <w:tabs>
          <w:tab w:leader="none" w:pos="812"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sums payable to Calitri pursuant to Section 11 A(3)(ii) hereof shall be payable as follows:</w:t>
      </w:r>
    </w:p>
    <w:p>
      <w:pPr>
        <w:spacing w:after="0" w:line="225" w:lineRule="exact"/>
        <w:rPr>
          <w:rFonts w:ascii="Arial" w:cs="Arial" w:eastAsia="Arial" w:hAnsi="Arial"/>
          <w:sz w:val="18"/>
          <w:szCs w:val="18"/>
          <w:color w:val="auto"/>
        </w:rPr>
      </w:pPr>
    </w:p>
    <w:p>
      <w:pPr>
        <w:ind w:left="812"/>
        <w:spacing w:after="0" w:line="290" w:lineRule="auto"/>
        <w:rPr>
          <w:rFonts w:ascii="Arial" w:cs="Arial" w:eastAsia="Arial" w:hAnsi="Arial"/>
          <w:sz w:val="18"/>
          <w:szCs w:val="18"/>
          <w:color w:val="auto"/>
        </w:rPr>
      </w:pPr>
      <w:r>
        <w:rPr>
          <w:rFonts w:ascii="Arial" w:cs="Arial" w:eastAsia="Arial" w:hAnsi="Arial"/>
          <w:sz w:val="16"/>
          <w:szCs w:val="16"/>
          <w:color w:val="auto"/>
        </w:rPr>
        <w:t>Within ten (10) business days following each month of each Fiscal Quarter, Wynn Las Vegas shall provide Calitri with a statement showing the total Show Revenue received by Le Rêve and the total Show Operating Expenses incurred by Wynn Las Vegas over such month, and Wynn Las Vegas shall pay to Calitri together with such statements thirty percent (30%) of the Show Net Profits, if any, for such month. Then, within fifteen (15) days following the end of each Fiscal Quarter during the Term, Wynn Las Vegas shall provide Calitri with the Quarterly Net Profit Statement showing (i) the total Show Revenue received by Wynn Las Vegas and the total Show Operating Expenses incurred by Wynn Las Vegas over such Fiscal Quarter, and (ii) the portion of the Show Net Profits due and payable to Calitri for such Fiscal Quarter, and Wynn Las Vegas shall remit to Calitri together with such statement the portion of the Show Net Profits then still due and payable to Calitri.</w:t>
      </w:r>
    </w:p>
    <w:p>
      <w:pPr>
        <w:spacing w:after="0" w:line="172" w:lineRule="exact"/>
        <w:rPr>
          <w:rFonts w:ascii="Arial" w:cs="Arial" w:eastAsia="Arial" w:hAnsi="Arial"/>
          <w:sz w:val="18"/>
          <w:szCs w:val="18"/>
          <w:color w:val="auto"/>
        </w:rPr>
      </w:pPr>
    </w:p>
    <w:p>
      <w:pPr>
        <w:ind w:left="812"/>
        <w:spacing w:after="0" w:line="289" w:lineRule="auto"/>
        <w:rPr>
          <w:rFonts w:ascii="Arial" w:cs="Arial" w:eastAsia="Arial" w:hAnsi="Arial"/>
          <w:sz w:val="18"/>
          <w:szCs w:val="18"/>
          <w:color w:val="auto"/>
        </w:rPr>
      </w:pPr>
      <w:r>
        <w:rPr>
          <w:rFonts w:ascii="Arial" w:cs="Arial" w:eastAsia="Arial" w:hAnsi="Arial"/>
          <w:sz w:val="16"/>
          <w:szCs w:val="16"/>
          <w:color w:val="auto"/>
        </w:rPr>
        <w:t>Within forty-five (45) days after the end of each Year during the Term, Wynn Las Vegas shall provide Calitri with a yearly statement (i) the total Show Revenue received by Wynn Las Vegas and the total Show Operating Expenses incurred by Wynn Las Vegas over such Year (ii) the amount of any adjustment required to the Show Net Profits as set forth below and (iii) the portion of the Show Net Profits due and payable to Calitri, or refundable to Wynn Las Vegas, for such Year based upon the actual results of each Fiscal Quarter, and Wynn Las Vegas shall remit to Calitri together with such statement the portion of the Show Net Profits due and payable to Calitri, if any. Any refund due to Wynn Las Vegas from Calitri may be applied against future quarterly Show Net Profits due and payable to Calitri until fully paid. If, on termination or expiration, a refund remains due to Wynn Las Vegas. such refund shall be paid within ten (10) days after said expiration or termination in immediately available US$funds or bank draft as per Wynn Las Vegas’ written instructions.</w:t>
      </w:r>
    </w:p>
    <w:p>
      <w:pPr>
        <w:spacing w:after="0" w:line="172" w:lineRule="exact"/>
        <w:rPr>
          <w:rFonts w:ascii="Arial" w:cs="Arial" w:eastAsia="Arial" w:hAnsi="Arial"/>
          <w:sz w:val="18"/>
          <w:szCs w:val="18"/>
          <w:color w:val="auto"/>
        </w:rPr>
      </w:pPr>
    </w:p>
    <w:p>
      <w:pPr>
        <w:ind w:left="812" w:right="380"/>
        <w:spacing w:after="0" w:line="268" w:lineRule="auto"/>
        <w:rPr>
          <w:rFonts w:ascii="Arial" w:cs="Arial" w:eastAsia="Arial" w:hAnsi="Arial"/>
          <w:sz w:val="18"/>
          <w:szCs w:val="18"/>
          <w:color w:val="auto"/>
        </w:rPr>
      </w:pPr>
      <w:r>
        <w:rPr>
          <w:rFonts w:ascii="Arial" w:cs="Arial" w:eastAsia="Arial" w:hAnsi="Arial"/>
          <w:sz w:val="18"/>
          <w:szCs w:val="18"/>
          <w:color w:val="auto"/>
        </w:rPr>
        <w:t>All sums payable to Calitri pursuant to Section 11.A)(4), (5) and (6) shall be payable within ten (10) days after insurance by Calitri of invoices in respect thereof accompanied by appropriate supporting document.</w:t>
      </w:r>
    </w:p>
    <w:p>
      <w:pPr>
        <w:spacing w:after="0" w:line="185" w:lineRule="exact"/>
        <w:rPr>
          <w:rFonts w:ascii="Arial" w:cs="Arial" w:eastAsia="Arial" w:hAnsi="Arial"/>
          <w:sz w:val="18"/>
          <w:szCs w:val="18"/>
          <w:color w:val="auto"/>
        </w:rPr>
      </w:pPr>
    </w:p>
    <w:p>
      <w:pPr>
        <w:ind w:left="812" w:right="360" w:hanging="812"/>
        <w:spacing w:after="0" w:line="268" w:lineRule="auto"/>
        <w:tabs>
          <w:tab w:leader="none" w:pos="812"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of the aforesaid amounts payable to Calitri shall be paid by Wynn Las Vegas in immediately available $US funds or bank draft as per Calitri’s written instructions.</w:t>
      </w:r>
    </w:p>
    <w:p>
      <w:pPr>
        <w:spacing w:after="0" w:line="185" w:lineRule="exact"/>
        <w:rPr>
          <w:rFonts w:ascii="Arial" w:cs="Arial" w:eastAsia="Arial" w:hAnsi="Arial"/>
          <w:sz w:val="18"/>
          <w:szCs w:val="18"/>
          <w:color w:val="auto"/>
        </w:rPr>
      </w:pPr>
    </w:p>
    <w:p>
      <w:pPr>
        <w:ind w:left="812" w:right="280" w:hanging="812"/>
        <w:spacing w:after="0" w:line="268" w:lineRule="auto"/>
        <w:tabs>
          <w:tab w:leader="none" w:pos="812"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 compensation for the creation of the show and ongoing overseeing the creation and artistic direction of the Show, Franco Dragone shall receive 189,723</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THIS AGREEMENT IS STRICTLY CONFIDENTIAL</w:t>
      </w:r>
    </w:p>
    <w:p>
      <w:pPr>
        <w:sectPr>
          <w:pgSz w:w="11900" w:h="16838" w:orient="portrait"/>
          <w:cols w:equalWidth="0" w:num="1">
            <w:col w:w="11392"/>
          </w:cols>
          <w:pgMar w:left="248" w:top="388" w:right="259" w:bottom="1440" w:gutter="0" w:footer="0" w:header="0"/>
        </w:sectPr>
      </w:pPr>
    </w:p>
    <w:bookmarkStart w:id="128" w:name="page129"/>
    <w:bookmarkEnd w:id="128"/>
    <w:p>
      <w:pPr>
        <w:jc w:val="center"/>
        <w:ind w:right="-3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8 of 15</w:t>
      </w:r>
    </w:p>
    <w:p>
      <w:pPr>
        <w:spacing w:after="0" w:line="225" w:lineRule="exact"/>
        <w:rPr>
          <w:sz w:val="20"/>
          <w:szCs w:val="20"/>
          <w:color w:val="auto"/>
        </w:rPr>
      </w:pPr>
    </w:p>
    <w:p>
      <w:pPr>
        <w:ind w:left="812" w:right="700"/>
        <w:spacing w:after="0" w:line="268" w:lineRule="auto"/>
        <w:rPr>
          <w:sz w:val="20"/>
          <w:szCs w:val="20"/>
          <w:color w:val="auto"/>
        </w:rPr>
      </w:pPr>
      <w:r>
        <w:rPr>
          <w:rFonts w:ascii="Arial" w:cs="Arial" w:eastAsia="Arial" w:hAnsi="Arial"/>
          <w:sz w:val="18"/>
          <w:szCs w:val="18"/>
          <w:color w:val="auto"/>
        </w:rPr>
        <w:t>shares of the common stock of Wynn Resorts, Limited, subsequent to that company’s initial public offering and pursuant to a restricted stock agreement which shall include certain vesting conditions and other restrictions.</w:t>
      </w:r>
    </w:p>
    <w:p>
      <w:pPr>
        <w:spacing w:after="0" w:line="180" w:lineRule="exact"/>
        <w:rPr>
          <w:sz w:val="20"/>
          <w:szCs w:val="20"/>
          <w:color w:val="auto"/>
        </w:rPr>
      </w:pPr>
    </w:p>
    <w:p>
      <w:pPr>
        <w:ind w:left="812" w:hanging="812"/>
        <w:spacing w:after="0"/>
        <w:tabs>
          <w:tab w:leader="none" w:pos="812"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MERCHANDISING</w:t>
      </w:r>
    </w:p>
    <w:p>
      <w:pPr>
        <w:spacing w:after="0" w:line="231" w:lineRule="exact"/>
        <w:rPr>
          <w:sz w:val="20"/>
          <w:szCs w:val="20"/>
          <w:color w:val="auto"/>
        </w:rPr>
      </w:pPr>
    </w:p>
    <w:p>
      <w:pPr>
        <w:ind w:left="812" w:right="220" w:hanging="812"/>
        <w:spacing w:after="0" w:line="268" w:lineRule="auto"/>
        <w:tabs>
          <w:tab w:leader="none" w:pos="812" w:val="left"/>
        </w:tabs>
        <w:numPr>
          <w:ilvl w:val="0"/>
          <w:numId w:val="65"/>
        </w:numPr>
        <w:rPr>
          <w:rFonts w:ascii="Arial" w:cs="Arial" w:eastAsia="Arial" w:hAnsi="Arial"/>
          <w:sz w:val="18"/>
          <w:szCs w:val="18"/>
          <w:color w:val="auto"/>
        </w:rPr>
      </w:pPr>
      <w:r>
        <w:rPr>
          <w:rFonts w:ascii="Arial" w:cs="Arial" w:eastAsia="Arial" w:hAnsi="Arial"/>
          <w:sz w:val="18"/>
          <w:szCs w:val="18"/>
          <w:color w:val="auto"/>
        </w:rPr>
        <w:t>During the Term and without prejudice of the other provisions hereof, Wynn Las Vegas shall have the sole and exclusive worldwide right to license and/or manufacture and sell Show Products of all types or kinds</w:t>
      </w:r>
      <w:r>
        <w:rPr>
          <w:rFonts w:ascii="Arial" w:cs="Arial" w:eastAsia="Arial" w:hAnsi="Arial"/>
          <w:sz w:val="18"/>
          <w:szCs w:val="18"/>
          <w:b w:val="1"/>
          <w:bCs w:val="1"/>
          <w:i w:val="1"/>
          <w:iCs w:val="1"/>
          <w:color w:val="auto"/>
        </w:rPr>
        <w:t>.</w:t>
      </w:r>
    </w:p>
    <w:p>
      <w:pPr>
        <w:spacing w:after="0" w:line="185" w:lineRule="exact"/>
        <w:rPr>
          <w:rFonts w:ascii="Arial" w:cs="Arial" w:eastAsia="Arial" w:hAnsi="Arial"/>
          <w:sz w:val="18"/>
          <w:szCs w:val="18"/>
          <w:color w:val="auto"/>
        </w:rPr>
      </w:pPr>
    </w:p>
    <w:p>
      <w:pPr>
        <w:ind w:left="812" w:hanging="812"/>
        <w:spacing w:after="0"/>
        <w:tabs>
          <w:tab w:leader="none" w:pos="812" w:val="left"/>
        </w:tabs>
        <w:numPr>
          <w:ilvl w:val="0"/>
          <w:numId w:val="65"/>
        </w:numPr>
        <w:rPr>
          <w:rFonts w:ascii="Arial" w:cs="Arial" w:eastAsia="Arial" w:hAnsi="Arial"/>
          <w:sz w:val="18"/>
          <w:szCs w:val="18"/>
          <w:color w:val="auto"/>
        </w:rPr>
      </w:pPr>
      <w:r>
        <w:rPr>
          <w:rFonts w:ascii="Arial" w:cs="Arial" w:eastAsia="Arial" w:hAnsi="Arial"/>
          <w:sz w:val="18"/>
          <w:szCs w:val="18"/>
          <w:color w:val="auto"/>
        </w:rPr>
        <w:t>Calitri and Wynn Las Vegas shall select together:</w:t>
      </w:r>
    </w:p>
    <w:p>
      <w:pPr>
        <w:spacing w:after="0" w:line="225" w:lineRule="exact"/>
        <w:rPr>
          <w:rFonts w:ascii="Arial" w:cs="Arial" w:eastAsia="Arial" w:hAnsi="Arial"/>
          <w:sz w:val="18"/>
          <w:szCs w:val="18"/>
          <w:color w:val="auto"/>
        </w:rPr>
      </w:pPr>
    </w:p>
    <w:p>
      <w:pPr>
        <w:ind w:left="1612" w:right="180" w:hanging="802"/>
        <w:spacing w:after="0" w:line="370" w:lineRule="auto"/>
        <w:tabs>
          <w:tab w:leader="none" w:pos="1612" w:val="left"/>
        </w:tabs>
        <w:numPr>
          <w:ilvl w:val="1"/>
          <w:numId w:val="65"/>
        </w:numPr>
        <w:rPr>
          <w:rFonts w:ascii="Arial" w:cs="Arial" w:eastAsia="Arial" w:hAnsi="Arial"/>
          <w:sz w:val="15"/>
          <w:szCs w:val="15"/>
          <w:color w:val="auto"/>
        </w:rPr>
      </w:pPr>
      <w:r>
        <w:rPr>
          <w:rFonts w:ascii="Arial" w:cs="Arial" w:eastAsia="Arial" w:hAnsi="Arial"/>
          <w:sz w:val="15"/>
          <w:szCs w:val="15"/>
          <w:color w:val="auto"/>
        </w:rPr>
        <w:t>The particular types of Show Products to be licensed and/or manufactured and sold by Wynn Las Vegas and other Wynn Casinos, and all elements of the design thereof, including without limitation, colors, shapes, packaging, depiction in all respects of the trademarks; and</w:t>
      </w:r>
    </w:p>
    <w:p>
      <w:pPr>
        <w:spacing w:after="0" w:line="116" w:lineRule="exact"/>
        <w:rPr>
          <w:rFonts w:ascii="Arial" w:cs="Arial" w:eastAsia="Arial" w:hAnsi="Arial"/>
          <w:sz w:val="15"/>
          <w:szCs w:val="15"/>
          <w:color w:val="auto"/>
        </w:rPr>
      </w:pPr>
    </w:p>
    <w:p>
      <w:pPr>
        <w:ind w:left="1612" w:hanging="802"/>
        <w:spacing w:after="0"/>
        <w:tabs>
          <w:tab w:leader="none" w:pos="1612" w:val="left"/>
        </w:tabs>
        <w:numPr>
          <w:ilvl w:val="1"/>
          <w:numId w:val="65"/>
        </w:numPr>
        <w:rPr>
          <w:rFonts w:ascii="Arial" w:cs="Arial" w:eastAsia="Arial" w:hAnsi="Arial"/>
          <w:sz w:val="16"/>
          <w:szCs w:val="16"/>
          <w:color w:val="auto"/>
        </w:rPr>
      </w:pPr>
      <w:r>
        <w:rPr>
          <w:rFonts w:ascii="Arial" w:cs="Arial" w:eastAsia="Arial" w:hAnsi="Arial"/>
          <w:sz w:val="16"/>
          <w:szCs w:val="16"/>
          <w:color w:val="auto"/>
        </w:rPr>
        <w:t>The particular types of Show Products sold in the Showroom and the manner in which Show Products are sold elsewhere in the world.</w:t>
      </w:r>
    </w:p>
    <w:p>
      <w:pPr>
        <w:spacing w:after="0" w:line="248" w:lineRule="exact"/>
        <w:rPr>
          <w:sz w:val="20"/>
          <w:szCs w:val="20"/>
          <w:color w:val="auto"/>
        </w:rPr>
      </w:pPr>
    </w:p>
    <w:p>
      <w:pPr>
        <w:ind w:left="812" w:right="500"/>
        <w:spacing w:after="0" w:line="268" w:lineRule="auto"/>
        <w:rPr>
          <w:sz w:val="20"/>
          <w:szCs w:val="20"/>
          <w:color w:val="auto"/>
        </w:rPr>
      </w:pPr>
      <w:r>
        <w:rPr>
          <w:rFonts w:ascii="Arial" w:cs="Arial" w:eastAsia="Arial" w:hAnsi="Arial"/>
          <w:sz w:val="18"/>
          <w:szCs w:val="18"/>
          <w:color w:val="auto"/>
        </w:rPr>
        <w:t>Quality and manufacturing standards of the Show Products shall in any case be comparable to the highest quality in manufacturing standards of similar types of merchandise sold by Wynn Las Vegas and Calitri.</w:t>
      </w:r>
    </w:p>
    <w:p>
      <w:pPr>
        <w:spacing w:after="0" w:line="186" w:lineRule="exact"/>
        <w:rPr>
          <w:sz w:val="20"/>
          <w:szCs w:val="20"/>
          <w:color w:val="auto"/>
        </w:rPr>
      </w:pPr>
    </w:p>
    <w:p>
      <w:pPr>
        <w:ind w:left="812" w:right="120" w:hanging="812"/>
        <w:spacing w:after="0" w:line="306" w:lineRule="auto"/>
        <w:tabs>
          <w:tab w:leader="none" w:pos="812" w:val="left"/>
        </w:tabs>
        <w:numPr>
          <w:ilvl w:val="0"/>
          <w:numId w:val="66"/>
        </w:numPr>
        <w:rPr>
          <w:rFonts w:ascii="Arial" w:cs="Arial" w:eastAsia="Arial" w:hAnsi="Arial"/>
          <w:sz w:val="16"/>
          <w:szCs w:val="16"/>
          <w:color w:val="auto"/>
        </w:rPr>
      </w:pPr>
      <w:r>
        <w:rPr>
          <w:rFonts w:ascii="Arial" w:cs="Arial" w:eastAsia="Arial" w:hAnsi="Arial"/>
          <w:sz w:val="16"/>
          <w:szCs w:val="16"/>
          <w:color w:val="auto"/>
        </w:rPr>
        <w:t>Wynn Las Vegas shall sell Show Products in the lobby of the Showroom and in a retail store situated at a prime retail location in the Le Rêve and in proximity to the Showroom entrance and/or at any alternate location in Le Rêve determined to provide optimal visibility and traffic flow to and from the Showroom entrance, which location shall be approved by Calitri, and which store shall sell Show Products exclusively.</w:t>
      </w:r>
    </w:p>
    <w:p>
      <w:pPr>
        <w:spacing w:after="0" w:line="160" w:lineRule="exact"/>
        <w:rPr>
          <w:rFonts w:ascii="Arial" w:cs="Arial" w:eastAsia="Arial" w:hAnsi="Arial"/>
          <w:sz w:val="16"/>
          <w:szCs w:val="16"/>
          <w:color w:val="auto"/>
        </w:rPr>
      </w:pPr>
    </w:p>
    <w:p>
      <w:pPr>
        <w:ind w:left="812" w:hanging="812"/>
        <w:spacing w:after="0" w:line="306" w:lineRule="auto"/>
        <w:tabs>
          <w:tab w:leader="none" w:pos="812"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Calitri may develop and create, subject to reasonable approval of Wynn Las Vegas, a souvenir program in respect of the Show </w:t>
      </w:r>
      <w:r>
        <w:rPr>
          <w:rFonts w:ascii="Arial" w:cs="Arial" w:eastAsia="Arial" w:hAnsi="Arial"/>
          <w:sz w:val="16"/>
          <w:szCs w:val="16"/>
          <w:b w:val="1"/>
          <w:bCs w:val="1"/>
          <w:i w:val="1"/>
          <w:iCs w:val="1"/>
          <w:color w:val="auto"/>
        </w:rPr>
        <w:t>(“Souvenir Program”)</w:t>
      </w:r>
      <w:r>
        <w:rPr>
          <w:rFonts w:ascii="Arial" w:cs="Arial" w:eastAsia="Arial" w:hAnsi="Arial"/>
          <w:sz w:val="16"/>
          <w:szCs w:val="16"/>
          <w:color w:val="auto"/>
        </w:rPr>
        <w:t>, to be sold by Wynn Las Vegas during the Term and any Extension thereof in the retail store referenced to above and the Showroom. The parties shall mutually agree as to the best method of manufacture and production of the Souvenir Program.</w:t>
      </w:r>
    </w:p>
    <w:p>
      <w:pPr>
        <w:spacing w:after="0" w:line="160" w:lineRule="exact"/>
        <w:rPr>
          <w:rFonts w:ascii="Arial" w:cs="Arial" w:eastAsia="Arial" w:hAnsi="Arial"/>
          <w:sz w:val="16"/>
          <w:szCs w:val="16"/>
          <w:color w:val="auto"/>
        </w:rPr>
      </w:pPr>
    </w:p>
    <w:p>
      <w:pPr>
        <w:ind w:left="812" w:hanging="812"/>
        <w:spacing w:after="0"/>
        <w:tabs>
          <w:tab w:leader="none" w:pos="812" w:val="left"/>
        </w:tabs>
        <w:numPr>
          <w:ilvl w:val="0"/>
          <w:numId w:val="66"/>
        </w:numPr>
        <w:rPr>
          <w:rFonts w:ascii="Arial" w:cs="Arial" w:eastAsia="Arial" w:hAnsi="Arial"/>
          <w:sz w:val="18"/>
          <w:szCs w:val="18"/>
          <w:color w:val="auto"/>
        </w:rPr>
      </w:pPr>
      <w:r>
        <w:rPr>
          <w:rFonts w:ascii="Arial" w:cs="Arial" w:eastAsia="Arial" w:hAnsi="Arial"/>
          <w:sz w:val="18"/>
          <w:szCs w:val="18"/>
          <w:color w:val="auto"/>
        </w:rPr>
        <w:t>Wynn Las Vegas in consideration of the license granted in this section 12 shall pay to Calitri a merchandise royalty of:</w:t>
      </w:r>
    </w:p>
    <w:p>
      <w:pPr>
        <w:spacing w:after="0" w:line="225" w:lineRule="exact"/>
        <w:rPr>
          <w:rFonts w:ascii="Arial" w:cs="Arial" w:eastAsia="Arial" w:hAnsi="Arial"/>
          <w:sz w:val="18"/>
          <w:szCs w:val="18"/>
          <w:color w:val="auto"/>
        </w:rPr>
      </w:pPr>
    </w:p>
    <w:p>
      <w:pPr>
        <w:ind w:left="1612" w:right="20" w:hanging="802"/>
        <w:spacing w:after="0" w:line="332" w:lineRule="auto"/>
        <w:tabs>
          <w:tab w:leader="none" w:pos="1612" w:val="left"/>
        </w:tabs>
        <w:numPr>
          <w:ilvl w:val="1"/>
          <w:numId w:val="66"/>
        </w:numPr>
        <w:rPr>
          <w:rFonts w:ascii="Arial" w:cs="Arial" w:eastAsia="Arial" w:hAnsi="Arial"/>
          <w:sz w:val="16"/>
          <w:szCs w:val="16"/>
          <w:color w:val="auto"/>
        </w:rPr>
      </w:pPr>
      <w:r>
        <w:rPr>
          <w:rFonts w:ascii="Arial" w:cs="Arial" w:eastAsia="Arial" w:hAnsi="Arial"/>
          <w:sz w:val="16"/>
          <w:szCs w:val="16"/>
          <w:color w:val="auto"/>
        </w:rPr>
        <w:t>ten percent (10%) of one hundred (100%) of the retail selling price of all Show Products, and Souvenir Programs sold by Wynn Las Vegas, less sales taxes, credit card and handling fees and customer returns, and shall retain all of the gross proceeds of such sales; and</w:t>
      </w:r>
    </w:p>
    <w:p>
      <w:pPr>
        <w:spacing w:after="0" w:line="139" w:lineRule="exact"/>
        <w:rPr>
          <w:rFonts w:ascii="Arial" w:cs="Arial" w:eastAsia="Arial" w:hAnsi="Arial"/>
          <w:sz w:val="16"/>
          <w:szCs w:val="16"/>
          <w:color w:val="auto"/>
        </w:rPr>
      </w:pPr>
    </w:p>
    <w:p>
      <w:pPr>
        <w:ind w:left="1612" w:right="640" w:hanging="802"/>
        <w:spacing w:after="0" w:line="268" w:lineRule="auto"/>
        <w:tabs>
          <w:tab w:leader="none" w:pos="1612" w:val="left"/>
        </w:tabs>
        <w:numPr>
          <w:ilvl w:val="1"/>
          <w:numId w:val="66"/>
        </w:numPr>
        <w:rPr>
          <w:rFonts w:ascii="Arial" w:cs="Arial" w:eastAsia="Arial" w:hAnsi="Arial"/>
          <w:sz w:val="18"/>
          <w:szCs w:val="18"/>
          <w:color w:val="auto"/>
        </w:rPr>
      </w:pPr>
      <w:r>
        <w:rPr>
          <w:rFonts w:ascii="Arial" w:cs="Arial" w:eastAsia="Arial" w:hAnsi="Arial"/>
          <w:sz w:val="18"/>
          <w:szCs w:val="18"/>
          <w:color w:val="auto"/>
        </w:rPr>
        <w:t>fifty percent (50%) of one hundred percent (100%) of the before tax profits generated by all non retail sales of Show Products and Souvenir Programs sold by or on behalf of Wynn Las Vegas. Such before tax</w:t>
      </w:r>
    </w:p>
    <w:p>
      <w:pPr>
        <w:spacing w:after="0" w:line="180"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THIS AGREEMENT IS STRICTLY CONFIDENTIAL</w:t>
      </w:r>
    </w:p>
    <w:p>
      <w:pPr>
        <w:sectPr>
          <w:pgSz w:w="11900" w:h="16838" w:orient="portrait"/>
          <w:cols w:equalWidth="0" w:num="1">
            <w:col w:w="11392"/>
          </w:cols>
          <w:pgMar w:left="248" w:top="388" w:right="259" w:bottom="1440" w:gutter="0" w:footer="0" w:header="0"/>
        </w:sectPr>
      </w:pPr>
    </w:p>
    <w:bookmarkStart w:id="129" w:name="page130"/>
    <w:bookmarkEnd w:id="12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9 of 15</w:t>
      </w:r>
    </w:p>
    <w:p>
      <w:pPr>
        <w:spacing w:after="0" w:line="225" w:lineRule="exact"/>
        <w:rPr>
          <w:sz w:val="20"/>
          <w:szCs w:val="20"/>
          <w:color w:val="auto"/>
        </w:rPr>
      </w:pPr>
    </w:p>
    <w:p>
      <w:pPr>
        <w:ind w:left="1620" w:right="180"/>
        <w:spacing w:after="0" w:line="298" w:lineRule="auto"/>
        <w:rPr>
          <w:sz w:val="20"/>
          <w:szCs w:val="20"/>
          <w:color w:val="auto"/>
        </w:rPr>
      </w:pPr>
      <w:r>
        <w:rPr>
          <w:rFonts w:ascii="Arial" w:cs="Arial" w:eastAsia="Arial" w:hAnsi="Arial"/>
          <w:sz w:val="16"/>
          <w:szCs w:val="16"/>
          <w:color w:val="auto"/>
        </w:rPr>
        <w:t>profits shall be equal to one hundred percent (100%) of the gross proceeds generated by all such non retail sales of Show Products and Souvenir Program less all direct out of pocket expenses incurred by Wynn Las Vegas in relation with such sales. For the purpose hereof, such direct out of pocket expenses shall not include any interest and other financing expenses incurred by Wynn Las Vegas, any cost of a capital nature and any amortisation in respect thereof and any income taxes payable by Wynn Las Vegas.</w:t>
      </w:r>
    </w:p>
    <w:p>
      <w:pPr>
        <w:spacing w:after="0" w:line="167" w:lineRule="exact"/>
        <w:rPr>
          <w:sz w:val="20"/>
          <w:szCs w:val="20"/>
          <w:color w:val="auto"/>
        </w:rPr>
      </w:pPr>
    </w:p>
    <w:p>
      <w:pPr>
        <w:ind w:left="820" w:right="220" w:hanging="812"/>
        <w:spacing w:after="0" w:line="268" w:lineRule="auto"/>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Notwithstanding the foregoing, the parties agree that the exploitation of the following rights pertaining to the Show shall be “frozen” and cannot be marketed without the mutual approval of both parties.</w:t>
      </w:r>
    </w:p>
    <w:p>
      <w:pPr>
        <w:spacing w:after="0" w:line="185" w:lineRule="exact"/>
        <w:rPr>
          <w:rFonts w:ascii="Arial" w:cs="Arial" w:eastAsia="Arial" w:hAnsi="Arial"/>
          <w:sz w:val="18"/>
          <w:szCs w:val="18"/>
          <w:color w:val="auto"/>
        </w:rPr>
      </w:pPr>
    </w:p>
    <w:p>
      <w:pPr>
        <w:ind w:left="1620" w:hanging="802"/>
        <w:spacing w:after="0" w:line="256" w:lineRule="auto"/>
        <w:tabs>
          <w:tab w:leader="none" w:pos="16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videos, audiovisual works, motion pictures, television series, sound recordings and interactive multimedia products, in whatever form and medium, including without limitation internet web sites specially devoted to the show. (In such a case, Wynn Las Vegas acknowledges that appropriate compensation shall be payable to the Show music publisher(s) for the synchronization or mechanical rights, in accordance with the industry standards and practices); and</w:t>
      </w:r>
    </w:p>
    <w:p>
      <w:pPr>
        <w:spacing w:after="0" w:line="197" w:lineRule="exact"/>
        <w:rPr>
          <w:rFonts w:ascii="Arial" w:cs="Arial" w:eastAsia="Arial" w:hAnsi="Arial"/>
          <w:sz w:val="18"/>
          <w:szCs w:val="18"/>
          <w:color w:val="auto"/>
        </w:rPr>
      </w:pPr>
    </w:p>
    <w:p>
      <w:pPr>
        <w:ind w:left="1620" w:hanging="802"/>
        <w:spacing w:after="0" w:line="259" w:lineRule="auto"/>
        <w:tabs>
          <w:tab w:leader="none" w:pos="16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books, magazines, comic strips or other publications, incorporating aspects of the Show including, but not limited to, the characters, costumes and any pictorial, visual graphics or sculptural works forming part or appearing in or using the title or logos of the Show or based upon or utilising the visual the Show.</w:t>
      </w:r>
    </w:p>
    <w:p>
      <w:pPr>
        <w:spacing w:after="0" w:line="194" w:lineRule="exact"/>
        <w:rPr>
          <w:rFonts w:ascii="Arial" w:cs="Arial" w:eastAsia="Arial" w:hAnsi="Arial"/>
          <w:sz w:val="18"/>
          <w:szCs w:val="18"/>
          <w:color w:val="auto"/>
        </w:rPr>
      </w:pPr>
    </w:p>
    <w:p>
      <w:pPr>
        <w:ind w:left="820" w:right="100" w:hanging="812"/>
        <w:spacing w:after="0" w:line="268" w:lineRule="auto"/>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Wynn Las Vegas shall have the right to include the Show Trademarks in the Show Products and in all advertising and promotional materials prepared for the Show.</w:t>
      </w:r>
    </w:p>
    <w:p>
      <w:pPr>
        <w:spacing w:after="0" w:line="180" w:lineRule="exact"/>
        <w:rPr>
          <w:sz w:val="20"/>
          <w:szCs w:val="20"/>
          <w:color w:val="auto"/>
        </w:rPr>
      </w:pPr>
    </w:p>
    <w:p>
      <w:pPr>
        <w:ind w:left="820" w:hanging="812"/>
        <w:spacing w:after="0"/>
        <w:tabs>
          <w:tab w:leader="none" w:pos="82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SPONSORSHIP</w:t>
      </w:r>
    </w:p>
    <w:p>
      <w:pPr>
        <w:spacing w:after="0" w:line="231"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During the Term, the Show as presented in the Showroom should not be utilised so as to endorse any third-party products or services and shall not develop sponsorship arrangements without the express prior written consent of Wynn Las Vegas and Calitri, which consents may be arbitrarily withheld.</w:t>
      </w:r>
    </w:p>
    <w:p>
      <w:pPr>
        <w:spacing w:after="0" w:line="133" w:lineRule="exact"/>
        <w:rPr>
          <w:sz w:val="20"/>
          <w:szCs w:val="20"/>
          <w:color w:val="auto"/>
        </w:rPr>
      </w:pPr>
    </w:p>
    <w:p>
      <w:pPr>
        <w:ind w:left="820" w:hanging="812"/>
        <w:spacing w:after="0"/>
        <w:tabs>
          <w:tab w:leader="none" w:pos="82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LICENSING AND SUBLICENSING</w:t>
      </w:r>
    </w:p>
    <w:p>
      <w:pPr>
        <w:spacing w:after="0" w:line="231" w:lineRule="exact"/>
        <w:rPr>
          <w:sz w:val="20"/>
          <w:szCs w:val="20"/>
          <w:color w:val="auto"/>
        </w:rPr>
      </w:pPr>
    </w:p>
    <w:p>
      <w:pPr>
        <w:ind w:left="820" w:hanging="812"/>
        <w:spacing w:after="0" w:line="306" w:lineRule="auto"/>
        <w:tabs>
          <w:tab w:leader="none" w:pos="8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Calitri hereby represents and warrants that it owns or controls the Rights, that Calitri is not a party to any agreement which would prohibit Calitri from granting the licenses granted herein to Wynn Las Vegas and that the licenses granted herein by Calitri to Wynn Las Vegas do not and will not conflict with or result in a breach of the terms, conditions, provisions of, or constitute a default under any agreement to which Calitri is a party.</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AGREEMENT IS STRICTLY CONFIDENTIAL</w:t>
      </w:r>
    </w:p>
    <w:p>
      <w:pPr>
        <w:sectPr>
          <w:pgSz w:w="11900" w:h="16838" w:orient="portrait"/>
          <w:cols w:equalWidth="0" w:num="1">
            <w:col w:w="11400"/>
          </w:cols>
          <w:pgMar w:left="240" w:top="388" w:right="259" w:bottom="1440" w:gutter="0" w:footer="0" w:header="0"/>
        </w:sectPr>
      </w:pPr>
    </w:p>
    <w:bookmarkStart w:id="130" w:name="page131"/>
    <w:bookmarkEnd w:id="130"/>
    <w:p>
      <w:pPr>
        <w:jc w:val="center"/>
        <w:ind w:right="-1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10 of 15</w:t>
      </w:r>
    </w:p>
    <w:p>
      <w:pPr>
        <w:spacing w:after="0" w:line="225" w:lineRule="exact"/>
        <w:rPr>
          <w:sz w:val="20"/>
          <w:szCs w:val="20"/>
          <w:color w:val="auto"/>
        </w:rPr>
      </w:pPr>
    </w:p>
    <w:p>
      <w:pPr>
        <w:ind w:left="812" w:right="320" w:hanging="812"/>
        <w:spacing w:after="0" w:line="370" w:lineRule="auto"/>
        <w:tabs>
          <w:tab w:leader="none" w:pos="812" w:val="left"/>
        </w:tabs>
        <w:numPr>
          <w:ilvl w:val="0"/>
          <w:numId w:val="71"/>
        </w:numPr>
        <w:rPr>
          <w:rFonts w:ascii="Arial" w:cs="Arial" w:eastAsia="Arial" w:hAnsi="Arial"/>
          <w:sz w:val="15"/>
          <w:szCs w:val="15"/>
          <w:color w:val="auto"/>
        </w:rPr>
      </w:pPr>
      <w:r>
        <w:rPr>
          <w:rFonts w:ascii="Arial" w:cs="Arial" w:eastAsia="Arial" w:hAnsi="Arial"/>
          <w:sz w:val="15"/>
          <w:szCs w:val="15"/>
          <w:color w:val="auto"/>
        </w:rPr>
        <w:t>Except as otherwise provided herein in Section 12. A) hereof, the rights granted to Wynn Las Vegas under this Agreement shall not be transferred, licensed, sublicensed, assigned, sold or otherwise disposed of by Wynn Las Vegas without the prior written consent of Calitri except that:</w:t>
      </w:r>
    </w:p>
    <w:p>
      <w:pPr>
        <w:spacing w:after="0" w:line="116" w:lineRule="exact"/>
        <w:rPr>
          <w:rFonts w:ascii="Arial" w:cs="Arial" w:eastAsia="Arial" w:hAnsi="Arial"/>
          <w:sz w:val="15"/>
          <w:szCs w:val="15"/>
          <w:color w:val="auto"/>
        </w:rPr>
      </w:pPr>
    </w:p>
    <w:p>
      <w:pPr>
        <w:ind w:left="1612" w:right="180" w:hanging="802"/>
        <w:spacing w:after="0" w:line="268" w:lineRule="auto"/>
        <w:tabs>
          <w:tab w:leader="none" w:pos="1612" w:val="left"/>
        </w:tabs>
        <w:numPr>
          <w:ilvl w:val="1"/>
          <w:numId w:val="71"/>
        </w:numPr>
        <w:rPr>
          <w:rFonts w:ascii="Arial" w:cs="Arial" w:eastAsia="Arial" w:hAnsi="Arial"/>
          <w:sz w:val="18"/>
          <w:szCs w:val="18"/>
          <w:color w:val="auto"/>
        </w:rPr>
      </w:pPr>
      <w:r>
        <w:rPr>
          <w:rFonts w:ascii="Arial" w:cs="Arial" w:eastAsia="Arial" w:hAnsi="Arial"/>
          <w:sz w:val="18"/>
          <w:szCs w:val="18"/>
          <w:color w:val="auto"/>
        </w:rPr>
        <w:t>Wynn Las Vegas shall be entitled to transfer, license, sublicense, assign, sell or dispose of the rights granted under this Agreement to any Wynn Casino without the prior written consent of Calitri; and</w:t>
      </w:r>
    </w:p>
    <w:p>
      <w:pPr>
        <w:spacing w:after="0" w:line="185" w:lineRule="exact"/>
        <w:rPr>
          <w:rFonts w:ascii="Arial" w:cs="Arial" w:eastAsia="Arial" w:hAnsi="Arial"/>
          <w:sz w:val="18"/>
          <w:szCs w:val="18"/>
          <w:color w:val="auto"/>
        </w:rPr>
      </w:pPr>
    </w:p>
    <w:p>
      <w:pPr>
        <w:ind w:left="1612" w:hanging="802"/>
        <w:spacing w:after="0" w:line="268" w:lineRule="auto"/>
        <w:tabs>
          <w:tab w:leader="none" w:pos="1612" w:val="left"/>
        </w:tabs>
        <w:numPr>
          <w:ilvl w:val="1"/>
          <w:numId w:val="71"/>
        </w:numPr>
        <w:rPr>
          <w:rFonts w:ascii="Arial" w:cs="Arial" w:eastAsia="Arial" w:hAnsi="Arial"/>
          <w:sz w:val="18"/>
          <w:szCs w:val="18"/>
          <w:color w:val="auto"/>
        </w:rPr>
      </w:pPr>
      <w:r>
        <w:rPr>
          <w:rFonts w:ascii="Arial" w:cs="Arial" w:eastAsia="Arial" w:hAnsi="Arial"/>
          <w:sz w:val="18"/>
          <w:szCs w:val="18"/>
          <w:color w:val="auto"/>
        </w:rPr>
        <w:t>Wynn Las Vegas shall be entitled to sublicense the right to exploit the Show Trademarks in relation with the advertising of the Show to any third party without the prior written consent of Calitri.</w:t>
      </w:r>
    </w:p>
    <w:p>
      <w:pPr>
        <w:spacing w:after="0" w:line="180" w:lineRule="exact"/>
        <w:rPr>
          <w:sz w:val="20"/>
          <w:szCs w:val="20"/>
          <w:color w:val="auto"/>
        </w:rPr>
      </w:pPr>
    </w:p>
    <w:p>
      <w:pPr>
        <w:ind w:left="812" w:hanging="812"/>
        <w:spacing w:after="0"/>
        <w:tabs>
          <w:tab w:leader="none" w:pos="812"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AND REVERSION OF RIGHTS</w:t>
      </w:r>
    </w:p>
    <w:p>
      <w:pPr>
        <w:spacing w:after="0" w:line="231" w:lineRule="exact"/>
        <w:rPr>
          <w:sz w:val="20"/>
          <w:szCs w:val="20"/>
          <w:color w:val="auto"/>
        </w:rPr>
      </w:pPr>
    </w:p>
    <w:p>
      <w:pPr>
        <w:ind w:left="812" w:hanging="812"/>
        <w:spacing w:after="0"/>
        <w:tabs>
          <w:tab w:leader="none" w:pos="812"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licenses hereinabove granted shall cease and terminate, and the rights hereinabove granted shall automatically revert to the Calitri, if:</w:t>
      </w:r>
    </w:p>
    <w:p>
      <w:pPr>
        <w:spacing w:after="0" w:line="248" w:lineRule="exact"/>
        <w:rPr>
          <w:rFonts w:ascii="Arial" w:cs="Arial" w:eastAsia="Arial" w:hAnsi="Arial"/>
          <w:sz w:val="16"/>
          <w:szCs w:val="16"/>
          <w:color w:val="auto"/>
        </w:rPr>
      </w:pPr>
    </w:p>
    <w:p>
      <w:pPr>
        <w:ind w:left="1612" w:right="20" w:hanging="802"/>
        <w:spacing w:after="0" w:line="298" w:lineRule="auto"/>
        <w:tabs>
          <w:tab w:leader="none" w:pos="1612" w:val="left"/>
        </w:tabs>
        <w:numPr>
          <w:ilvl w:val="1"/>
          <w:numId w:val="73"/>
        </w:numPr>
        <w:rPr>
          <w:rFonts w:ascii="Arial" w:cs="Arial" w:eastAsia="Arial" w:hAnsi="Arial"/>
          <w:sz w:val="16"/>
          <w:szCs w:val="16"/>
          <w:color w:val="auto"/>
        </w:rPr>
      </w:pPr>
      <w:r>
        <w:rPr>
          <w:rFonts w:ascii="Arial" w:cs="Arial" w:eastAsia="Arial" w:hAnsi="Arial"/>
          <w:sz w:val="16"/>
          <w:szCs w:val="16"/>
          <w:color w:val="auto"/>
        </w:rPr>
        <w:t>Wynn Las Vegas files a petition in bankruptcy or is adjudicated a bankrupt or if a proceeding, petition or notice in bankruptcy, voluntary or involuntary, is filed against Wynn Las Vegas or if Wynn Las Vegas becomes insolvent or makes an assignment for the benefit of its creditors or an arrangement pursuant to any bankruptcy law or if Wynn Las Vegas discontinues its business or if a receiver is appointed for it or its business or if a suspension of payments is given by any court of competent jurisdiction in respect of Wynn Las Vegas; or</w:t>
      </w:r>
    </w:p>
    <w:p>
      <w:pPr>
        <w:spacing w:after="0" w:line="166" w:lineRule="exact"/>
        <w:rPr>
          <w:rFonts w:ascii="Arial" w:cs="Arial" w:eastAsia="Arial" w:hAnsi="Arial"/>
          <w:sz w:val="16"/>
          <w:szCs w:val="16"/>
          <w:color w:val="auto"/>
        </w:rPr>
      </w:pPr>
    </w:p>
    <w:p>
      <w:pPr>
        <w:ind w:left="1612" w:right="160" w:hanging="802"/>
        <w:spacing w:after="0" w:line="268" w:lineRule="auto"/>
        <w:tabs>
          <w:tab w:leader="none" w:pos="1612" w:val="left"/>
        </w:tabs>
        <w:numPr>
          <w:ilvl w:val="1"/>
          <w:numId w:val="73"/>
        </w:numPr>
        <w:rPr>
          <w:rFonts w:ascii="Arial" w:cs="Arial" w:eastAsia="Arial" w:hAnsi="Arial"/>
          <w:sz w:val="18"/>
          <w:szCs w:val="18"/>
          <w:color w:val="auto"/>
        </w:rPr>
      </w:pPr>
      <w:r>
        <w:rPr>
          <w:rFonts w:ascii="Arial" w:cs="Arial" w:eastAsia="Arial" w:hAnsi="Arial"/>
          <w:sz w:val="18"/>
          <w:szCs w:val="18"/>
          <w:color w:val="auto"/>
        </w:rPr>
        <w:t>Either party violates any of its obligations or conditions under the term of this Agreement, provided the other party gives sixty (60) days’ notice in writing of such violation and such violation is not remedied within said sixty (60) days; or</w:t>
      </w:r>
    </w:p>
    <w:p>
      <w:pPr>
        <w:spacing w:after="0" w:line="185" w:lineRule="exact"/>
        <w:rPr>
          <w:rFonts w:ascii="Arial" w:cs="Arial" w:eastAsia="Arial" w:hAnsi="Arial"/>
          <w:sz w:val="18"/>
          <w:szCs w:val="18"/>
          <w:color w:val="auto"/>
        </w:rPr>
      </w:pPr>
    </w:p>
    <w:p>
      <w:pPr>
        <w:ind w:left="1612" w:hanging="802"/>
        <w:spacing w:after="0"/>
        <w:tabs>
          <w:tab w:leader="none" w:pos="1612"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Dragon Production Agreement is terminated.</w:t>
      </w:r>
    </w:p>
    <w:p>
      <w:pPr>
        <w:spacing w:after="0" w:line="225" w:lineRule="exact"/>
        <w:rPr>
          <w:rFonts w:ascii="Arial" w:cs="Arial" w:eastAsia="Arial" w:hAnsi="Arial"/>
          <w:sz w:val="18"/>
          <w:szCs w:val="18"/>
          <w:color w:val="auto"/>
        </w:rPr>
      </w:pPr>
    </w:p>
    <w:p>
      <w:pPr>
        <w:ind w:left="812" w:right="160" w:hanging="812"/>
        <w:spacing w:after="0" w:line="298" w:lineRule="auto"/>
        <w:tabs>
          <w:tab w:leader="none" w:pos="812" w:val="left"/>
        </w:tabs>
        <w:numPr>
          <w:ilvl w:val="0"/>
          <w:numId w:val="73"/>
        </w:numPr>
        <w:rPr>
          <w:rFonts w:ascii="Arial" w:cs="Arial" w:eastAsia="Arial" w:hAnsi="Arial"/>
          <w:sz w:val="16"/>
          <w:szCs w:val="16"/>
          <w:color w:val="auto"/>
        </w:rPr>
      </w:pPr>
      <w:r>
        <w:rPr>
          <w:rFonts w:ascii="Arial" w:cs="Arial" w:eastAsia="Arial" w:hAnsi="Arial"/>
          <w:sz w:val="16"/>
          <w:szCs w:val="16"/>
          <w:color w:val="auto"/>
        </w:rPr>
        <w:t>If the Agreement herein is terminated in accordance with any of the provisions of Section 15.A), all compensation theretofore accrued shall become due and payable immediately to Calitri and Wynn Las Vegas shall indemnify Calitri for all costs, expenses and charges payable by Calitri to employees or contractors and other third parties as may reasonably and necessarily result from such termination, and Calitri shall not be obligated to reimburse Wynn Las Vegas for any payment theretofore paid by Wynn Las Vegas to Calitri.</w:t>
      </w:r>
    </w:p>
    <w:p>
      <w:pPr>
        <w:spacing w:after="0" w:line="161" w:lineRule="exact"/>
        <w:rPr>
          <w:sz w:val="20"/>
          <w:szCs w:val="20"/>
          <w:color w:val="auto"/>
        </w:rPr>
      </w:pPr>
    </w:p>
    <w:p>
      <w:pPr>
        <w:ind w:left="812" w:hanging="812"/>
        <w:spacing w:after="0"/>
        <w:tabs>
          <w:tab w:leader="none" w:pos="812"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TAXES AND ASSESSMENTS</w:t>
      </w:r>
    </w:p>
    <w:p>
      <w:pPr>
        <w:spacing w:after="0" w:line="231" w:lineRule="exact"/>
        <w:rPr>
          <w:sz w:val="20"/>
          <w:szCs w:val="20"/>
          <w:color w:val="auto"/>
        </w:rPr>
      </w:pPr>
    </w:p>
    <w:p>
      <w:pPr>
        <w:ind w:left="812" w:right="80" w:hanging="812"/>
        <w:spacing w:after="0" w:line="268" w:lineRule="auto"/>
        <w:tabs>
          <w:tab w:leader="none" w:pos="812"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payments and compensation hereinabove provided are exclusive of any taxes of any nature and of any government whatsoever, whether the fiscal law is in</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THIS AGREEMENT IS STRICTLY CONFIDENTIAL</w:t>
      </w:r>
    </w:p>
    <w:p>
      <w:pPr>
        <w:sectPr>
          <w:pgSz w:w="11900" w:h="16838" w:orient="portrait"/>
          <w:cols w:equalWidth="0" w:num="1">
            <w:col w:w="11392"/>
          </w:cols>
          <w:pgMar w:left="248" w:top="388" w:right="259" w:bottom="1440" w:gutter="0" w:footer="0" w:header="0"/>
        </w:sectPr>
      </w:pPr>
    </w:p>
    <w:bookmarkStart w:id="131" w:name="page132"/>
    <w:bookmarkEnd w:id="131"/>
    <w:p>
      <w:pPr>
        <w:jc w:val="center"/>
        <w:ind w:right="-1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11 of 15</w:t>
      </w:r>
    </w:p>
    <w:p>
      <w:pPr>
        <w:spacing w:after="0" w:line="225" w:lineRule="exact"/>
        <w:rPr>
          <w:sz w:val="20"/>
          <w:szCs w:val="20"/>
          <w:color w:val="auto"/>
        </w:rPr>
      </w:pPr>
    </w:p>
    <w:p>
      <w:pPr>
        <w:ind w:left="812"/>
        <w:spacing w:after="0"/>
        <w:rPr>
          <w:sz w:val="20"/>
          <w:szCs w:val="20"/>
          <w:color w:val="auto"/>
        </w:rPr>
      </w:pPr>
      <w:r>
        <w:rPr>
          <w:rFonts w:ascii="Arial" w:cs="Arial" w:eastAsia="Arial" w:hAnsi="Arial"/>
          <w:sz w:val="18"/>
          <w:szCs w:val="18"/>
          <w:color w:val="auto"/>
        </w:rPr>
        <w:t>force presently or at any time in the future, except for income taxes, but are subject to withholding taxes, if any.</w:t>
      </w:r>
    </w:p>
    <w:p>
      <w:pPr>
        <w:spacing w:after="0" w:line="225" w:lineRule="exact"/>
        <w:rPr>
          <w:sz w:val="20"/>
          <w:szCs w:val="20"/>
          <w:color w:val="auto"/>
        </w:rPr>
      </w:pPr>
    </w:p>
    <w:p>
      <w:pPr>
        <w:ind w:left="812" w:hanging="812"/>
        <w:spacing w:after="0"/>
        <w:tabs>
          <w:tab w:leader="none" w:pos="812"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parties hereto agree to cooperate with each other to obtain the appropriate certificates of reduction or exemption of taxes, wherever applicable.</w:t>
      </w:r>
    </w:p>
    <w:p>
      <w:pPr>
        <w:spacing w:after="0" w:line="242" w:lineRule="exact"/>
        <w:rPr>
          <w:sz w:val="20"/>
          <w:szCs w:val="20"/>
          <w:color w:val="auto"/>
        </w:rPr>
      </w:pPr>
    </w:p>
    <w:p>
      <w:pPr>
        <w:ind w:left="812" w:hanging="812"/>
        <w:spacing w:after="0"/>
        <w:tabs>
          <w:tab w:leader="none" w:pos="812"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BOOKS AND RECORDS</w:t>
      </w:r>
    </w:p>
    <w:p>
      <w:pPr>
        <w:spacing w:after="0" w:line="231" w:lineRule="exact"/>
        <w:rPr>
          <w:sz w:val="20"/>
          <w:szCs w:val="20"/>
          <w:color w:val="auto"/>
        </w:rPr>
      </w:pPr>
    </w:p>
    <w:p>
      <w:pPr>
        <w:ind w:left="812" w:right="180" w:hanging="812"/>
        <w:spacing w:after="0" w:line="294" w:lineRule="auto"/>
        <w:tabs>
          <w:tab w:leader="none" w:pos="812" w:val="left"/>
        </w:tabs>
        <w:numPr>
          <w:ilvl w:val="0"/>
          <w:numId w:val="78"/>
        </w:numPr>
        <w:rPr>
          <w:rFonts w:ascii="Arial" w:cs="Arial" w:eastAsia="Arial" w:hAnsi="Arial"/>
          <w:sz w:val="16"/>
          <w:szCs w:val="16"/>
          <w:color w:val="auto"/>
        </w:rPr>
      </w:pPr>
      <w:r>
        <w:rPr>
          <w:rFonts w:ascii="Arial" w:cs="Arial" w:eastAsia="Arial" w:hAnsi="Arial"/>
          <w:sz w:val="16"/>
          <w:szCs w:val="16"/>
          <w:color w:val="auto"/>
        </w:rPr>
        <w:t>Wynn Las Vegas shall keep or have any assignees or licensees of Wynn Las Vegas’ rights keep accurate books of account and records covering all transactions relating to the rights and licenses herein granted and Calitri or its nominees shall have the right upon notice and at all reasonable hours during any business day to an examination of said books of account and records and all other documents and materials, whether in the possession of Wynn Las Vegas or any assignees or sublicensees of Wynn Las Vegas’ rights or otherwise, with respect to the subject matter and the terms of this Agreement, and shall have free and full access thereto for the purpose of taking extracts or copies thereof.</w:t>
      </w:r>
    </w:p>
    <w:p>
      <w:pPr>
        <w:spacing w:after="0" w:line="169" w:lineRule="exact"/>
        <w:rPr>
          <w:rFonts w:ascii="Arial" w:cs="Arial" w:eastAsia="Arial" w:hAnsi="Arial"/>
          <w:sz w:val="16"/>
          <w:szCs w:val="16"/>
          <w:color w:val="auto"/>
        </w:rPr>
      </w:pPr>
    </w:p>
    <w:p>
      <w:pPr>
        <w:ind w:left="812" w:right="280" w:hanging="812"/>
        <w:spacing w:after="0" w:line="256" w:lineRule="auto"/>
        <w:tabs>
          <w:tab w:leader="none" w:pos="812" w:val="left"/>
        </w:tabs>
        <w:numPr>
          <w:ilvl w:val="0"/>
          <w:numId w:val="78"/>
        </w:numPr>
        <w:rPr>
          <w:rFonts w:ascii="Arial" w:cs="Arial" w:eastAsia="Arial" w:hAnsi="Arial"/>
          <w:sz w:val="18"/>
          <w:szCs w:val="18"/>
          <w:color w:val="auto"/>
        </w:rPr>
      </w:pPr>
      <w:r>
        <w:rPr>
          <w:rFonts w:ascii="Arial" w:cs="Arial" w:eastAsia="Arial" w:hAnsi="Arial"/>
          <w:sz w:val="18"/>
          <w:szCs w:val="18"/>
          <w:color w:val="auto"/>
        </w:rPr>
        <w:t>Calitri shall keep accurate books of account and records covering all transactions performed by Calitri pursuant to the terms of this Agreement and Wynn Las Vegas shall have the right upon notice and at reasonable hours during any business day to an examination of said books of account and records with respect to the amounts reimbursable to Calitri under the terms of this Agreement, and shall have free and full access thereto for the purpose of taking extracts or copies thereof.</w:t>
      </w:r>
    </w:p>
    <w:p>
      <w:pPr>
        <w:spacing w:after="0" w:line="191" w:lineRule="exact"/>
        <w:rPr>
          <w:sz w:val="20"/>
          <w:szCs w:val="20"/>
          <w:color w:val="auto"/>
        </w:rPr>
      </w:pPr>
    </w:p>
    <w:p>
      <w:pPr>
        <w:ind w:left="812" w:hanging="812"/>
        <w:spacing w:after="0"/>
        <w:tabs>
          <w:tab w:leader="none" w:pos="812"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INDEMNITIES OF CALITRI</w:t>
      </w:r>
    </w:p>
    <w:p>
      <w:pPr>
        <w:spacing w:after="0" w:line="231" w:lineRule="exact"/>
        <w:rPr>
          <w:sz w:val="20"/>
          <w:szCs w:val="20"/>
          <w:color w:val="auto"/>
        </w:rPr>
      </w:pPr>
    </w:p>
    <w:p>
      <w:pPr>
        <w:ind w:left="812" w:right="120" w:hanging="812"/>
        <w:spacing w:after="0" w:line="291" w:lineRule="auto"/>
        <w:tabs>
          <w:tab w:leader="none" w:pos="812" w:val="left"/>
        </w:tabs>
        <w:numPr>
          <w:ilvl w:val="0"/>
          <w:numId w:val="80"/>
        </w:numPr>
        <w:rPr>
          <w:rFonts w:ascii="Arial" w:cs="Arial" w:eastAsia="Arial" w:hAnsi="Arial"/>
          <w:sz w:val="16"/>
          <w:szCs w:val="16"/>
          <w:color w:val="auto"/>
        </w:rPr>
      </w:pPr>
      <w:r>
        <w:rPr>
          <w:rFonts w:ascii="Arial" w:cs="Arial" w:eastAsia="Arial" w:hAnsi="Arial"/>
          <w:sz w:val="16"/>
          <w:szCs w:val="16"/>
          <w:color w:val="auto"/>
        </w:rPr>
        <w:t>Calitri agrees to indemnify and hold harmless Wynn Las Vegas, its members, managers, directors, officers and agents and all others claiming by, through or under Wynn Las Vegas against any claims, demands, suits, losses, costs, expenses (including, without limitation, reasonable counsel fees, costs and disbursements), damages or recoveries (including, without limitation, any amounts paid by Wynn Las Vegas in settlement), suffered, paid, incurred or assumed by Wynn Las Vegas, its members, managers, directors, officers, agents and all other claiming by, through or under Wynn Las Vegas by reason of any breach or non-performance of any representation, warranty or covenant of Calitri contained in this Agreement, or by Calitri’s negligence or willful misconduct .</w:t>
      </w:r>
    </w:p>
    <w:p>
      <w:pPr>
        <w:spacing w:after="0" w:line="174" w:lineRule="exact"/>
        <w:rPr>
          <w:rFonts w:ascii="Arial" w:cs="Arial" w:eastAsia="Arial" w:hAnsi="Arial"/>
          <w:sz w:val="16"/>
          <w:szCs w:val="16"/>
          <w:color w:val="auto"/>
        </w:rPr>
      </w:pPr>
    </w:p>
    <w:p>
      <w:pPr>
        <w:ind w:left="812" w:hanging="812"/>
        <w:spacing w:after="0" w:line="298" w:lineRule="auto"/>
        <w:tabs>
          <w:tab w:leader="none" w:pos="812" w:val="left"/>
        </w:tabs>
        <w:numPr>
          <w:ilvl w:val="0"/>
          <w:numId w:val="80"/>
        </w:numPr>
        <w:rPr>
          <w:rFonts w:ascii="Arial" w:cs="Arial" w:eastAsia="Arial" w:hAnsi="Arial"/>
          <w:sz w:val="16"/>
          <w:szCs w:val="16"/>
          <w:color w:val="auto"/>
        </w:rPr>
      </w:pPr>
      <w:r>
        <w:rPr>
          <w:rFonts w:ascii="Arial" w:cs="Arial" w:eastAsia="Arial" w:hAnsi="Arial"/>
          <w:sz w:val="16"/>
          <w:szCs w:val="16"/>
          <w:color w:val="auto"/>
        </w:rPr>
        <w:t>Wynn Las Vegas shall notify Calitri in writing of the existence of any such claim, demand or suit, which if sustained, would give rise to liability on the part of Calitri hereunder, promptly after Wynn Las Vegas has knowledge of any such claim, demand or suit. Calitri shall have the option to designate counsel to defend any such claim, demand or suit designated by it and shall control such defense. Wynn Las Vegas shall cooperate in the defense of any such claim, demand or suit and may participate in the defense of any such claim, demand or</w:t>
      </w:r>
    </w:p>
    <w:p>
      <w:pPr>
        <w:spacing w:after="0" w:line="16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THIS AGREEMENT IS STRICTLY CONFIDENTIAL</w:t>
      </w:r>
    </w:p>
    <w:p>
      <w:pPr>
        <w:sectPr>
          <w:pgSz w:w="11900" w:h="16838" w:orient="portrait"/>
          <w:cols w:equalWidth="0" w:num="1">
            <w:col w:w="11392"/>
          </w:cols>
          <w:pgMar w:left="248" w:top="388" w:right="259" w:bottom="1440" w:gutter="0" w:footer="0" w:header="0"/>
        </w:sectPr>
      </w:pPr>
    </w:p>
    <w:bookmarkStart w:id="132" w:name="page133"/>
    <w:bookmarkEnd w:id="13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12 of 15</w:t>
      </w:r>
    </w:p>
    <w:p>
      <w:pPr>
        <w:spacing w:after="0" w:line="225" w:lineRule="exact"/>
        <w:rPr>
          <w:sz w:val="20"/>
          <w:szCs w:val="20"/>
          <w:color w:val="auto"/>
        </w:rPr>
      </w:pPr>
    </w:p>
    <w:p>
      <w:pPr>
        <w:ind w:left="820" w:right="60"/>
        <w:spacing w:after="0" w:line="259" w:lineRule="auto"/>
        <w:rPr>
          <w:sz w:val="20"/>
          <w:szCs w:val="20"/>
          <w:color w:val="auto"/>
        </w:rPr>
      </w:pPr>
      <w:r>
        <w:rPr>
          <w:rFonts w:ascii="Arial" w:cs="Arial" w:eastAsia="Arial" w:hAnsi="Arial"/>
          <w:sz w:val="18"/>
          <w:szCs w:val="18"/>
          <w:color w:val="auto"/>
        </w:rPr>
        <w:t>suit with counsel of its own choosing (if Wynn Las Vegas does not approve counsel designated by Calitri) at its own expense, it being understood that Calitri shall not be responsible for the payment of any fees of any such counsel. Wynn Las Vegas shall not take any action to compromise or settle any such claim, demand or suit unless consented to in writing by Calitri.</w:t>
      </w:r>
    </w:p>
    <w:p>
      <w:pPr>
        <w:spacing w:after="0" w:line="188" w:lineRule="exact"/>
        <w:rPr>
          <w:sz w:val="20"/>
          <w:szCs w:val="20"/>
          <w:color w:val="auto"/>
        </w:rPr>
      </w:pPr>
    </w:p>
    <w:p>
      <w:pPr>
        <w:ind w:left="820" w:hanging="812"/>
        <w:spacing w:after="0"/>
        <w:tabs>
          <w:tab w:leader="none" w:pos="82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INDEMNITIES OF WYNN LAS VEGAS</w:t>
      </w:r>
    </w:p>
    <w:p>
      <w:pPr>
        <w:spacing w:after="0" w:line="231" w:lineRule="exact"/>
        <w:rPr>
          <w:sz w:val="20"/>
          <w:szCs w:val="20"/>
          <w:color w:val="auto"/>
        </w:rPr>
      </w:pPr>
    </w:p>
    <w:p>
      <w:pPr>
        <w:ind w:left="820" w:right="80" w:hanging="812"/>
        <w:spacing w:after="0" w:line="294" w:lineRule="auto"/>
        <w:tabs>
          <w:tab w:leader="none" w:pos="8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Wynn Las Vegas agrees to indemnify and hold harmless Calitri, its directors, officers and agents and all others claiming by, through or under Calitri against any claims, demands, suits, losses, costs, expenses (including, without limitation, reasonable counsel fees, costs and disbursements), damages or recoveries (including, without limitation, any amounts paid by Calitri in settlement), suffered, paid, incurred or assumed by Calitri, its directors, officers, agents and all other claiming by, through or under Calitri by reason of any breach or non-performance of any representation, warranty or covenant of Wynn Las Vegas contained in this Agreement, or by Wynn Las Vegas’ negligence or willful misconduct.</w:t>
      </w:r>
    </w:p>
    <w:p>
      <w:pPr>
        <w:spacing w:after="0" w:line="169" w:lineRule="exact"/>
        <w:rPr>
          <w:rFonts w:ascii="Arial" w:cs="Arial" w:eastAsia="Arial" w:hAnsi="Arial"/>
          <w:sz w:val="16"/>
          <w:szCs w:val="16"/>
          <w:color w:val="auto"/>
        </w:rPr>
      </w:pPr>
    </w:p>
    <w:p>
      <w:pPr>
        <w:ind w:left="820" w:hanging="812"/>
        <w:spacing w:after="0" w:line="291" w:lineRule="auto"/>
        <w:tabs>
          <w:tab w:leader="none" w:pos="8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Calitri shall notify Wynn Las Vegas in writing of the existence of any such claim, demand or suit, which if sustained, would give rise to liability on the part of Wynn Las Vegas hereunder, promptly after Calitri has knowledge of any such claim, demand or suit. Wynn Las Vegas shall have the option to designate counsel to defend any such claim, demand or suit designated by it and shall control such defense. Calitri shall cooperate in the defense of any such claim, demand or suit with counsel of its own choosing (if Calitri does not approve counsel designated by Wynn Las Vegas) at its own expense, it being understood that Wynn Las Vegas shall not be responsible for the payment of any fees of any such counsel Calitri shall not take any action to compromise or settle any such claim, demand or suit unless consented to in writing by Wynn Las Vegas.</w:t>
      </w:r>
    </w:p>
    <w:p>
      <w:pPr>
        <w:spacing w:after="0" w:line="168" w:lineRule="exact"/>
        <w:rPr>
          <w:sz w:val="20"/>
          <w:szCs w:val="20"/>
          <w:color w:val="auto"/>
        </w:rPr>
      </w:pPr>
    </w:p>
    <w:p>
      <w:pPr>
        <w:ind w:left="820" w:hanging="812"/>
        <w:spacing w:after="0"/>
        <w:tabs>
          <w:tab w:leader="none" w:pos="82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OPTION</w:t>
      </w:r>
    </w:p>
    <w:p>
      <w:pPr>
        <w:spacing w:after="0" w:line="23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Wynn Las Vegas or one of its affiliates shall have the option to have Calitri create, develop and produce a second new first-class theatrical entertainment attraction </w:t>
      </w:r>
      <w:r>
        <w:rPr>
          <w:rFonts w:ascii="Arial" w:cs="Arial" w:eastAsia="Arial" w:hAnsi="Arial"/>
          <w:sz w:val="16"/>
          <w:szCs w:val="16"/>
          <w:b w:val="1"/>
          <w:bCs w:val="1"/>
          <w:i w:val="1"/>
          <w:iCs w:val="1"/>
          <w:color w:val="auto"/>
        </w:rPr>
        <w:t>(the “Other Show”)</w:t>
      </w:r>
      <w:r>
        <w:rPr>
          <w:rFonts w:ascii="Arial" w:cs="Arial" w:eastAsia="Arial" w:hAnsi="Arial"/>
          <w:sz w:val="16"/>
          <w:szCs w:val="16"/>
          <w:color w:val="auto"/>
        </w:rPr>
        <w:t xml:space="preserve"> to be financed, produced and presented by Wynn Las Vegas or its affiliate at Le Rêve or any other of the Wynn Casinos and to obtain an exclusive licence to produce and present the Other Show upon terms and conditions similar to those set out in this Agreement, provided that (a) Wynn Las Vegas or its affiliate has informed Calitri in writing by no later than December 31, 2003 that it wishes to produce and present such Other Show; (b) the first public performance of the Other Show is scheduled to take place no earlier than 15 months and no later than 30 months after the notice provided in the preceding clause (a), taking into account the size and complexity of the Show; and (c) within ten (10) days following the approval of the concept of the Other Show, Wynn Las Vegas or its affiliate pays Calitri the sum of US$1,000,000.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AGREEMENT IS STRICTLY CONFIDENTIAL</w:t>
      </w:r>
    </w:p>
    <w:p>
      <w:pPr>
        <w:sectPr>
          <w:pgSz w:w="11900" w:h="16838" w:orient="portrait"/>
          <w:cols w:equalWidth="0" w:num="1">
            <w:col w:w="11400"/>
          </w:cols>
          <w:pgMar w:left="240" w:top="388" w:right="259"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13 of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parties acknowledge and agree that Wynn Las Vegas has already paid Calitri US$1,000,000 to obtain and secure this option right.</w:t>
      </w:r>
    </w:p>
    <w:p>
      <w:pPr>
        <w:spacing w:after="0" w:line="219" w:lineRule="exact"/>
        <w:rPr>
          <w:sz w:val="20"/>
          <w:szCs w:val="20"/>
          <w:color w:val="auto"/>
        </w:rPr>
      </w:pPr>
    </w:p>
    <w:p>
      <w:pPr>
        <w:ind w:left="820" w:hanging="812"/>
        <w:spacing w:after="0"/>
        <w:tabs>
          <w:tab w:leader="none" w:pos="82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31" w:lineRule="exact"/>
        <w:rPr>
          <w:sz w:val="20"/>
          <w:szCs w:val="20"/>
          <w:color w:val="auto"/>
        </w:rPr>
      </w:pPr>
    </w:p>
    <w:p>
      <w:pPr>
        <w:ind w:left="820" w:hanging="812"/>
        <w:spacing w:after="0" w:line="259" w:lineRule="auto"/>
        <w:tabs>
          <w:tab w:leader="none" w:pos="8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This Agreement together with any attachments hereto shall be the definitive Agreement between the parties and define each party’s rights and obligations to the other. This Agreement may be modified with the consent of both parties by written amendment, which, upon execution shall become a part of this Agreement with the same full force and effect as if first written.</w:t>
      </w:r>
    </w:p>
    <w:p>
      <w:pPr>
        <w:spacing w:after="0" w:line="194" w:lineRule="exact"/>
        <w:rPr>
          <w:rFonts w:ascii="Arial" w:cs="Arial" w:eastAsia="Arial" w:hAnsi="Arial"/>
          <w:sz w:val="18"/>
          <w:szCs w:val="18"/>
          <w:color w:val="auto"/>
        </w:rPr>
      </w:pPr>
    </w:p>
    <w:p>
      <w:pPr>
        <w:ind w:left="820" w:right="80" w:hanging="812"/>
        <w:spacing w:after="0" w:line="253" w:lineRule="auto"/>
        <w:tabs>
          <w:tab w:leader="none" w:pos="8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Calitri acknowledges that Wynn Las Vegas and its affiliates conduct businesses that are subject to and exist because of privileged licenses issued by governmental authorities in the State of Nevada and elsewhere, that regulate gaming and related matters. In the event Calitri is found unsuitable by the appropriate governmental authority or if Wynn Las Vegas is advised by such governmental authority to terminate its relationship with Calitri, or Wynn Las Vegas reasonably determines, based on its internal compliance investigation and based on substantial, objective and evidenced elements, that it is required to terminate its relationship with Calitri to avoid the loss of its privileged licenses or receive sanctions, Wynn Las Vegas shall be entitled to terminate the agreement between the parties without liability to Calitri except for the obligation to pay all costs incurred to the date of such termination.</w:t>
      </w:r>
    </w:p>
    <w:p>
      <w:pPr>
        <w:spacing w:after="0" w:line="201" w:lineRule="exact"/>
        <w:rPr>
          <w:rFonts w:ascii="Arial" w:cs="Arial" w:eastAsia="Arial" w:hAnsi="Arial"/>
          <w:sz w:val="18"/>
          <w:szCs w:val="18"/>
          <w:color w:val="auto"/>
        </w:rPr>
      </w:pPr>
    </w:p>
    <w:p>
      <w:pPr>
        <w:ind w:left="820" w:right="720"/>
        <w:spacing w:after="0" w:line="268" w:lineRule="auto"/>
        <w:rPr>
          <w:rFonts w:ascii="Arial" w:cs="Arial" w:eastAsia="Arial" w:hAnsi="Arial"/>
          <w:sz w:val="18"/>
          <w:szCs w:val="18"/>
          <w:color w:val="auto"/>
        </w:rPr>
      </w:pPr>
      <w:r>
        <w:rPr>
          <w:rFonts w:ascii="Arial" w:cs="Arial" w:eastAsia="Arial" w:hAnsi="Arial"/>
          <w:sz w:val="18"/>
          <w:szCs w:val="18"/>
          <w:color w:val="auto"/>
        </w:rPr>
        <w:t>Notwithstanding the above, Calitri shall be allowed an opportunity to pursue any appeal rights it may have with respect to any governmental determination which Wynn Las Vegas is using as the basis of exercising its termination rights.</w:t>
      </w:r>
    </w:p>
    <w:p>
      <w:pPr>
        <w:spacing w:after="0" w:line="185" w:lineRule="exact"/>
        <w:rPr>
          <w:rFonts w:ascii="Arial" w:cs="Arial" w:eastAsia="Arial" w:hAnsi="Arial"/>
          <w:sz w:val="18"/>
          <w:szCs w:val="18"/>
          <w:color w:val="auto"/>
        </w:rPr>
      </w:pPr>
    </w:p>
    <w:p>
      <w:pPr>
        <w:ind w:left="820" w:right="940"/>
        <w:spacing w:after="0" w:line="332" w:lineRule="auto"/>
        <w:rPr>
          <w:rFonts w:ascii="Arial" w:cs="Arial" w:eastAsia="Arial" w:hAnsi="Arial"/>
          <w:sz w:val="18"/>
          <w:szCs w:val="18"/>
          <w:color w:val="auto"/>
        </w:rPr>
      </w:pPr>
      <w:r>
        <w:rPr>
          <w:rFonts w:ascii="Arial" w:cs="Arial" w:eastAsia="Arial" w:hAnsi="Arial"/>
          <w:sz w:val="16"/>
          <w:szCs w:val="16"/>
          <w:color w:val="auto"/>
        </w:rPr>
        <w:t>If the licenses are terminated for any reason other than as a result of Calitri’s activities as referred to above, Calitri shall be entitled to full indemnification by Wynn Las Vegas for all and any provable losses incurred by Calitri due to such termination.</w:t>
      </w:r>
    </w:p>
    <w:p>
      <w:pPr>
        <w:spacing w:after="0" w:line="139" w:lineRule="exact"/>
        <w:rPr>
          <w:rFonts w:ascii="Arial" w:cs="Arial" w:eastAsia="Arial" w:hAnsi="Arial"/>
          <w:sz w:val="18"/>
          <w:szCs w:val="18"/>
          <w:color w:val="auto"/>
        </w:rPr>
      </w:pPr>
    </w:p>
    <w:p>
      <w:pPr>
        <w:ind w:left="820" w:right="200" w:hanging="812"/>
        <w:spacing w:after="0" w:line="268" w:lineRule="auto"/>
        <w:tabs>
          <w:tab w:leader="none" w:pos="8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party undertakes not to disclose the existence of this Agreement to any third party except to its professional advisors and its consultants and to such other persons as is reasonably required in order to consummate the transactions contemplated herein.</w:t>
      </w:r>
    </w:p>
    <w:p>
      <w:pPr>
        <w:spacing w:after="0" w:line="185" w:lineRule="exact"/>
        <w:rPr>
          <w:rFonts w:ascii="Arial" w:cs="Arial" w:eastAsia="Arial" w:hAnsi="Arial"/>
          <w:sz w:val="18"/>
          <w:szCs w:val="18"/>
          <w:color w:val="auto"/>
        </w:rPr>
      </w:pPr>
    </w:p>
    <w:p>
      <w:pPr>
        <w:jc w:val="both"/>
        <w:ind w:left="820" w:right="240"/>
        <w:spacing w:after="0" w:line="298" w:lineRule="auto"/>
        <w:rPr>
          <w:rFonts w:ascii="Arial" w:cs="Arial" w:eastAsia="Arial" w:hAnsi="Arial"/>
          <w:sz w:val="18"/>
          <w:szCs w:val="18"/>
          <w:color w:val="auto"/>
        </w:rPr>
      </w:pPr>
      <w:r>
        <w:rPr>
          <w:rFonts w:ascii="Arial" w:cs="Arial" w:eastAsia="Arial" w:hAnsi="Arial"/>
          <w:sz w:val="16"/>
          <w:szCs w:val="16"/>
          <w:color w:val="auto"/>
        </w:rPr>
        <w:t>This paragraph shall survive the termination of this Agreement. This confidentiality restriction does not apply in the event of litigation between the parties in relation to this Agreement, or in the event its disclosure is compelled by law or regulation or by order of any court or regulatory authority having jurisdiction over one of the parties. In this regard, Calitri acknowledges and agrees that this Agreement may be required to be disclosed by Wynn Las Vegas and its affiliates in connection with the financing of Le Rêve.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AGREEMENT IS STRICTLY CONFIDENTIAL</w:t>
      </w:r>
    </w:p>
    <w:p>
      <w:pPr>
        <w:sectPr>
          <w:pgSz w:w="11900" w:h="16838" w:orient="portrait"/>
          <w:cols w:equalWidth="0" w:num="1">
            <w:col w:w="11400"/>
          </w:cols>
          <w:pgMar w:left="240" w:top="388" w:right="25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14 of 15</w:t>
      </w:r>
    </w:p>
    <w:p>
      <w:pPr>
        <w:spacing w:after="0" w:line="225" w:lineRule="exact"/>
        <w:rPr>
          <w:sz w:val="20"/>
          <w:szCs w:val="20"/>
          <w:color w:val="auto"/>
        </w:rPr>
      </w:pPr>
    </w:p>
    <w:p>
      <w:pPr>
        <w:ind w:left="820" w:right="340" w:hanging="812"/>
        <w:spacing w:after="0" w:line="259" w:lineRule="auto"/>
        <w:tabs>
          <w:tab w:leader="none" w:pos="8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and of the State of Nevada, without regard to conflict of laws principles, and the parties hereby consent to the exclusive jurisdiction of the state or federal court located in Clark County, Nevada for any dispute arising out of or relating to this Agreement.</w:t>
      </w:r>
    </w:p>
    <w:p>
      <w:pPr>
        <w:spacing w:after="0" w:line="194" w:lineRule="exact"/>
        <w:rPr>
          <w:rFonts w:ascii="Arial" w:cs="Arial" w:eastAsia="Arial" w:hAnsi="Arial"/>
          <w:sz w:val="18"/>
          <w:szCs w:val="18"/>
          <w:color w:val="auto"/>
        </w:rPr>
      </w:pPr>
    </w:p>
    <w:p>
      <w:pPr>
        <w:ind w:left="820" w:hanging="812"/>
        <w:spacing w:after="0" w:line="291" w:lineRule="auto"/>
        <w:tabs>
          <w:tab w:leader="none" w:pos="8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Neither this Agreement nor any rights or obligations conveyed hereunder may be transferred, assigned, or delegated (including by sublicense) without the written consent of the other party, which consent may be withheld for any reason whatsoever. Notwithstanding the foregoing, this Agreement may be assigned by Wynn Las Vegas or by Calitri to any of its affiliated entities, without the prior consent of the other party; provided that such assignment shall not discharge or otherwise affect the obligations of the assignor to perform, fulfill and satisfy its obligations and responsibilities hereunder. This Agreement shall inure to the benefit of and be binding upon the parties hereto and each of their respective successors, permitted assigns, administrators and/or legal representatives.</w:t>
      </w:r>
    </w:p>
    <w:p>
      <w:pPr>
        <w:spacing w:after="0" w:line="174" w:lineRule="exact"/>
        <w:rPr>
          <w:rFonts w:ascii="Arial" w:cs="Arial" w:eastAsia="Arial" w:hAnsi="Arial"/>
          <w:sz w:val="16"/>
          <w:szCs w:val="16"/>
          <w:color w:val="auto"/>
        </w:rPr>
      </w:pPr>
    </w:p>
    <w:p>
      <w:pPr>
        <w:ind w:left="820" w:hanging="812"/>
        <w:spacing w:after="0" w:line="268" w:lineRule="auto"/>
        <w:tabs>
          <w:tab w:leader="none" w:pos="8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Faxed signatures shall be sufficient to bind each party to this Agreement and this Agreement may be executed in one or more counterparts, which shall form together the entire Agreement between the parties.</w:t>
      </w:r>
    </w:p>
    <w:p>
      <w:pPr>
        <w:spacing w:after="0" w:line="185" w:lineRule="exact"/>
        <w:rPr>
          <w:rFonts w:ascii="Arial" w:cs="Arial" w:eastAsia="Arial" w:hAnsi="Arial"/>
          <w:sz w:val="18"/>
          <w:szCs w:val="18"/>
          <w:color w:val="auto"/>
        </w:rPr>
      </w:pPr>
    </w:p>
    <w:p>
      <w:pPr>
        <w:ind w:left="820" w:right="300" w:hanging="812"/>
        <w:spacing w:after="0" w:line="332" w:lineRule="auto"/>
        <w:tabs>
          <w:tab w:leader="none" w:pos="8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Nothing herein contained shall constitute a partnership or joint venture between the parties hereto. No party shall act in any manner contrary to the terms of this Section 21.G) and no party shall become liable by any representation, act or omission of the other.</w:t>
      </w:r>
    </w:p>
    <w:p>
      <w:pPr>
        <w:spacing w:after="0" w:line="139" w:lineRule="exact"/>
        <w:rPr>
          <w:rFonts w:ascii="Arial" w:cs="Arial" w:eastAsia="Arial" w:hAnsi="Arial"/>
          <w:sz w:val="16"/>
          <w:szCs w:val="16"/>
          <w:color w:val="auto"/>
        </w:rPr>
      </w:pPr>
    </w:p>
    <w:p>
      <w:pPr>
        <w:ind w:left="820" w:right="700" w:hanging="812"/>
        <w:spacing w:after="0" w:line="332" w:lineRule="auto"/>
        <w:tabs>
          <w:tab w:leader="none" w:pos="8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Except as otherwise specifically set forth above, nothing contained herein shall be interpreted or construed as creating on Calitri, its staff and personnel, including Franco Dragone representing Créations, an obligation to devote time and resources on an exclusive basis.</w:t>
      </w:r>
    </w:p>
    <w:p>
      <w:pPr>
        <w:spacing w:after="0" w:line="139" w:lineRule="exact"/>
        <w:rPr>
          <w:rFonts w:ascii="Arial" w:cs="Arial" w:eastAsia="Arial" w:hAnsi="Arial"/>
          <w:sz w:val="16"/>
          <w:szCs w:val="16"/>
          <w:color w:val="auto"/>
        </w:rPr>
      </w:pPr>
    </w:p>
    <w:p>
      <w:pPr>
        <w:ind w:left="820" w:right="80" w:hanging="812"/>
        <w:spacing w:after="0" w:line="268" w:lineRule="auto"/>
        <w:tabs>
          <w:tab w:leader="none" w:pos="8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This Agreement constitutes the complete and exclusive agreement between the parties and replaces and supersedes all prior agreements, negotiations, statements, memoranda and understandings with respect to its subject matter.</w:t>
      </w:r>
    </w:p>
    <w:p>
      <w:pPr>
        <w:spacing w:after="0" w:line="185" w:lineRule="exact"/>
        <w:rPr>
          <w:rFonts w:ascii="Arial" w:cs="Arial" w:eastAsia="Arial" w:hAnsi="Arial"/>
          <w:sz w:val="18"/>
          <w:szCs w:val="18"/>
          <w:color w:val="auto"/>
        </w:rPr>
      </w:pPr>
    </w:p>
    <w:p>
      <w:pPr>
        <w:ind w:left="820" w:right="20" w:hanging="812"/>
        <w:spacing w:after="0" w:line="268" w:lineRule="auto"/>
        <w:tabs>
          <w:tab w:leader="none" w:pos="8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voiding of any provision of this Agreement by any Court shall not serve as to void or place in less than full force and effect any other provision of this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AGREEMENT IS STRICTLY CONFIDENTIAL</w:t>
      </w:r>
    </w:p>
    <w:p>
      <w:pPr>
        <w:sectPr>
          <w:pgSz w:w="11900" w:h="16838" w:orient="portrait"/>
          <w:cols w:equalWidth="0" w:num="1">
            <w:col w:w="11420"/>
          </w:cols>
          <w:pgMar w:left="240" w:top="388" w:right="239" w:bottom="1440" w:gutter="0" w:footer="0" w:header="0"/>
        </w:sectPr>
      </w:pPr>
    </w:p>
    <w:bookmarkStart w:id="135" w:name="page136"/>
    <w:bookmarkEnd w:id="135"/>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15 of 15</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is agreed to and accepted this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day of October 2002 by those parties whose duly authorized signatures are set forth below: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4820" w:type="dxa"/>
            <w:vAlign w:val="bottom"/>
            <w:gridSpan w:val="2"/>
          </w:tcPr>
          <w:p>
            <w:pPr>
              <w:ind w:left="24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ALITRI</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ERVICES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p>
        </w:tc>
        <w:tc>
          <w:tcPr>
            <w:tcW w:w="520" w:type="dxa"/>
            <w:vAlign w:val="bottom"/>
          </w:tcPr>
          <w:p>
            <w:pPr>
              <w:spacing w:after="0"/>
              <w:rPr>
                <w:sz w:val="18"/>
                <w:szCs w:val="18"/>
                <w:color w:val="auto"/>
              </w:rPr>
            </w:pPr>
          </w:p>
        </w:tc>
        <w:tc>
          <w:tcPr>
            <w:tcW w:w="56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20" w:type="dxa"/>
            <w:vAlign w:val="bottom"/>
            <w:gridSpan w:val="2"/>
          </w:tcPr>
          <w:p>
            <w:pPr>
              <w:ind w:left="24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ICENSING</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IMITED</w:t>
            </w:r>
          </w:p>
        </w:tc>
        <w:tc>
          <w:tcPr>
            <w:tcW w:w="520" w:type="dxa"/>
            <w:vAlign w:val="bottom"/>
          </w:tcPr>
          <w:p>
            <w:pPr>
              <w:spacing w:after="0"/>
              <w:rPr>
                <w:sz w:val="18"/>
                <w:szCs w:val="18"/>
                <w:color w:val="auto"/>
              </w:rPr>
            </w:pPr>
          </w:p>
        </w:tc>
        <w:tc>
          <w:tcPr>
            <w:tcW w:w="5640" w:type="dxa"/>
            <w:vAlign w:val="bottom"/>
          </w:tcPr>
          <w:p>
            <w:pPr>
              <w:spacing w:after="0"/>
              <w:rPr>
                <w:sz w:val="18"/>
                <w:szCs w:val="18"/>
                <w:color w:val="auto"/>
              </w:rPr>
            </w:pPr>
          </w:p>
        </w:tc>
      </w:tr>
      <w:tr>
        <w:trPr>
          <w:trHeight w:val="228"/>
        </w:trPr>
        <w:tc>
          <w:tcPr>
            <w:tcW w:w="460" w:type="dxa"/>
            <w:vAlign w:val="bottom"/>
          </w:tcPr>
          <w:p>
            <w:pPr>
              <w:spacing w:after="0"/>
              <w:rPr>
                <w:sz w:val="19"/>
                <w:szCs w:val="19"/>
                <w:color w:val="auto"/>
              </w:rPr>
            </w:pPr>
          </w:p>
        </w:tc>
        <w:tc>
          <w:tcPr>
            <w:tcW w:w="4820" w:type="dxa"/>
            <w:vAlign w:val="bottom"/>
            <w:gridSpan w:val="2"/>
          </w:tcPr>
          <w:p>
            <w:pPr>
              <w:ind w:left="24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IABILITY</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p>
        </w:tc>
        <w:tc>
          <w:tcPr>
            <w:tcW w:w="5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YNN</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AS</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EGAS</w:t>
            </w:r>
            <w:r>
              <w:rPr>
                <w:rFonts w:ascii="Arial" w:cs="Arial" w:eastAsia="Arial" w:hAnsi="Arial"/>
                <w:sz w:val="18"/>
                <w:szCs w:val="18"/>
                <w:b w:val="1"/>
                <w:bCs w:val="1"/>
                <w:color w:val="auto"/>
              </w:rPr>
              <w:t>, LLC</w:t>
            </w:r>
          </w:p>
        </w:tc>
      </w:tr>
      <w:tr>
        <w:trPr>
          <w:trHeight w:val="486"/>
        </w:trPr>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Per: W</w:t>
            </w:r>
            <w:r>
              <w:rPr>
                <w:rFonts w:ascii="Arial" w:cs="Arial" w:eastAsia="Arial" w:hAnsi="Arial"/>
                <w:sz w:val="14"/>
                <w:szCs w:val="14"/>
                <w:b w:val="1"/>
                <w:bCs w:val="1"/>
                <w:color w:val="auto"/>
              </w:rPr>
              <w:t>YNN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ESORTS</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xml:space="preserve"> LLC</w:t>
            </w:r>
          </w:p>
        </w:tc>
      </w:tr>
      <w:tr>
        <w:trPr>
          <w:trHeight w:val="243"/>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its sole member</w:t>
            </w:r>
          </w:p>
        </w:tc>
      </w:tr>
      <w:tr>
        <w:trPr>
          <w:trHeight w:val="243"/>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Per: V</w:t>
            </w:r>
            <w:r>
              <w:rPr>
                <w:rFonts w:ascii="Arial" w:cs="Arial" w:eastAsia="Arial" w:hAnsi="Arial"/>
                <w:sz w:val="14"/>
                <w:szCs w:val="14"/>
                <w:b w:val="1"/>
                <w:bCs w:val="1"/>
                <w:color w:val="auto"/>
              </w:rPr>
              <w:t>ALVINO</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AMORE</w:t>
            </w:r>
            <w:r>
              <w:rPr>
                <w:rFonts w:ascii="Arial" w:cs="Arial" w:eastAsia="Arial" w:hAnsi="Arial"/>
                <w:sz w:val="18"/>
                <w:szCs w:val="18"/>
                <w:b w:val="1"/>
                <w:bCs w:val="1"/>
                <w:color w:val="auto"/>
              </w:rPr>
              <w:t>, LLC</w:t>
            </w:r>
          </w:p>
        </w:tc>
      </w:tr>
      <w:tr>
        <w:trPr>
          <w:trHeight w:val="243"/>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its sole member</w:t>
            </w:r>
          </w:p>
        </w:tc>
      </w:tr>
      <w:tr>
        <w:trPr>
          <w:trHeight w:val="243"/>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Per: W</w:t>
            </w:r>
            <w:r>
              <w:rPr>
                <w:rFonts w:ascii="Arial" w:cs="Arial" w:eastAsia="Arial" w:hAnsi="Arial"/>
                <w:sz w:val="14"/>
                <w:szCs w:val="14"/>
                <w:b w:val="1"/>
                <w:bCs w:val="1"/>
                <w:color w:val="auto"/>
              </w:rPr>
              <w:t>YNN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ESORTS</w:t>
            </w:r>
            <w:r>
              <w:rPr>
                <w:rFonts w:ascii="Arial" w:cs="Arial" w:eastAsia="Arial" w:hAnsi="Arial"/>
                <w:sz w:val="18"/>
                <w:szCs w:val="18"/>
                <w:b w:val="1"/>
                <w:bCs w:val="1"/>
                <w:color w:val="auto"/>
              </w:rPr>
              <w:t>, L</w:t>
            </w:r>
            <w:r>
              <w:rPr>
                <w:rFonts w:ascii="Arial" w:cs="Arial" w:eastAsia="Arial" w:hAnsi="Arial"/>
                <w:sz w:val="14"/>
                <w:szCs w:val="14"/>
                <w:b w:val="1"/>
                <w:bCs w:val="1"/>
                <w:color w:val="auto"/>
              </w:rPr>
              <w:t>IMITED</w:t>
            </w:r>
          </w:p>
        </w:tc>
      </w:tr>
      <w:tr>
        <w:trPr>
          <w:trHeight w:val="243"/>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its sole member</w:t>
            </w:r>
          </w:p>
        </w:tc>
      </w:tr>
      <w:tr>
        <w:trPr>
          <w:trHeight w:val="459"/>
        </w:trPr>
        <w:tc>
          <w:tcPr>
            <w:tcW w:w="460" w:type="dxa"/>
            <w:vAlign w:val="bottom"/>
          </w:tcPr>
          <w:p>
            <w:pPr>
              <w:spacing w:after="0"/>
              <w:rPr>
                <w:sz w:val="20"/>
                <w:szCs w:val="20"/>
                <w:color w:val="auto"/>
              </w:rPr>
            </w:pPr>
            <w:r>
              <w:rPr>
                <w:rFonts w:ascii="Arial" w:cs="Arial" w:eastAsia="Arial" w:hAnsi="Arial"/>
                <w:sz w:val="18"/>
                <w:szCs w:val="18"/>
                <w:color w:val="auto"/>
              </w:rPr>
              <w:t>Per</w:t>
            </w:r>
          </w:p>
        </w:tc>
        <w:tc>
          <w:tcPr>
            <w:tcW w:w="24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98"/>
              </w:rPr>
              <w:t>/s/ A</w:t>
            </w:r>
            <w:r>
              <w:rPr>
                <w:rFonts w:ascii="Arial" w:cs="Arial" w:eastAsia="Arial" w:hAnsi="Arial"/>
                <w:sz w:val="14"/>
                <w:szCs w:val="14"/>
                <w:color w:val="auto"/>
                <w:w w:val="98"/>
              </w:rPr>
              <w:t>USTIN</w:t>
            </w:r>
            <w:r>
              <w:rPr>
                <w:rFonts w:ascii="Arial" w:cs="Arial" w:eastAsia="Arial" w:hAnsi="Arial"/>
                <w:sz w:val="18"/>
                <w:szCs w:val="18"/>
                <w:color w:val="auto"/>
                <w:w w:val="98"/>
              </w:rPr>
              <w:t xml:space="preserve"> L. S</w:t>
            </w:r>
            <w:r>
              <w:rPr>
                <w:rFonts w:ascii="Arial" w:cs="Arial" w:eastAsia="Arial" w:hAnsi="Arial"/>
                <w:sz w:val="14"/>
                <w:szCs w:val="14"/>
                <w:color w:val="auto"/>
                <w:w w:val="98"/>
              </w:rPr>
              <w:t>EALY</w:t>
            </w:r>
          </w:p>
        </w:tc>
        <w:tc>
          <w:tcPr>
            <w:tcW w:w="520" w:type="dxa"/>
            <w:vAlign w:val="bottom"/>
          </w:tcPr>
          <w:p>
            <w:pPr>
              <w:ind w:left="180"/>
              <w:spacing w:after="0"/>
              <w:rPr>
                <w:sz w:val="20"/>
                <w:szCs w:val="20"/>
                <w:color w:val="auto"/>
              </w:rPr>
            </w:pPr>
            <w:r>
              <w:rPr>
                <w:rFonts w:ascii="Arial" w:cs="Arial" w:eastAsia="Arial" w:hAnsi="Arial"/>
                <w:sz w:val="18"/>
                <w:szCs w:val="18"/>
                <w:color w:val="auto"/>
                <w:w w:val="96"/>
              </w:rPr>
              <w:t>Per:</w:t>
            </w:r>
          </w:p>
        </w:tc>
        <w:tc>
          <w:tcPr>
            <w:tcW w:w="5640" w:type="dxa"/>
            <w:vAlign w:val="bottom"/>
          </w:tcPr>
          <w:p>
            <w:pPr>
              <w:jc w:val="center"/>
              <w:spacing w:after="0"/>
              <w:rPr>
                <w:sz w:val="20"/>
                <w:szCs w:val="20"/>
                <w:color w:val="auto"/>
              </w:rPr>
            </w:pPr>
            <w:r>
              <w:rPr>
                <w:rFonts w:ascii="Arial" w:cs="Arial" w:eastAsia="Arial" w:hAnsi="Arial"/>
                <w:sz w:val="18"/>
                <w:szCs w:val="18"/>
                <w:color w:val="auto"/>
                <w:w w:val="97"/>
              </w:rPr>
              <w:t>/s/ S</w:t>
            </w:r>
            <w:r>
              <w:rPr>
                <w:rFonts w:ascii="Arial" w:cs="Arial" w:eastAsia="Arial" w:hAnsi="Arial"/>
                <w:sz w:val="14"/>
                <w:szCs w:val="14"/>
                <w:color w:val="auto"/>
                <w:w w:val="97"/>
              </w:rPr>
              <w:t>TEPHEN</w:t>
            </w:r>
            <w:r>
              <w:rPr>
                <w:rFonts w:ascii="Arial" w:cs="Arial" w:eastAsia="Arial" w:hAnsi="Arial"/>
                <w:sz w:val="18"/>
                <w:szCs w:val="18"/>
                <w:color w:val="auto"/>
                <w:w w:val="97"/>
              </w:rPr>
              <w:t xml:space="preserve"> A. W</w:t>
            </w:r>
            <w:r>
              <w:rPr>
                <w:rFonts w:ascii="Arial" w:cs="Arial" w:eastAsia="Arial" w:hAnsi="Arial"/>
                <w:sz w:val="14"/>
                <w:szCs w:val="14"/>
                <w:color w:val="auto"/>
                <w:w w:val="97"/>
              </w:rPr>
              <w:t>YNN</w:t>
            </w:r>
          </w:p>
        </w:tc>
      </w:tr>
      <w:tr>
        <w:trPr>
          <w:trHeight w:val="124"/>
        </w:trPr>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580" w:type="dxa"/>
            <w:vAlign w:val="bottom"/>
            <w:tcBorders>
              <w:bottom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5640" w:type="dxa"/>
            <w:vAlign w:val="bottom"/>
            <w:tcBorders>
              <w:bottom w:val="single" w:sz="8" w:color="auto"/>
            </w:tcBorders>
          </w:tcPr>
          <w:p>
            <w:pPr>
              <w:spacing w:after="0"/>
              <w:rPr>
                <w:sz w:val="10"/>
                <w:szCs w:val="10"/>
                <w:color w:val="auto"/>
              </w:rPr>
            </w:pPr>
          </w:p>
        </w:tc>
      </w:tr>
      <w:tr>
        <w:trPr>
          <w:trHeight w:val="237"/>
        </w:trPr>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80" w:type="dxa"/>
            <w:vAlign w:val="bottom"/>
          </w:tcPr>
          <w:p>
            <w:pPr>
              <w:jc w:val="center"/>
              <w:spacing w:after="0"/>
              <w:rPr>
                <w:sz w:val="20"/>
                <w:szCs w:val="20"/>
                <w:color w:val="auto"/>
              </w:rPr>
            </w:pPr>
            <w:r>
              <w:rPr>
                <w:rFonts w:ascii="Arial" w:cs="Arial" w:eastAsia="Arial" w:hAnsi="Arial"/>
                <w:sz w:val="14"/>
                <w:szCs w:val="14"/>
                <w:b w:val="1"/>
                <w:bCs w:val="1"/>
                <w:color w:val="auto"/>
                <w:w w:val="87"/>
              </w:rPr>
              <w:t>Austin L. Sealy</w:t>
            </w:r>
          </w:p>
        </w:tc>
        <w:tc>
          <w:tcPr>
            <w:tcW w:w="520" w:type="dxa"/>
            <w:vAlign w:val="bottom"/>
          </w:tcPr>
          <w:p>
            <w:pPr>
              <w:spacing w:after="0"/>
              <w:rPr>
                <w:sz w:val="20"/>
                <w:szCs w:val="20"/>
                <w:color w:val="auto"/>
              </w:rPr>
            </w:pPr>
          </w:p>
        </w:tc>
        <w:tc>
          <w:tcPr>
            <w:tcW w:w="5640" w:type="dxa"/>
            <w:vAlign w:val="bottom"/>
          </w:tcPr>
          <w:p>
            <w:pPr>
              <w:jc w:val="center"/>
              <w:spacing w:after="0"/>
              <w:rPr>
                <w:sz w:val="20"/>
                <w:szCs w:val="20"/>
                <w:color w:val="auto"/>
              </w:rPr>
            </w:pPr>
            <w:r>
              <w:rPr>
                <w:rFonts w:ascii="Arial" w:cs="Arial" w:eastAsia="Arial" w:hAnsi="Arial"/>
                <w:sz w:val="14"/>
                <w:szCs w:val="14"/>
                <w:b w:val="1"/>
                <w:bCs w:val="1"/>
                <w:color w:val="auto"/>
                <w:w w:val="88"/>
              </w:rPr>
              <w:t>Stephen A. Wynn</w:t>
            </w:r>
          </w:p>
        </w:tc>
      </w:tr>
      <w:tr>
        <w:trPr>
          <w:trHeight w:val="174"/>
        </w:trPr>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580" w:type="dxa"/>
            <w:vAlign w:val="bottom"/>
          </w:tcPr>
          <w:p>
            <w:pPr>
              <w:jc w:val="center"/>
              <w:spacing w:after="0"/>
              <w:rPr>
                <w:sz w:val="20"/>
                <w:szCs w:val="20"/>
                <w:color w:val="auto"/>
              </w:rPr>
            </w:pPr>
            <w:r>
              <w:rPr>
                <w:rFonts w:ascii="Arial" w:cs="Arial" w:eastAsia="Arial" w:hAnsi="Arial"/>
                <w:sz w:val="14"/>
                <w:szCs w:val="14"/>
                <w:b w:val="1"/>
                <w:bCs w:val="1"/>
                <w:color w:val="auto"/>
                <w:w w:val="89"/>
              </w:rPr>
              <w:t>Managing Director</w:t>
            </w:r>
          </w:p>
        </w:tc>
        <w:tc>
          <w:tcPr>
            <w:tcW w:w="520" w:type="dxa"/>
            <w:vAlign w:val="bottom"/>
          </w:tcPr>
          <w:p>
            <w:pPr>
              <w:spacing w:after="0"/>
              <w:rPr>
                <w:sz w:val="15"/>
                <w:szCs w:val="15"/>
                <w:color w:val="auto"/>
              </w:rPr>
            </w:pPr>
          </w:p>
        </w:tc>
        <w:tc>
          <w:tcPr>
            <w:tcW w:w="5640" w:type="dxa"/>
            <w:vAlign w:val="bottom"/>
          </w:tcPr>
          <w:p>
            <w:pPr>
              <w:jc w:val="center"/>
              <w:spacing w:after="0"/>
              <w:rPr>
                <w:sz w:val="20"/>
                <w:szCs w:val="20"/>
                <w:color w:val="auto"/>
              </w:rPr>
            </w:pPr>
            <w:r>
              <w:rPr>
                <w:rFonts w:ascii="Arial" w:cs="Arial" w:eastAsia="Arial" w:hAnsi="Arial"/>
                <w:sz w:val="14"/>
                <w:szCs w:val="14"/>
                <w:b w:val="1"/>
                <w:bCs w:val="1"/>
                <w:color w:val="auto"/>
                <w:w w:val="88"/>
              </w:rPr>
              <w:t>Chairman and Chief Executive Officer</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As to the personal obligations in Sections 2.D) and E):</w:t>
      </w:r>
    </w:p>
    <w:p>
      <w:pPr>
        <w:spacing w:after="0" w:line="306"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/s/ F</w:t>
      </w:r>
      <w:r>
        <w:rPr>
          <w:rFonts w:ascii="Arial" w:cs="Arial" w:eastAsia="Arial" w:hAnsi="Arial"/>
          <w:sz w:val="14"/>
          <w:szCs w:val="14"/>
          <w:color w:val="auto"/>
        </w:rPr>
        <w:t>RANCO</w:t>
      </w:r>
      <w:r>
        <w:rPr>
          <w:rFonts w:ascii="Arial" w:cs="Arial" w:eastAsia="Arial" w:hAnsi="Arial"/>
          <w:sz w:val="18"/>
          <w:szCs w:val="18"/>
          <w:color w:val="auto"/>
        </w:rPr>
        <w:t xml:space="preserve"> D</w:t>
      </w:r>
      <w:r>
        <w:rPr>
          <w:rFonts w:ascii="Arial" w:cs="Arial" w:eastAsia="Arial" w:hAnsi="Arial"/>
          <w:sz w:val="14"/>
          <w:szCs w:val="14"/>
          <w:color w:val="auto"/>
        </w:rPr>
        <w:t>RAGONE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88265</wp:posOffset>
            </wp:positionV>
            <wp:extent cx="290703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28" w:lineRule="exact"/>
        <w:rPr>
          <w:sz w:val="20"/>
          <w:szCs w:val="20"/>
          <w:color w:val="auto"/>
        </w:rPr>
      </w:pPr>
    </w:p>
    <w:p>
      <w:pPr>
        <w:jc w:val="center"/>
        <w:ind w:right="5500"/>
        <w:spacing w:after="0"/>
        <w:rPr>
          <w:sz w:val="20"/>
          <w:szCs w:val="20"/>
          <w:color w:val="auto"/>
        </w:rPr>
      </w:pPr>
      <w:r>
        <w:rPr>
          <w:rFonts w:ascii="Arial" w:cs="Arial" w:eastAsia="Arial" w:hAnsi="Arial"/>
          <w:sz w:val="14"/>
          <w:szCs w:val="14"/>
          <w:b w:val="1"/>
          <w:bCs w:val="1"/>
          <w:color w:val="auto"/>
        </w:rPr>
        <w:t>Franco Dragone, Représenting Créations</w:t>
      </w:r>
    </w:p>
    <w:p>
      <w:pPr>
        <w:spacing w:after="0" w:line="1" w:lineRule="exact"/>
        <w:rPr>
          <w:sz w:val="20"/>
          <w:szCs w:val="20"/>
          <w:color w:val="auto"/>
        </w:rPr>
      </w:pPr>
    </w:p>
    <w:p>
      <w:pPr>
        <w:jc w:val="center"/>
        <w:ind w:right="5500"/>
        <w:spacing w:after="0"/>
        <w:rPr>
          <w:sz w:val="20"/>
          <w:szCs w:val="20"/>
          <w:color w:val="auto"/>
        </w:rPr>
      </w:pPr>
      <w:r>
        <w:rPr>
          <w:rFonts w:ascii="Arial" w:cs="Arial" w:eastAsia="Arial" w:hAnsi="Arial"/>
          <w:sz w:val="14"/>
          <w:szCs w:val="14"/>
          <w:b w:val="1"/>
          <w:bCs w:val="1"/>
          <w:color w:val="auto"/>
        </w:rPr>
        <w:t>du Dragon S.P.R.L.U.</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THIS AGREEMENT IS STRICTLY CONFIDENTIAL</w:t>
      </w:r>
    </w:p>
    <w:p>
      <w:pPr>
        <w:sectPr>
          <w:pgSz w:w="11900" w:h="16838" w:orient="portrait"/>
          <w:cols w:equalWidth="0" w:num="1">
            <w:col w:w="11440"/>
          </w:cols>
          <w:pgMar w:left="240" w:top="388" w:right="219" w:bottom="1440" w:gutter="0" w:footer="0" w:header="0"/>
        </w:sectPr>
      </w:pPr>
    </w:p>
    <w:bookmarkStart w:id="136" w:name="page137"/>
    <w:bookmarkEnd w:id="136"/>
    <w:p>
      <w:pPr>
        <w:jc w:val="right"/>
        <w:spacing w:after="0"/>
        <w:rPr>
          <w:sz w:val="20"/>
          <w:szCs w:val="20"/>
          <w:color w:val="auto"/>
        </w:rPr>
      </w:pPr>
      <w:r>
        <w:rPr>
          <w:rFonts w:ascii="Arial" w:cs="Arial" w:eastAsia="Arial" w:hAnsi="Arial"/>
          <w:sz w:val="22"/>
          <w:szCs w:val="22"/>
          <w:color w:val="auto"/>
        </w:rPr>
        <w:t>EXHIBIT 10.60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67575" cy="387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PRODUCTION SERVICES AGREEMENT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3145 Las Vegas Blvd. South, Las Vegas, NV 89109, USA </w:t>
      </w:r>
      <w:r>
        <w:rPr>
          <w:rFonts w:ascii="Arial" w:cs="Arial" w:eastAsia="Arial" w:hAnsi="Arial"/>
          <w:sz w:val="18"/>
          <w:szCs w:val="18"/>
          <w:b w:val="1"/>
          <w:bCs w:val="1"/>
          <w:i w:val="1"/>
          <w:iCs w:val="1"/>
          <w:color w:val="auto"/>
        </w:rPr>
        <w:t>(“Wynn Las Vegas”)</w:t>
      </w:r>
      <w:r>
        <w:rPr>
          <w:rFonts w:ascii="Arial" w:cs="Arial" w:eastAsia="Arial" w:hAnsi="Arial"/>
          <w:sz w:val="18"/>
          <w:szCs w:val="18"/>
          <w:color w:val="auto"/>
        </w:rPr>
        <w: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PRODUCTIONS DU DRAGON, S.A.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Rue de Belle Vue 23-7100 La Louvière - Belgique, Europe (“Dragon”)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right="20"/>
        <w:spacing w:after="0" w:line="378" w:lineRule="auto"/>
        <w:rPr>
          <w:sz w:val="20"/>
          <w:szCs w:val="20"/>
          <w:color w:val="auto"/>
        </w:rPr>
      </w:pPr>
      <w:r>
        <w:rPr>
          <w:rFonts w:ascii="Arial" w:cs="Arial" w:eastAsia="Arial" w:hAnsi="Arial"/>
          <w:sz w:val="15"/>
          <w:szCs w:val="15"/>
          <w:b w:val="1"/>
          <w:bCs w:val="1"/>
          <w:color w:val="auto"/>
        </w:rPr>
        <w:t xml:space="preserve">WHEREAS </w:t>
      </w:r>
      <w:r>
        <w:rPr>
          <w:rFonts w:ascii="Arial" w:cs="Arial" w:eastAsia="Arial" w:hAnsi="Arial"/>
          <w:sz w:val="15"/>
          <w:szCs w:val="15"/>
          <w:color w:val="auto"/>
        </w:rPr>
        <w:t>Wynn Las Vegas wishes to produce and present an aquatic live show</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(the “Show”)</w:t>
      </w:r>
      <w:r>
        <w:rPr>
          <w:rFonts w:ascii="Arial" w:cs="Arial" w:eastAsia="Arial" w:hAnsi="Arial"/>
          <w:sz w:val="15"/>
          <w:szCs w:val="15"/>
          <w:b w:val="1"/>
          <w:bCs w:val="1"/>
          <w:color w:val="auto"/>
        </w:rPr>
        <w:t xml:space="preserve"> </w:t>
      </w:r>
      <w:r>
        <w:rPr>
          <w:rFonts w:ascii="Arial" w:cs="Arial" w:eastAsia="Arial" w:hAnsi="Arial"/>
          <w:sz w:val="15"/>
          <w:szCs w:val="15"/>
          <w:color w:val="auto"/>
        </w:rPr>
        <w:t>based and developed on a concept which has been approved by it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and which is described in a document entitled “Genesis” dated October 2001 </w:t>
      </w:r>
      <w:r>
        <w:rPr>
          <w:rFonts w:ascii="Arial" w:cs="Arial" w:eastAsia="Arial" w:hAnsi="Arial"/>
          <w:sz w:val="15"/>
          <w:szCs w:val="15"/>
          <w:b w:val="1"/>
          <w:bCs w:val="1"/>
          <w:i w:val="1"/>
          <w:iCs w:val="1"/>
          <w:color w:val="auto"/>
        </w:rPr>
        <w:t>(the “Show Concept”)</w:t>
      </w:r>
      <w:r>
        <w:rPr>
          <w:rFonts w:ascii="Arial" w:cs="Arial" w:eastAsia="Arial" w:hAnsi="Arial"/>
          <w:sz w:val="15"/>
          <w:szCs w:val="15"/>
          <w:color w:val="auto"/>
        </w:rPr>
        <w:t xml:space="preserve">, at the Le Rêve resort in Las Vegas, Nevada </w:t>
      </w:r>
      <w:r>
        <w:rPr>
          <w:rFonts w:ascii="Arial" w:cs="Arial" w:eastAsia="Arial" w:hAnsi="Arial"/>
          <w:sz w:val="15"/>
          <w:szCs w:val="15"/>
          <w:b w:val="1"/>
          <w:bCs w:val="1"/>
          <w:i w:val="1"/>
          <w:iCs w:val="1"/>
          <w:color w:val="auto"/>
        </w:rPr>
        <w:t>(“Le Rêve”)</w:t>
      </w:r>
      <w:r>
        <w:rPr>
          <w:rFonts w:ascii="Arial" w:cs="Arial" w:eastAsia="Arial" w:hAnsi="Arial"/>
          <w:sz w:val="15"/>
          <w:szCs w:val="15"/>
          <w:color w:val="auto"/>
        </w:rPr>
        <w:t>;</w:t>
      </w:r>
    </w:p>
    <w:p>
      <w:pPr>
        <w:spacing w:after="0" w:line="105" w:lineRule="exact"/>
        <w:rPr>
          <w:sz w:val="20"/>
          <w:szCs w:val="20"/>
          <w:color w:val="auto"/>
        </w:rPr>
      </w:pPr>
    </w:p>
    <w:p>
      <w:pPr>
        <w:jc w:val="both"/>
        <w:ind w:right="480"/>
        <w:spacing w:after="0" w:line="310"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Wynn Las Vegas has entered into a License Agreement with Calitri Services and Licensing Limited Liability Company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Calitri</w:t>
      </w:r>
      <w:r>
        <w:rPr>
          <w:rFonts w:ascii="Arial" w:cs="Arial" w:eastAsia="Arial" w:hAnsi="Arial"/>
          <w:sz w:val="16"/>
          <w:szCs w:val="16"/>
          <w:b w:val="1"/>
          <w:bCs w:val="1"/>
          <w:color w:val="auto"/>
        </w:rPr>
        <w:t>”</w:t>
      </w:r>
      <w:r>
        <w:rPr>
          <w:rFonts w:ascii="Arial" w:cs="Arial" w:eastAsia="Arial" w:hAnsi="Arial"/>
          <w:sz w:val="16"/>
          <w:szCs w:val="16"/>
          <w:color w:val="auto"/>
        </w:rPr>
        <w:t>)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which Wynn Las Vegas has been granted an exclusive license to produce and present live performances of the Show at Le Rêve and to create, manufacture, produce, sell and distribute derivative products, merchandise and publications relating to the Show;</w:t>
      </w:r>
    </w:p>
    <w:p>
      <w:pPr>
        <w:spacing w:after="0" w:line="15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Wynn Las Vegas will finance, produce and present the Show at Le Rêve and requires the services of Dragon to co-produce the Show with it and</w:t>
      </w:r>
      <w:r>
        <w:rPr>
          <w:rFonts w:ascii="Arial" w:cs="Arial" w:eastAsia="Arial" w:hAnsi="Arial"/>
          <w:sz w:val="18"/>
          <w:szCs w:val="18"/>
          <w:b w:val="1"/>
          <w:bCs w:val="1"/>
          <w:color w:val="auto"/>
        </w:rPr>
        <w:t xml:space="preserve"> </w:t>
      </w:r>
      <w:r>
        <w:rPr>
          <w:rFonts w:ascii="Arial" w:cs="Arial" w:eastAsia="Arial" w:hAnsi="Arial"/>
          <w:sz w:val="18"/>
          <w:szCs w:val="18"/>
          <w:color w:val="auto"/>
        </w:rPr>
        <w:t>Calitri, act as executive producer and project manager in relation with the production of the Show, and ensure the artistic follow-up and coordination of the Show after the opening;</w:t>
      </w:r>
    </w:p>
    <w:p>
      <w:pPr>
        <w:spacing w:after="0" w:line="186"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Wynn Las Vegas also requires the services of Dragon to collaborate with Wynn Las Vegas and Calitri, assist in designing, manufacturing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producing the sets, theatrical and acrobatic equipment and costumes for the Show, cast and train the artists and performers who will be part of the Show, and commence rehearsing and preparing the Show in Belgium and in Las Vegas;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Dragon has reviewed the Show Concept, and agrees to provide all of such services to Wynn Las Vegas.</w:t>
      </w:r>
    </w:p>
    <w:p>
      <w:pPr>
        <w:sectPr>
          <w:pgSz w:w="11900" w:h="16838" w:orient="portrait"/>
          <w:cols w:equalWidth="0" w:num="1">
            <w:col w:w="11420"/>
          </w:cols>
          <w:pgMar w:left="240" w:top="118"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Now, therefore, in consideration of the mutual covenants herein contained the parties hereto agree as follows:</w:t>
      </w:r>
    </w:p>
    <w:p>
      <w:pPr>
        <w:spacing w:after="0" w:line="219"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SERVICES</w:t>
      </w:r>
    </w:p>
    <w:p>
      <w:pPr>
        <w:spacing w:after="0" w:line="231" w:lineRule="exact"/>
        <w:rPr>
          <w:sz w:val="20"/>
          <w:szCs w:val="20"/>
          <w:color w:val="auto"/>
        </w:rPr>
      </w:pPr>
    </w:p>
    <w:p>
      <w:pPr>
        <w:ind w:left="460" w:hanging="452"/>
        <w:spacing w:after="0" w:line="294" w:lineRule="auto"/>
        <w:tabs>
          <w:tab w:leader="none" w:pos="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 consideration of the payments to be made pursuant to Section 8 of this Agreement, Dragon will co-produce the Show with Wynn Las Vegas and Calitri, and act as executive producer for the production of the Show and, as such, assist in designing, manufacturing and producing the sets, theatrical and acrobatic equipment and costumes for the Show, cast and train the artists and performers who will be part of the Show, and commence rehearsing and preparing the Show in Belgium and in Las Vegas, all in consultation with and with the collaboration of Wynn Las Vegas and Calitri, and in accordance with the Show Production Budget (as hereinafter defined). Specifically, Dragon shall, without limiting the generality of the foregoing:</w:t>
      </w:r>
    </w:p>
    <w:p>
      <w:pPr>
        <w:spacing w:after="0" w:line="196" w:lineRule="exact"/>
        <w:rPr>
          <w:rFonts w:ascii="Arial" w:cs="Arial" w:eastAsia="Arial" w:hAnsi="Arial"/>
          <w:sz w:val="16"/>
          <w:szCs w:val="16"/>
          <w:color w:val="auto"/>
        </w:rPr>
      </w:pPr>
    </w:p>
    <w:p>
      <w:pPr>
        <w:ind w:left="900" w:right="260" w:hanging="446"/>
        <w:spacing w:after="0" w:line="268" w:lineRule="auto"/>
        <w:tabs>
          <w:tab w:leader="none" w:pos="9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Be responsible to conceive, design, research, develop, test and modify as directed by Calitri and in consultation with and with the collaboration of Wynn Las Vegas and Calitri, and in accordance with their specifications (as may be modified), the following:</w:t>
      </w:r>
    </w:p>
    <w:p>
      <w:pPr>
        <w:spacing w:after="0" w:line="212" w:lineRule="exact"/>
        <w:rPr>
          <w:rFonts w:ascii="Arial" w:cs="Arial" w:eastAsia="Arial" w:hAnsi="Arial"/>
          <w:sz w:val="18"/>
          <w:szCs w:val="18"/>
          <w:color w:val="auto"/>
        </w:rPr>
      </w:pPr>
    </w:p>
    <w:p>
      <w:pPr>
        <w:ind w:left="1240" w:hanging="341"/>
        <w:spacing w:after="0"/>
        <w:tabs>
          <w:tab w:leader="none" w:pos="1240" w:val="left"/>
        </w:tabs>
        <w:numPr>
          <w:ilvl w:val="2"/>
          <w:numId w:val="88"/>
        </w:numPr>
        <w:rPr>
          <w:rFonts w:ascii="Arial" w:cs="Arial" w:eastAsia="Arial" w:hAnsi="Arial"/>
          <w:sz w:val="18"/>
          <w:szCs w:val="18"/>
          <w:color w:val="auto"/>
        </w:rPr>
      </w:pPr>
      <w:r>
        <w:rPr>
          <w:rFonts w:ascii="Arial" w:cs="Arial" w:eastAsia="Arial" w:hAnsi="Arial"/>
          <w:sz w:val="18"/>
          <w:szCs w:val="18"/>
          <w:color w:val="auto"/>
        </w:rPr>
        <w:t>all costumes and props, and their accessories;</w:t>
      </w:r>
    </w:p>
    <w:p>
      <w:pPr>
        <w:spacing w:after="0" w:line="279" w:lineRule="exact"/>
        <w:rPr>
          <w:rFonts w:ascii="Arial" w:cs="Arial" w:eastAsia="Arial" w:hAnsi="Arial"/>
          <w:sz w:val="18"/>
          <w:szCs w:val="18"/>
          <w:color w:val="auto"/>
        </w:rPr>
      </w:pPr>
    </w:p>
    <w:p>
      <w:pPr>
        <w:ind w:left="1240" w:hanging="341"/>
        <w:spacing w:after="0"/>
        <w:tabs>
          <w:tab w:leader="none" w:pos="1240" w:val="left"/>
        </w:tabs>
        <w:numPr>
          <w:ilvl w:val="2"/>
          <w:numId w:val="88"/>
        </w:numPr>
        <w:rPr>
          <w:rFonts w:ascii="Arial" w:cs="Arial" w:eastAsia="Arial" w:hAnsi="Arial"/>
          <w:sz w:val="18"/>
          <w:szCs w:val="18"/>
          <w:color w:val="auto"/>
        </w:rPr>
      </w:pPr>
      <w:r>
        <w:rPr>
          <w:rFonts w:ascii="Arial" w:cs="Arial" w:eastAsia="Arial" w:hAnsi="Arial"/>
          <w:sz w:val="18"/>
          <w:szCs w:val="18"/>
          <w:color w:val="auto"/>
        </w:rPr>
        <w:t>all artistic and acrobatic equipment and rigging, and their accessories;</w:t>
      </w:r>
    </w:p>
    <w:p>
      <w:pPr>
        <w:spacing w:after="0" w:line="279" w:lineRule="exact"/>
        <w:rPr>
          <w:rFonts w:ascii="Arial" w:cs="Arial" w:eastAsia="Arial" w:hAnsi="Arial"/>
          <w:sz w:val="18"/>
          <w:szCs w:val="18"/>
          <w:color w:val="auto"/>
        </w:rPr>
      </w:pPr>
    </w:p>
    <w:p>
      <w:pPr>
        <w:ind w:left="1240" w:hanging="341"/>
        <w:spacing w:after="0"/>
        <w:tabs>
          <w:tab w:leader="none" w:pos="1240" w:val="left"/>
        </w:tabs>
        <w:numPr>
          <w:ilvl w:val="2"/>
          <w:numId w:val="88"/>
        </w:numPr>
        <w:rPr>
          <w:rFonts w:ascii="Arial" w:cs="Arial" w:eastAsia="Arial" w:hAnsi="Arial"/>
          <w:sz w:val="18"/>
          <w:szCs w:val="18"/>
          <w:color w:val="auto"/>
        </w:rPr>
      </w:pPr>
      <w:r>
        <w:rPr>
          <w:rFonts w:ascii="Arial" w:cs="Arial" w:eastAsia="Arial" w:hAnsi="Arial"/>
          <w:sz w:val="18"/>
          <w:szCs w:val="18"/>
          <w:color w:val="auto"/>
        </w:rPr>
        <w:t>all stage, sets and scenery;</w:t>
      </w:r>
    </w:p>
    <w:p>
      <w:pPr>
        <w:spacing w:after="0" w:line="279" w:lineRule="exact"/>
        <w:rPr>
          <w:rFonts w:ascii="Arial" w:cs="Arial" w:eastAsia="Arial" w:hAnsi="Arial"/>
          <w:sz w:val="18"/>
          <w:szCs w:val="18"/>
          <w:color w:val="auto"/>
        </w:rPr>
      </w:pPr>
    </w:p>
    <w:p>
      <w:pPr>
        <w:ind w:left="1240" w:right="120" w:hanging="341"/>
        <w:spacing w:after="0" w:line="268" w:lineRule="auto"/>
        <w:tabs>
          <w:tab w:leader="none" w:pos="1240" w:val="left"/>
        </w:tabs>
        <w:numPr>
          <w:ilvl w:val="2"/>
          <w:numId w:val="88"/>
        </w:numPr>
        <w:rPr>
          <w:rFonts w:ascii="Arial" w:cs="Arial" w:eastAsia="Arial" w:hAnsi="Arial"/>
          <w:sz w:val="18"/>
          <w:szCs w:val="18"/>
          <w:color w:val="auto"/>
        </w:rPr>
      </w:pPr>
      <w:r>
        <w:rPr>
          <w:rFonts w:ascii="Arial" w:cs="Arial" w:eastAsia="Arial" w:hAnsi="Arial"/>
          <w:sz w:val="18"/>
          <w:szCs w:val="18"/>
          <w:color w:val="auto"/>
        </w:rPr>
        <w:t>all lighting, video, sound, musical instruments and any other type of equipment, tools and devices necessary for the performance of each of the acts of the Show;</w:t>
      </w:r>
    </w:p>
    <w:p>
      <w:pPr>
        <w:spacing w:after="0" w:line="212"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Be responsible, in consultation with and with the collaboration of Wynn Las Vegas and Calitri, and in accordance with their specifications (as may be modified), to manufacture and/or to provide and have ready by the Opening Date, the following:</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2"/>
          <w:numId w:val="88"/>
        </w:numPr>
        <w:rPr>
          <w:rFonts w:ascii="Arial" w:cs="Arial" w:eastAsia="Arial" w:hAnsi="Arial"/>
          <w:sz w:val="18"/>
          <w:szCs w:val="18"/>
          <w:color w:val="auto"/>
        </w:rPr>
      </w:pPr>
      <w:r>
        <w:rPr>
          <w:rFonts w:ascii="Arial" w:cs="Arial" w:eastAsia="Arial" w:hAnsi="Arial"/>
          <w:sz w:val="18"/>
          <w:szCs w:val="18"/>
          <w:color w:val="auto"/>
        </w:rPr>
        <w:t>all costumes and props, and their accessories;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2"/>
          <w:numId w:val="88"/>
        </w:numPr>
        <w:rPr>
          <w:rFonts w:ascii="Arial" w:cs="Arial" w:eastAsia="Arial" w:hAnsi="Arial"/>
          <w:sz w:val="18"/>
          <w:szCs w:val="18"/>
          <w:color w:val="auto"/>
        </w:rPr>
      </w:pPr>
      <w:r>
        <w:rPr>
          <w:rFonts w:ascii="Arial" w:cs="Arial" w:eastAsia="Arial" w:hAnsi="Arial"/>
          <w:sz w:val="18"/>
          <w:szCs w:val="18"/>
          <w:color w:val="auto"/>
        </w:rPr>
        <w:t>all artistic and acrobatic equipment and rigging, and their accessories;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2"/>
          <w:numId w:val="88"/>
        </w:numPr>
        <w:rPr>
          <w:rFonts w:ascii="Arial" w:cs="Arial" w:eastAsia="Arial" w:hAnsi="Arial"/>
          <w:sz w:val="18"/>
          <w:szCs w:val="18"/>
          <w:color w:val="auto"/>
        </w:rPr>
      </w:pPr>
      <w:r>
        <w:rPr>
          <w:rFonts w:ascii="Arial" w:cs="Arial" w:eastAsia="Arial" w:hAnsi="Arial"/>
          <w:sz w:val="18"/>
          <w:szCs w:val="18"/>
          <w:color w:val="auto"/>
        </w:rPr>
        <w:t>all stage, sets and scenery;</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AGREEMENT IS STRICTLY CONFIDENTIAL</w:t>
      </w:r>
    </w:p>
    <w:p>
      <w:pPr>
        <w:sectPr>
          <w:pgSz w:w="11900" w:h="16838" w:orient="portrait"/>
          <w:cols w:equalWidth="0" w:num="1">
            <w:col w:w="11400"/>
          </w:cols>
          <w:pgMar w:left="240" w:top="388" w:right="259" w:bottom="1440" w:gutter="0" w:footer="0" w:header="0"/>
        </w:sectPr>
      </w:pPr>
    </w:p>
    <w:bookmarkStart w:id="138" w:name="page139"/>
    <w:bookmarkEnd w:id="138"/>
    <w:p>
      <w:pPr>
        <w:ind w:left="1232" w:right="80" w:hanging="341"/>
        <w:spacing w:after="0" w:line="268" w:lineRule="auto"/>
        <w:tabs>
          <w:tab w:leader="none" w:pos="1232" w:val="left"/>
        </w:tabs>
        <w:numPr>
          <w:ilvl w:val="2"/>
          <w:numId w:val="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lighting, video, sound, musical instruments and any other type of equipment, tools and devices necessary for the performance of each of the acts of the Show;</w:t>
      </w:r>
    </w:p>
    <w:p>
      <w:pPr>
        <w:spacing w:after="0" w:line="212" w:lineRule="exact"/>
        <w:rPr>
          <w:rFonts w:ascii="Arial" w:cs="Arial" w:eastAsia="Arial" w:hAnsi="Arial"/>
          <w:sz w:val="18"/>
          <w:szCs w:val="18"/>
          <w:color w:val="auto"/>
        </w:rPr>
      </w:pPr>
    </w:p>
    <w:p>
      <w:pPr>
        <w:ind w:left="1232" w:hanging="341"/>
        <w:spacing w:after="0"/>
        <w:tabs>
          <w:tab w:leader="none" w:pos="1232" w:val="left"/>
        </w:tabs>
        <w:numPr>
          <w:ilvl w:val="2"/>
          <w:numId w:val="89"/>
        </w:numPr>
        <w:rPr>
          <w:rFonts w:ascii="Arial" w:cs="Arial" w:eastAsia="Arial" w:hAnsi="Arial"/>
          <w:sz w:val="18"/>
          <w:szCs w:val="18"/>
          <w:color w:val="auto"/>
        </w:rPr>
      </w:pPr>
      <w:r>
        <w:rPr>
          <w:rFonts w:ascii="Arial" w:cs="Arial" w:eastAsia="Arial" w:hAnsi="Arial"/>
          <w:sz w:val="18"/>
          <w:szCs w:val="18"/>
          <w:color w:val="auto"/>
        </w:rPr>
        <w:t>all computer hardware and software related to the equipment required for the Show, and their accessories;</w:t>
      </w:r>
    </w:p>
    <w:p>
      <w:pPr>
        <w:spacing w:after="0" w:line="279" w:lineRule="exact"/>
        <w:rPr>
          <w:rFonts w:ascii="Arial" w:cs="Arial" w:eastAsia="Arial" w:hAnsi="Arial"/>
          <w:sz w:val="18"/>
          <w:szCs w:val="18"/>
          <w:color w:val="auto"/>
        </w:rPr>
      </w:pPr>
    </w:p>
    <w:p>
      <w:pPr>
        <w:ind w:left="892" w:right="240" w:hanging="446"/>
        <w:spacing w:after="0" w:line="268" w:lineRule="auto"/>
        <w:tabs>
          <w:tab w:leader="none" w:pos="892" w:val="left"/>
        </w:tabs>
        <w:numPr>
          <w:ilvl w:val="1"/>
          <w:numId w:val="90"/>
        </w:numPr>
        <w:rPr>
          <w:rFonts w:ascii="Arial" w:cs="Arial" w:eastAsia="Arial" w:hAnsi="Arial"/>
          <w:sz w:val="18"/>
          <w:szCs w:val="18"/>
          <w:color w:val="auto"/>
        </w:rPr>
      </w:pPr>
      <w:r>
        <w:rPr>
          <w:rFonts w:ascii="Arial" w:cs="Arial" w:eastAsia="Arial" w:hAnsi="Arial"/>
          <w:sz w:val="18"/>
          <w:szCs w:val="18"/>
          <w:color w:val="auto"/>
        </w:rPr>
        <w:t>Be responsible during the production period of the Show and the Term for the appropriate physical training of the artists and the technical staff as directed by Calitri;</w:t>
      </w:r>
    </w:p>
    <w:p>
      <w:pPr>
        <w:spacing w:after="0" w:line="185" w:lineRule="exact"/>
        <w:rPr>
          <w:rFonts w:ascii="Arial" w:cs="Arial" w:eastAsia="Arial" w:hAnsi="Arial"/>
          <w:sz w:val="18"/>
          <w:szCs w:val="18"/>
          <w:color w:val="auto"/>
        </w:rPr>
      </w:pPr>
    </w:p>
    <w:p>
      <w:pPr>
        <w:ind w:left="892" w:right="160" w:hanging="446"/>
        <w:spacing w:after="0" w:line="268" w:lineRule="auto"/>
        <w:tabs>
          <w:tab w:leader="none" w:pos="892" w:val="left"/>
        </w:tabs>
        <w:numPr>
          <w:ilvl w:val="1"/>
          <w:numId w:val="90"/>
        </w:numPr>
        <w:rPr>
          <w:rFonts w:ascii="Arial" w:cs="Arial" w:eastAsia="Arial" w:hAnsi="Arial"/>
          <w:sz w:val="18"/>
          <w:szCs w:val="18"/>
          <w:color w:val="auto"/>
        </w:rPr>
      </w:pPr>
      <w:r>
        <w:rPr>
          <w:rFonts w:ascii="Arial" w:cs="Arial" w:eastAsia="Arial" w:hAnsi="Arial"/>
          <w:sz w:val="18"/>
          <w:szCs w:val="18"/>
          <w:color w:val="auto"/>
        </w:rPr>
        <w:t>Be responsible during the production period of the Show for the housing in Belgium and local transportation of the artists and the technical staff in training;</w:t>
      </w:r>
    </w:p>
    <w:p>
      <w:pPr>
        <w:spacing w:after="0" w:line="185" w:lineRule="exact"/>
        <w:rPr>
          <w:rFonts w:ascii="Arial" w:cs="Arial" w:eastAsia="Arial" w:hAnsi="Arial"/>
          <w:sz w:val="18"/>
          <w:szCs w:val="18"/>
          <w:color w:val="auto"/>
        </w:rPr>
      </w:pPr>
    </w:p>
    <w:p>
      <w:pPr>
        <w:ind w:left="892" w:hanging="446"/>
        <w:spacing w:after="0" w:line="259" w:lineRule="auto"/>
        <w:tabs>
          <w:tab w:leader="none" w:pos="892" w:val="left"/>
        </w:tabs>
        <w:numPr>
          <w:ilvl w:val="1"/>
          <w:numId w:val="90"/>
        </w:numPr>
        <w:rPr>
          <w:rFonts w:ascii="Arial" w:cs="Arial" w:eastAsia="Arial" w:hAnsi="Arial"/>
          <w:sz w:val="18"/>
          <w:szCs w:val="18"/>
          <w:color w:val="auto"/>
        </w:rPr>
      </w:pPr>
      <w:r>
        <w:rPr>
          <w:rFonts w:ascii="Arial" w:cs="Arial" w:eastAsia="Arial" w:hAnsi="Arial"/>
          <w:sz w:val="18"/>
          <w:szCs w:val="18"/>
          <w:color w:val="auto"/>
        </w:rPr>
        <w:t>Find, negotiate with and, as and when it may be decided by Dragon and Wynn Las Vegas, hire under reasonable terms and conditions, all artists, personnel and staff members of the management, technical, training and production teams which will be needed for and during the production period of the Show;</w:t>
      </w:r>
    </w:p>
    <w:p>
      <w:pPr>
        <w:spacing w:after="0" w:line="194" w:lineRule="exact"/>
        <w:rPr>
          <w:rFonts w:ascii="Arial" w:cs="Arial" w:eastAsia="Arial" w:hAnsi="Arial"/>
          <w:sz w:val="18"/>
          <w:szCs w:val="18"/>
          <w:color w:val="auto"/>
        </w:rPr>
      </w:pPr>
    </w:p>
    <w:p>
      <w:pPr>
        <w:ind w:left="892" w:right="20" w:hanging="446"/>
        <w:spacing w:after="0" w:line="268" w:lineRule="auto"/>
        <w:tabs>
          <w:tab w:leader="none" w:pos="892" w:val="left"/>
        </w:tabs>
        <w:numPr>
          <w:ilvl w:val="1"/>
          <w:numId w:val="90"/>
        </w:numPr>
        <w:rPr>
          <w:rFonts w:ascii="Arial" w:cs="Arial" w:eastAsia="Arial" w:hAnsi="Arial"/>
          <w:sz w:val="18"/>
          <w:szCs w:val="18"/>
          <w:color w:val="auto"/>
        </w:rPr>
      </w:pPr>
      <w:r>
        <w:rPr>
          <w:rFonts w:ascii="Arial" w:cs="Arial" w:eastAsia="Arial" w:hAnsi="Arial"/>
          <w:sz w:val="18"/>
          <w:szCs w:val="18"/>
          <w:color w:val="auto"/>
        </w:rPr>
        <w:t>Build, purchase or lease as may be decided by Dragon and Wynn Las Vegas training and rehearsal facilities and equipment and all premises required for the making of costumes and sets and for administrative purposes during the production period of the Show;</w:t>
      </w:r>
    </w:p>
    <w:p>
      <w:pPr>
        <w:spacing w:after="0" w:line="185" w:lineRule="exact"/>
        <w:rPr>
          <w:rFonts w:ascii="Arial" w:cs="Arial" w:eastAsia="Arial" w:hAnsi="Arial"/>
          <w:sz w:val="18"/>
          <w:szCs w:val="18"/>
          <w:color w:val="auto"/>
        </w:rPr>
      </w:pPr>
    </w:p>
    <w:p>
      <w:pPr>
        <w:ind w:left="892" w:hanging="446"/>
        <w:spacing w:after="0"/>
        <w:tabs>
          <w:tab w:leader="none" w:pos="892" w:val="left"/>
        </w:tabs>
        <w:numPr>
          <w:ilvl w:val="1"/>
          <w:numId w:val="90"/>
        </w:numPr>
        <w:rPr>
          <w:rFonts w:ascii="Arial" w:cs="Arial" w:eastAsia="Arial" w:hAnsi="Arial"/>
          <w:sz w:val="16"/>
          <w:szCs w:val="16"/>
          <w:color w:val="auto"/>
        </w:rPr>
      </w:pPr>
      <w:r>
        <w:rPr>
          <w:rFonts w:ascii="Arial" w:cs="Arial" w:eastAsia="Arial" w:hAnsi="Arial"/>
          <w:sz w:val="16"/>
          <w:szCs w:val="16"/>
          <w:color w:val="auto"/>
        </w:rPr>
        <w:t>Be responsible to create and experiment with acrobatic and artistic techniques as may be required by Calitri for the concept of the Show;</w:t>
      </w:r>
    </w:p>
    <w:p>
      <w:pPr>
        <w:spacing w:after="0" w:line="248" w:lineRule="exact"/>
        <w:rPr>
          <w:rFonts w:ascii="Arial" w:cs="Arial" w:eastAsia="Arial" w:hAnsi="Arial"/>
          <w:sz w:val="16"/>
          <w:szCs w:val="16"/>
          <w:color w:val="auto"/>
        </w:rPr>
      </w:pPr>
    </w:p>
    <w:p>
      <w:pPr>
        <w:ind w:left="892" w:right="60" w:hanging="446"/>
        <w:spacing w:after="0" w:line="268" w:lineRule="auto"/>
        <w:tabs>
          <w:tab w:leader="none" w:pos="892" w:val="left"/>
        </w:tabs>
        <w:numPr>
          <w:ilvl w:val="1"/>
          <w:numId w:val="90"/>
        </w:numPr>
        <w:rPr>
          <w:rFonts w:ascii="Arial" w:cs="Arial" w:eastAsia="Arial" w:hAnsi="Arial"/>
          <w:sz w:val="18"/>
          <w:szCs w:val="18"/>
          <w:color w:val="auto"/>
        </w:rPr>
      </w:pPr>
      <w:r>
        <w:rPr>
          <w:rFonts w:ascii="Arial" w:cs="Arial" w:eastAsia="Arial" w:hAnsi="Arial"/>
          <w:sz w:val="18"/>
          <w:szCs w:val="18"/>
          <w:color w:val="auto"/>
        </w:rPr>
        <w:t>Ensure that the Show is in a presentable and produceable state for the Term and is of a quality acceptable to the creators and Wynn Las Vegas by the Opening Date as hereinafter defined; and</w:t>
      </w:r>
    </w:p>
    <w:p>
      <w:pPr>
        <w:spacing w:after="0" w:line="185" w:lineRule="exact"/>
        <w:rPr>
          <w:rFonts w:ascii="Arial" w:cs="Arial" w:eastAsia="Arial" w:hAnsi="Arial"/>
          <w:sz w:val="18"/>
          <w:szCs w:val="18"/>
          <w:color w:val="auto"/>
        </w:rPr>
      </w:pPr>
    </w:p>
    <w:p>
      <w:pPr>
        <w:jc w:val="both"/>
        <w:ind w:left="892" w:right="60" w:hanging="446"/>
        <w:spacing w:after="0" w:line="335" w:lineRule="auto"/>
        <w:tabs>
          <w:tab w:leader="none" w:pos="892" w:val="left"/>
        </w:tabs>
        <w:numPr>
          <w:ilvl w:val="1"/>
          <w:numId w:val="90"/>
        </w:numPr>
        <w:rPr>
          <w:rFonts w:ascii="Arial" w:cs="Arial" w:eastAsia="Arial" w:hAnsi="Arial"/>
          <w:sz w:val="15"/>
          <w:szCs w:val="15"/>
          <w:color w:val="auto"/>
        </w:rPr>
      </w:pPr>
      <w:r>
        <w:rPr>
          <w:rFonts w:ascii="Arial" w:cs="Arial" w:eastAsia="Arial" w:hAnsi="Arial"/>
          <w:sz w:val="15"/>
          <w:szCs w:val="15"/>
          <w:color w:val="auto"/>
        </w:rPr>
        <w:t>Assist Wynn Las Vegas in making all arrangements needed for the transportation of the artists, personnel and staff members and of items mentioned in Section 1A)(2) herein which will be needed for and during the Term to the Le Rêve premises, and to prepare fully and timely all declarations and provide all such documents as may be required in connection therewith, including without limitation, immigration and customs officials.</w:t>
      </w:r>
    </w:p>
    <w:p>
      <w:pPr>
        <w:spacing w:after="0" w:line="169" w:lineRule="exact"/>
        <w:rPr>
          <w:rFonts w:ascii="Arial" w:cs="Arial" w:eastAsia="Arial" w:hAnsi="Arial"/>
          <w:sz w:val="15"/>
          <w:szCs w:val="15"/>
          <w:color w:val="auto"/>
        </w:rPr>
      </w:pPr>
    </w:p>
    <w:p>
      <w:pPr>
        <w:ind w:left="452" w:right="100" w:hanging="452"/>
        <w:spacing w:after="0" w:line="268" w:lineRule="auto"/>
        <w:tabs>
          <w:tab w:leader="none" w:pos="452" w:val="left"/>
        </w:tabs>
        <w:numPr>
          <w:ilvl w:val="0"/>
          <w:numId w:val="91"/>
        </w:numPr>
        <w:rPr>
          <w:rFonts w:ascii="Arial" w:cs="Arial" w:eastAsia="Arial" w:hAnsi="Arial"/>
          <w:sz w:val="18"/>
          <w:szCs w:val="18"/>
          <w:color w:val="auto"/>
        </w:rPr>
      </w:pPr>
      <w:r>
        <w:rPr>
          <w:rFonts w:ascii="Arial" w:cs="Arial" w:eastAsia="Arial" w:hAnsi="Arial"/>
          <w:sz w:val="18"/>
          <w:szCs w:val="18"/>
          <w:color w:val="auto"/>
        </w:rPr>
        <w:t>Dragon hereby also undertakes to find and to train in training facilities in Belgium or elsewhere as may be agreed by both parties and to make available at all times</w:t>
      </w:r>
    </w:p>
    <w:p>
      <w:pPr>
        <w:spacing w:after="0" w:line="180"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THIS AGREEMENT IS STRICTLY CONFIDENTIAL</w:t>
      </w:r>
    </w:p>
    <w:p>
      <w:pPr>
        <w:sectPr>
          <w:pgSz w:w="11900" w:h="16838" w:orient="portrait"/>
          <w:cols w:equalWidth="0" w:num="1">
            <w:col w:w="11352"/>
          </w:cols>
          <w:pgMar w:left="248" w:top="280" w:right="299" w:bottom="1440" w:gutter="0" w:footer="0" w:header="0"/>
        </w:sectPr>
      </w:pPr>
    </w:p>
    <w:bookmarkStart w:id="139" w:name="page140"/>
    <w:bookmarkEnd w:id="139"/>
    <w:p>
      <w:pPr>
        <w:ind w:left="6"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Term, replacement and back-up artists to replace, when needed, any artist who may leave the Show or be injured and become unable to perform in the Show during the Term, and shall, without limiting the generality of the foregoing:</w:t>
      </w:r>
    </w:p>
    <w:p>
      <w:pPr>
        <w:spacing w:after="0" w:line="213" w:lineRule="exact"/>
        <w:rPr>
          <w:sz w:val="20"/>
          <w:szCs w:val="20"/>
          <w:color w:val="auto"/>
        </w:rPr>
      </w:pPr>
    </w:p>
    <w:p>
      <w:pPr>
        <w:ind w:left="446" w:hanging="446"/>
        <w:spacing w:after="0"/>
        <w:tabs>
          <w:tab w:leader="none" w:pos="446" w:val="left"/>
        </w:tabs>
        <w:numPr>
          <w:ilvl w:val="0"/>
          <w:numId w:val="92"/>
        </w:numPr>
        <w:rPr>
          <w:rFonts w:ascii="Arial" w:cs="Arial" w:eastAsia="Arial" w:hAnsi="Arial"/>
          <w:sz w:val="18"/>
          <w:szCs w:val="18"/>
          <w:color w:val="auto"/>
        </w:rPr>
      </w:pPr>
      <w:r>
        <w:rPr>
          <w:rFonts w:ascii="Arial" w:cs="Arial" w:eastAsia="Arial" w:hAnsi="Arial"/>
          <w:sz w:val="18"/>
          <w:szCs w:val="18"/>
          <w:color w:val="auto"/>
        </w:rPr>
        <w:t>Be responsible for the appropriate training of the replacement artists, back-up artists and injured artists for the Term;</w:t>
      </w:r>
    </w:p>
    <w:p>
      <w:pPr>
        <w:spacing w:after="0" w:line="225" w:lineRule="exact"/>
        <w:rPr>
          <w:rFonts w:ascii="Arial" w:cs="Arial" w:eastAsia="Arial" w:hAnsi="Arial"/>
          <w:sz w:val="18"/>
          <w:szCs w:val="18"/>
          <w:color w:val="auto"/>
        </w:rPr>
      </w:pPr>
    </w:p>
    <w:p>
      <w:pPr>
        <w:ind w:left="446" w:right="460" w:hanging="446"/>
        <w:spacing w:after="0" w:line="268" w:lineRule="auto"/>
        <w:tabs>
          <w:tab w:leader="none" w:pos="446" w:val="left"/>
        </w:tabs>
        <w:numPr>
          <w:ilvl w:val="0"/>
          <w:numId w:val="92"/>
        </w:numPr>
        <w:rPr>
          <w:rFonts w:ascii="Arial" w:cs="Arial" w:eastAsia="Arial" w:hAnsi="Arial"/>
          <w:sz w:val="18"/>
          <w:szCs w:val="18"/>
          <w:color w:val="auto"/>
        </w:rPr>
      </w:pPr>
      <w:r>
        <w:rPr>
          <w:rFonts w:ascii="Arial" w:cs="Arial" w:eastAsia="Arial" w:hAnsi="Arial"/>
          <w:sz w:val="18"/>
          <w:szCs w:val="18"/>
          <w:color w:val="auto"/>
        </w:rPr>
        <w:t>Be responsible when needed for the housing and local transportation in Belgium of the replacement artists, back-up artists and injured artists in training;</w:t>
      </w:r>
    </w:p>
    <w:p>
      <w:pPr>
        <w:spacing w:after="0" w:line="185" w:lineRule="exact"/>
        <w:rPr>
          <w:rFonts w:ascii="Arial" w:cs="Arial" w:eastAsia="Arial" w:hAnsi="Arial"/>
          <w:sz w:val="18"/>
          <w:szCs w:val="18"/>
          <w:color w:val="auto"/>
        </w:rPr>
      </w:pPr>
    </w:p>
    <w:p>
      <w:pPr>
        <w:ind w:left="446" w:right="200" w:hanging="446"/>
        <w:spacing w:after="0" w:line="298" w:lineRule="auto"/>
        <w:tabs>
          <w:tab w:leader="none" w:pos="446" w:val="left"/>
        </w:tabs>
        <w:numPr>
          <w:ilvl w:val="0"/>
          <w:numId w:val="92"/>
        </w:numPr>
        <w:rPr>
          <w:rFonts w:ascii="Arial" w:cs="Arial" w:eastAsia="Arial" w:hAnsi="Arial"/>
          <w:sz w:val="16"/>
          <w:szCs w:val="16"/>
          <w:color w:val="auto"/>
        </w:rPr>
      </w:pPr>
      <w:r>
        <w:rPr>
          <w:rFonts w:ascii="Arial" w:cs="Arial" w:eastAsia="Arial" w:hAnsi="Arial"/>
          <w:sz w:val="16"/>
          <w:szCs w:val="16"/>
          <w:color w:val="auto"/>
        </w:rPr>
        <w:t>If needed and requested by Wynn Las Vegas, build, purchase, lease, repair and maintain throughout the Term training and rehearsal facilities and equipment and provide trainers services in order to properly train the replacement artists, back-up artists and injured artists needed for the presentation of the Show during the Term and for any new act of the Show which they might perform during the Term. This decision will be made twelve (12) months before the Opening Date to allow Dragon and Wynn Las Vegas adequate time to determine the best solution;</w:t>
      </w:r>
    </w:p>
    <w:p>
      <w:pPr>
        <w:spacing w:after="0" w:line="166" w:lineRule="exact"/>
        <w:rPr>
          <w:rFonts w:ascii="Arial" w:cs="Arial" w:eastAsia="Arial" w:hAnsi="Arial"/>
          <w:sz w:val="16"/>
          <w:szCs w:val="16"/>
          <w:color w:val="auto"/>
        </w:rPr>
      </w:pPr>
    </w:p>
    <w:p>
      <w:pPr>
        <w:ind w:left="446" w:right="20" w:hanging="446"/>
        <w:spacing w:after="0" w:line="298" w:lineRule="auto"/>
        <w:tabs>
          <w:tab w:leader="none" w:pos="446" w:val="left"/>
        </w:tabs>
        <w:numPr>
          <w:ilvl w:val="0"/>
          <w:numId w:val="92"/>
        </w:numPr>
        <w:rPr>
          <w:rFonts w:ascii="Arial" w:cs="Arial" w:eastAsia="Arial" w:hAnsi="Arial"/>
          <w:sz w:val="16"/>
          <w:szCs w:val="16"/>
          <w:color w:val="auto"/>
        </w:rPr>
      </w:pPr>
      <w:r>
        <w:rPr>
          <w:rFonts w:ascii="Arial" w:cs="Arial" w:eastAsia="Arial" w:hAnsi="Arial"/>
          <w:sz w:val="16"/>
          <w:szCs w:val="16"/>
          <w:color w:val="auto"/>
        </w:rPr>
        <w:t>Find, negotiate with and, as and when it may be decided by Dragon and Wynn Las Vegas, hire under reasonable terms and conditions, until their final departure from the rehearsal facilities to Le Rêve where their services may be needed during the Term, all back-up artists which may be needed for the presentation and production of the Show during the Term and, if hired by Dragon, pay all their wages, salaries, fringe benefits, per diem allowances and reimbursement of expenses until their final departure from the rehearsal facilities;</w:t>
      </w:r>
    </w:p>
    <w:p>
      <w:pPr>
        <w:spacing w:after="0" w:line="166" w:lineRule="exact"/>
        <w:rPr>
          <w:rFonts w:ascii="Arial" w:cs="Arial" w:eastAsia="Arial" w:hAnsi="Arial"/>
          <w:sz w:val="16"/>
          <w:szCs w:val="16"/>
          <w:color w:val="auto"/>
        </w:rPr>
      </w:pPr>
    </w:p>
    <w:p>
      <w:pPr>
        <w:ind w:left="446" w:right="240" w:hanging="446"/>
        <w:spacing w:after="0" w:line="268" w:lineRule="auto"/>
        <w:tabs>
          <w:tab w:leader="none" w:pos="446" w:val="left"/>
        </w:tabs>
        <w:numPr>
          <w:ilvl w:val="0"/>
          <w:numId w:val="92"/>
        </w:numPr>
        <w:rPr>
          <w:rFonts w:ascii="Arial" w:cs="Arial" w:eastAsia="Arial" w:hAnsi="Arial"/>
          <w:sz w:val="18"/>
          <w:szCs w:val="18"/>
          <w:color w:val="auto"/>
        </w:rPr>
      </w:pPr>
      <w:r>
        <w:rPr>
          <w:rFonts w:ascii="Arial" w:cs="Arial" w:eastAsia="Arial" w:hAnsi="Arial"/>
          <w:sz w:val="18"/>
          <w:szCs w:val="18"/>
          <w:color w:val="auto"/>
        </w:rPr>
        <w:t>Generally supervise and have ready, at any time during the Term but subject to reasonable and appropriate training time, to be mutually agreed, all replacement artists and back-up artists; and</w:t>
      </w:r>
    </w:p>
    <w:p>
      <w:pPr>
        <w:spacing w:after="0" w:line="185" w:lineRule="exact"/>
        <w:rPr>
          <w:rFonts w:ascii="Arial" w:cs="Arial" w:eastAsia="Arial" w:hAnsi="Arial"/>
          <w:sz w:val="18"/>
          <w:szCs w:val="18"/>
          <w:color w:val="auto"/>
        </w:rPr>
      </w:pPr>
    </w:p>
    <w:p>
      <w:pPr>
        <w:ind w:left="446" w:hanging="446"/>
        <w:spacing w:after="0" w:line="259" w:lineRule="auto"/>
        <w:tabs>
          <w:tab w:leader="none" w:pos="446" w:val="left"/>
        </w:tabs>
        <w:numPr>
          <w:ilvl w:val="0"/>
          <w:numId w:val="92"/>
        </w:numPr>
        <w:rPr>
          <w:rFonts w:ascii="Arial" w:cs="Arial" w:eastAsia="Arial" w:hAnsi="Arial"/>
          <w:sz w:val="18"/>
          <w:szCs w:val="18"/>
          <w:color w:val="auto"/>
        </w:rPr>
      </w:pPr>
      <w:r>
        <w:rPr>
          <w:rFonts w:ascii="Arial" w:cs="Arial" w:eastAsia="Arial" w:hAnsi="Arial"/>
          <w:sz w:val="18"/>
          <w:szCs w:val="18"/>
          <w:color w:val="auto"/>
        </w:rPr>
        <w:t>Assist Wynn Las Vegas in making all arrangements needed for the transportation of the replacement artists, back-up artists and injured artists to and from Le Rêve, prepare fully and timely all declaration, and provide all such documents as may be required in connection therewith, including without limitation by immigration and customs officials.</w:t>
      </w:r>
    </w:p>
    <w:p>
      <w:pPr>
        <w:spacing w:after="0" w:line="200" w:lineRule="exact"/>
        <w:rPr>
          <w:sz w:val="20"/>
          <w:szCs w:val="20"/>
          <w:color w:val="auto"/>
        </w:rPr>
      </w:pPr>
    </w:p>
    <w:p>
      <w:pPr>
        <w:spacing w:after="0" w:line="204" w:lineRule="exact"/>
        <w:rPr>
          <w:sz w:val="20"/>
          <w:szCs w:val="20"/>
          <w:color w:val="auto"/>
        </w:rPr>
      </w:pPr>
    </w:p>
    <w:p>
      <w:pPr>
        <w:ind w:left="3186"/>
        <w:spacing w:after="0"/>
        <w:rPr>
          <w:sz w:val="20"/>
          <w:szCs w:val="20"/>
          <w:color w:val="auto"/>
        </w:rPr>
      </w:pPr>
      <w:r>
        <w:rPr>
          <w:rFonts w:ascii="Arial" w:cs="Arial" w:eastAsia="Arial" w:hAnsi="Arial"/>
          <w:sz w:val="18"/>
          <w:szCs w:val="18"/>
          <w:b w:val="1"/>
          <w:bCs w:val="1"/>
          <w:color w:val="auto"/>
        </w:rPr>
        <w:t>THIS AGREEMENT IS STRICTLY CONFIDENTIAL</w:t>
      </w:r>
    </w:p>
    <w:p>
      <w:pPr>
        <w:sectPr>
          <w:pgSz w:w="11900" w:h="16838" w:orient="portrait"/>
          <w:cols w:equalWidth="0" w:num="1">
            <w:col w:w="10966"/>
          </w:cols>
          <w:pgMar w:left="694" w:top="280" w:right="239" w:bottom="1440" w:gutter="0" w:footer="0" w:header="0"/>
        </w:sectPr>
      </w:pPr>
    </w:p>
    <w:bookmarkStart w:id="140" w:name="page141"/>
    <w:bookmarkEnd w:id="140"/>
    <w:p>
      <w:pPr>
        <w:ind w:left="900" w:right="20" w:hanging="446"/>
        <w:spacing w:after="0" w:line="268"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needed and requested by Wynn Las Vegas, Dragon further undertakes to maintain and replace when needed during the Term in accordance with the specifications (as may be modified) of and as agreed upon with Wynn Las Vegas and Calitri, the following;</w:t>
      </w:r>
    </w:p>
    <w:p>
      <w:pPr>
        <w:spacing w:after="0" w:line="212" w:lineRule="exact"/>
        <w:rPr>
          <w:rFonts w:ascii="Arial" w:cs="Arial" w:eastAsia="Arial" w:hAnsi="Arial"/>
          <w:sz w:val="18"/>
          <w:szCs w:val="18"/>
          <w:color w:val="auto"/>
        </w:rPr>
      </w:pPr>
    </w:p>
    <w:p>
      <w:pPr>
        <w:ind w:left="1240" w:hanging="341"/>
        <w:spacing w:after="0"/>
        <w:tabs>
          <w:tab w:leader="none" w:pos="12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all costumes and props, and their accessories;</w:t>
      </w:r>
    </w:p>
    <w:p>
      <w:pPr>
        <w:spacing w:after="0" w:line="279" w:lineRule="exact"/>
        <w:rPr>
          <w:rFonts w:ascii="Arial" w:cs="Arial" w:eastAsia="Arial" w:hAnsi="Arial"/>
          <w:sz w:val="18"/>
          <w:szCs w:val="18"/>
          <w:color w:val="auto"/>
        </w:rPr>
      </w:pPr>
    </w:p>
    <w:p>
      <w:pPr>
        <w:ind w:left="1240" w:hanging="341"/>
        <w:spacing w:after="0"/>
        <w:tabs>
          <w:tab w:leader="none" w:pos="12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all artistic and acrobatic equipment and rigging, and their accessories;</w:t>
      </w:r>
    </w:p>
    <w:p>
      <w:pPr>
        <w:spacing w:after="0" w:line="279" w:lineRule="exact"/>
        <w:rPr>
          <w:rFonts w:ascii="Arial" w:cs="Arial" w:eastAsia="Arial" w:hAnsi="Arial"/>
          <w:sz w:val="18"/>
          <w:szCs w:val="18"/>
          <w:color w:val="auto"/>
        </w:rPr>
      </w:pPr>
    </w:p>
    <w:p>
      <w:pPr>
        <w:ind w:left="1240" w:hanging="341"/>
        <w:spacing w:after="0"/>
        <w:tabs>
          <w:tab w:leader="none" w:pos="12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all stage, sets and scenery;</w:t>
      </w:r>
    </w:p>
    <w:p>
      <w:pPr>
        <w:spacing w:after="0" w:line="279" w:lineRule="exact"/>
        <w:rPr>
          <w:rFonts w:ascii="Arial" w:cs="Arial" w:eastAsia="Arial" w:hAnsi="Arial"/>
          <w:sz w:val="18"/>
          <w:szCs w:val="18"/>
          <w:color w:val="auto"/>
        </w:rPr>
      </w:pPr>
    </w:p>
    <w:p>
      <w:pPr>
        <w:ind w:left="1240" w:right="140" w:hanging="341"/>
        <w:spacing w:after="0" w:line="268" w:lineRule="auto"/>
        <w:tabs>
          <w:tab w:leader="none" w:pos="12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all lighting, video, sound, musical instruments and any other type of equipment, tools and devices necessary for the performance of each of the acts of the Show;</w:t>
      </w:r>
    </w:p>
    <w:p>
      <w:pPr>
        <w:spacing w:after="0" w:line="213" w:lineRule="exact"/>
        <w:rPr>
          <w:sz w:val="20"/>
          <w:szCs w:val="20"/>
          <w:color w:val="auto"/>
        </w:rPr>
      </w:pPr>
    </w:p>
    <w:p>
      <w:pPr>
        <w:ind w:left="900" w:right="620"/>
        <w:spacing w:after="0" w:line="332" w:lineRule="auto"/>
        <w:rPr>
          <w:sz w:val="20"/>
          <w:szCs w:val="20"/>
          <w:color w:val="auto"/>
        </w:rPr>
      </w:pPr>
      <w:r>
        <w:rPr>
          <w:rFonts w:ascii="Arial" w:cs="Arial" w:eastAsia="Arial" w:hAnsi="Arial"/>
          <w:sz w:val="16"/>
          <w:szCs w:val="16"/>
          <w:color w:val="auto"/>
        </w:rPr>
        <w:t>and to assist Wynn Las Vegas in making all arrangements needed for the transportation of such items to Le Rêve, prepare fully and timely all declarations, and provide all such documents as may be required, including without limitation, by immigration and customs officials.</w:t>
      </w:r>
    </w:p>
    <w:p>
      <w:pPr>
        <w:spacing w:after="0" w:line="166" w:lineRule="exact"/>
        <w:rPr>
          <w:sz w:val="20"/>
          <w:szCs w:val="20"/>
          <w:color w:val="auto"/>
        </w:rPr>
      </w:pPr>
    </w:p>
    <w:p>
      <w:pPr>
        <w:ind w:left="460" w:right="140" w:hanging="452"/>
        <w:spacing w:after="0" w:line="268"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Dragon also agrees to assist and support Wynn Las Vegas in marketing and promoting the Show and derivative products incorporating or representing any visual elements of the Show or any trademarks or titles related to the Show to be sold by Wynn Las Vegas;</w:t>
      </w:r>
    </w:p>
    <w:p>
      <w:pPr>
        <w:spacing w:after="0" w:line="185" w:lineRule="exact"/>
        <w:rPr>
          <w:rFonts w:ascii="Arial" w:cs="Arial" w:eastAsia="Arial" w:hAnsi="Arial"/>
          <w:sz w:val="18"/>
          <w:szCs w:val="18"/>
          <w:color w:val="auto"/>
        </w:rPr>
      </w:pPr>
    </w:p>
    <w:p>
      <w:pPr>
        <w:ind w:left="460" w:hanging="452"/>
        <w:spacing w:after="0" w:line="256"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Dragon also agrees and undertakes to maintain the artistic integrity and provide for the artistic directions of the Show after the Opening Date and during the Term in accordance with the specifications (as my be modified) of Wynn Las Vegas and Calitri and hereby also undertakes to continue to ensure that, following to the Opening Date, the Show is presentable, is of a quality acceptable to Calitri and the creator(s) of the Show, and meets with their requirement until the end of the last Show of the Term.</w:t>
      </w:r>
    </w:p>
    <w:p>
      <w:pPr>
        <w:spacing w:after="0" w:line="197" w:lineRule="exact"/>
        <w:rPr>
          <w:rFonts w:ascii="Arial" w:cs="Arial" w:eastAsia="Arial" w:hAnsi="Arial"/>
          <w:sz w:val="18"/>
          <w:szCs w:val="18"/>
          <w:color w:val="auto"/>
        </w:rPr>
      </w:pPr>
    </w:p>
    <w:p>
      <w:pPr>
        <w:ind w:left="460" w:right="260" w:hanging="452"/>
        <w:spacing w:after="0" w:line="318" w:lineRule="auto"/>
        <w:tabs>
          <w:tab w:leader="none" w:pos="460" w:val="left"/>
        </w:tabs>
        <w:numPr>
          <w:ilvl w:val="0"/>
          <w:numId w:val="94"/>
        </w:numPr>
        <w:rPr>
          <w:rFonts w:ascii="Arial" w:cs="Arial" w:eastAsia="Arial" w:hAnsi="Arial"/>
          <w:sz w:val="15"/>
          <w:szCs w:val="15"/>
          <w:color w:val="auto"/>
        </w:rPr>
      </w:pPr>
      <w:r>
        <w:rPr>
          <w:rFonts w:ascii="Arial" w:cs="Arial" w:eastAsia="Arial" w:hAnsi="Arial"/>
          <w:sz w:val="15"/>
          <w:szCs w:val="15"/>
          <w:color w:val="auto"/>
        </w:rPr>
        <w:t>In providing the foregoing services, Dragon and Wynn Las Vegas accept the relationship of trust and confidence established between them. Dragon and Franco Dragone, representing Dragon, individually, agree to use their best efforts in furthering the interests of Wynn Las Vegas, and Wynn Las Vegas agrees to use its best efforts in furthering the interests of Dragon, to provide a first class entertainment attraction for Le Rêve, and in the performance of their duties and obligations under this Agreement. Franco Dragone shall personally control and oversee the creation, development, artistic direction and executive production of the Show, and shall be personally responsible for the creation, development and artistic direction to Wynn Las Vegas.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AGREEMENT IS STRICTLY CONFIDENTIAL</w:t>
      </w:r>
    </w:p>
    <w:p>
      <w:pPr>
        <w:sectPr>
          <w:pgSz w:w="11900" w:h="16838" w:orient="portrait"/>
          <w:cols w:equalWidth="0" w:num="1">
            <w:col w:w="11420"/>
          </w:cols>
          <w:pgMar w:left="240" w:top="280" w:right="239" w:bottom="1440" w:gutter="0" w:footer="0" w:header="0"/>
        </w:sectPr>
      </w:pPr>
    </w:p>
    <w:bookmarkStart w:id="141" w:name="page142"/>
    <w:bookmarkEnd w:id="141"/>
    <w:p>
      <w:pPr>
        <w:ind w:left="452" w:hanging="452"/>
        <w:spacing w:after="0"/>
        <w:tabs>
          <w:tab w:leader="none" w:pos="452"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PRODUCTION AND PRESENTATION OF THE SHOW</w:t>
      </w:r>
    </w:p>
    <w:p>
      <w:pPr>
        <w:spacing w:after="0" w:line="231" w:lineRule="exact"/>
        <w:rPr>
          <w:sz w:val="20"/>
          <w:szCs w:val="20"/>
          <w:color w:val="auto"/>
        </w:rPr>
      </w:pPr>
    </w:p>
    <w:p>
      <w:pPr>
        <w:ind w:left="452" w:right="140" w:hanging="452"/>
        <w:spacing w:after="0" w:line="294" w:lineRule="auto"/>
        <w:tabs>
          <w:tab w:leader="none" w:pos="452" w:val="left"/>
        </w:tabs>
        <w:numPr>
          <w:ilvl w:val="0"/>
          <w:numId w:val="96"/>
        </w:numPr>
        <w:rPr>
          <w:rFonts w:ascii="Arial" w:cs="Arial" w:eastAsia="Arial" w:hAnsi="Arial"/>
          <w:sz w:val="16"/>
          <w:szCs w:val="16"/>
          <w:color w:val="auto"/>
        </w:rPr>
      </w:pPr>
      <w:r>
        <w:rPr>
          <w:rFonts w:ascii="Arial" w:cs="Arial" w:eastAsia="Arial" w:hAnsi="Arial"/>
          <w:sz w:val="16"/>
          <w:szCs w:val="16"/>
          <w:color w:val="auto"/>
        </w:rPr>
        <w:t>Wynn Las Vegas shall, at its sole cost and expense, be the financial producer and shall present the Show with Dragon as its sole executive and artistic producer. As financial producer, Wynn Las Vegas shall provide, upon indications and advice of Dragon and as may reasonably be required by Dragon, all personnel (including but not limited to technical director, show technicians, engineers, artistic co-ordinator, artists and other staff), costumes and props, equipments and rigging and other accessories, stage, sets and scenery, lighting, video, sound, musical instruments and any other type of equipment, computer hardware and software, as may be required to produce and to present the Show during the Term or any Extension thereof.</w:t>
      </w:r>
    </w:p>
    <w:p>
      <w:pPr>
        <w:spacing w:after="0" w:line="169" w:lineRule="exact"/>
        <w:rPr>
          <w:rFonts w:ascii="Arial" w:cs="Arial" w:eastAsia="Arial" w:hAnsi="Arial"/>
          <w:sz w:val="16"/>
          <w:szCs w:val="16"/>
          <w:color w:val="auto"/>
        </w:rPr>
      </w:pPr>
    </w:p>
    <w:p>
      <w:pPr>
        <w:ind w:left="452" w:right="180"/>
        <w:spacing w:after="0" w:line="298" w:lineRule="auto"/>
        <w:rPr>
          <w:rFonts w:ascii="Arial" w:cs="Arial" w:eastAsia="Arial" w:hAnsi="Arial"/>
          <w:sz w:val="16"/>
          <w:szCs w:val="16"/>
          <w:color w:val="auto"/>
        </w:rPr>
      </w:pPr>
      <w:r>
        <w:rPr>
          <w:rFonts w:ascii="Arial" w:cs="Arial" w:eastAsia="Arial" w:hAnsi="Arial"/>
          <w:sz w:val="16"/>
          <w:szCs w:val="16"/>
          <w:color w:val="auto"/>
        </w:rPr>
        <w:t>Any decision relating to the provision of the above personnel and materials for the production of the Show shall be made jointly by Wynn Las Vegas and Dragon in accordance with the Show Production Budget, as hereinafter defined. In case of persistent disagreement between the parties, the final decision shall be made by Stephen A. Wynn, representing Wynn Las Vegas, in consultation with Franco Dragone, representing Dragon. The foregoing does not apply to the construction of the Showroom (as defined below) and its equipment.</w:t>
      </w:r>
    </w:p>
    <w:p>
      <w:pPr>
        <w:spacing w:after="0" w:line="166" w:lineRule="exact"/>
        <w:rPr>
          <w:rFonts w:ascii="Arial" w:cs="Arial" w:eastAsia="Arial" w:hAnsi="Arial"/>
          <w:sz w:val="16"/>
          <w:szCs w:val="16"/>
          <w:color w:val="auto"/>
        </w:rPr>
      </w:pPr>
    </w:p>
    <w:p>
      <w:pPr>
        <w:ind w:left="452" w:right="200"/>
        <w:spacing w:after="0" w:line="259" w:lineRule="auto"/>
        <w:rPr>
          <w:rFonts w:ascii="Arial" w:cs="Arial" w:eastAsia="Arial" w:hAnsi="Arial"/>
          <w:sz w:val="16"/>
          <w:szCs w:val="16"/>
          <w:color w:val="auto"/>
        </w:rPr>
      </w:pPr>
      <w:r>
        <w:rPr>
          <w:rFonts w:ascii="Arial" w:cs="Arial" w:eastAsia="Arial" w:hAnsi="Arial"/>
          <w:sz w:val="18"/>
          <w:szCs w:val="18"/>
          <w:color w:val="auto"/>
        </w:rPr>
        <w:t>Wynn Las Vegas shall further provide and make available at its costs for the production and presentation of the Show, all of its then supporting corporate services in human resources, finance and accounting, taxation, legal and contractual matters, information technologies and procurement as reasonably requested by Dragon;</w:t>
      </w:r>
    </w:p>
    <w:p>
      <w:pPr>
        <w:spacing w:after="0" w:line="194" w:lineRule="exact"/>
        <w:rPr>
          <w:rFonts w:ascii="Arial" w:cs="Arial" w:eastAsia="Arial" w:hAnsi="Arial"/>
          <w:sz w:val="16"/>
          <w:szCs w:val="16"/>
          <w:color w:val="auto"/>
        </w:rPr>
      </w:pPr>
    </w:p>
    <w:p>
      <w:pPr>
        <w:ind w:left="452" w:right="120" w:hanging="452"/>
        <w:spacing w:after="0" w:line="306" w:lineRule="auto"/>
        <w:tabs>
          <w:tab w:leader="none" w:pos="452" w:val="left"/>
        </w:tabs>
        <w:numPr>
          <w:ilvl w:val="0"/>
          <w:numId w:val="96"/>
        </w:numPr>
        <w:rPr>
          <w:rFonts w:ascii="Arial" w:cs="Arial" w:eastAsia="Arial" w:hAnsi="Arial"/>
          <w:sz w:val="16"/>
          <w:szCs w:val="16"/>
          <w:color w:val="auto"/>
        </w:rPr>
      </w:pPr>
      <w:r>
        <w:rPr>
          <w:rFonts w:ascii="Arial" w:cs="Arial" w:eastAsia="Arial" w:hAnsi="Arial"/>
          <w:sz w:val="16"/>
          <w:szCs w:val="16"/>
          <w:color w:val="auto"/>
        </w:rPr>
        <w:t>Schedule 1 hereto is the Show Production Budget (the “</w:t>
      </w:r>
      <w:r>
        <w:rPr>
          <w:rFonts w:ascii="Arial" w:cs="Arial" w:eastAsia="Arial" w:hAnsi="Arial"/>
          <w:sz w:val="16"/>
          <w:szCs w:val="16"/>
          <w:b w:val="1"/>
          <w:bCs w:val="1"/>
          <w:i w:val="1"/>
          <w:iCs w:val="1"/>
          <w:color w:val="auto"/>
        </w:rPr>
        <w:t>Show Production Budget</w:t>
      </w:r>
      <w:r>
        <w:rPr>
          <w:rFonts w:ascii="Arial" w:cs="Arial" w:eastAsia="Arial" w:hAnsi="Arial"/>
          <w:sz w:val="16"/>
          <w:szCs w:val="16"/>
          <w:color w:val="auto"/>
        </w:rPr>
        <w:t>”), which describes the production costs (the “</w:t>
      </w:r>
      <w:r>
        <w:rPr>
          <w:rFonts w:ascii="Arial" w:cs="Arial" w:eastAsia="Arial" w:hAnsi="Arial"/>
          <w:sz w:val="16"/>
          <w:szCs w:val="16"/>
          <w:b w:val="1"/>
          <w:bCs w:val="1"/>
          <w:i w:val="1"/>
          <w:iCs w:val="1"/>
          <w:color w:val="auto"/>
        </w:rPr>
        <w:t>Show Production Costs</w:t>
      </w:r>
      <w:r>
        <w:rPr>
          <w:rFonts w:ascii="Arial" w:cs="Arial" w:eastAsia="Arial" w:hAnsi="Arial"/>
          <w:sz w:val="16"/>
          <w:szCs w:val="16"/>
          <w:color w:val="auto"/>
        </w:rPr>
        <w:t>”) to be incurred in connection with the production of the Show. Any costs of the nature set out in the Show Production Budget and incurred by Dragon pursuant to this Agreement shall be reimbursed to Dragon by Wynn Las Vegas in accordance with Section 8 hereof.</w:t>
      </w:r>
    </w:p>
    <w:p>
      <w:pPr>
        <w:spacing w:after="0" w:line="160" w:lineRule="exact"/>
        <w:rPr>
          <w:rFonts w:ascii="Arial" w:cs="Arial" w:eastAsia="Arial" w:hAnsi="Arial"/>
          <w:sz w:val="16"/>
          <w:szCs w:val="16"/>
          <w:color w:val="auto"/>
        </w:rPr>
      </w:pPr>
    </w:p>
    <w:p>
      <w:pPr>
        <w:ind w:left="452" w:hanging="452"/>
        <w:spacing w:after="0" w:line="294" w:lineRule="auto"/>
        <w:tabs>
          <w:tab w:leader="none" w:pos="452"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All direct, overhead and out-of-pocket expenses incurred by Dragon and its affiliates after the Opening Date and in connection with the on-going presentation of the Show, including general supervision and control over artistic matters, and its administrative overhead and out-of-pocket expenses, as agreed upon with Wynn, shall be assumed by Wynn Las Vegas and treated as </w:t>
      </w:r>
      <w:r>
        <w:rPr>
          <w:rFonts w:ascii="Arial" w:cs="Arial" w:eastAsia="Arial" w:hAnsi="Arial"/>
          <w:sz w:val="16"/>
          <w:szCs w:val="16"/>
          <w:b w:val="1"/>
          <w:bCs w:val="1"/>
          <w:i w:val="1"/>
          <w:iCs w:val="1"/>
          <w:color w:val="auto"/>
        </w:rPr>
        <w:t>“Show Operating Expenses”</w:t>
      </w:r>
      <w:r>
        <w:rPr>
          <w:rFonts w:ascii="Arial" w:cs="Arial" w:eastAsia="Arial" w:hAnsi="Arial"/>
          <w:sz w:val="16"/>
          <w:szCs w:val="16"/>
          <w:color w:val="auto"/>
        </w:rPr>
        <w:t>. On a yearly basis, not later than sixty (60) days before the end of each year of the Term (except the final year), Wynn Las Vegas shall prepare, in consultation with Dragon, a budget for the Show Operating Expenses of the forthcoming year, which shall be jointly agreed to by Wynn Las Vegas and Dragon.</w:t>
      </w:r>
    </w:p>
    <w:p>
      <w:pPr>
        <w:spacing w:after="0" w:line="164"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THIS AGREEMENT IS STRICTLY CONFIDENTIAL</w:t>
      </w:r>
    </w:p>
    <w:p>
      <w:pPr>
        <w:sectPr>
          <w:pgSz w:w="11900" w:h="16838" w:orient="portrait"/>
          <w:cols w:equalWidth="0" w:num="1">
            <w:col w:w="11372"/>
          </w:cols>
          <w:pgMar w:left="248" w:top="274" w:right="279" w:bottom="1440" w:gutter="0" w:footer="0" w:header="0"/>
        </w:sectPr>
      </w:pPr>
    </w:p>
    <w:bookmarkStart w:id="142" w:name="page143"/>
    <w:bookmarkEnd w:id="142"/>
    <w:p>
      <w:pPr>
        <w:ind w:left="460" w:hanging="452"/>
        <w:spacing w:after="0"/>
        <w:tabs>
          <w:tab w:leader="none" w:pos="4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THEATRE AND EQUIPEMENT</w:t>
      </w:r>
    </w:p>
    <w:p>
      <w:pPr>
        <w:spacing w:after="0" w:line="231" w:lineRule="exact"/>
        <w:rPr>
          <w:sz w:val="20"/>
          <w:szCs w:val="20"/>
          <w:color w:val="auto"/>
        </w:rPr>
      </w:pPr>
    </w:p>
    <w:p>
      <w:pPr>
        <w:ind w:left="460" w:right="20" w:hanging="452"/>
        <w:spacing w:after="0" w:line="289" w:lineRule="auto"/>
        <w:tabs>
          <w:tab w:leader="none" w:pos="4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Show shall be presented by Wynn Las Vegas in a first class theatre in the Le Rêve resort, which theatre shall seat approximately 2000 patrons (the “</w:t>
      </w:r>
      <w:r>
        <w:rPr>
          <w:rFonts w:ascii="Arial" w:cs="Arial" w:eastAsia="Arial" w:hAnsi="Arial"/>
          <w:sz w:val="16"/>
          <w:szCs w:val="16"/>
          <w:b w:val="1"/>
          <w:bCs w:val="1"/>
          <w:i w:val="1"/>
          <w:iCs w:val="1"/>
          <w:color w:val="auto"/>
        </w:rPr>
        <w:t>Showroom</w:t>
      </w:r>
      <w:r>
        <w:rPr>
          <w:rFonts w:ascii="Arial" w:cs="Arial" w:eastAsia="Arial" w:hAnsi="Arial"/>
          <w:sz w:val="16"/>
          <w:szCs w:val="16"/>
          <w:color w:val="auto"/>
        </w:rPr>
        <w:t>”). The Showroom shall be designed, constructed and laid out or remodelled, as the case may be, by Wynn Las Vegas in accordance with general parameters and specifications discussed with Dragon and subject to the Theatre Construction and Specialized Equipment Budget, including, without limitation, stage dimensions, sound, backstage services, lighting, and theatrical equipment required by Dragon. Wynn Las Vegas agrees that the Showroom will have to be completed and delivered to Dragon dust free for the load in and rehearsal of the Show by no later than 183 days before the Opening Date, as defined herein, by which completion and delivery date Wynn Las Vegas shall have obtained all of the permits, licenses, registrations and certificates necessary for load-in and installation and no further work on the Showroom shall be required except for work on minor punch list items performed at times approved by Dragon in its sole discretion or at times which Dragon is not using the Showroom.</w:t>
      </w:r>
    </w:p>
    <w:p>
      <w:pPr>
        <w:spacing w:after="0" w:line="172" w:lineRule="exact"/>
        <w:rPr>
          <w:rFonts w:ascii="Arial" w:cs="Arial" w:eastAsia="Arial" w:hAnsi="Arial"/>
          <w:sz w:val="16"/>
          <w:szCs w:val="16"/>
          <w:color w:val="auto"/>
        </w:rPr>
      </w:pPr>
    </w:p>
    <w:p>
      <w:pPr>
        <w:ind w:left="460" w:right="320" w:hanging="452"/>
        <w:spacing w:after="0" w:line="268"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Wynn Las Vegas shall consult with Dragon at every material stage of the construction of the Showroom, so as to ensure that it remains suitable for the Show.</w:t>
      </w:r>
    </w:p>
    <w:p>
      <w:pPr>
        <w:spacing w:after="0" w:line="185"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costs of the Showroom, which shall include construction expense and engineering fees, costs of sound, lighting and other theatrical and specialised equipment set out in Schedule 2, shall be established by Wynn Las Vegas. During the Term, Wynn Las Vegas shall maintain the Showroom, including its theatrical and specialised equipment, in good working order, at its sole cost.</w:t>
      </w:r>
    </w:p>
    <w:p>
      <w:pPr>
        <w:spacing w:after="0" w:line="188"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OF SHOW</w:t>
      </w:r>
    </w:p>
    <w:p>
      <w:pPr>
        <w:spacing w:after="0" w:line="258"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 xml:space="preserve">Wynn Las Vegas shall present, at its sole cost and expense, the Show in the Showroom for a period of ten (10) consecutive years </w:t>
      </w:r>
      <w:r>
        <w:rPr>
          <w:rFonts w:ascii="Arial" w:cs="Arial" w:eastAsia="Arial" w:hAnsi="Arial"/>
          <w:sz w:val="16"/>
          <w:szCs w:val="16"/>
          <w:b w:val="1"/>
          <w:bCs w:val="1"/>
          <w:i w:val="1"/>
          <w:iCs w:val="1"/>
          <w:color w:val="auto"/>
        </w:rPr>
        <w:t>(“Term”)</w:t>
      </w:r>
      <w:r>
        <w:rPr>
          <w:rFonts w:ascii="Arial" w:cs="Arial" w:eastAsia="Arial" w:hAnsi="Arial"/>
          <w:sz w:val="16"/>
          <w:szCs w:val="16"/>
          <w:color w:val="auto"/>
        </w:rPr>
        <w:t xml:space="preserve"> commencing on the date of the first public performance of the Show </w:t>
      </w:r>
      <w:r>
        <w:rPr>
          <w:rFonts w:ascii="Arial" w:cs="Arial" w:eastAsia="Arial" w:hAnsi="Arial"/>
          <w:sz w:val="16"/>
          <w:szCs w:val="16"/>
          <w:b w:val="1"/>
          <w:bCs w:val="1"/>
          <w:i w:val="1"/>
          <w:iCs w:val="1"/>
          <w:color w:val="auto"/>
        </w:rPr>
        <w:t>(“Opening Date”)</w:t>
      </w:r>
      <w:r>
        <w:rPr>
          <w:rFonts w:ascii="Arial" w:cs="Arial" w:eastAsia="Arial" w:hAnsi="Arial"/>
          <w:sz w:val="16"/>
          <w:szCs w:val="16"/>
          <w:color w:val="auto"/>
        </w:rPr>
        <w:t>, which shall be jointly determined by the parties by no later than December 31, 2003 (provided Wynn Las Vegas receives the proceeds of the financing of Le Rêve by no later than April 30, 2003), and shall coincide with the opening of Le Rêve. Notwithstanding the foregoing, Wynn Las Vegas hereby represents and warrants that such Opening Date shall in no event be later than September 30, 2005.</w:t>
      </w:r>
    </w:p>
    <w:p>
      <w:pPr>
        <w:spacing w:after="0" w:line="194" w:lineRule="exact"/>
        <w:rPr>
          <w:sz w:val="20"/>
          <w:szCs w:val="20"/>
          <w:color w:val="auto"/>
        </w:rPr>
      </w:pPr>
    </w:p>
    <w:p>
      <w:pPr>
        <w:ind w:left="460" w:hanging="452"/>
        <w:spacing w:after="0" w:line="259"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Show shall run for approximately ninety (90) minutes with no intermission. The frequency and number of performances of the Show presented during each year of the Term shall be determined by mutual agreement of the parties, and shall take into consideration seasonality, provided that there shall be a minimum of 470 performances of the Show presented during each complete year of the Term.</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THIS AGREEMENT IS STRICTLY CONFIDENTIAL</w:t>
      </w:r>
    </w:p>
    <w:p>
      <w:pPr>
        <w:sectPr>
          <w:pgSz w:w="11900" w:h="16838" w:orient="portrait"/>
          <w:cols w:equalWidth="0" w:num="1">
            <w:col w:w="11320"/>
          </w:cols>
          <w:pgMar w:left="240" w:top="274" w:right="339" w:bottom="1440" w:gutter="0" w:footer="0" w:header="0"/>
        </w:sectPr>
      </w:pPr>
    </w:p>
    <w:bookmarkStart w:id="143" w:name="page144"/>
    <w:bookmarkEnd w:id="143"/>
    <w:p>
      <w:pPr>
        <w:ind w:left="452" w:right="80" w:hanging="452"/>
        <w:spacing w:after="0" w:line="335" w:lineRule="auto"/>
        <w:tabs>
          <w:tab w:leader="none" w:pos="452" w:val="left"/>
        </w:tabs>
        <w:numPr>
          <w:ilvl w:val="0"/>
          <w:numId w:val="10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Wynn Las Vegas shall be entitled, with the written consent of Dragon which shall not be unreasonably refused, to extend the presentation of the Show on the same terms and conditions set out herein for a further five (5) year period following the end of the Term </w:t>
      </w:r>
      <w:r>
        <w:rPr>
          <w:rFonts w:ascii="Arial" w:cs="Arial" w:eastAsia="Arial" w:hAnsi="Arial"/>
          <w:sz w:val="15"/>
          <w:szCs w:val="15"/>
          <w:b w:val="1"/>
          <w:bCs w:val="1"/>
          <w:i w:val="1"/>
          <w:iCs w:val="1"/>
          <w:color w:val="auto"/>
        </w:rPr>
        <w:t>(“Extension”)</w:t>
      </w:r>
      <w:r>
        <w:rPr>
          <w:rFonts w:ascii="Arial" w:cs="Arial" w:eastAsia="Arial" w:hAnsi="Arial"/>
          <w:sz w:val="15"/>
          <w:szCs w:val="15"/>
          <w:color w:val="auto"/>
        </w:rPr>
        <w:t>, provided that Wynn Las Vegas notifies Dragon in writing of such desire to extend the presentation of the Show by no later than the eighth anniversary date of the opening of the Show.</w:t>
      </w:r>
    </w:p>
    <w:p>
      <w:pPr>
        <w:spacing w:after="0" w:line="142" w:lineRule="exact"/>
        <w:rPr>
          <w:rFonts w:ascii="Arial" w:cs="Arial" w:eastAsia="Arial" w:hAnsi="Arial"/>
          <w:sz w:val="15"/>
          <w:szCs w:val="15"/>
          <w:color w:val="auto"/>
        </w:rPr>
      </w:pPr>
    </w:p>
    <w:p>
      <w:pPr>
        <w:ind w:left="452" w:right="40" w:hanging="452"/>
        <w:spacing w:after="0" w:line="291" w:lineRule="auto"/>
        <w:tabs>
          <w:tab w:leader="none" w:pos="45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If after the first twelve months following the Opening Date, the total Show Revenue (as defined below) shall be less than the total of the Show Operating Expenses (as defined below) during such 12-month period, Wynn Las Vegas shall have the right within sixty (60) days following the end of such 12-month period, to give Dragon written notice that Wynn Las Vegas elects to terminate the run of the Show, such termination to become effective thirty (30) days from receipt of such written notice by Dragon. Upon such termination Dragon shall be entitled to retain all payments received by and pursuant to this Agreement, and Wynn Las Vegas shall immediately pay to Dragon all amounts due and unpaid pursuant to this Agreement and any amount or indemnity which Dragon may reasonably and necessarily have to pay to third parties by reason of such termination.</w:t>
      </w:r>
    </w:p>
    <w:p>
      <w:pPr>
        <w:spacing w:after="0" w:line="174" w:lineRule="exact"/>
        <w:rPr>
          <w:rFonts w:ascii="Arial" w:cs="Arial" w:eastAsia="Arial" w:hAnsi="Arial"/>
          <w:sz w:val="16"/>
          <w:szCs w:val="16"/>
          <w:color w:val="auto"/>
        </w:rPr>
      </w:pPr>
    </w:p>
    <w:p>
      <w:pPr>
        <w:ind w:left="452" w:hanging="452"/>
        <w:spacing w:after="0" w:line="254" w:lineRule="auto"/>
        <w:tabs>
          <w:tab w:leader="none" w:pos="45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Wynn Las Vegas fails to give Dragon notice of termination pursuant to the preceding paragraph, Wynn Las Vegas shall have the right to give Dragon a termination notice within sixty (60) days following the end of each subsequent year during the Term, provided that the total Show Revenue shall have been less than the total Show Operating Expenses during such year, such termination to become effective thirty (30) days from receipt of such notice. Upon such termination Dragon shall be entitled to retain all payments received by it pursuant to this Agreement, and Wynn Las Vegas shall immediately pay to Dragon all amounts due and unpaid pursuant to this Agreement and any amount or indemnity which Dragon may have to pay to third parties by reason of such termination.</w:t>
      </w:r>
    </w:p>
    <w:p>
      <w:pPr>
        <w:spacing w:after="0" w:line="192" w:lineRule="exact"/>
        <w:rPr>
          <w:sz w:val="20"/>
          <w:szCs w:val="20"/>
          <w:color w:val="auto"/>
        </w:rPr>
      </w:pPr>
    </w:p>
    <w:p>
      <w:pPr>
        <w:ind w:left="452" w:hanging="452"/>
        <w:spacing w:after="0"/>
        <w:tabs>
          <w:tab w:leader="none" w:pos="452"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EXCLUSIVITY</w:t>
      </w:r>
    </w:p>
    <w:p>
      <w:pPr>
        <w:spacing w:after="0" w:line="231" w:lineRule="exact"/>
        <w:rPr>
          <w:sz w:val="20"/>
          <w:szCs w:val="20"/>
          <w:color w:val="auto"/>
        </w:rPr>
      </w:pPr>
    </w:p>
    <w:p>
      <w:pPr>
        <w:ind w:left="452" w:hanging="452"/>
        <w:spacing w:after="0"/>
        <w:tabs>
          <w:tab w:leader="none" w:pos="45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During the Term, neither Dragon nor any of its affiliates shall present:</w:t>
      </w:r>
    </w:p>
    <w:p>
      <w:pPr>
        <w:spacing w:after="0" w:line="252" w:lineRule="exact"/>
        <w:rPr>
          <w:rFonts w:ascii="Arial" w:cs="Arial" w:eastAsia="Arial" w:hAnsi="Arial"/>
          <w:sz w:val="18"/>
          <w:szCs w:val="18"/>
          <w:color w:val="auto"/>
        </w:rPr>
      </w:pPr>
    </w:p>
    <w:p>
      <w:pPr>
        <w:ind w:left="892" w:right="140" w:hanging="446"/>
        <w:spacing w:after="0" w:line="259" w:lineRule="auto"/>
        <w:tabs>
          <w:tab w:leader="none" w:pos="892" w:val="left"/>
        </w:tabs>
        <w:numPr>
          <w:ilvl w:val="1"/>
          <w:numId w:val="103"/>
        </w:numPr>
        <w:rPr>
          <w:rFonts w:ascii="Arial" w:cs="Arial" w:eastAsia="Arial" w:hAnsi="Arial"/>
          <w:sz w:val="18"/>
          <w:szCs w:val="18"/>
          <w:color w:val="auto"/>
        </w:rPr>
      </w:pPr>
      <w:r>
        <w:rPr>
          <w:rFonts w:ascii="Arial" w:cs="Arial" w:eastAsia="Arial" w:hAnsi="Arial"/>
          <w:sz w:val="18"/>
          <w:szCs w:val="18"/>
          <w:color w:val="auto"/>
        </w:rPr>
        <w:t xml:space="preserve">the Show or any other show using same or similar characters or story line as a live presentation at any place in the world but Le Rêve or any other casino or hotel owned or controlled by Stephen A. Wynn or Wynn Las Vegas or any other entity in which Stephen A. Wynn shall have a controlling interest (each a </w:t>
      </w:r>
      <w:r>
        <w:rPr>
          <w:rFonts w:ascii="Arial" w:cs="Arial" w:eastAsia="Arial" w:hAnsi="Arial"/>
          <w:sz w:val="18"/>
          <w:szCs w:val="18"/>
          <w:b w:val="1"/>
          <w:bCs w:val="1"/>
          <w:color w:val="auto"/>
        </w:rPr>
        <w:t>“Wynn Casino”</w:t>
      </w:r>
      <w:r>
        <w:rPr>
          <w:rFonts w:ascii="Arial" w:cs="Arial" w:eastAsia="Arial" w:hAnsi="Arial"/>
          <w:sz w:val="18"/>
          <w:szCs w:val="18"/>
          <w:color w:val="auto"/>
        </w:rPr>
        <w:t>); and</w:t>
      </w:r>
    </w:p>
    <w:p>
      <w:pPr>
        <w:spacing w:after="0" w:line="194" w:lineRule="exact"/>
        <w:rPr>
          <w:rFonts w:ascii="Arial" w:cs="Arial" w:eastAsia="Arial" w:hAnsi="Arial"/>
          <w:sz w:val="18"/>
          <w:szCs w:val="18"/>
          <w:color w:val="auto"/>
        </w:rPr>
      </w:pPr>
    </w:p>
    <w:p>
      <w:pPr>
        <w:ind w:left="892" w:right="260" w:hanging="446"/>
        <w:spacing w:after="0" w:line="268" w:lineRule="auto"/>
        <w:tabs>
          <w:tab w:leader="none" w:pos="892"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show whatsoever at any casino or any casino resort in North America (USA and Canada) or Macau other than a Wynn Casino. This provision shall also include the production or creation of any show or theatrical</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THIS AGREEMENT IS STRICTLY CONFIDENTIAL</w:t>
      </w:r>
    </w:p>
    <w:p>
      <w:pPr>
        <w:sectPr>
          <w:pgSz w:w="11900" w:h="16838" w:orient="portrait"/>
          <w:cols w:equalWidth="0" w:num="1">
            <w:col w:w="11392"/>
          </w:cols>
          <w:pgMar w:left="248" w:top="280" w:right="259" w:bottom="1440" w:gutter="0" w:footer="0" w:header="0"/>
        </w:sectPr>
      </w:pPr>
    </w:p>
    <w:bookmarkStart w:id="144" w:name="page145"/>
    <w:bookmarkEnd w:id="144"/>
    <w:p>
      <w:pPr>
        <w:ind w:left="89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presentation at any theatre or performance venue in North America (USA and Canada) or Macau located within five miles of any Wynn Casino.</w:t>
      </w:r>
    </w:p>
    <w:p>
      <w:pPr>
        <w:spacing w:after="0" w:line="275"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foregoing does not apply to:</w:t>
      </w:r>
    </w:p>
    <w:p>
      <w:pPr>
        <w:spacing w:after="0" w:line="252" w:lineRule="exact"/>
        <w:rPr>
          <w:sz w:val="20"/>
          <w:szCs w:val="20"/>
          <w:color w:val="auto"/>
        </w:rPr>
      </w:pPr>
    </w:p>
    <w:p>
      <w:pPr>
        <w:ind w:left="892" w:hanging="446"/>
        <w:spacing w:after="0"/>
        <w:tabs>
          <w:tab w:leader="none" w:pos="892" w:val="left"/>
        </w:tabs>
        <w:numPr>
          <w:ilvl w:val="1"/>
          <w:numId w:val="104"/>
        </w:numPr>
        <w:rPr>
          <w:rFonts w:ascii="Arial" w:cs="Arial" w:eastAsia="Arial" w:hAnsi="Arial"/>
          <w:sz w:val="18"/>
          <w:szCs w:val="18"/>
          <w:color w:val="auto"/>
        </w:rPr>
      </w:pPr>
      <w:r>
        <w:rPr>
          <w:rFonts w:ascii="Arial" w:cs="Arial" w:eastAsia="Arial" w:hAnsi="Arial"/>
          <w:sz w:val="18"/>
          <w:szCs w:val="18"/>
          <w:color w:val="auto"/>
        </w:rPr>
        <w:t>Services provided in connection with a Céline Dion production show to be presented in Las Vegas or its replacement show; and</w:t>
      </w:r>
    </w:p>
    <w:p>
      <w:pPr>
        <w:spacing w:after="0" w:line="225" w:lineRule="exact"/>
        <w:rPr>
          <w:rFonts w:ascii="Arial" w:cs="Arial" w:eastAsia="Arial" w:hAnsi="Arial"/>
          <w:sz w:val="18"/>
          <w:szCs w:val="18"/>
          <w:color w:val="auto"/>
        </w:rPr>
      </w:pPr>
    </w:p>
    <w:p>
      <w:pPr>
        <w:ind w:left="892" w:hanging="446"/>
        <w:spacing w:after="0"/>
        <w:tabs>
          <w:tab w:leader="none" w:pos="892" w:val="left"/>
        </w:tabs>
        <w:numPr>
          <w:ilvl w:val="1"/>
          <w:numId w:val="104"/>
        </w:numPr>
        <w:rPr>
          <w:rFonts w:ascii="Arial" w:cs="Arial" w:eastAsia="Arial" w:hAnsi="Arial"/>
          <w:sz w:val="18"/>
          <w:szCs w:val="18"/>
          <w:color w:val="auto"/>
        </w:rPr>
      </w:pPr>
      <w:r>
        <w:rPr>
          <w:rFonts w:ascii="Arial" w:cs="Arial" w:eastAsia="Arial" w:hAnsi="Arial"/>
          <w:sz w:val="18"/>
          <w:szCs w:val="18"/>
          <w:color w:val="auto"/>
        </w:rPr>
        <w:t xml:space="preserve">Services provided in connection with </w:t>
      </w:r>
      <w:r>
        <w:rPr>
          <w:rFonts w:ascii="Arial" w:cs="Arial" w:eastAsia="Arial" w:hAnsi="Arial"/>
          <w:sz w:val="18"/>
          <w:szCs w:val="18"/>
          <w:b w:val="1"/>
          <w:bCs w:val="1"/>
          <w:i w:val="1"/>
          <w:iCs w:val="1"/>
          <w:color w:val="auto"/>
        </w:rPr>
        <w:t>“Mystere”</w:t>
      </w:r>
      <w:r>
        <w:rPr>
          <w:rFonts w:ascii="Arial" w:cs="Arial" w:eastAsia="Arial" w:hAnsi="Arial"/>
          <w:sz w:val="18"/>
          <w:szCs w:val="18"/>
          <w:color w:val="auto"/>
        </w:rPr>
        <w:t xml:space="preserve"> and/or </w:t>
      </w:r>
      <w:r>
        <w:rPr>
          <w:rFonts w:ascii="Arial" w:cs="Arial" w:eastAsia="Arial" w:hAnsi="Arial"/>
          <w:sz w:val="18"/>
          <w:szCs w:val="18"/>
          <w:b w:val="1"/>
          <w:bCs w:val="1"/>
          <w:i w:val="1"/>
          <w:iCs w:val="1"/>
          <w:color w:val="auto"/>
        </w:rPr>
        <w:t>“O”</w:t>
      </w:r>
      <w:r>
        <w:rPr>
          <w:rFonts w:ascii="Arial" w:cs="Arial" w:eastAsia="Arial" w:hAnsi="Arial"/>
          <w:sz w:val="18"/>
          <w:szCs w:val="18"/>
          <w:color w:val="auto"/>
        </w:rPr>
        <w:t xml:space="preserve"> in Las Vegas, Nevada.</w:t>
      </w:r>
    </w:p>
    <w:p>
      <w:pPr>
        <w:spacing w:after="0" w:line="252" w:lineRule="exact"/>
        <w:rPr>
          <w:rFonts w:ascii="Arial" w:cs="Arial" w:eastAsia="Arial" w:hAnsi="Arial"/>
          <w:sz w:val="18"/>
          <w:szCs w:val="18"/>
          <w:color w:val="auto"/>
        </w:rPr>
      </w:pPr>
    </w:p>
    <w:p>
      <w:pPr>
        <w:ind w:left="452" w:right="520" w:hanging="452"/>
        <w:spacing w:after="0" w:line="268" w:lineRule="auto"/>
        <w:tabs>
          <w:tab w:leader="none" w:pos="45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During the Term, Dragon shall be entitled, at its sole discretion, to prevent Wynn Las Vegas or any other Wynn Casino from presenting, directly or indirectly.</w:t>
      </w:r>
    </w:p>
    <w:p>
      <w:pPr>
        <w:spacing w:after="0" w:line="212" w:lineRule="exact"/>
        <w:rPr>
          <w:rFonts w:ascii="Arial" w:cs="Arial" w:eastAsia="Arial" w:hAnsi="Arial"/>
          <w:sz w:val="18"/>
          <w:szCs w:val="18"/>
          <w:color w:val="auto"/>
        </w:rPr>
      </w:pPr>
    </w:p>
    <w:p>
      <w:pPr>
        <w:ind w:left="892" w:hanging="446"/>
        <w:spacing w:after="0"/>
        <w:tabs>
          <w:tab w:leader="none" w:pos="892"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 Show or any other show using same or similar characters or story line as a live presentation at any place in the world but a Wynn Casino; and</w:t>
      </w:r>
    </w:p>
    <w:p>
      <w:pPr>
        <w:spacing w:after="0" w:line="248" w:lineRule="exact"/>
        <w:rPr>
          <w:rFonts w:ascii="Arial" w:cs="Arial" w:eastAsia="Arial" w:hAnsi="Arial"/>
          <w:sz w:val="16"/>
          <w:szCs w:val="16"/>
          <w:color w:val="auto"/>
        </w:rPr>
      </w:pPr>
    </w:p>
    <w:p>
      <w:pPr>
        <w:ind w:left="892" w:right="60" w:hanging="446"/>
        <w:spacing w:after="0" w:line="291" w:lineRule="auto"/>
        <w:tabs>
          <w:tab w:leader="none" w:pos="892"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any other show whatsoever, provided that such other show is similar in type to those being or having been created, produced or presented by or through Dragon or any of its affiliates at the time Wynn Las Vegas would be willing to present or produce such other show. Without limiting the foregoing it is agreed that such other shows would include any show of the nature of a theatre play, musical, opera, circus style show and any other production involving many performers or disciplines. In the event Wynn Las Vegas would be willing to present such other show at any place anywhere in the world, Dragon or any of its affiliates shall have a right of first refusal to create and/or produce said other show at the conditions proposed by Wynn Resort. Dragon’s right of first refusal shall be exercised in a timely manner.</w:t>
      </w:r>
    </w:p>
    <w:p>
      <w:pPr>
        <w:spacing w:after="0" w:line="195" w:lineRule="exact"/>
        <w:rPr>
          <w:sz w:val="20"/>
          <w:szCs w:val="20"/>
          <w:color w:val="auto"/>
        </w:rPr>
      </w:pPr>
    </w:p>
    <w:p>
      <w:pPr>
        <w:ind w:left="452" w:hanging="452"/>
        <w:spacing w:after="0"/>
        <w:tabs>
          <w:tab w:leader="none" w:pos="452"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FlNANCIAL MATTERS</w:t>
      </w:r>
    </w:p>
    <w:p>
      <w:pPr>
        <w:spacing w:after="0" w:line="231" w:lineRule="exact"/>
        <w:rPr>
          <w:sz w:val="20"/>
          <w:szCs w:val="20"/>
          <w:color w:val="auto"/>
        </w:rPr>
      </w:pPr>
    </w:p>
    <w:p>
      <w:pPr>
        <w:ind w:left="452" w:right="280" w:hanging="452"/>
        <w:spacing w:after="0" w:line="268" w:lineRule="auto"/>
        <w:tabs>
          <w:tab w:leader="none" w:pos="45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Wynn Las Vegas shall advance to Dragon the funds as may be required for the payment of Dragon’s share of the Show Production Costs, according to approved cash flows required for the ongoing development and production of the Show.</w:t>
      </w:r>
    </w:p>
    <w:p>
      <w:pPr>
        <w:spacing w:after="0" w:line="179" w:lineRule="exact"/>
        <w:rPr>
          <w:rFonts w:ascii="Arial" w:cs="Arial" w:eastAsia="Arial" w:hAnsi="Arial"/>
          <w:sz w:val="18"/>
          <w:szCs w:val="18"/>
          <w:color w:val="auto"/>
        </w:rPr>
      </w:pPr>
    </w:p>
    <w:p>
      <w:pPr>
        <w:jc w:val="both"/>
        <w:ind w:left="452" w:right="60"/>
        <w:spacing w:after="0" w:line="262" w:lineRule="auto"/>
        <w:rPr>
          <w:rFonts w:ascii="Arial" w:cs="Arial" w:eastAsia="Arial" w:hAnsi="Arial"/>
          <w:sz w:val="18"/>
          <w:szCs w:val="18"/>
          <w:color w:val="auto"/>
        </w:rPr>
      </w:pPr>
      <w:r>
        <w:rPr>
          <w:rFonts w:ascii="Arial" w:cs="Arial" w:eastAsia="Arial" w:hAnsi="Arial"/>
          <w:sz w:val="18"/>
          <w:szCs w:val="18"/>
          <w:color w:val="auto"/>
        </w:rPr>
        <w:t>Dragon shall open and maintain a separate bank account (“</w:t>
      </w:r>
      <w:r>
        <w:rPr>
          <w:rFonts w:ascii="Arial" w:cs="Arial" w:eastAsia="Arial" w:hAnsi="Arial"/>
          <w:sz w:val="18"/>
          <w:szCs w:val="18"/>
          <w:b w:val="1"/>
          <w:bCs w:val="1"/>
          <w:color w:val="auto"/>
        </w:rPr>
        <w:t>Show Bank Account</w:t>
      </w:r>
      <w:r>
        <w:rPr>
          <w:rFonts w:ascii="Arial" w:cs="Arial" w:eastAsia="Arial" w:hAnsi="Arial"/>
          <w:sz w:val="18"/>
          <w:szCs w:val="18"/>
          <w:color w:val="auto"/>
        </w:rPr>
        <w:t>”) with a bank to be mutually agreed by the parties hereto which shall be used solely for depositing all advances of Wynn Las Vegas to Dragon for its share of the Show Production Costs and for Dragon to make all payments of Show Production Costs which it has to incur pursuant to this Agreement.</w:t>
      </w:r>
    </w:p>
    <w:p>
      <w:pPr>
        <w:spacing w:after="0" w:line="192" w:lineRule="exact"/>
        <w:rPr>
          <w:rFonts w:ascii="Arial" w:cs="Arial" w:eastAsia="Arial" w:hAnsi="Arial"/>
          <w:sz w:val="18"/>
          <w:szCs w:val="18"/>
          <w:color w:val="auto"/>
        </w:rPr>
      </w:pPr>
    </w:p>
    <w:p>
      <w:pPr>
        <w:jc w:val="both"/>
        <w:ind w:left="452"/>
        <w:spacing w:after="0" w:line="259" w:lineRule="auto"/>
        <w:rPr>
          <w:rFonts w:ascii="Arial" w:cs="Arial" w:eastAsia="Arial" w:hAnsi="Arial"/>
          <w:sz w:val="18"/>
          <w:szCs w:val="18"/>
          <w:color w:val="auto"/>
        </w:rPr>
      </w:pPr>
      <w:r>
        <w:rPr>
          <w:rFonts w:ascii="Arial" w:cs="Arial" w:eastAsia="Arial" w:hAnsi="Arial"/>
          <w:sz w:val="18"/>
          <w:szCs w:val="18"/>
          <w:color w:val="auto"/>
        </w:rPr>
        <w:t>All advances made by Wynn Las Vegas to Dragon to pay such Show Production Costs shall be deposited by Dragon in the Show Bank Account and shall be used by Dragon solely for the purpose of making all payments of Show Production Costs (any interest accrued in the Show Bank Account shall also be used by Dragon to pay Show Production Costs).</w:t>
      </w:r>
    </w:p>
    <w:p>
      <w:pPr>
        <w:spacing w:after="0" w:line="188" w:lineRule="exact"/>
        <w:rPr>
          <w:sz w:val="20"/>
          <w:szCs w:val="20"/>
          <w:color w:val="auto"/>
        </w:rPr>
      </w:pPr>
    </w:p>
    <w:p>
      <w:pPr>
        <w:jc w:val="center"/>
        <w:ind w:right="-131"/>
        <w:spacing w:after="0"/>
        <w:rPr>
          <w:sz w:val="20"/>
          <w:szCs w:val="20"/>
          <w:color w:val="auto"/>
        </w:rPr>
      </w:pPr>
      <w:r>
        <w:rPr>
          <w:rFonts w:ascii="Arial" w:cs="Arial" w:eastAsia="Arial" w:hAnsi="Arial"/>
          <w:sz w:val="18"/>
          <w:szCs w:val="18"/>
          <w:b w:val="1"/>
          <w:bCs w:val="1"/>
          <w:color w:val="auto"/>
        </w:rPr>
        <w:t>THIS AGREEMENT IS STRICTLY CONFIDENTIAL</w:t>
      </w:r>
    </w:p>
    <w:p>
      <w:pPr>
        <w:sectPr>
          <w:pgSz w:w="11900" w:h="16838" w:orient="portrait"/>
          <w:cols w:equalWidth="0" w:num="1">
            <w:col w:w="11272"/>
          </w:cols>
          <w:pgMar w:left="248" w:top="280" w:right="379" w:bottom="1440" w:gutter="0" w:footer="0" w:header="0"/>
        </w:sectPr>
      </w:pPr>
    </w:p>
    <w:bookmarkStart w:id="145" w:name="page146"/>
    <w:bookmarkEnd w:id="145"/>
    <w:p>
      <w:pPr>
        <w:ind w:left="452" w:right="100" w:hanging="452"/>
        <w:spacing w:after="0" w:line="259" w:lineRule="auto"/>
        <w:tabs>
          <w:tab w:leader="none" w:pos="452" w:val="left"/>
        </w:tabs>
        <w:numPr>
          <w:ilvl w:val="0"/>
          <w:numId w:val="1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less than ten (10) days before the beginning of each quarterly period following the execution of this Agreement, Dragon shall submit to Wynn Las Vegas a statement (“Quarterly Statement of Cash Requirements”) based on the Show Production Budget, as modified from time to time by mutual consent of the parties hereto, showing:</w:t>
      </w:r>
    </w:p>
    <w:p>
      <w:pPr>
        <w:spacing w:after="0" w:line="221" w:lineRule="exact"/>
        <w:rPr>
          <w:rFonts w:ascii="Arial" w:cs="Arial" w:eastAsia="Arial" w:hAnsi="Arial"/>
          <w:sz w:val="18"/>
          <w:szCs w:val="18"/>
          <w:color w:val="auto"/>
        </w:rPr>
      </w:pPr>
    </w:p>
    <w:p>
      <w:pPr>
        <w:jc w:val="both"/>
        <w:ind w:left="892" w:hanging="446"/>
        <w:spacing w:after="0" w:line="259" w:lineRule="auto"/>
        <w:tabs>
          <w:tab w:leader="none" w:pos="892"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An estimate of the Show Production Costs estimated to be incurred by Dragon during the quarterly period immediately following such notice, broken down into each of the categories specified in the Show Production Budget or such greater detail as may be required by Wynn Las Vegas to the extent such information is available;</w:t>
      </w:r>
    </w:p>
    <w:p>
      <w:pPr>
        <w:spacing w:after="0" w:line="194" w:lineRule="exact"/>
        <w:rPr>
          <w:rFonts w:ascii="Arial" w:cs="Arial" w:eastAsia="Arial" w:hAnsi="Arial"/>
          <w:sz w:val="18"/>
          <w:szCs w:val="18"/>
          <w:color w:val="auto"/>
        </w:rPr>
      </w:pPr>
    </w:p>
    <w:p>
      <w:pPr>
        <w:ind w:left="892" w:hanging="446"/>
        <w:spacing w:after="0"/>
        <w:tabs>
          <w:tab w:leader="none" w:pos="892"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amount of all cash balances expected to be held in such account as of the first day of such quarterly period; and</w:t>
      </w:r>
    </w:p>
    <w:p>
      <w:pPr>
        <w:spacing w:after="0" w:line="225" w:lineRule="exact"/>
        <w:rPr>
          <w:rFonts w:ascii="Arial" w:cs="Arial" w:eastAsia="Arial" w:hAnsi="Arial"/>
          <w:sz w:val="18"/>
          <w:szCs w:val="18"/>
          <w:color w:val="auto"/>
        </w:rPr>
      </w:pPr>
    </w:p>
    <w:p>
      <w:pPr>
        <w:ind w:left="892" w:right="220" w:hanging="446"/>
        <w:spacing w:after="0" w:line="268" w:lineRule="auto"/>
        <w:tabs>
          <w:tab w:leader="none" w:pos="892"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total amount required to be paid to Dragon by Wynn Las Vegas in order to meet such Show Production Costs to be incurred by Dragon during said quarter.</w:t>
      </w:r>
    </w:p>
    <w:p>
      <w:pPr>
        <w:spacing w:after="0" w:line="185" w:lineRule="exact"/>
        <w:rPr>
          <w:rFonts w:ascii="Arial" w:cs="Arial" w:eastAsia="Arial" w:hAnsi="Arial"/>
          <w:sz w:val="18"/>
          <w:szCs w:val="18"/>
          <w:color w:val="auto"/>
        </w:rPr>
      </w:pPr>
    </w:p>
    <w:p>
      <w:pPr>
        <w:ind w:left="892" w:right="40"/>
        <w:spacing w:after="0" w:line="310" w:lineRule="auto"/>
        <w:rPr>
          <w:rFonts w:ascii="Arial" w:cs="Arial" w:eastAsia="Arial" w:hAnsi="Arial"/>
          <w:sz w:val="18"/>
          <w:szCs w:val="18"/>
          <w:color w:val="auto"/>
        </w:rPr>
      </w:pPr>
      <w:r>
        <w:rPr>
          <w:rFonts w:ascii="Arial" w:cs="Arial" w:eastAsia="Arial" w:hAnsi="Arial"/>
          <w:sz w:val="15"/>
          <w:szCs w:val="15"/>
          <w:color w:val="auto"/>
        </w:rPr>
        <w:t>The Quarterly Statement of Cash Requirements submitted by Dragon shall, if requested, be accompanied by the Show Bank Account statements for the previous quarter (or, if such bank statement is not available at such time, Dragon shall provide same to Wynn Las Vegas as soon as it receives it), and upon request by Wynn Las Vegas, Dragon shall also provide Wynn Las Vegas with a bank reconciliation showing the total amount of Show Production Costs actually paid from the Show Bank Account for the previous quarter as compared to the amount of funds requested on the Quarterly Statement of Cash Requirements for the same quarter accompanied, if required by Wynn Las Vegas, by sufficient supporting documentary evidence in that regard. Wynn Las Vegas shall approve or disapprove the Quarterly Statement of Cash Requirements by the start of the applicable quarterly period, and, on a monthly basis after its approval, cause to be deposited in the Show Bank Account the necessary portion of the contribution requested to fund the Show development and production, subject to the constraints of the Disbursement Agreement for the Le Rêve project.</w:t>
      </w:r>
    </w:p>
    <w:p>
      <w:pPr>
        <w:spacing w:after="0" w:line="189" w:lineRule="exact"/>
        <w:rPr>
          <w:rFonts w:ascii="Arial" w:cs="Arial" w:eastAsia="Arial" w:hAnsi="Arial"/>
          <w:sz w:val="18"/>
          <w:szCs w:val="18"/>
          <w:color w:val="auto"/>
        </w:rPr>
      </w:pPr>
    </w:p>
    <w:p>
      <w:pPr>
        <w:ind w:left="452" w:right="220" w:hanging="452"/>
        <w:spacing w:after="0" w:line="259" w:lineRule="auto"/>
        <w:tabs>
          <w:tab w:leader="none" w:pos="45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Wynn Las Vegas shall at its own expense at all reasonable times through its on site representative or others, have the right to examine, analyze, copy any and all documents, books and records of Dragon relating to the Show Production Costs and the Show Bank Account, and to have same audited by its representatives.</w:t>
      </w:r>
    </w:p>
    <w:p>
      <w:pPr>
        <w:spacing w:after="0" w:line="188"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THIS AGREEMENT IS STRICTLY CONFIDENTIAL</w:t>
      </w:r>
    </w:p>
    <w:p>
      <w:pPr>
        <w:sectPr>
          <w:pgSz w:w="11900" w:h="16838" w:orient="portrait"/>
          <w:cols w:equalWidth="0" w:num="1">
            <w:col w:w="11392"/>
          </w:cols>
          <w:pgMar w:left="248" w:top="280" w:right="259" w:bottom="1440" w:gutter="0" w:footer="0" w:header="0"/>
        </w:sectPr>
      </w:pPr>
    </w:p>
    <w:bookmarkStart w:id="146" w:name="page147"/>
    <w:bookmarkEnd w:id="146"/>
    <w:p>
      <w:pPr>
        <w:ind w:left="460" w:right="160" w:hanging="452"/>
        <w:spacing w:after="0" w:line="259" w:lineRule="auto"/>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will retain control over all financial matters, including timing of disbursements, concerning the Show provided, however, that Wynn Las Vegas will fully and meaningfully consult Dragon as reasonably requested from time to time by Dragon, especially with regards to all financial matters dealing with creative and artistic elements of the Show.</w:t>
      </w:r>
    </w:p>
    <w:p>
      <w:pPr>
        <w:spacing w:after="0" w:line="194" w:lineRule="exact"/>
        <w:rPr>
          <w:rFonts w:ascii="Arial" w:cs="Arial" w:eastAsia="Arial" w:hAnsi="Arial"/>
          <w:sz w:val="18"/>
          <w:szCs w:val="18"/>
          <w:color w:val="auto"/>
        </w:rPr>
      </w:pPr>
    </w:p>
    <w:p>
      <w:pPr>
        <w:jc w:val="both"/>
        <w:ind w:left="460" w:right="40" w:hanging="452"/>
        <w:spacing w:after="0" w:line="306" w:lineRule="auto"/>
        <w:tabs>
          <w:tab w:leader="none" w:pos="4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Wynn Las Vegas shall have the right to place one or more on site representatives in Belgium where Dragon will conduct its development and co-production activities for the Show. The representative(s) shall have the authority and responsibility to act on behalf of Wynn Las Vegas with regard to financial matters affecting the production of the Show. Wynn Las Vegas shall consult with Dragon with regard to the choice of the representative(s).</w:t>
      </w:r>
    </w:p>
    <w:p>
      <w:pPr>
        <w:spacing w:after="0" w:line="160" w:lineRule="exact"/>
        <w:rPr>
          <w:rFonts w:ascii="Arial" w:cs="Arial" w:eastAsia="Arial" w:hAnsi="Arial"/>
          <w:sz w:val="16"/>
          <w:szCs w:val="16"/>
          <w:color w:val="auto"/>
        </w:rPr>
      </w:pPr>
    </w:p>
    <w:p>
      <w:pPr>
        <w:ind w:left="460" w:right="100"/>
        <w:spacing w:after="0" w:line="256" w:lineRule="auto"/>
        <w:rPr>
          <w:rFonts w:ascii="Arial" w:cs="Arial" w:eastAsia="Arial" w:hAnsi="Arial"/>
          <w:sz w:val="16"/>
          <w:szCs w:val="16"/>
          <w:color w:val="auto"/>
        </w:rPr>
      </w:pPr>
      <w:r>
        <w:rPr>
          <w:rFonts w:ascii="Arial" w:cs="Arial" w:eastAsia="Arial" w:hAnsi="Arial"/>
          <w:sz w:val="18"/>
          <w:szCs w:val="18"/>
          <w:color w:val="auto"/>
        </w:rPr>
        <w:t>The representative shall, in conjunction with Dragon, determine all policies and procedures affecting the use of Wynn Las Vegas funds, including without limitation, methods of procurement (including bidding procedures), budget preparation and approvals, methods of accounting and document control procedures (including disbursements), and any other activity that potentially requires the expenditure of the funds by Wynn Las Vegas in direct connection with the Show.</w:t>
      </w:r>
    </w:p>
    <w:p>
      <w:pPr>
        <w:spacing w:after="0" w:line="197" w:lineRule="exact"/>
        <w:rPr>
          <w:rFonts w:ascii="Arial" w:cs="Arial" w:eastAsia="Arial" w:hAnsi="Arial"/>
          <w:sz w:val="16"/>
          <w:szCs w:val="16"/>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Dragon shall provide adequate office space and support for the representative(s).</w:t>
      </w:r>
    </w:p>
    <w:p>
      <w:pPr>
        <w:spacing w:after="0" w:line="15" w:lineRule="exact"/>
        <w:rPr>
          <w:rFonts w:ascii="Arial" w:cs="Arial" w:eastAsia="Arial" w:hAnsi="Arial"/>
          <w:sz w:val="18"/>
          <w:szCs w:val="18"/>
          <w:color w:val="auto"/>
        </w:rPr>
      </w:pPr>
    </w:p>
    <w:p>
      <w:pPr>
        <w:ind w:left="460" w:right="300"/>
        <w:spacing w:after="0" w:line="323" w:lineRule="auto"/>
        <w:rPr>
          <w:rFonts w:ascii="Arial" w:cs="Arial" w:eastAsia="Arial" w:hAnsi="Arial"/>
          <w:sz w:val="18"/>
          <w:szCs w:val="18"/>
          <w:color w:val="auto"/>
        </w:rPr>
      </w:pPr>
      <w:r>
        <w:rPr>
          <w:rFonts w:ascii="Arial" w:cs="Arial" w:eastAsia="Arial" w:hAnsi="Arial"/>
          <w:sz w:val="16"/>
          <w:szCs w:val="16"/>
          <w:color w:val="auto"/>
        </w:rPr>
        <w:t>Nothing contained herein is intended to hinder Dragon’s or its affiliates’ control of the creative aspects including the process of production of the Show. The parties agree that the presence and exercise of powers delegated to the representative(s) are to be exercised in the best interest of the Show.</w:t>
      </w:r>
    </w:p>
    <w:p>
      <w:pPr>
        <w:spacing w:after="0" w:line="146" w:lineRule="exact"/>
        <w:rPr>
          <w:rFonts w:ascii="Arial" w:cs="Arial" w:eastAsia="Arial" w:hAnsi="Arial"/>
          <w:sz w:val="18"/>
          <w:szCs w:val="18"/>
          <w:color w:val="auto"/>
        </w:rPr>
      </w:pPr>
    </w:p>
    <w:p>
      <w:pPr>
        <w:ind w:left="460" w:right="140"/>
        <w:spacing w:after="0" w:line="268" w:lineRule="auto"/>
        <w:rPr>
          <w:rFonts w:ascii="Arial" w:cs="Arial" w:eastAsia="Arial" w:hAnsi="Arial"/>
          <w:sz w:val="18"/>
          <w:szCs w:val="18"/>
          <w:color w:val="auto"/>
        </w:rPr>
      </w:pPr>
      <w:r>
        <w:rPr>
          <w:rFonts w:ascii="Arial" w:cs="Arial" w:eastAsia="Arial" w:hAnsi="Arial"/>
          <w:sz w:val="18"/>
          <w:szCs w:val="18"/>
          <w:color w:val="auto"/>
        </w:rPr>
        <w:t>Although the parties anticipate that much of the Show development design and production will occur in Belgium, it is the parties’ mutual intent to have, if possible, elements carried out within North America during the development and Production Period.</w:t>
      </w:r>
    </w:p>
    <w:p>
      <w:pPr>
        <w:spacing w:after="0" w:line="185"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parties mutually understand and recognise that for the production process or for the benefit of the creative process it will be necessary to fabricate some materials in Belgium as long as the quality (according to industry standards, cost efficiency and after delivery services) is equal to or greater than that which may be available in the United States. All payments by Wynn Las Vegas to Dragon or affiliates, for the costs and expenses defined in Section 2 herein, shall be based upon Budgets, other documentation and supporting schedules of deliverables as mutually agreed upon by the parties. All aspects of the Show Production Budget, including all pre-production expenses, set design and fabrication, other scenic elements, training and rehearsal expenses, travel expenses for Dragon’s personnel shall be disbursed in accordance with the Show Production Budget and Show Production requirements in accordance with the financial and administrative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AGREEMENT IS STRICTLY CONFIDENTIAL</w:t>
      </w:r>
    </w:p>
    <w:p>
      <w:pPr>
        <w:sectPr>
          <w:pgSz w:w="11900" w:h="16838" w:orient="portrait"/>
          <w:cols w:equalWidth="0" w:num="1">
            <w:col w:w="11420"/>
          </w:cols>
          <w:pgMar w:left="240" w:top="280" w:right="239" w:bottom="1440" w:gutter="0" w:footer="0" w:header="0"/>
        </w:sectPr>
      </w:pPr>
    </w:p>
    <w:bookmarkStart w:id="147" w:name="page148"/>
    <w:bookmarkEnd w:id="147"/>
    <w:p>
      <w:pPr>
        <w:ind w:left="460"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procedures established by Dragon and Wynn Las Vegas and approved by Wynn Las Vegas. All expenses requiring a disbursement of over US$50,000 shall be approved in advance by Wynn Las Vegas. Franco Dragone shall be entitled to travel First Class at all times. Louis Parenteau and Patrice Bilodeau shall be permitted Business Class travel within Europe (for flights over two hours) and to North America. All documents related to the Show Production or operation are subject to audit by the representative(s).</w:t>
      </w:r>
    </w:p>
    <w:p>
      <w:pPr>
        <w:spacing w:after="0" w:line="197" w:lineRule="exact"/>
        <w:rPr>
          <w:sz w:val="20"/>
          <w:szCs w:val="20"/>
          <w:color w:val="auto"/>
        </w:rPr>
      </w:pPr>
    </w:p>
    <w:p>
      <w:pPr>
        <w:ind w:left="460" w:hanging="452"/>
        <w:spacing w:after="0" w:line="294" w:lineRule="auto"/>
        <w:tabs>
          <w:tab w:leader="none" w:pos="4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Wynn Las Vegas acknowledges and agrees that a fair allocation of Dragon’s or its affiliates’ general overhead will be chargeable to the Show as part of the Show Production Costs and of the Show Operating Expenses. Such amounts shall be pre-approved by Wynn, allocated fairly based upon generally accepted US accounting principles and be a part of all Budgets contemplated hereunder. In the event that any dispute arising out of or in connection with this Section cannot be resolved between Dragon and the representative(s) of Wynn Las Vegas or Kenneth Wynn, then Stephen A. Wynn in consultation with Franco Dragone representing Dragon shall have the sole authority to resolve such dispute.</w:t>
      </w:r>
    </w:p>
    <w:p>
      <w:pPr>
        <w:spacing w:after="0" w:line="169" w:lineRule="exact"/>
        <w:rPr>
          <w:rFonts w:ascii="Arial" w:cs="Arial" w:eastAsia="Arial" w:hAnsi="Arial"/>
          <w:sz w:val="16"/>
          <w:szCs w:val="16"/>
          <w:color w:val="auto"/>
        </w:rPr>
      </w:pPr>
    </w:p>
    <w:p>
      <w:pPr>
        <w:ind w:left="460" w:right="20" w:hanging="452"/>
        <w:spacing w:after="0" w:line="256" w:lineRule="auto"/>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parties agree that, until a different amount is established by the parties in the manner set out in this Section 6, an amount of US$25,000 per month shall be charged to the Show in respect of the overhead referred to in Section 6H). Notwithstanding the foregoing it is acknowledged that unless the parties otherwise agree, the maximum amount payable to Dragon hereunder before the Opening Date and to be included in the Show Production Costs shall not exceed US$850,000 in total.</w:t>
      </w:r>
    </w:p>
    <w:p>
      <w:pPr>
        <w:spacing w:after="0" w:line="191"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ENHANCEMENTS</w:t>
      </w:r>
    </w:p>
    <w:p>
      <w:pPr>
        <w:spacing w:after="0" w:line="25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 xml:space="preserve">Dragon acknowledges that Wynn Las Vegas may incur on a cumulative basis, up to US$1,000,000 in costs per year during the first nine years of the Term and, if the Term is extended, during each year of the Extension, for replacement of one or more segments of the Show with new acts </w:t>
      </w:r>
      <w:r>
        <w:rPr>
          <w:rFonts w:ascii="Arial" w:cs="Arial" w:eastAsia="Arial" w:hAnsi="Arial"/>
          <w:sz w:val="16"/>
          <w:szCs w:val="16"/>
          <w:b w:val="1"/>
          <w:bCs w:val="1"/>
          <w:i w:val="1"/>
          <w:iCs w:val="1"/>
          <w:color w:val="auto"/>
        </w:rPr>
        <w:t>(“Enhancements”)</w:t>
      </w:r>
      <w:r>
        <w:rPr>
          <w:rFonts w:ascii="Arial" w:cs="Arial" w:eastAsia="Arial" w:hAnsi="Arial"/>
          <w:sz w:val="16"/>
          <w:szCs w:val="16"/>
          <w:color w:val="auto"/>
        </w:rPr>
        <w:t>, which new acts may include new costumes, lighting, equipment and new choreographies. Dragon agrees that the terms and conditions of this Agreement shall apply to such Enhancements and to render its services with respect to such Enhancements in accordance with the terms and conditions of this Agreement.</w:t>
      </w:r>
    </w:p>
    <w:p>
      <w:pPr>
        <w:spacing w:after="0" w:line="188"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231"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As compensation to Dragon, Wynn Las Vegas shall pay to Dragon:</w:t>
      </w:r>
    </w:p>
    <w:p>
      <w:pPr>
        <w:spacing w:after="0" w:line="252" w:lineRule="exact"/>
        <w:rPr>
          <w:sz w:val="20"/>
          <w:szCs w:val="20"/>
          <w:color w:val="auto"/>
        </w:rPr>
      </w:pPr>
    </w:p>
    <w:p>
      <w:pPr>
        <w:ind w:left="900" w:right="220" w:hanging="446"/>
        <w:spacing w:after="0" w:line="332" w:lineRule="auto"/>
        <w:tabs>
          <w:tab w:leader="none" w:pos="9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In respect of each period of three months during the Term and any extension thereof </w:t>
      </w:r>
      <w:r>
        <w:rPr>
          <w:rFonts w:ascii="Arial" w:cs="Arial" w:eastAsia="Arial" w:hAnsi="Arial"/>
          <w:sz w:val="16"/>
          <w:szCs w:val="16"/>
          <w:b w:val="1"/>
          <w:bCs w:val="1"/>
          <w:i w:val="1"/>
          <w:iCs w:val="1"/>
          <w:color w:val="auto"/>
        </w:rPr>
        <w:t>(“Fiscal Quarter”)</w:t>
      </w:r>
      <w:r>
        <w:rPr>
          <w:rFonts w:ascii="Arial" w:cs="Arial" w:eastAsia="Arial" w:hAnsi="Arial"/>
          <w:sz w:val="16"/>
          <w:szCs w:val="16"/>
          <w:color w:val="auto"/>
        </w:rPr>
        <w:t>, a non-refundable amount equal to twenty percent (20%) of the Show Net Profits. The Show Net Profits is the amount by which all of the Show Revenue (as defined below) for any</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AGREEMENT IS STRICTLY CONFIDENTIAL</w:t>
      </w:r>
    </w:p>
    <w:p>
      <w:pPr>
        <w:sectPr>
          <w:pgSz w:w="11900" w:h="16838" w:orient="portrait"/>
          <w:cols w:equalWidth="0" w:num="1">
            <w:col w:w="11400"/>
          </w:cols>
          <w:pgMar w:left="240" w:top="280" w:right="259" w:bottom="1440" w:gutter="0" w:footer="0" w:header="0"/>
        </w:sectPr>
      </w:pPr>
    </w:p>
    <w:bookmarkStart w:id="148" w:name="page149"/>
    <w:bookmarkEnd w:id="148"/>
    <w:p>
      <w:pPr>
        <w:ind w:left="89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Fiscal Quarter exceeds the sum of the Show Operating Expenses (as defined below) for such Fiscal Quarter </w:t>
      </w:r>
      <w:r>
        <w:rPr>
          <w:rFonts w:ascii="Arial" w:cs="Arial" w:eastAsia="Arial" w:hAnsi="Arial"/>
          <w:sz w:val="16"/>
          <w:szCs w:val="16"/>
          <w:b w:val="1"/>
          <w:bCs w:val="1"/>
          <w:i w:val="1"/>
          <w:iCs w:val="1"/>
          <w:color w:val="auto"/>
        </w:rPr>
        <w:t>(the “Show Net Profits”)</w:t>
      </w:r>
      <w:r>
        <w:rPr>
          <w:rFonts w:ascii="Arial" w:cs="Arial" w:eastAsia="Arial" w:hAnsi="Arial"/>
          <w:sz w:val="16"/>
          <w:szCs w:val="16"/>
          <w:color w:val="auto"/>
        </w:rPr>
        <w:t>.</w:t>
      </w:r>
    </w:p>
    <w:p>
      <w:pPr>
        <w:spacing w:after="0" w:line="248" w:lineRule="exact"/>
        <w:rPr>
          <w:sz w:val="20"/>
          <w:szCs w:val="20"/>
          <w:color w:val="auto"/>
        </w:rPr>
      </w:pPr>
    </w:p>
    <w:p>
      <w:pPr>
        <w:ind w:left="892" w:hanging="446"/>
        <w:spacing w:after="0"/>
        <w:tabs>
          <w:tab w:leader="none" w:pos="892" w:val="left"/>
        </w:tabs>
        <w:numPr>
          <w:ilvl w:val="1"/>
          <w:numId w:val="115"/>
        </w:numPr>
        <w:rPr>
          <w:rFonts w:ascii="Arial" w:cs="Arial" w:eastAsia="Arial" w:hAnsi="Arial"/>
          <w:sz w:val="18"/>
          <w:szCs w:val="18"/>
          <w:color w:val="auto"/>
        </w:rPr>
      </w:pPr>
      <w:r>
        <w:rPr>
          <w:rFonts w:ascii="Arial" w:cs="Arial" w:eastAsia="Arial" w:hAnsi="Arial"/>
          <w:sz w:val="18"/>
          <w:szCs w:val="18"/>
          <w:color w:val="auto"/>
        </w:rPr>
        <w:t>Reimbursement of all Show Production Costs incurred by Dragon pursuant to Sections 1 and 2 hereof.</w:t>
      </w:r>
    </w:p>
    <w:p>
      <w:pPr>
        <w:spacing w:after="0" w:line="225" w:lineRule="exact"/>
        <w:rPr>
          <w:rFonts w:ascii="Arial" w:cs="Arial" w:eastAsia="Arial" w:hAnsi="Arial"/>
          <w:sz w:val="18"/>
          <w:szCs w:val="18"/>
          <w:color w:val="auto"/>
        </w:rPr>
      </w:pPr>
    </w:p>
    <w:p>
      <w:pPr>
        <w:ind w:left="892" w:hanging="446"/>
        <w:spacing w:after="0"/>
        <w:tabs>
          <w:tab w:leader="none" w:pos="892" w:val="left"/>
        </w:tabs>
        <w:numPr>
          <w:ilvl w:val="1"/>
          <w:numId w:val="115"/>
        </w:numPr>
        <w:rPr>
          <w:rFonts w:ascii="Arial" w:cs="Arial" w:eastAsia="Arial" w:hAnsi="Arial"/>
          <w:sz w:val="18"/>
          <w:szCs w:val="18"/>
          <w:color w:val="auto"/>
        </w:rPr>
      </w:pPr>
      <w:r>
        <w:rPr>
          <w:rFonts w:ascii="Arial" w:cs="Arial" w:eastAsia="Arial" w:hAnsi="Arial"/>
          <w:sz w:val="18"/>
          <w:szCs w:val="18"/>
          <w:color w:val="auto"/>
        </w:rPr>
        <w:t>Reimbursement of all indirect costs and general overhead expenses incurred by Dragon pursuant to Sections 6.H) and 6.I) hereof.</w:t>
      </w:r>
    </w:p>
    <w:p>
      <w:pPr>
        <w:spacing w:after="0" w:line="225" w:lineRule="exact"/>
        <w:rPr>
          <w:rFonts w:ascii="Arial" w:cs="Arial" w:eastAsia="Arial" w:hAnsi="Arial"/>
          <w:sz w:val="18"/>
          <w:szCs w:val="18"/>
          <w:color w:val="auto"/>
        </w:rPr>
      </w:pPr>
    </w:p>
    <w:p>
      <w:pPr>
        <w:ind w:left="892" w:hanging="446"/>
        <w:spacing w:after="0"/>
        <w:tabs>
          <w:tab w:leader="none" w:pos="892" w:val="left"/>
        </w:tabs>
        <w:numPr>
          <w:ilvl w:val="1"/>
          <w:numId w:val="115"/>
        </w:numPr>
        <w:rPr>
          <w:rFonts w:ascii="Arial" w:cs="Arial" w:eastAsia="Arial" w:hAnsi="Arial"/>
          <w:sz w:val="18"/>
          <w:szCs w:val="18"/>
          <w:color w:val="auto"/>
        </w:rPr>
      </w:pPr>
      <w:r>
        <w:rPr>
          <w:rFonts w:ascii="Arial" w:cs="Arial" w:eastAsia="Arial" w:hAnsi="Arial"/>
          <w:sz w:val="18"/>
          <w:szCs w:val="18"/>
          <w:color w:val="auto"/>
        </w:rPr>
        <w:t>Reimbursement of all direct operating and follow up costs incurred by Dragon during the Fiscal Quarter.</w:t>
      </w:r>
    </w:p>
    <w:p>
      <w:pPr>
        <w:spacing w:after="0" w:line="252" w:lineRule="exact"/>
        <w:rPr>
          <w:rFonts w:ascii="Arial" w:cs="Arial" w:eastAsia="Arial" w:hAnsi="Arial"/>
          <w:sz w:val="18"/>
          <w:szCs w:val="18"/>
          <w:color w:val="auto"/>
        </w:rPr>
      </w:pPr>
    </w:p>
    <w:p>
      <w:pPr>
        <w:ind w:left="452" w:right="440" w:hanging="452"/>
        <w:spacing w:after="0" w:line="268" w:lineRule="auto"/>
        <w:tabs>
          <w:tab w:leader="none" w:pos="45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Wynn Las Vegas shall retain for its own account all of the Net Ticket Revenue from the Show, and all of the Show Net profits, subject to the amounts payable to Dragon under this agreement.</w:t>
      </w:r>
    </w:p>
    <w:p>
      <w:pPr>
        <w:spacing w:after="0" w:line="185" w:lineRule="exact"/>
        <w:rPr>
          <w:rFonts w:ascii="Arial" w:cs="Arial" w:eastAsia="Arial" w:hAnsi="Arial"/>
          <w:sz w:val="18"/>
          <w:szCs w:val="18"/>
          <w:color w:val="auto"/>
        </w:rPr>
      </w:pPr>
    </w:p>
    <w:p>
      <w:pPr>
        <w:ind w:left="452" w:hanging="452"/>
        <w:spacing w:after="0"/>
        <w:tabs>
          <w:tab w:leader="none" w:pos="45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As used herein:</w:t>
      </w:r>
    </w:p>
    <w:p>
      <w:pPr>
        <w:spacing w:after="0" w:line="252" w:lineRule="exact"/>
        <w:rPr>
          <w:rFonts w:ascii="Arial" w:cs="Arial" w:eastAsia="Arial" w:hAnsi="Arial"/>
          <w:sz w:val="18"/>
          <w:szCs w:val="18"/>
          <w:color w:val="auto"/>
        </w:rPr>
      </w:pPr>
    </w:p>
    <w:p>
      <w:pPr>
        <w:ind w:left="892" w:hanging="446"/>
        <w:spacing w:after="0"/>
        <w:tabs>
          <w:tab w:leader="none" w:pos="892" w:val="left"/>
        </w:tabs>
        <w:numPr>
          <w:ilvl w:val="1"/>
          <w:numId w:val="1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“Show Revenue” </w:t>
      </w:r>
      <w:r>
        <w:rPr>
          <w:rFonts w:ascii="Arial" w:cs="Arial" w:eastAsia="Arial" w:hAnsi="Arial"/>
          <w:sz w:val="18"/>
          <w:szCs w:val="18"/>
          <w:color w:val="auto"/>
        </w:rPr>
        <w:t>means, for each Fiscal Quarter, the sum of</w:t>
      </w:r>
    </w:p>
    <w:p>
      <w:pPr>
        <w:spacing w:after="0" w:line="252" w:lineRule="exact"/>
        <w:rPr>
          <w:rFonts w:ascii="Arial" w:cs="Arial" w:eastAsia="Arial" w:hAnsi="Arial"/>
          <w:sz w:val="18"/>
          <w:szCs w:val="18"/>
          <w:color w:val="auto"/>
        </w:rPr>
      </w:pPr>
    </w:p>
    <w:p>
      <w:pPr>
        <w:ind w:left="1132" w:hanging="214"/>
        <w:spacing w:after="0"/>
        <w:tabs>
          <w:tab w:leader="none" w:pos="1132" w:val="left"/>
        </w:tabs>
        <w:numPr>
          <w:ilvl w:val="3"/>
          <w:numId w:val="116"/>
        </w:numPr>
        <w:rPr>
          <w:rFonts w:ascii="Arial" w:cs="Arial" w:eastAsia="Arial" w:hAnsi="Arial"/>
          <w:sz w:val="18"/>
          <w:szCs w:val="18"/>
          <w:color w:val="auto"/>
        </w:rPr>
      </w:pPr>
      <w:r>
        <w:rPr>
          <w:rFonts w:ascii="Arial" w:cs="Arial" w:eastAsia="Arial" w:hAnsi="Arial"/>
          <w:sz w:val="18"/>
          <w:szCs w:val="18"/>
          <w:color w:val="auto"/>
        </w:rPr>
        <w:t>100% of Net Ticket Revenue for the Show; and</w:t>
      </w:r>
    </w:p>
    <w:p>
      <w:pPr>
        <w:spacing w:after="0" w:line="279" w:lineRule="exact"/>
        <w:rPr>
          <w:rFonts w:ascii="Arial" w:cs="Arial" w:eastAsia="Arial" w:hAnsi="Arial"/>
          <w:sz w:val="18"/>
          <w:szCs w:val="18"/>
          <w:color w:val="auto"/>
        </w:rPr>
      </w:pPr>
    </w:p>
    <w:p>
      <w:pPr>
        <w:ind w:left="1132" w:right="500" w:hanging="214"/>
        <w:spacing w:after="0" w:line="268" w:lineRule="auto"/>
        <w:tabs>
          <w:tab w:leader="none" w:pos="1132" w:val="left"/>
        </w:tabs>
        <w:numPr>
          <w:ilvl w:val="3"/>
          <w:numId w:val="116"/>
        </w:numPr>
        <w:rPr>
          <w:rFonts w:ascii="Arial" w:cs="Arial" w:eastAsia="Arial" w:hAnsi="Arial"/>
          <w:sz w:val="18"/>
          <w:szCs w:val="18"/>
          <w:color w:val="auto"/>
        </w:rPr>
      </w:pPr>
      <w:r>
        <w:rPr>
          <w:rFonts w:ascii="Arial" w:cs="Arial" w:eastAsia="Arial" w:hAnsi="Arial"/>
          <w:sz w:val="18"/>
          <w:szCs w:val="18"/>
          <w:color w:val="auto"/>
        </w:rPr>
        <w:t>100% of the gross proceeds (being gross revenue less sales and entertainment tax only, if any) for the sale of food and beverages sold in or immediately adjacent to the Showroom;</w:t>
      </w:r>
    </w:p>
    <w:p>
      <w:pPr>
        <w:spacing w:after="0" w:line="212" w:lineRule="exact"/>
        <w:rPr>
          <w:rFonts w:ascii="Arial" w:cs="Arial" w:eastAsia="Arial" w:hAnsi="Arial"/>
          <w:sz w:val="18"/>
          <w:szCs w:val="18"/>
          <w:color w:val="auto"/>
        </w:rPr>
      </w:pPr>
    </w:p>
    <w:p>
      <w:pPr>
        <w:ind w:left="892" w:hanging="446"/>
        <w:spacing w:after="0"/>
        <w:tabs>
          <w:tab w:leader="none" w:pos="892" w:val="left"/>
        </w:tabs>
        <w:numPr>
          <w:ilvl w:val="1"/>
          <w:numId w:val="1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“Show Operating Expenses” </w:t>
      </w:r>
      <w:r>
        <w:rPr>
          <w:rFonts w:ascii="Arial" w:cs="Arial" w:eastAsia="Arial" w:hAnsi="Arial"/>
          <w:sz w:val="18"/>
          <w:szCs w:val="18"/>
          <w:color w:val="auto"/>
        </w:rPr>
        <w:t>means, for each Fiscal Quarter, the sum of:</w:t>
      </w:r>
    </w:p>
    <w:p>
      <w:pPr>
        <w:spacing w:after="0" w:line="252" w:lineRule="exact"/>
        <w:rPr>
          <w:rFonts w:ascii="Arial" w:cs="Arial" w:eastAsia="Arial" w:hAnsi="Arial"/>
          <w:sz w:val="18"/>
          <w:szCs w:val="18"/>
          <w:color w:val="auto"/>
        </w:rPr>
      </w:pPr>
    </w:p>
    <w:p>
      <w:pPr>
        <w:ind w:left="1112" w:hanging="221"/>
        <w:spacing w:after="0"/>
        <w:tabs>
          <w:tab w:leader="none" w:pos="1112" w:val="left"/>
        </w:tabs>
        <w:numPr>
          <w:ilvl w:val="2"/>
          <w:numId w:val="116"/>
        </w:numPr>
        <w:rPr>
          <w:rFonts w:ascii="Arial" w:cs="Arial" w:eastAsia="Arial" w:hAnsi="Arial"/>
          <w:sz w:val="18"/>
          <w:szCs w:val="18"/>
          <w:color w:val="auto"/>
        </w:rPr>
      </w:pPr>
      <w:r>
        <w:rPr>
          <w:rFonts w:ascii="Arial" w:cs="Arial" w:eastAsia="Arial" w:hAnsi="Arial"/>
          <w:sz w:val="18"/>
          <w:szCs w:val="18"/>
          <w:color w:val="auto"/>
        </w:rPr>
        <w:t>Any royalty amount paid by Wynn Las Vegas to Calitri during such Fiscal Quarter calculated directly on the Net Ticket Revenue;</w:t>
      </w:r>
    </w:p>
    <w:p>
      <w:pPr>
        <w:spacing w:after="0" w:line="279" w:lineRule="exact"/>
        <w:rPr>
          <w:rFonts w:ascii="Arial" w:cs="Arial" w:eastAsia="Arial" w:hAnsi="Arial"/>
          <w:sz w:val="18"/>
          <w:szCs w:val="18"/>
          <w:color w:val="auto"/>
        </w:rPr>
      </w:pPr>
    </w:p>
    <w:p>
      <w:pPr>
        <w:ind w:left="1112" w:right="160" w:hanging="221"/>
        <w:spacing w:after="0" w:line="268" w:lineRule="auto"/>
        <w:tabs>
          <w:tab w:leader="none" w:pos="1112" w:val="left"/>
        </w:tabs>
        <w:numPr>
          <w:ilvl w:val="2"/>
          <w:numId w:val="116"/>
        </w:numPr>
        <w:rPr>
          <w:rFonts w:ascii="Arial" w:cs="Arial" w:eastAsia="Arial" w:hAnsi="Arial"/>
          <w:sz w:val="18"/>
          <w:szCs w:val="18"/>
          <w:color w:val="auto"/>
        </w:rPr>
      </w:pPr>
      <w:r>
        <w:rPr>
          <w:rFonts w:ascii="Arial" w:cs="Arial" w:eastAsia="Arial" w:hAnsi="Arial"/>
          <w:sz w:val="18"/>
          <w:szCs w:val="18"/>
          <w:color w:val="auto"/>
        </w:rPr>
        <w:t>All direct operating expenses including but not limited to Showroom and equipment maintenance costs (as opposed to major replacement costs) incurred by Wynn Las Vegas in connection with the presentation of the Show during such Fiscal Quarter;</w:t>
      </w:r>
    </w:p>
    <w:p>
      <w:pPr>
        <w:spacing w:after="0" w:line="212" w:lineRule="exact"/>
        <w:rPr>
          <w:rFonts w:ascii="Arial" w:cs="Arial" w:eastAsia="Arial" w:hAnsi="Arial"/>
          <w:sz w:val="18"/>
          <w:szCs w:val="18"/>
          <w:color w:val="auto"/>
        </w:rPr>
      </w:pPr>
    </w:p>
    <w:p>
      <w:pPr>
        <w:ind w:left="1112" w:right="220" w:hanging="221"/>
        <w:spacing w:after="0" w:line="268" w:lineRule="auto"/>
        <w:tabs>
          <w:tab w:leader="none" w:pos="1112" w:val="left"/>
        </w:tabs>
        <w:numPr>
          <w:ilvl w:val="2"/>
          <w:numId w:val="116"/>
        </w:numPr>
        <w:rPr>
          <w:rFonts w:ascii="Arial" w:cs="Arial" w:eastAsia="Arial" w:hAnsi="Arial"/>
          <w:sz w:val="18"/>
          <w:szCs w:val="18"/>
          <w:color w:val="auto"/>
        </w:rPr>
      </w:pPr>
      <w:r>
        <w:rPr>
          <w:rFonts w:ascii="Arial" w:cs="Arial" w:eastAsia="Arial" w:hAnsi="Arial"/>
          <w:sz w:val="18"/>
          <w:szCs w:val="18"/>
          <w:color w:val="auto"/>
        </w:rPr>
        <w:t>All direct expenses incurred by Wynn Las Vegas during such Fiscal Quarter in the sale of food and beverages in or immediately adjacent to the Showroom;</w:t>
      </w:r>
    </w:p>
    <w:p>
      <w:pPr>
        <w:spacing w:after="0" w:line="212" w:lineRule="exact"/>
        <w:rPr>
          <w:rFonts w:ascii="Arial" w:cs="Arial" w:eastAsia="Arial" w:hAnsi="Arial"/>
          <w:sz w:val="18"/>
          <w:szCs w:val="18"/>
          <w:color w:val="auto"/>
        </w:rPr>
      </w:pPr>
    </w:p>
    <w:p>
      <w:pPr>
        <w:ind w:left="1112" w:hanging="221"/>
        <w:spacing w:after="0" w:line="306" w:lineRule="auto"/>
        <w:tabs>
          <w:tab w:leader="none" w:pos="1112" w:val="left"/>
        </w:tabs>
        <w:numPr>
          <w:ilvl w:val="2"/>
          <w:numId w:val="116"/>
        </w:numPr>
        <w:rPr>
          <w:rFonts w:ascii="Arial" w:cs="Arial" w:eastAsia="Arial" w:hAnsi="Arial"/>
          <w:sz w:val="16"/>
          <w:szCs w:val="16"/>
          <w:color w:val="auto"/>
        </w:rPr>
      </w:pPr>
      <w:r>
        <w:rPr>
          <w:rFonts w:ascii="Arial" w:cs="Arial" w:eastAsia="Arial" w:hAnsi="Arial"/>
          <w:sz w:val="16"/>
          <w:szCs w:val="16"/>
          <w:color w:val="auto"/>
        </w:rPr>
        <w:t>During the first twenty-four (24) months following the Opening Date only, such portion of the aggregate (i) initial launch advertising and promotional campaign expenses, and (ii) pre-opening operating expenses (a budget for which shall have been agreed by the parties) relating to the presentation of the Show, each paid by Wynn Las Vegas, attributable to such Fiscal Quarter,</w:t>
      </w:r>
    </w:p>
    <w:p>
      <w:pPr>
        <w:spacing w:after="0" w:line="155"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THIS AGREEMENT IS STRICTLY CONFIDENTIAL</w:t>
      </w:r>
    </w:p>
    <w:p>
      <w:pPr>
        <w:sectPr>
          <w:pgSz w:w="11900" w:h="16838" w:orient="portrait"/>
          <w:cols w:equalWidth="0" w:num="1">
            <w:col w:w="11372"/>
          </w:cols>
          <w:pgMar w:left="248" w:top="280" w:right="279" w:bottom="1440" w:gutter="0" w:footer="0" w:header="0"/>
        </w:sectPr>
      </w:pPr>
    </w:p>
    <w:bookmarkStart w:id="149" w:name="page150"/>
    <w:bookmarkEnd w:id="149"/>
    <w:p>
      <w:pPr>
        <w:ind w:left="22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shall be determined based on amortising all of such expenses on a straight-line basis over such 24-month period;</w:t>
      </w:r>
    </w:p>
    <w:p>
      <w:pPr>
        <w:spacing w:after="0" w:line="279" w:lineRule="exact"/>
        <w:rPr>
          <w:sz w:val="20"/>
          <w:szCs w:val="20"/>
          <w:color w:val="auto"/>
        </w:rPr>
      </w:pPr>
    </w:p>
    <w:p>
      <w:pPr>
        <w:ind w:left="221" w:hanging="221"/>
        <w:spacing w:after="0"/>
        <w:tabs>
          <w:tab w:leader="none" w:pos="22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During the first sixty (60) months following the Opening Date only:</w:t>
      </w:r>
    </w:p>
    <w:p>
      <w:pPr>
        <w:spacing w:after="0" w:line="279" w:lineRule="exact"/>
        <w:rPr>
          <w:rFonts w:ascii="Arial" w:cs="Arial" w:eastAsia="Arial" w:hAnsi="Arial"/>
          <w:sz w:val="18"/>
          <w:szCs w:val="18"/>
          <w:color w:val="auto"/>
        </w:rPr>
      </w:pPr>
    </w:p>
    <w:p>
      <w:pPr>
        <w:ind w:left="581" w:hanging="338"/>
        <w:spacing w:after="0"/>
        <w:tabs>
          <w:tab w:leader="none" w:pos="581" w:val="left"/>
        </w:tabs>
        <w:numPr>
          <w:ilvl w:val="1"/>
          <w:numId w:val="117"/>
        </w:numPr>
        <w:rPr>
          <w:rFonts w:ascii="Arial" w:cs="Arial" w:eastAsia="Arial" w:hAnsi="Arial"/>
          <w:sz w:val="18"/>
          <w:szCs w:val="18"/>
          <w:color w:val="auto"/>
        </w:rPr>
      </w:pPr>
      <w:r>
        <w:rPr>
          <w:rFonts w:ascii="Arial" w:cs="Arial" w:eastAsia="Arial" w:hAnsi="Arial"/>
          <w:sz w:val="18"/>
          <w:szCs w:val="18"/>
          <w:color w:val="auto"/>
        </w:rPr>
        <w:t>such portion of the Show Production Costs paid by Wynn Las Vegas;</w:t>
      </w:r>
    </w:p>
    <w:p>
      <w:pPr>
        <w:spacing w:after="0" w:line="279" w:lineRule="exact"/>
        <w:rPr>
          <w:rFonts w:ascii="Arial" w:cs="Arial" w:eastAsia="Arial" w:hAnsi="Arial"/>
          <w:sz w:val="18"/>
          <w:szCs w:val="18"/>
          <w:color w:val="auto"/>
        </w:rPr>
      </w:pPr>
    </w:p>
    <w:p>
      <w:pPr>
        <w:ind w:left="581" w:hanging="338"/>
        <w:spacing w:after="0"/>
        <w:tabs>
          <w:tab w:leader="none" w:pos="581" w:val="left"/>
        </w:tabs>
        <w:numPr>
          <w:ilvl w:val="1"/>
          <w:numId w:val="117"/>
        </w:numPr>
        <w:rPr>
          <w:rFonts w:ascii="Arial" w:cs="Arial" w:eastAsia="Arial" w:hAnsi="Arial"/>
          <w:sz w:val="18"/>
          <w:szCs w:val="18"/>
          <w:color w:val="auto"/>
        </w:rPr>
      </w:pPr>
      <w:r>
        <w:rPr>
          <w:rFonts w:ascii="Arial" w:cs="Arial" w:eastAsia="Arial" w:hAnsi="Arial"/>
          <w:sz w:val="18"/>
          <w:szCs w:val="18"/>
          <w:color w:val="auto"/>
        </w:rPr>
        <w:t>such portion of any guaranteed creation fee paid to Calitri; and</w:t>
      </w:r>
    </w:p>
    <w:p>
      <w:pPr>
        <w:spacing w:after="0" w:line="279" w:lineRule="exact"/>
        <w:rPr>
          <w:rFonts w:ascii="Arial" w:cs="Arial" w:eastAsia="Arial" w:hAnsi="Arial"/>
          <w:sz w:val="18"/>
          <w:szCs w:val="18"/>
          <w:color w:val="auto"/>
        </w:rPr>
      </w:pPr>
    </w:p>
    <w:p>
      <w:pPr>
        <w:ind w:left="581" w:right="700" w:hanging="338"/>
        <w:spacing w:after="0" w:line="268" w:lineRule="auto"/>
        <w:tabs>
          <w:tab w:leader="none" w:pos="581" w:val="left"/>
        </w:tabs>
        <w:numPr>
          <w:ilvl w:val="1"/>
          <w:numId w:val="117"/>
        </w:numPr>
        <w:rPr>
          <w:rFonts w:ascii="Arial" w:cs="Arial" w:eastAsia="Arial" w:hAnsi="Arial"/>
          <w:sz w:val="18"/>
          <w:szCs w:val="18"/>
          <w:color w:val="auto"/>
        </w:rPr>
      </w:pPr>
      <w:r>
        <w:rPr>
          <w:rFonts w:ascii="Arial" w:cs="Arial" w:eastAsia="Arial" w:hAnsi="Arial"/>
          <w:sz w:val="18"/>
          <w:szCs w:val="18"/>
          <w:color w:val="auto"/>
        </w:rPr>
        <w:t>such portion of the costs incurred with name searches for the Show and filing and registration of trademarks in respect of the Show attributable to such Fiscal Quarter,</w:t>
      </w:r>
    </w:p>
    <w:p>
      <w:pPr>
        <w:spacing w:after="0" w:line="213" w:lineRule="exact"/>
        <w:rPr>
          <w:sz w:val="20"/>
          <w:szCs w:val="20"/>
          <w:color w:val="auto"/>
        </w:rPr>
      </w:pPr>
    </w:p>
    <w:p>
      <w:pPr>
        <w:ind w:left="241"/>
        <w:spacing w:after="0"/>
        <w:rPr>
          <w:sz w:val="20"/>
          <w:szCs w:val="20"/>
          <w:color w:val="auto"/>
        </w:rPr>
      </w:pPr>
      <w:r>
        <w:rPr>
          <w:rFonts w:ascii="Arial" w:cs="Arial" w:eastAsia="Arial" w:hAnsi="Arial"/>
          <w:sz w:val="18"/>
          <w:szCs w:val="18"/>
          <w:color w:val="auto"/>
        </w:rPr>
        <w:t>as shall be determined based on amortising of all such costs on a straight-line basis over such 60-month period.</w:t>
      </w:r>
    </w:p>
    <w:p>
      <w:pPr>
        <w:spacing w:after="0" w:line="279" w:lineRule="exact"/>
        <w:rPr>
          <w:sz w:val="20"/>
          <w:szCs w:val="20"/>
          <w:color w:val="auto"/>
        </w:rPr>
      </w:pPr>
    </w:p>
    <w:p>
      <w:pPr>
        <w:ind w:left="341" w:right="160" w:hanging="341"/>
        <w:spacing w:after="0" w:line="335" w:lineRule="auto"/>
        <w:tabs>
          <w:tab w:leader="none" w:pos="341" w:val="left"/>
        </w:tabs>
        <w:numPr>
          <w:ilvl w:val="0"/>
          <w:numId w:val="118"/>
        </w:numPr>
        <w:rPr>
          <w:rFonts w:ascii="Arial" w:cs="Arial" w:eastAsia="Arial" w:hAnsi="Arial"/>
          <w:sz w:val="15"/>
          <w:szCs w:val="15"/>
          <w:color w:val="auto"/>
        </w:rPr>
      </w:pPr>
      <w:r>
        <w:rPr>
          <w:rFonts w:ascii="Arial" w:cs="Arial" w:eastAsia="Arial" w:hAnsi="Arial"/>
          <w:sz w:val="15"/>
          <w:szCs w:val="15"/>
          <w:color w:val="auto"/>
        </w:rPr>
        <w:t>In respect of the amortisation of the capital costs of all sound, lighting and other equipment purchased by Wynn Las Vegas for Enhancement, during a period of sixty (60) months only following the purchase of such equipment, such portion of such costs paid by Wynn Las Vegas, attributable to such Fiscal Quarter, as shall be determined based on amortising such costs on a straight-line basis over such period of time; and</w:t>
      </w:r>
    </w:p>
    <w:p>
      <w:pPr>
        <w:spacing w:after="0" w:line="169" w:lineRule="exact"/>
        <w:rPr>
          <w:rFonts w:ascii="Arial" w:cs="Arial" w:eastAsia="Arial" w:hAnsi="Arial"/>
          <w:sz w:val="15"/>
          <w:szCs w:val="15"/>
          <w:color w:val="auto"/>
        </w:rPr>
      </w:pPr>
    </w:p>
    <w:p>
      <w:pPr>
        <w:ind w:left="341" w:hanging="341"/>
        <w:spacing w:after="0" w:line="306" w:lineRule="auto"/>
        <w:tabs>
          <w:tab w:leader="none" w:pos="341" w:val="left"/>
        </w:tabs>
        <w:numPr>
          <w:ilvl w:val="0"/>
          <w:numId w:val="118"/>
        </w:numPr>
        <w:rPr>
          <w:rFonts w:ascii="Arial" w:cs="Arial" w:eastAsia="Arial" w:hAnsi="Arial"/>
          <w:sz w:val="16"/>
          <w:szCs w:val="16"/>
          <w:color w:val="auto"/>
        </w:rPr>
      </w:pPr>
      <w:r>
        <w:rPr>
          <w:rFonts w:ascii="Arial" w:cs="Arial" w:eastAsia="Arial" w:hAnsi="Arial"/>
          <w:sz w:val="16"/>
          <w:szCs w:val="16"/>
          <w:color w:val="auto"/>
        </w:rPr>
        <w:t>Six percent (6%) of one hundred percent (100%) of Net Ticket Revenues from the Show, which amount shall include the value of all complimentary tickets distributed by Wynn Las Vegas. Such amount retained by Wynn Las Vegas is deemed to compensate Wynn Las Vegas for all the costs incurred for the construction or remodelling costs of the Theatre and Showroom (as defined above).</w:t>
      </w:r>
    </w:p>
    <w:p>
      <w:pPr>
        <w:spacing w:after="0" w:line="187" w:lineRule="exact"/>
        <w:rPr>
          <w:rFonts w:ascii="Arial" w:cs="Arial" w:eastAsia="Arial" w:hAnsi="Arial"/>
          <w:sz w:val="16"/>
          <w:szCs w:val="16"/>
          <w:color w:val="auto"/>
        </w:rPr>
      </w:pPr>
    </w:p>
    <w:p>
      <w:pPr>
        <w:jc w:val="both"/>
        <w:ind w:left="341" w:right="60" w:hanging="341"/>
        <w:spacing w:after="0" w:line="256" w:lineRule="auto"/>
        <w:tabs>
          <w:tab w:leader="none" w:pos="34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 amortisation of the financing expenses of the advances on royalties made to the creators of the Show before the Opening Date, at Wynn Las Vegas’ average cost of debt, incurred prior to the Opening Date. Such amortisation shall be over a period of 24-months from the Opening Date. The financing expenses of the remaining balance of the advance on royalties to the creators of the Show shall be based upon Wynn Las Vegas’ cost of debt as computed quarterly.</w:t>
      </w:r>
    </w:p>
    <w:p>
      <w:pPr>
        <w:spacing w:after="0" w:line="224" w:lineRule="exact"/>
        <w:rPr>
          <w:rFonts w:ascii="Arial" w:cs="Arial" w:eastAsia="Arial" w:hAnsi="Arial"/>
          <w:sz w:val="18"/>
          <w:szCs w:val="18"/>
          <w:color w:val="auto"/>
        </w:rPr>
      </w:pPr>
    </w:p>
    <w:p>
      <w:pPr>
        <w:ind w:left="341" w:right="20" w:hanging="341"/>
        <w:spacing w:after="0" w:line="268" w:lineRule="auto"/>
        <w:tabs>
          <w:tab w:leader="none" w:pos="34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All operating expenses incurred by Dragon and any of its affiliates, including without limitation Calitri, pursuant to this Agreement or any other agreement relating to the Show and reimbursed by</w:t>
      </w:r>
    </w:p>
    <w:p>
      <w:pPr>
        <w:spacing w:after="0" w:line="180" w:lineRule="exact"/>
        <w:rPr>
          <w:sz w:val="20"/>
          <w:szCs w:val="20"/>
          <w:color w:val="auto"/>
        </w:rPr>
      </w:pPr>
    </w:p>
    <w:p>
      <w:pPr>
        <w:ind w:left="2741"/>
        <w:spacing w:after="0"/>
        <w:rPr>
          <w:sz w:val="20"/>
          <w:szCs w:val="20"/>
          <w:color w:val="auto"/>
        </w:rPr>
      </w:pPr>
      <w:r>
        <w:rPr>
          <w:rFonts w:ascii="Arial" w:cs="Arial" w:eastAsia="Arial" w:hAnsi="Arial"/>
          <w:sz w:val="18"/>
          <w:szCs w:val="18"/>
          <w:b w:val="1"/>
          <w:bCs w:val="1"/>
          <w:color w:val="auto"/>
        </w:rPr>
        <w:t>THIS AGREEMENT IS STRICTLY CONFIDENTIAL</w:t>
      </w:r>
    </w:p>
    <w:p>
      <w:pPr>
        <w:sectPr>
          <w:pgSz w:w="11900" w:h="16838" w:orient="portrait"/>
          <w:cols w:equalWidth="0" w:num="1">
            <w:col w:w="10481"/>
          </w:cols>
          <w:pgMar w:left="1139" w:top="280" w:right="279" w:bottom="1440" w:gutter="0" w:footer="0" w:header="0"/>
        </w:sectPr>
      </w:pPr>
    </w:p>
    <w:bookmarkStart w:id="150" w:name="page151"/>
    <w:bookmarkEnd w:id="150"/>
    <w:p>
      <w:pPr>
        <w:ind w:left="123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to Dragon or any such affiliates during such Fiscal Quarter.</w:t>
      </w:r>
    </w:p>
    <w:p>
      <w:pPr>
        <w:spacing w:after="0" w:line="279" w:lineRule="exact"/>
        <w:rPr>
          <w:sz w:val="20"/>
          <w:szCs w:val="20"/>
          <w:color w:val="auto"/>
        </w:rPr>
      </w:pPr>
    </w:p>
    <w:p>
      <w:pPr>
        <w:ind w:left="892" w:right="480" w:hanging="446"/>
        <w:spacing w:after="0" w:line="268" w:lineRule="auto"/>
        <w:tabs>
          <w:tab w:leader="none" w:pos="892"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Net Ticket Revenue</w:t>
      </w:r>
      <w:r>
        <w:rPr>
          <w:rFonts w:ascii="Arial" w:cs="Arial" w:eastAsia="Arial" w:hAnsi="Arial"/>
          <w:sz w:val="18"/>
          <w:szCs w:val="18"/>
          <w:color w:val="auto"/>
        </w:rPr>
        <w:t>” shall be equal to the gross ticket price of all tickets sold or given away as complimentaries by Wynn Las Vegas less admission, entertainment and sales taxes, if any, levied on such price.</w:t>
      </w:r>
    </w:p>
    <w:p>
      <w:pPr>
        <w:spacing w:after="0" w:line="212" w:lineRule="exact"/>
        <w:rPr>
          <w:rFonts w:ascii="Arial" w:cs="Arial" w:eastAsia="Arial" w:hAnsi="Arial"/>
          <w:sz w:val="18"/>
          <w:szCs w:val="18"/>
          <w:color w:val="auto"/>
        </w:rPr>
      </w:pPr>
    </w:p>
    <w:p>
      <w:pPr>
        <w:ind w:left="332" w:right="80" w:hanging="332"/>
        <w:spacing w:after="0" w:line="268" w:lineRule="auto"/>
        <w:tabs>
          <w:tab w:leader="none" w:pos="33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For the purpose of the definitions above, Show Production Costs, Show pre-opening costs and Show Operating Expenses shall not include, unless otherwise stated,</w:t>
      </w:r>
    </w:p>
    <w:p>
      <w:pPr>
        <w:spacing w:after="0" w:line="212" w:lineRule="exact"/>
        <w:rPr>
          <w:rFonts w:ascii="Arial" w:cs="Arial" w:eastAsia="Arial" w:hAnsi="Arial"/>
          <w:sz w:val="18"/>
          <w:szCs w:val="18"/>
          <w:color w:val="auto"/>
        </w:rPr>
      </w:pPr>
    </w:p>
    <w:p>
      <w:pPr>
        <w:ind w:left="892" w:right="100" w:hanging="446"/>
        <w:spacing w:after="0" w:line="268" w:lineRule="auto"/>
        <w:tabs>
          <w:tab w:leader="none" w:pos="892" w:val="left"/>
        </w:tabs>
        <w:numPr>
          <w:ilvl w:val="1"/>
          <w:numId w:val="120"/>
        </w:numPr>
        <w:rPr>
          <w:rFonts w:ascii="Arial" w:cs="Arial" w:eastAsia="Arial" w:hAnsi="Arial"/>
          <w:sz w:val="18"/>
          <w:szCs w:val="18"/>
          <w:color w:val="auto"/>
        </w:rPr>
      </w:pPr>
      <w:r>
        <w:rPr>
          <w:rFonts w:ascii="Arial" w:cs="Arial" w:eastAsia="Arial" w:hAnsi="Arial"/>
          <w:sz w:val="18"/>
          <w:szCs w:val="18"/>
          <w:color w:val="auto"/>
        </w:rPr>
        <w:t>except for financing expenses relating to advance on royalties to the creators of the Show, any interest and any other financing expenses incurred by Wynn Las Vegas,</w:t>
      </w:r>
    </w:p>
    <w:p>
      <w:pPr>
        <w:spacing w:after="0" w:line="185" w:lineRule="exact"/>
        <w:rPr>
          <w:rFonts w:ascii="Arial" w:cs="Arial" w:eastAsia="Arial" w:hAnsi="Arial"/>
          <w:sz w:val="18"/>
          <w:szCs w:val="18"/>
          <w:color w:val="auto"/>
        </w:rPr>
      </w:pPr>
    </w:p>
    <w:p>
      <w:pPr>
        <w:ind w:left="892" w:right="320" w:hanging="446"/>
        <w:spacing w:after="0" w:line="268" w:lineRule="auto"/>
        <w:tabs>
          <w:tab w:leader="none" w:pos="892" w:val="left"/>
        </w:tabs>
        <w:numPr>
          <w:ilvl w:val="1"/>
          <w:numId w:val="120"/>
        </w:numPr>
        <w:rPr>
          <w:rFonts w:ascii="Arial" w:cs="Arial" w:eastAsia="Arial" w:hAnsi="Arial"/>
          <w:sz w:val="18"/>
          <w:szCs w:val="18"/>
          <w:color w:val="auto"/>
        </w:rPr>
      </w:pPr>
      <w:r>
        <w:rPr>
          <w:rFonts w:ascii="Arial" w:cs="Arial" w:eastAsia="Arial" w:hAnsi="Arial"/>
          <w:sz w:val="18"/>
          <w:szCs w:val="18"/>
          <w:color w:val="auto"/>
        </w:rPr>
        <w:t>except as specifically provided above, any costs of a capital nature and any amortisation in respect thereof, except amortisation in the manner set forth above,</w:t>
      </w:r>
    </w:p>
    <w:p>
      <w:pPr>
        <w:spacing w:after="0" w:line="185" w:lineRule="exact"/>
        <w:rPr>
          <w:rFonts w:ascii="Arial" w:cs="Arial" w:eastAsia="Arial" w:hAnsi="Arial"/>
          <w:sz w:val="18"/>
          <w:szCs w:val="18"/>
          <w:color w:val="auto"/>
        </w:rPr>
      </w:pPr>
    </w:p>
    <w:p>
      <w:pPr>
        <w:ind w:left="892" w:hanging="446"/>
        <w:spacing w:after="0"/>
        <w:tabs>
          <w:tab w:leader="none" w:pos="892" w:val="left"/>
        </w:tabs>
        <w:numPr>
          <w:ilvl w:val="1"/>
          <w:numId w:val="120"/>
        </w:numPr>
        <w:rPr>
          <w:rFonts w:ascii="Arial" w:cs="Arial" w:eastAsia="Arial" w:hAnsi="Arial"/>
          <w:sz w:val="16"/>
          <w:szCs w:val="16"/>
          <w:color w:val="auto"/>
        </w:rPr>
      </w:pPr>
      <w:r>
        <w:rPr>
          <w:rFonts w:ascii="Arial" w:cs="Arial" w:eastAsia="Arial" w:hAnsi="Arial"/>
          <w:sz w:val="16"/>
          <w:szCs w:val="16"/>
          <w:color w:val="auto"/>
        </w:rPr>
        <w:t>any costs and expenses relating to the Showroom, excluding its maintenance costs but including its theatrical and specialised equipment; and</w:t>
      </w:r>
    </w:p>
    <w:p>
      <w:pPr>
        <w:spacing w:after="0" w:line="248" w:lineRule="exact"/>
        <w:rPr>
          <w:rFonts w:ascii="Arial" w:cs="Arial" w:eastAsia="Arial" w:hAnsi="Arial"/>
          <w:sz w:val="16"/>
          <w:szCs w:val="16"/>
          <w:color w:val="auto"/>
        </w:rPr>
      </w:pPr>
    </w:p>
    <w:p>
      <w:pPr>
        <w:ind w:left="892" w:hanging="446"/>
        <w:spacing w:after="0"/>
        <w:tabs>
          <w:tab w:leader="none" w:pos="892"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income taxes, real estate taxes, capital taxes or similar taxes, levies and duties payable by Wynn Las Vegas.</w:t>
      </w:r>
    </w:p>
    <w:p>
      <w:pPr>
        <w:spacing w:after="0" w:line="225" w:lineRule="exact"/>
        <w:rPr>
          <w:sz w:val="20"/>
          <w:szCs w:val="20"/>
          <w:color w:val="auto"/>
        </w:rPr>
      </w:pPr>
    </w:p>
    <w:p>
      <w:pPr>
        <w:ind w:left="452" w:hanging="452"/>
        <w:spacing w:after="0"/>
        <w:tabs>
          <w:tab w:leader="none" w:pos="45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   All sums payable to Dragon pursuant to Section 8.A)(1) hereof shall be payable as follows:</w:t>
      </w:r>
    </w:p>
    <w:p>
      <w:pPr>
        <w:spacing w:after="0" w:line="252" w:lineRule="exact"/>
        <w:rPr>
          <w:rFonts w:ascii="Arial" w:cs="Arial" w:eastAsia="Arial" w:hAnsi="Arial"/>
          <w:sz w:val="18"/>
          <w:szCs w:val="18"/>
          <w:color w:val="auto"/>
        </w:rPr>
      </w:pPr>
    </w:p>
    <w:p>
      <w:pPr>
        <w:ind w:left="452"/>
        <w:spacing w:after="0" w:line="290" w:lineRule="auto"/>
        <w:rPr>
          <w:rFonts w:ascii="Arial" w:cs="Arial" w:eastAsia="Arial" w:hAnsi="Arial"/>
          <w:sz w:val="18"/>
          <w:szCs w:val="18"/>
          <w:color w:val="auto"/>
        </w:rPr>
      </w:pPr>
      <w:r>
        <w:rPr>
          <w:rFonts w:ascii="Arial" w:cs="Arial" w:eastAsia="Arial" w:hAnsi="Arial"/>
          <w:sz w:val="16"/>
          <w:szCs w:val="16"/>
          <w:color w:val="auto"/>
        </w:rPr>
        <w:t>Within ten (10) business days following each month of each Fiscal Quarter, Wynn Las Vegas shall provide Dragon with a statement showing the total Show Revenue received by Wynn Las Vegas and the total Show Operating Expenses incurred by Wynn Las Vegas over such month, and Wynn Las Vegas shall pay to Dragon together with such statement twenty percent (20%) of the Show Net Profits, if any, for such month. Then, within fifteen (15) days following the end of each Fiscal Quarter during the Term, Wynn Las Vegas shall provide Dragon with a quarterly statement (the “</w:t>
      </w:r>
      <w:r>
        <w:rPr>
          <w:rFonts w:ascii="Arial" w:cs="Arial" w:eastAsia="Arial" w:hAnsi="Arial"/>
          <w:sz w:val="16"/>
          <w:szCs w:val="16"/>
          <w:b w:val="1"/>
          <w:bCs w:val="1"/>
          <w:color w:val="auto"/>
        </w:rPr>
        <w:t>Quarterly Net Profit Statement</w:t>
      </w:r>
      <w:r>
        <w:rPr>
          <w:rFonts w:ascii="Arial" w:cs="Arial" w:eastAsia="Arial" w:hAnsi="Arial"/>
          <w:sz w:val="16"/>
          <w:szCs w:val="16"/>
          <w:color w:val="auto"/>
        </w:rPr>
        <w:t>”) showing (i) the total Show Revenue received by Wynn Las Vegas and the total Show Operating Expenses incurred by Wynn Las Vegas over such Fiscal Quarter, and (ii) the portion of the Show Net Profits due and payable to Dragon for such Fiscal Quarter, and Wynn Las Vegas shall remit to Dragon together with such statement the portion of the Show Net Profits then still due and payable to Dragon.</w:t>
      </w:r>
    </w:p>
    <w:p>
      <w:pPr>
        <w:spacing w:after="0" w:line="172" w:lineRule="exact"/>
        <w:rPr>
          <w:sz w:val="20"/>
          <w:szCs w:val="20"/>
          <w:color w:val="auto"/>
        </w:rPr>
      </w:pPr>
    </w:p>
    <w:p>
      <w:pPr>
        <w:ind w:left="452" w:right="100"/>
        <w:spacing w:after="0" w:line="259" w:lineRule="auto"/>
        <w:rPr>
          <w:sz w:val="20"/>
          <w:szCs w:val="20"/>
          <w:color w:val="auto"/>
        </w:rPr>
      </w:pPr>
      <w:r>
        <w:rPr>
          <w:rFonts w:ascii="Arial" w:cs="Arial" w:eastAsia="Arial" w:hAnsi="Arial"/>
          <w:sz w:val="18"/>
          <w:szCs w:val="18"/>
          <w:color w:val="auto"/>
        </w:rPr>
        <w:t>Within forty-five (45) days after the end of each Year during the Term, Wynn Las Vegas shall provide Dragon with a yearly statement showing (i) the total Show Revenue received by Wynn Las Vegas and the total Show Operating Expenses incurred by Wynn Las Vegas over such Year, (ii) the amount of any adjustment required to the Show Net Profits as set forth below, and (iii) the portion of the</w:t>
      </w:r>
    </w:p>
    <w:p>
      <w:pPr>
        <w:spacing w:after="0" w:line="188"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THIS AGREEMENT IS STRICTLY CONFIDENTIAL</w:t>
      </w:r>
    </w:p>
    <w:p>
      <w:pPr>
        <w:sectPr>
          <w:pgSz w:w="11900" w:h="16838" w:orient="portrait"/>
          <w:cols w:equalWidth="0" w:num="1">
            <w:col w:w="11392"/>
          </w:cols>
          <w:pgMar w:left="248" w:top="280" w:right="259" w:bottom="1440" w:gutter="0" w:footer="0" w:header="0"/>
        </w:sectPr>
      </w:pPr>
    </w:p>
    <w:bookmarkStart w:id="151" w:name="page152"/>
    <w:bookmarkEnd w:id="151"/>
    <w:p>
      <w:pPr>
        <w:ind w:left="452"/>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Show Net Profits due and payable to Dragon, or refundable to Wynn Las Vegas, for such Year based upon the actual results of each Fiscal Quarter, and Wynn Las Vegas shall remit to Dragon together with such statement the portion of the Show Net Profits due and payable to Dragon, if any. Any refund due to Wynn Las Vegas from Dragon may be applied against future quarterly Show Net Profits due and payable to Dragon until fully paid. If, on termination or expiration, a refund remains due to Wynn Las Vegas, such refund shall be paid within ten (10) days after said expiration or termination in immediately available US$funds or bank draft as per Wynn Las Vegas’ written instructions.</w:t>
      </w:r>
    </w:p>
    <w:p>
      <w:pPr>
        <w:spacing w:after="0" w:line="170" w:lineRule="exact"/>
        <w:rPr>
          <w:sz w:val="20"/>
          <w:szCs w:val="20"/>
          <w:color w:val="auto"/>
        </w:rPr>
      </w:pPr>
    </w:p>
    <w:p>
      <w:pPr>
        <w:ind w:left="452" w:right="400"/>
        <w:spacing w:after="0" w:line="268" w:lineRule="auto"/>
        <w:rPr>
          <w:sz w:val="20"/>
          <w:szCs w:val="20"/>
          <w:color w:val="auto"/>
        </w:rPr>
      </w:pPr>
      <w:r>
        <w:rPr>
          <w:rFonts w:ascii="Arial" w:cs="Arial" w:eastAsia="Arial" w:hAnsi="Arial"/>
          <w:sz w:val="18"/>
          <w:szCs w:val="18"/>
          <w:color w:val="auto"/>
        </w:rPr>
        <w:t>All sums payable to Dragon pursuant to Sections 8.A)(2), (3), (4) and (5) shall be payable within ten (10) days after issuance by Dragon of invoices in respect thereof accompanied by appropriate supporting document.</w:t>
      </w:r>
    </w:p>
    <w:p>
      <w:pPr>
        <w:spacing w:after="0" w:line="186" w:lineRule="exact"/>
        <w:rPr>
          <w:sz w:val="20"/>
          <w:szCs w:val="20"/>
          <w:color w:val="auto"/>
        </w:rPr>
      </w:pPr>
    </w:p>
    <w:p>
      <w:pPr>
        <w:ind w:left="452" w:right="40" w:hanging="452"/>
        <w:spacing w:after="0" w:line="268" w:lineRule="auto"/>
        <w:tabs>
          <w:tab w:leader="none" w:pos="45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All of the aforesaid amounts payable to Dragon shall be paid by Wynn Las Vegas in immediately available US$ funds or bank draft as per Dragon’s written instructions.</w:t>
      </w:r>
    </w:p>
    <w:p>
      <w:pPr>
        <w:spacing w:after="0" w:line="180" w:lineRule="exact"/>
        <w:rPr>
          <w:sz w:val="20"/>
          <w:szCs w:val="20"/>
          <w:color w:val="auto"/>
        </w:rPr>
      </w:pPr>
    </w:p>
    <w:p>
      <w:pPr>
        <w:ind w:left="452" w:hanging="452"/>
        <w:spacing w:after="0"/>
        <w:tabs>
          <w:tab w:leader="none" w:pos="452"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231" w:lineRule="exact"/>
        <w:rPr>
          <w:sz w:val="20"/>
          <w:szCs w:val="20"/>
          <w:color w:val="auto"/>
        </w:rPr>
      </w:pPr>
    </w:p>
    <w:p>
      <w:pPr>
        <w:ind w:left="452" w:hanging="452"/>
        <w:spacing w:after="0"/>
        <w:tabs>
          <w:tab w:leader="none" w:pos="45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This Agreement shall automatically terminate:</w:t>
      </w:r>
    </w:p>
    <w:p>
      <w:pPr>
        <w:spacing w:after="0" w:line="252" w:lineRule="exact"/>
        <w:rPr>
          <w:rFonts w:ascii="Arial" w:cs="Arial" w:eastAsia="Arial" w:hAnsi="Arial"/>
          <w:sz w:val="18"/>
          <w:szCs w:val="18"/>
          <w:color w:val="auto"/>
        </w:rPr>
      </w:pPr>
    </w:p>
    <w:p>
      <w:pPr>
        <w:ind w:left="892" w:right="180" w:hanging="446"/>
        <w:spacing w:after="0" w:line="298" w:lineRule="auto"/>
        <w:tabs>
          <w:tab w:leader="none" w:pos="892" w:val="left"/>
        </w:tabs>
        <w:numPr>
          <w:ilvl w:val="1"/>
          <w:numId w:val="124"/>
        </w:numPr>
        <w:rPr>
          <w:rFonts w:ascii="Arial" w:cs="Arial" w:eastAsia="Arial" w:hAnsi="Arial"/>
          <w:sz w:val="16"/>
          <w:szCs w:val="16"/>
          <w:color w:val="auto"/>
        </w:rPr>
      </w:pPr>
      <w:r>
        <w:rPr>
          <w:rFonts w:ascii="Arial" w:cs="Arial" w:eastAsia="Arial" w:hAnsi="Arial"/>
          <w:sz w:val="16"/>
          <w:szCs w:val="16"/>
          <w:color w:val="auto"/>
        </w:rPr>
        <w:t>if Wynn Las Vegas files a petition in bankruptcy or is adjudicated a bankrupt or if a proceeding, petition or notice in bankruptcy, voluntary or involuntary, is filed against Wynn Las Vegas or if Wynn Las Vegas becomes insolvent or makes an assignment for the benefit of its creditors or an arrangement pursuant to any bankruptcy law or if Wynn Las Vegas discontinues its business or if a receiver is appointed for it or its business or if a suspension of payments is given by any court of competent jurisdiction in respect of Wynn Las Vegas; or</w:t>
      </w:r>
    </w:p>
    <w:p>
      <w:pPr>
        <w:spacing w:after="0" w:line="166" w:lineRule="exact"/>
        <w:rPr>
          <w:rFonts w:ascii="Arial" w:cs="Arial" w:eastAsia="Arial" w:hAnsi="Arial"/>
          <w:sz w:val="16"/>
          <w:szCs w:val="16"/>
          <w:color w:val="auto"/>
        </w:rPr>
      </w:pPr>
    </w:p>
    <w:p>
      <w:pPr>
        <w:ind w:left="892" w:right="380" w:hanging="446"/>
        <w:spacing w:after="0" w:line="268" w:lineRule="auto"/>
        <w:tabs>
          <w:tab w:leader="none" w:pos="89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if either party violates any of the terms or conditions of this Agreement, provided the other party gives sixty (60) days’ notice in writing of such violation, and such violation is not remedied within said sixty (60) days; or</w:t>
      </w:r>
    </w:p>
    <w:p>
      <w:pPr>
        <w:spacing w:after="0" w:line="185" w:lineRule="exact"/>
        <w:rPr>
          <w:rFonts w:ascii="Arial" w:cs="Arial" w:eastAsia="Arial" w:hAnsi="Arial"/>
          <w:sz w:val="18"/>
          <w:szCs w:val="18"/>
          <w:color w:val="auto"/>
        </w:rPr>
      </w:pPr>
    </w:p>
    <w:p>
      <w:pPr>
        <w:ind w:left="892" w:hanging="446"/>
        <w:spacing w:after="0"/>
        <w:tabs>
          <w:tab w:leader="none" w:pos="89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complete run of the Show is at any time cancelled; or</w:t>
      </w:r>
    </w:p>
    <w:p>
      <w:pPr>
        <w:spacing w:after="0" w:line="225" w:lineRule="exact"/>
        <w:rPr>
          <w:rFonts w:ascii="Arial" w:cs="Arial" w:eastAsia="Arial" w:hAnsi="Arial"/>
          <w:sz w:val="18"/>
          <w:szCs w:val="18"/>
          <w:color w:val="auto"/>
        </w:rPr>
      </w:pPr>
    </w:p>
    <w:p>
      <w:pPr>
        <w:ind w:left="892" w:right="380" w:hanging="446"/>
        <w:spacing w:after="0" w:line="332" w:lineRule="auto"/>
        <w:tabs>
          <w:tab w:leader="none" w:pos="892" w:val="left"/>
        </w:tabs>
        <w:numPr>
          <w:ilvl w:val="1"/>
          <w:numId w:val="124"/>
        </w:numPr>
        <w:rPr>
          <w:rFonts w:ascii="Arial" w:cs="Arial" w:eastAsia="Arial" w:hAnsi="Arial"/>
          <w:sz w:val="16"/>
          <w:szCs w:val="16"/>
          <w:color w:val="auto"/>
        </w:rPr>
      </w:pPr>
      <w:r>
        <w:rPr>
          <w:rFonts w:ascii="Arial" w:cs="Arial" w:eastAsia="Arial" w:hAnsi="Arial"/>
          <w:sz w:val="16"/>
          <w:szCs w:val="16"/>
          <w:color w:val="auto"/>
        </w:rPr>
        <w:t>upon termination of the License agreement for the Show between Wynn Las Vegas and Calitri, unless the option set forth in Section 14 has been exercised and remains in effect and a separate Production Services Agreement for the Other Show has not been executed; or</w:t>
      </w:r>
    </w:p>
    <w:p>
      <w:pPr>
        <w:spacing w:after="0" w:line="139" w:lineRule="exact"/>
        <w:rPr>
          <w:rFonts w:ascii="Arial" w:cs="Arial" w:eastAsia="Arial" w:hAnsi="Arial"/>
          <w:sz w:val="16"/>
          <w:szCs w:val="16"/>
          <w:color w:val="auto"/>
        </w:rPr>
      </w:pPr>
    </w:p>
    <w:p>
      <w:pPr>
        <w:ind w:left="892" w:right="100" w:hanging="446"/>
        <w:spacing w:after="0" w:line="259" w:lineRule="auto"/>
        <w:tabs>
          <w:tab w:leader="none" w:pos="89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if Franco Dragone dies or becomes completely disabled before the Opening Date and Wynn Las Vegas elects at its discretion to terminate this agreement by giving Dragon written notice to that effect, provided such written notice is given within a period of sixty (60) days following death or disability.</w:t>
      </w:r>
    </w:p>
    <w:p>
      <w:pPr>
        <w:spacing w:after="0" w:line="188"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THIS AGREEMENT IS STRICTLY CONFIDENTIAL</w:t>
      </w:r>
    </w:p>
    <w:p>
      <w:pPr>
        <w:sectPr>
          <w:pgSz w:w="11900" w:h="16838" w:orient="portrait"/>
          <w:cols w:equalWidth="0" w:num="1">
            <w:col w:w="11412"/>
          </w:cols>
          <w:pgMar w:left="248" w:top="279" w:right="239" w:bottom="1440" w:gutter="0" w:footer="0" w:header="0"/>
        </w:sectPr>
      </w:pPr>
    </w:p>
    <w:bookmarkStart w:id="152" w:name="page153"/>
    <w:bookmarkEnd w:id="152"/>
    <w:p>
      <w:pPr>
        <w:ind w:left="460" w:right="20" w:hanging="452"/>
        <w:spacing w:after="0" w:line="298" w:lineRule="auto"/>
        <w:tabs>
          <w:tab w:leader="none" w:pos="4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Agreement herein is terminated in accordance with any of the provisions of Section 9.A), then all compensation theretofore accrued shall become due and payable immediately to Dragon and Wynn Las Vegas shall indemnify Dragon for all costs, expenses and charges reasonably and necessarily payable by Dragon to employees or contractors and other third parties as may reasonably and necessarily result from such termination, and Dragon shall not be obligated to reimburse Wynn Las Vegas for any payment theretofore paid by Wynn Las Vegas to Dragon.</w:t>
      </w:r>
    </w:p>
    <w:p>
      <w:pPr>
        <w:spacing w:after="0" w:line="161"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TAXES AND ASSESSMENTS</w:t>
      </w:r>
    </w:p>
    <w:p>
      <w:pPr>
        <w:spacing w:after="0" w:line="231" w:lineRule="exact"/>
        <w:rPr>
          <w:sz w:val="20"/>
          <w:szCs w:val="20"/>
          <w:color w:val="auto"/>
        </w:rPr>
      </w:pPr>
    </w:p>
    <w:p>
      <w:pPr>
        <w:ind w:left="460" w:right="20" w:hanging="452"/>
        <w:spacing w:after="0" w:line="332" w:lineRule="auto"/>
        <w:tabs>
          <w:tab w:leader="none" w:pos="4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All payments and compensation hereinabove provided are exclusive of any taxes of any nature and of any government whatsoever, whether the fiscal law is in force presently or at any time in the future, except for income taxes, but are subject to withholding taxes, if any.</w:t>
      </w:r>
    </w:p>
    <w:p>
      <w:pPr>
        <w:spacing w:after="0" w:line="139" w:lineRule="exact"/>
        <w:rPr>
          <w:rFonts w:ascii="Arial" w:cs="Arial" w:eastAsia="Arial" w:hAnsi="Arial"/>
          <w:sz w:val="16"/>
          <w:szCs w:val="16"/>
          <w:color w:val="auto"/>
        </w:rPr>
      </w:pPr>
    </w:p>
    <w:p>
      <w:pPr>
        <w:ind w:left="460" w:hanging="452"/>
        <w:spacing w:after="0"/>
        <w:tabs>
          <w:tab w:leader="none" w:pos="4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parties hereto agree to cooperate with each other to obtain the appropriate certificates of reduction or exemption of taxes, wherever applicable.</w:t>
      </w:r>
    </w:p>
    <w:p>
      <w:pPr>
        <w:spacing w:after="0" w:line="242"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BOOKS AND RECORDS</w:t>
      </w:r>
    </w:p>
    <w:p>
      <w:pPr>
        <w:spacing w:after="0" w:line="231" w:lineRule="exact"/>
        <w:rPr>
          <w:sz w:val="20"/>
          <w:szCs w:val="20"/>
          <w:color w:val="auto"/>
        </w:rPr>
      </w:pPr>
    </w:p>
    <w:p>
      <w:pPr>
        <w:ind w:left="460" w:right="60" w:hanging="452"/>
        <w:spacing w:after="0" w:line="294" w:lineRule="auto"/>
        <w:tabs>
          <w:tab w:leader="none" w:pos="4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Wynn Las Vegas shall keep or have any assignees or licensees of Wynn Las Vegas rights keep accurate books of account and records covering all transactions relating to this Agreement and Dragon or its nominees shall have the right upon notice and at all reasonable hours during any business day to an examination of said books of account and records and all other documents and materials, whether in the possession of Wynn Las Vegas or any assignees or sublicensees of Wynn Las Vegas’ rights or otherwise, with respect to the subject matter and the terms of this Agreement, and shall have free and full access thereto for the purpose of taking extracts or copies thereof.</w:t>
      </w:r>
    </w:p>
    <w:p>
      <w:pPr>
        <w:spacing w:after="0" w:line="169" w:lineRule="exact"/>
        <w:rPr>
          <w:rFonts w:ascii="Arial" w:cs="Arial" w:eastAsia="Arial" w:hAnsi="Arial"/>
          <w:sz w:val="16"/>
          <w:szCs w:val="16"/>
          <w:color w:val="auto"/>
        </w:rPr>
      </w:pPr>
    </w:p>
    <w:p>
      <w:pPr>
        <w:ind w:left="460" w:hanging="452"/>
        <w:spacing w:after="0" w:line="256" w:lineRule="auto"/>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Dragon shall keep accurate books of account and records covering all transactions performed by Dragon pursuant to the terms of this Agreement and Wynn Las Vegas or its nominees shall have the right upon notice and at reasonable hours during any business day to an examination of said books of account and records with respect to the amounts reimbursable to Dragon under the terms of this Agreement, and shall have free and full access thereto for the purpose of taking extracts or copies thereof.</w:t>
      </w:r>
    </w:p>
    <w:p>
      <w:pPr>
        <w:spacing w:after="0" w:line="191"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INDEMNITIES OF DRAGON</w:t>
      </w:r>
    </w:p>
    <w:p>
      <w:pPr>
        <w:spacing w:after="0" w:line="231" w:lineRule="exact"/>
        <w:rPr>
          <w:sz w:val="20"/>
          <w:szCs w:val="20"/>
          <w:color w:val="auto"/>
        </w:rPr>
      </w:pPr>
    </w:p>
    <w:p>
      <w:pPr>
        <w:ind w:left="460" w:right="160" w:hanging="452"/>
        <w:spacing w:after="0" w:line="306" w:lineRule="auto"/>
        <w:tabs>
          <w:tab w:leader="none" w:pos="4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Dragon agrees to indemnify and hold harmless Wynn Las Vegas, its members, managers, directors, officers and agents and all others claiming by, through or under Wynn Las Vegas against any claims, demands, suits, losses, costs, expenses (including, without limitation, reasonable counsel fees, costs and disbursements), damages or recoveries (including, without limitation, any amounts paid by Wynn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AGREEMENT IS STRICTLY CONFIDENTIAL</w:t>
      </w:r>
    </w:p>
    <w:p>
      <w:pPr>
        <w:sectPr>
          <w:pgSz w:w="11900" w:h="16838" w:orient="portrait"/>
          <w:cols w:equalWidth="0" w:num="1">
            <w:col w:w="11420"/>
          </w:cols>
          <w:pgMar w:left="240" w:top="280" w:right="239" w:bottom="1440" w:gutter="0" w:footer="0" w:header="0"/>
        </w:sectPr>
      </w:pPr>
    </w:p>
    <w:bookmarkStart w:id="153" w:name="page154"/>
    <w:bookmarkEnd w:id="153"/>
    <w:p>
      <w:pPr>
        <w:jc w:val="both"/>
        <w:ind w:left="452"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Las Vegas in settlement), suffered, paid, incurred or assumed by Wynn Las Vegas, its members, managers, directors, officers, agents and all other claiming by, through or under Wynn Las Vegas by reason of any breach or non-performance of any representation, warranty or covenant of Dragon contained in this Agreement, or by Dragon’s negligence or willful misconduct.</w:t>
      </w:r>
    </w:p>
    <w:p>
      <w:pPr>
        <w:spacing w:after="0" w:line="194" w:lineRule="exact"/>
        <w:rPr>
          <w:sz w:val="20"/>
          <w:szCs w:val="20"/>
          <w:color w:val="auto"/>
        </w:rPr>
      </w:pPr>
    </w:p>
    <w:p>
      <w:pPr>
        <w:ind w:left="452" w:hanging="452"/>
        <w:spacing w:after="0" w:line="314" w:lineRule="auto"/>
        <w:tabs>
          <w:tab w:leader="none" w:pos="452" w:val="left"/>
        </w:tabs>
        <w:numPr>
          <w:ilvl w:val="0"/>
          <w:numId w:val="132"/>
        </w:numPr>
        <w:rPr>
          <w:rFonts w:ascii="Arial" w:cs="Arial" w:eastAsia="Arial" w:hAnsi="Arial"/>
          <w:sz w:val="15"/>
          <w:szCs w:val="15"/>
          <w:color w:val="auto"/>
        </w:rPr>
      </w:pPr>
      <w:r>
        <w:rPr>
          <w:rFonts w:ascii="Arial" w:cs="Arial" w:eastAsia="Arial" w:hAnsi="Arial"/>
          <w:sz w:val="15"/>
          <w:szCs w:val="15"/>
          <w:color w:val="auto"/>
        </w:rPr>
        <w:t>Wynn Las Vegas shall notify Dragon in writing of the existence of any such claim, demand or suit, which if sustained, would give rise to liability on the part of Dragon hereunder, promptly after Wynn Las Vegas has knowledge of any such claim, demand or suit. Dragon shall have the option to designate counsel to defend any such claim, demand or suit designated by it and shall control such defense. Wynn Las Vegas shall cooperate in the defense of any such claim, demand or suit and may participate in the defense of any such claim, demand or suit with counsel of its own choosing (if Wynn Las Vegas does not approve counsel designated by Dragon) at its own expense, it being understood that Dragon shall not be responsible for the payment of any fees of any such counsel. Wynn Las Vegas shall not take any action to compromise or settle any such claim, demand or suit unless consented to in writing by Dragon.</w:t>
      </w:r>
    </w:p>
    <w:p>
      <w:pPr>
        <w:spacing w:after="0" w:line="153" w:lineRule="exact"/>
        <w:rPr>
          <w:sz w:val="20"/>
          <w:szCs w:val="20"/>
          <w:color w:val="auto"/>
        </w:rPr>
      </w:pPr>
    </w:p>
    <w:p>
      <w:pPr>
        <w:ind w:left="452" w:hanging="452"/>
        <w:spacing w:after="0"/>
        <w:tabs>
          <w:tab w:leader="none" w:pos="452"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INDEMNITIES OF WYNN LAS VEGAS</w:t>
      </w:r>
    </w:p>
    <w:p>
      <w:pPr>
        <w:spacing w:after="0" w:line="231" w:lineRule="exact"/>
        <w:rPr>
          <w:sz w:val="20"/>
          <w:szCs w:val="20"/>
          <w:color w:val="auto"/>
        </w:rPr>
      </w:pPr>
    </w:p>
    <w:p>
      <w:pPr>
        <w:ind w:left="452" w:right="20" w:hanging="452"/>
        <w:spacing w:after="0" w:line="294" w:lineRule="auto"/>
        <w:tabs>
          <w:tab w:leader="none" w:pos="452" w:val="left"/>
        </w:tabs>
        <w:numPr>
          <w:ilvl w:val="0"/>
          <w:numId w:val="134"/>
        </w:numPr>
        <w:rPr>
          <w:rFonts w:ascii="Arial" w:cs="Arial" w:eastAsia="Arial" w:hAnsi="Arial"/>
          <w:sz w:val="16"/>
          <w:szCs w:val="16"/>
          <w:color w:val="auto"/>
        </w:rPr>
      </w:pPr>
      <w:r>
        <w:rPr>
          <w:rFonts w:ascii="Arial" w:cs="Arial" w:eastAsia="Arial" w:hAnsi="Arial"/>
          <w:sz w:val="16"/>
          <w:szCs w:val="16"/>
          <w:color w:val="auto"/>
        </w:rPr>
        <w:t>Wynn Las Vegas agrees to indemnify and hold harmless Dragon, its directors, officers and agents and all others claiming by, through or under Dragon against any claims, demands, suits, losses, costs, expenses (including, without limitation, reasonable counsel fees, costs and disbursements), damages or recoveries (including, without limitation, any amounts paid by Dragon in settlement), suffered, paid, incurred or assumed by Dragon, its directors, officers, agents and all other claiming by, through or under Dragon by reason of any breach or non-performance of any representation, warranty or covenant of Wynn Las Vegas contained in this Agreement, or by Wynn Las Vegas’s negligence or willful misconduct.</w:t>
      </w:r>
    </w:p>
    <w:p>
      <w:pPr>
        <w:spacing w:after="0" w:line="169" w:lineRule="exact"/>
        <w:rPr>
          <w:rFonts w:ascii="Arial" w:cs="Arial" w:eastAsia="Arial" w:hAnsi="Arial"/>
          <w:sz w:val="16"/>
          <w:szCs w:val="16"/>
          <w:color w:val="auto"/>
        </w:rPr>
      </w:pPr>
    </w:p>
    <w:p>
      <w:pPr>
        <w:ind w:left="452" w:right="200" w:hanging="452"/>
        <w:spacing w:after="0" w:line="291" w:lineRule="auto"/>
        <w:tabs>
          <w:tab w:leader="none" w:pos="452" w:val="left"/>
        </w:tabs>
        <w:numPr>
          <w:ilvl w:val="0"/>
          <w:numId w:val="134"/>
        </w:numPr>
        <w:rPr>
          <w:rFonts w:ascii="Arial" w:cs="Arial" w:eastAsia="Arial" w:hAnsi="Arial"/>
          <w:sz w:val="16"/>
          <w:szCs w:val="16"/>
          <w:color w:val="auto"/>
        </w:rPr>
      </w:pPr>
      <w:r>
        <w:rPr>
          <w:rFonts w:ascii="Arial" w:cs="Arial" w:eastAsia="Arial" w:hAnsi="Arial"/>
          <w:sz w:val="16"/>
          <w:szCs w:val="16"/>
          <w:color w:val="auto"/>
        </w:rPr>
        <w:t>Dragon shall notify Wynn Las Vegas in writing of the existence of any such claim, demand or suit, which if sustained, would give rise to liability on the part of Wynn Las Vegas hereunder, promptly after Dragon has knowledge of any such claim, demand or suit. Wynn Las Vegas shall have the option to designate counsel to defend any such claim, demand or suit designated by it and shall control such defense. Dragon shall cooperate in the defense of any such claim, demand or suit with counsel of its own choosing (if Dragon does not approve counsel designated by Wynn Las Vegas) at its own expense, it being understood that Wynn Las Vegas shall not be responsible for the payment of any fees of any such counsel Dragon shall not take any action to compromise or settle any such claim, demand or suit unless consented to in writing by Wynn Las Vegas.</w:t>
      </w:r>
    </w:p>
    <w:p>
      <w:pPr>
        <w:spacing w:after="0" w:line="168"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THIS AGREEMENT IS STRICTLY CONFIDENTIAL</w:t>
      </w:r>
    </w:p>
    <w:p>
      <w:pPr>
        <w:sectPr>
          <w:pgSz w:w="11900" w:h="16838" w:orient="portrait"/>
          <w:cols w:equalWidth="0" w:num="1">
            <w:col w:w="11352"/>
          </w:cols>
          <w:pgMar w:left="248" w:top="280" w:right="299" w:bottom="1440" w:gutter="0" w:footer="0" w:header="0"/>
        </w:sectPr>
      </w:pPr>
    </w:p>
    <w:bookmarkStart w:id="154" w:name="page155"/>
    <w:bookmarkEnd w:id="154"/>
    <w:p>
      <w:pPr>
        <w:ind w:left="460" w:hanging="452"/>
        <w:spacing w:after="0"/>
        <w:tabs>
          <w:tab w:leader="none" w:pos="4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w:t>
      </w:r>
    </w:p>
    <w:p>
      <w:pPr>
        <w:spacing w:after="0" w:line="2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Wynn Las Vegas or an affiliate has been granted an option to produce and present a second new first-class theatrical entertainment attraction </w:t>
      </w:r>
      <w:r>
        <w:rPr>
          <w:rFonts w:ascii="Arial" w:cs="Arial" w:eastAsia="Arial" w:hAnsi="Arial"/>
          <w:sz w:val="18"/>
          <w:szCs w:val="18"/>
          <w:b w:val="1"/>
          <w:bCs w:val="1"/>
          <w:i w:val="1"/>
          <w:iCs w:val="1"/>
          <w:color w:val="auto"/>
        </w:rPr>
        <w:t>(the “Other Show”)</w:t>
      </w:r>
      <w:r>
        <w:rPr>
          <w:rFonts w:ascii="Arial" w:cs="Arial" w:eastAsia="Arial" w:hAnsi="Arial"/>
          <w:sz w:val="18"/>
          <w:szCs w:val="18"/>
          <w:color w:val="auto"/>
        </w:rPr>
        <w:t xml:space="preserve"> to be presented at Le Rêve or another Wynn Casino, which option shall be exercised by no later than December 31, 2003. Wynn Las Vegas hereby represents and agrees that in the event the option is exercised, then it or its affiliate shall hire and retain the services of Dragon on terms and conditions no less favourable to Dragon than those provided in this Agreement.</w:t>
      </w:r>
    </w:p>
    <w:p>
      <w:pPr>
        <w:spacing w:after="0" w:line="191"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31" w:lineRule="exact"/>
        <w:rPr>
          <w:sz w:val="20"/>
          <w:szCs w:val="20"/>
          <w:color w:val="auto"/>
        </w:rPr>
      </w:pPr>
    </w:p>
    <w:p>
      <w:pPr>
        <w:jc w:val="both"/>
        <w:ind w:left="460" w:right="180" w:hanging="452"/>
        <w:spacing w:after="0" w:line="259" w:lineRule="auto"/>
        <w:tabs>
          <w:tab w:leader="none" w:pos="4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This Agreement together with any attachments hereto shall be the definitive Agreement between the parties and define each party’s rights and obligations to the other. This Agreement may be modified with the consent of both parties only by written amendment, which, upon execution shall become a part of this Agreement with the same full force and effect as if first written.</w:t>
      </w:r>
    </w:p>
    <w:p>
      <w:pPr>
        <w:spacing w:after="0" w:line="194" w:lineRule="exact"/>
        <w:rPr>
          <w:rFonts w:ascii="Arial" w:cs="Arial" w:eastAsia="Arial" w:hAnsi="Arial"/>
          <w:sz w:val="18"/>
          <w:szCs w:val="18"/>
          <w:color w:val="auto"/>
        </w:rPr>
      </w:pPr>
    </w:p>
    <w:p>
      <w:pPr>
        <w:ind w:left="460" w:right="20" w:hanging="452"/>
        <w:spacing w:after="0" w:line="291" w:lineRule="auto"/>
        <w:tabs>
          <w:tab w:leader="none" w:pos="4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Dragon acknowledges that Wynn Las Vegas and its affiliates conduct businesses that are subject to and exist because of privileged licenses issued by governmental authorities in the State of Nevada and elsewhere that regulate gaming and related matters. In the event Dragon is found unsuitable by the appropriate governmental authority or if Wynn Las Vegas is advised by such governmental authority to terminate its relationship with Dragon, or Wynn Las Vegas reasonably determines, based on its internal compliance investigation and based on substantial, objective and evidenced elements, that it is required to terminate its relationship with Dragon to avoid the loss of its privileged licenses or receive sanctions, Wynn Las Vegas shall be entitled to terminate the agreement between the parties without liability to Dragon except for the obligation to pay all costs incurred to the date of such termination.</w:t>
      </w:r>
    </w:p>
    <w:p>
      <w:pPr>
        <w:spacing w:after="0" w:line="174" w:lineRule="exact"/>
        <w:rPr>
          <w:rFonts w:ascii="Arial" w:cs="Arial" w:eastAsia="Arial" w:hAnsi="Arial"/>
          <w:sz w:val="16"/>
          <w:szCs w:val="16"/>
          <w:color w:val="auto"/>
        </w:rPr>
      </w:pPr>
    </w:p>
    <w:p>
      <w:pPr>
        <w:ind w:left="460"/>
        <w:spacing w:after="0" w:line="268" w:lineRule="auto"/>
        <w:rPr>
          <w:rFonts w:ascii="Arial" w:cs="Arial" w:eastAsia="Arial" w:hAnsi="Arial"/>
          <w:sz w:val="16"/>
          <w:szCs w:val="16"/>
          <w:color w:val="auto"/>
        </w:rPr>
      </w:pPr>
      <w:r>
        <w:rPr>
          <w:rFonts w:ascii="Arial" w:cs="Arial" w:eastAsia="Arial" w:hAnsi="Arial"/>
          <w:sz w:val="18"/>
          <w:szCs w:val="18"/>
          <w:color w:val="auto"/>
        </w:rPr>
        <w:t>Notwithstanding the above, Dragon shall be allowed an opportunity to pursue any appeal rights it may have with respect to any governmental determination which Wynn Las Vegas is using as the basis of exercising its termination rights.</w:t>
      </w:r>
    </w:p>
    <w:p>
      <w:pPr>
        <w:spacing w:after="0" w:line="185" w:lineRule="exact"/>
        <w:rPr>
          <w:rFonts w:ascii="Arial" w:cs="Arial" w:eastAsia="Arial" w:hAnsi="Arial"/>
          <w:sz w:val="16"/>
          <w:szCs w:val="16"/>
          <w:color w:val="auto"/>
        </w:rPr>
      </w:pPr>
    </w:p>
    <w:p>
      <w:pPr>
        <w:ind w:left="460" w:right="120"/>
        <w:spacing w:after="0" w:line="370" w:lineRule="auto"/>
        <w:rPr>
          <w:rFonts w:ascii="Arial" w:cs="Arial" w:eastAsia="Arial" w:hAnsi="Arial"/>
          <w:sz w:val="16"/>
          <w:szCs w:val="16"/>
          <w:color w:val="auto"/>
        </w:rPr>
      </w:pPr>
      <w:r>
        <w:rPr>
          <w:rFonts w:ascii="Arial" w:cs="Arial" w:eastAsia="Arial" w:hAnsi="Arial"/>
          <w:sz w:val="15"/>
          <w:szCs w:val="15"/>
          <w:color w:val="auto"/>
        </w:rPr>
        <w:t>If this Agreement is terminated for any reason other than as a result of Dragon’s activities as referred to above or as otherwise provided in this Agreement, Dragon shall be entitled to full indemnification by Wynn Las Vegas for all and any provable losses incurred by Dragon due to such termination.</w:t>
      </w:r>
    </w:p>
    <w:p>
      <w:pPr>
        <w:spacing w:after="0" w:line="116" w:lineRule="exact"/>
        <w:rPr>
          <w:rFonts w:ascii="Arial" w:cs="Arial" w:eastAsia="Arial" w:hAnsi="Arial"/>
          <w:sz w:val="16"/>
          <w:szCs w:val="16"/>
          <w:color w:val="auto"/>
        </w:rPr>
      </w:pPr>
    </w:p>
    <w:p>
      <w:pPr>
        <w:ind w:left="460" w:right="220" w:hanging="452"/>
        <w:spacing w:after="0" w:line="268" w:lineRule="auto"/>
        <w:tabs>
          <w:tab w:leader="none" w:pos="4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Each party undertakes not to disclose the existence of this Agreement to any third party except to its professional advisors and its consultants and to such other persons as is reasonably required in order to consummate the transactions contemplated herein.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AGREEMENT IS STRICTLY CONFIDENTIAL</w:t>
      </w:r>
    </w:p>
    <w:p>
      <w:pPr>
        <w:sectPr>
          <w:pgSz w:w="11900" w:h="16838" w:orient="portrait"/>
          <w:cols w:equalWidth="0" w:num="1">
            <w:col w:w="11420"/>
          </w:cols>
          <w:pgMar w:left="240" w:top="274" w:right="239" w:bottom="1440" w:gutter="0" w:footer="0" w:header="0"/>
        </w:sectPr>
      </w:pPr>
    </w:p>
    <w:bookmarkStart w:id="155" w:name="page156"/>
    <w:bookmarkEnd w:id="155"/>
    <w:p>
      <w:pPr>
        <w:ind w:left="452"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paragraph shall survive the termination of this Agreement. This confidentiality restriction does not apply in the event of litigation between the parties in relation to this Agreement, or in the event its disclosure is compelled by law or regulation or by order of any court or regulatory authority having jurisdiction over one of the parties. In this regard, Dragon acknowledges and agrees that this Agreement may be required to be disclosed by Wynn Las Vegas and its affiliates in connection with the financing of Le Rêve.</w:t>
      </w:r>
    </w:p>
    <w:p>
      <w:pPr>
        <w:spacing w:after="0" w:line="197" w:lineRule="exact"/>
        <w:rPr>
          <w:sz w:val="20"/>
          <w:szCs w:val="20"/>
          <w:color w:val="auto"/>
        </w:rPr>
      </w:pPr>
    </w:p>
    <w:p>
      <w:pPr>
        <w:ind w:left="452" w:right="140" w:hanging="452"/>
        <w:spacing w:after="0" w:line="259" w:lineRule="auto"/>
        <w:tabs>
          <w:tab w:leader="none" w:pos="45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and of the State of Nevada, without regard to conflict of laws principles, and the parties hereby consent to the exclusive jurisdiction of the state or federal court located in Clark County, Nevada, for any dispute arising out of or relating to this Agreement.</w:t>
      </w:r>
    </w:p>
    <w:p>
      <w:pPr>
        <w:spacing w:after="0" w:line="194" w:lineRule="exact"/>
        <w:rPr>
          <w:rFonts w:ascii="Arial" w:cs="Arial" w:eastAsia="Arial" w:hAnsi="Arial"/>
          <w:sz w:val="18"/>
          <w:szCs w:val="18"/>
          <w:color w:val="auto"/>
        </w:rPr>
      </w:pPr>
    </w:p>
    <w:p>
      <w:pPr>
        <w:ind w:left="452" w:right="40" w:hanging="452"/>
        <w:spacing w:after="0" w:line="254" w:lineRule="auto"/>
        <w:tabs>
          <w:tab w:leader="none" w:pos="45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Neither this Agreement nor any rights or obligations conveyed hereunder may be transferred, assigned, or delegated (including by sublicense) without the written consent of the other party, which consent may be withheld for any reason whatsoever. Notwithstanding the foregoing, this Agreement may be assigned by Wynn Las Vegas or Dragon to any of its affiliated entities, without the prior consent of the other party; provided that such assignment shall not discharge or otherwise affect the obligations of the assignor to perform, fulfil and satisfy its obligations and responsibilities hereunder. This Agreement shall inure to the benefit of and be binding upon the parties hereto and each of their respective successors, permitted assigns, administrators and/or legal representatives.</w:t>
      </w:r>
    </w:p>
    <w:p>
      <w:pPr>
        <w:spacing w:after="0" w:line="198" w:lineRule="exact"/>
        <w:rPr>
          <w:rFonts w:ascii="Arial" w:cs="Arial" w:eastAsia="Arial" w:hAnsi="Arial"/>
          <w:sz w:val="18"/>
          <w:szCs w:val="18"/>
          <w:color w:val="auto"/>
        </w:rPr>
      </w:pPr>
    </w:p>
    <w:p>
      <w:pPr>
        <w:ind w:left="452" w:right="320" w:hanging="452"/>
        <w:spacing w:after="0" w:line="268" w:lineRule="auto"/>
        <w:tabs>
          <w:tab w:leader="none" w:pos="45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Faxed signatures shall be sufficient to bind each party to this Agreement and this Agreement may be executed in one or more counterparts, which shall form together the entire Agreement between the parties.</w:t>
      </w:r>
    </w:p>
    <w:p>
      <w:pPr>
        <w:spacing w:after="0" w:line="185"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Nothing herein contained shall constitute a partnership or joint venture between the parties hereto. No party shall act in any manner contrary to the terms of this Section 15.G) and no party shall become liable by any representation, act or omission of the other.</w:t>
      </w:r>
    </w:p>
    <w:p>
      <w:pPr>
        <w:spacing w:after="0" w:line="185" w:lineRule="exact"/>
        <w:rPr>
          <w:rFonts w:ascii="Arial" w:cs="Arial" w:eastAsia="Arial" w:hAnsi="Arial"/>
          <w:sz w:val="18"/>
          <w:szCs w:val="18"/>
          <w:color w:val="auto"/>
        </w:rPr>
      </w:pPr>
    </w:p>
    <w:p>
      <w:pPr>
        <w:ind w:left="452" w:right="260" w:hanging="452"/>
        <w:spacing w:after="0" w:line="268" w:lineRule="auto"/>
        <w:tabs>
          <w:tab w:leader="none" w:pos="45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Except as otherwise specifically set forth above, however, nothing contained herein shall be interpreted or construed as creating on Dragon, its staff and personnel, including Franco Dragone, an obligation to devote time and resources on an exclusive basis.</w:t>
      </w:r>
    </w:p>
    <w:p>
      <w:pPr>
        <w:spacing w:after="0" w:line="185" w:lineRule="exact"/>
        <w:rPr>
          <w:rFonts w:ascii="Arial" w:cs="Arial" w:eastAsia="Arial" w:hAnsi="Arial"/>
          <w:sz w:val="18"/>
          <w:szCs w:val="18"/>
          <w:color w:val="auto"/>
        </w:rPr>
      </w:pPr>
    </w:p>
    <w:p>
      <w:pPr>
        <w:ind w:left="452" w:right="420" w:hanging="452"/>
        <w:spacing w:after="0" w:line="268" w:lineRule="auto"/>
        <w:tabs>
          <w:tab w:leader="none" w:pos="45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This Agreement constitutes the complete and exclusive agreement between the parties and replaces and supersedes all prior agreements, negotiations, statements, memoranda and understandings with respect to its subject matter.</w:t>
      </w:r>
    </w:p>
    <w:p>
      <w:pPr>
        <w:spacing w:after="0" w:line="180"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THIS AGREEMENT IS STRICTLY CONFIDENTIAL</w:t>
      </w:r>
    </w:p>
    <w:p>
      <w:pPr>
        <w:sectPr>
          <w:pgSz w:w="11900" w:h="16838" w:orient="portrait"/>
          <w:cols w:equalWidth="0" w:num="1">
            <w:col w:w="11372"/>
          </w:cols>
          <w:pgMar w:left="248" w:top="280" w:right="279" w:bottom="1440" w:gutter="0" w:footer="0" w:header="0"/>
        </w:sectPr>
      </w:pPr>
    </w:p>
    <w:bookmarkStart w:id="156" w:name="page157"/>
    <w:bookmarkEnd w:id="156"/>
    <w:p>
      <w:pPr>
        <w:ind w:left="460" w:hanging="452"/>
        <w:spacing w:after="0" w:line="268" w:lineRule="auto"/>
        <w:tabs>
          <w:tab w:leader="none" w:pos="4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voiding of any provision of this Agreement by any Court shall not serve as to void or place in less than full force and effect any other provision of this Agreement.</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This Agreement is agreed to and accepted this 31st day of October 2002 by those parties whose duly authorized signatures are set forth below:</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0" w:type="dxa"/>
            <w:vAlign w:val="bottom"/>
          </w:tcPr>
          <w:p>
            <w:pPr>
              <w:spacing w:after="0"/>
              <w:rPr>
                <w:sz w:val="19"/>
                <w:szCs w:val="19"/>
                <w:color w:val="auto"/>
              </w:rPr>
            </w:pPr>
          </w:p>
        </w:tc>
        <w:tc>
          <w:tcPr>
            <w:tcW w:w="3380" w:type="dxa"/>
            <w:vAlign w:val="bottom"/>
            <w:gridSpan w:val="2"/>
          </w:tcPr>
          <w:p>
            <w:pPr>
              <w:ind w:left="8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RODUCTIONS</w:t>
            </w:r>
            <w:r>
              <w:rPr>
                <w:rFonts w:ascii="Arial" w:cs="Arial" w:eastAsia="Arial" w:hAnsi="Arial"/>
                <w:sz w:val="18"/>
                <w:szCs w:val="18"/>
                <w:b w:val="1"/>
                <w:bCs w:val="1"/>
                <w:color w:val="auto"/>
              </w:rPr>
              <w:t xml:space="preserve"> DU D</w:t>
            </w:r>
            <w:r>
              <w:rPr>
                <w:rFonts w:ascii="Arial" w:cs="Arial" w:eastAsia="Arial" w:hAnsi="Arial"/>
                <w:sz w:val="14"/>
                <w:szCs w:val="14"/>
                <w:b w:val="1"/>
                <w:bCs w:val="1"/>
                <w:color w:val="auto"/>
              </w:rPr>
              <w:t>RAGON</w:t>
            </w:r>
            <w:r>
              <w:rPr>
                <w:rFonts w:ascii="Arial" w:cs="Arial" w:eastAsia="Arial" w:hAnsi="Arial"/>
                <w:sz w:val="18"/>
                <w:szCs w:val="18"/>
                <w:b w:val="1"/>
                <w:bCs w:val="1"/>
                <w:color w:val="auto"/>
              </w:rPr>
              <w:t xml:space="preserve"> S.A.</w:t>
            </w:r>
          </w:p>
        </w:tc>
        <w:tc>
          <w:tcPr>
            <w:tcW w:w="296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YNN</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AS</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EGAS</w:t>
            </w:r>
            <w:r>
              <w:rPr>
                <w:rFonts w:ascii="Arial" w:cs="Arial" w:eastAsia="Arial" w:hAnsi="Arial"/>
                <w:sz w:val="18"/>
                <w:szCs w:val="18"/>
                <w:b w:val="1"/>
                <w:bCs w:val="1"/>
                <w:color w:val="auto"/>
              </w:rPr>
              <w:t xml:space="preserve"> L.L.C.</w:t>
            </w:r>
          </w:p>
        </w:tc>
      </w:tr>
      <w:tr>
        <w:trPr>
          <w:trHeight w:val="480"/>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960" w:type="dxa"/>
            <w:vAlign w:val="bottom"/>
          </w:tcPr>
          <w:p>
            <w:pPr>
              <w:ind w:left="2400"/>
              <w:spacing w:after="0"/>
              <w:rPr>
                <w:sz w:val="20"/>
                <w:szCs w:val="20"/>
                <w:color w:val="auto"/>
              </w:rPr>
            </w:pPr>
            <w:r>
              <w:rPr>
                <w:rFonts w:ascii="Arial" w:cs="Arial" w:eastAsia="Arial" w:hAnsi="Arial"/>
                <w:sz w:val="18"/>
                <w:szCs w:val="18"/>
                <w:color w:val="auto"/>
              </w:rPr>
              <w:t>Per:</w:t>
            </w:r>
          </w:p>
        </w:tc>
        <w:tc>
          <w:tcPr>
            <w:tcW w:w="4580" w:type="dxa"/>
            <w:vAlign w:val="bottom"/>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YNN</w:t>
            </w:r>
            <w:r>
              <w:rPr>
                <w:rFonts w:ascii="Arial" w:cs="Arial" w:eastAsia="Arial" w:hAnsi="Arial"/>
                <w:sz w:val="18"/>
                <w:szCs w:val="18"/>
                <w:color w:val="auto"/>
              </w:rPr>
              <w:t xml:space="preserve"> R</w:t>
            </w:r>
            <w:r>
              <w:rPr>
                <w:rFonts w:ascii="Arial" w:cs="Arial" w:eastAsia="Arial" w:hAnsi="Arial"/>
                <w:sz w:val="14"/>
                <w:szCs w:val="14"/>
                <w:color w:val="auto"/>
              </w:rPr>
              <w:t>ESORTS</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LLC</w:t>
            </w: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960" w:type="dxa"/>
            <w:vAlign w:val="bottom"/>
          </w:tcPr>
          <w:p>
            <w:pPr>
              <w:ind w:left="2400"/>
              <w:spacing w:after="0"/>
              <w:rPr>
                <w:sz w:val="20"/>
                <w:szCs w:val="20"/>
                <w:color w:val="auto"/>
              </w:rPr>
            </w:pPr>
            <w:r>
              <w:rPr>
                <w:rFonts w:ascii="Arial" w:cs="Arial" w:eastAsia="Arial" w:hAnsi="Arial"/>
                <w:sz w:val="18"/>
                <w:szCs w:val="18"/>
                <w:color w:val="auto"/>
              </w:rPr>
              <w:t>Per:</w:t>
            </w:r>
          </w:p>
        </w:tc>
        <w:tc>
          <w:tcPr>
            <w:tcW w:w="4580" w:type="dxa"/>
            <w:vAlign w:val="bottom"/>
          </w:tcPr>
          <w:p>
            <w:pPr>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ALVINO</w:t>
            </w:r>
            <w:r>
              <w:rPr>
                <w:rFonts w:ascii="Arial" w:cs="Arial" w:eastAsia="Arial" w:hAnsi="Arial"/>
                <w:sz w:val="18"/>
                <w:szCs w:val="18"/>
                <w:color w:val="auto"/>
              </w:rPr>
              <w:t xml:space="preserve"> L</w:t>
            </w:r>
            <w:r>
              <w:rPr>
                <w:rFonts w:ascii="Arial" w:cs="Arial" w:eastAsia="Arial" w:hAnsi="Arial"/>
                <w:sz w:val="14"/>
                <w:szCs w:val="14"/>
                <w:color w:val="auto"/>
              </w:rPr>
              <w:t>AMORE</w:t>
            </w:r>
            <w:r>
              <w:rPr>
                <w:rFonts w:ascii="Arial" w:cs="Arial" w:eastAsia="Arial" w:hAnsi="Arial"/>
                <w:sz w:val="18"/>
                <w:szCs w:val="18"/>
                <w:color w:val="auto"/>
              </w:rPr>
              <w:t>, LLC,</w:t>
            </w: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960" w:type="dxa"/>
            <w:vAlign w:val="bottom"/>
          </w:tcPr>
          <w:p>
            <w:pPr>
              <w:ind w:left="2400"/>
              <w:spacing w:after="0"/>
              <w:rPr>
                <w:sz w:val="20"/>
                <w:szCs w:val="20"/>
                <w:color w:val="auto"/>
              </w:rPr>
            </w:pPr>
            <w:r>
              <w:rPr>
                <w:rFonts w:ascii="Arial" w:cs="Arial" w:eastAsia="Arial" w:hAnsi="Arial"/>
                <w:sz w:val="18"/>
                <w:szCs w:val="18"/>
                <w:color w:val="auto"/>
              </w:rPr>
              <w:t>Per:</w:t>
            </w:r>
          </w:p>
        </w:tc>
        <w:tc>
          <w:tcPr>
            <w:tcW w:w="4580" w:type="dxa"/>
            <w:vAlign w:val="bottom"/>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YNN</w:t>
            </w:r>
            <w:r>
              <w:rPr>
                <w:rFonts w:ascii="Arial" w:cs="Arial" w:eastAsia="Arial" w:hAnsi="Arial"/>
                <w:sz w:val="18"/>
                <w:szCs w:val="18"/>
                <w:color w:val="auto"/>
              </w:rPr>
              <w:t xml:space="preserve"> R</w:t>
            </w:r>
            <w:r>
              <w:rPr>
                <w:rFonts w:ascii="Arial" w:cs="Arial" w:eastAsia="Arial" w:hAnsi="Arial"/>
                <w:sz w:val="14"/>
                <w:szCs w:val="14"/>
                <w:color w:val="auto"/>
              </w:rPr>
              <w:t>ESORTS</w:t>
            </w:r>
            <w:r>
              <w:rPr>
                <w:rFonts w:ascii="Arial" w:cs="Arial" w:eastAsia="Arial" w:hAnsi="Arial"/>
                <w:sz w:val="18"/>
                <w:szCs w:val="18"/>
                <w:color w:val="auto"/>
              </w:rPr>
              <w:t>, L</w:t>
            </w:r>
            <w:r>
              <w:rPr>
                <w:rFonts w:ascii="Arial" w:cs="Arial" w:eastAsia="Arial" w:hAnsi="Arial"/>
                <w:sz w:val="14"/>
                <w:szCs w:val="14"/>
                <w:color w:val="auto"/>
              </w:rPr>
              <w:t>IMITED</w:t>
            </w:r>
          </w:p>
        </w:tc>
      </w:tr>
      <w:tr>
        <w:trPr>
          <w:trHeight w:val="222"/>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59"/>
        </w:trPr>
        <w:tc>
          <w:tcPr>
            <w:tcW w:w="360" w:type="dxa"/>
            <w:vAlign w:val="bottom"/>
          </w:tcPr>
          <w:p>
            <w:pPr>
              <w:spacing w:after="0"/>
              <w:rPr>
                <w:sz w:val="20"/>
                <w:szCs w:val="20"/>
                <w:color w:val="auto"/>
              </w:rPr>
            </w:pPr>
            <w:r>
              <w:rPr>
                <w:rFonts w:ascii="Arial" w:cs="Arial" w:eastAsia="Arial" w:hAnsi="Arial"/>
                <w:sz w:val="18"/>
                <w:szCs w:val="18"/>
                <w:color w:val="auto"/>
              </w:rPr>
              <w:t>Per:</w:t>
            </w:r>
          </w:p>
        </w:tc>
        <w:tc>
          <w:tcPr>
            <w:tcW w:w="80" w:type="dxa"/>
            <w:vAlign w:val="bottom"/>
          </w:tcPr>
          <w:p>
            <w:pPr>
              <w:spacing w:after="0"/>
              <w:rPr>
                <w:sz w:val="24"/>
                <w:szCs w:val="24"/>
                <w:color w:val="auto"/>
              </w:rPr>
            </w:pPr>
          </w:p>
        </w:tc>
        <w:tc>
          <w:tcPr>
            <w:tcW w:w="3300" w:type="dxa"/>
            <w:vAlign w:val="bottom"/>
          </w:tcPr>
          <w:p>
            <w:pPr>
              <w:ind w:left="840"/>
              <w:spacing w:after="0"/>
              <w:rPr>
                <w:sz w:val="20"/>
                <w:szCs w:val="20"/>
                <w:color w:val="auto"/>
              </w:rPr>
            </w:pPr>
            <w:r>
              <w:rPr>
                <w:rFonts w:ascii="Arial" w:cs="Arial" w:eastAsia="Arial" w:hAnsi="Arial"/>
                <w:sz w:val="18"/>
                <w:szCs w:val="18"/>
                <w:color w:val="auto"/>
              </w:rPr>
              <w:t>/s/ F</w:t>
            </w:r>
            <w:r>
              <w:rPr>
                <w:rFonts w:ascii="Arial" w:cs="Arial" w:eastAsia="Arial" w:hAnsi="Arial"/>
                <w:sz w:val="14"/>
                <w:szCs w:val="14"/>
                <w:color w:val="auto"/>
              </w:rPr>
              <w:t>RANCO</w:t>
            </w:r>
            <w:r>
              <w:rPr>
                <w:rFonts w:ascii="Arial" w:cs="Arial" w:eastAsia="Arial" w:hAnsi="Arial"/>
                <w:sz w:val="18"/>
                <w:szCs w:val="18"/>
                <w:color w:val="auto"/>
              </w:rPr>
              <w:t xml:space="preserve"> D</w:t>
            </w:r>
            <w:r>
              <w:rPr>
                <w:rFonts w:ascii="Arial" w:cs="Arial" w:eastAsia="Arial" w:hAnsi="Arial"/>
                <w:sz w:val="14"/>
                <w:szCs w:val="14"/>
                <w:color w:val="auto"/>
              </w:rPr>
              <w:t>RAGONE</w:t>
            </w:r>
          </w:p>
        </w:tc>
        <w:tc>
          <w:tcPr>
            <w:tcW w:w="2960" w:type="dxa"/>
            <w:vAlign w:val="bottom"/>
          </w:tcPr>
          <w:p>
            <w:pPr>
              <w:ind w:left="2400"/>
              <w:spacing w:after="0"/>
              <w:rPr>
                <w:sz w:val="20"/>
                <w:szCs w:val="20"/>
                <w:color w:val="auto"/>
              </w:rPr>
            </w:pPr>
            <w:r>
              <w:rPr>
                <w:rFonts w:ascii="Arial" w:cs="Arial" w:eastAsia="Arial" w:hAnsi="Arial"/>
                <w:sz w:val="18"/>
                <w:szCs w:val="18"/>
                <w:color w:val="auto"/>
              </w:rPr>
              <w:t>Per:</w:t>
            </w:r>
          </w:p>
        </w:tc>
        <w:tc>
          <w:tcPr>
            <w:tcW w:w="4580" w:type="dxa"/>
            <w:vAlign w:val="bottom"/>
          </w:tcPr>
          <w:p>
            <w:pPr>
              <w:jc w:val="center"/>
              <w:spacing w:after="0"/>
              <w:rPr>
                <w:sz w:val="20"/>
                <w:szCs w:val="20"/>
                <w:color w:val="auto"/>
              </w:rPr>
            </w:pPr>
            <w:r>
              <w:rPr>
                <w:rFonts w:ascii="Arial" w:cs="Arial" w:eastAsia="Arial" w:hAnsi="Arial"/>
                <w:sz w:val="18"/>
                <w:szCs w:val="18"/>
                <w:color w:val="auto"/>
                <w:w w:val="97"/>
              </w:rPr>
              <w:t>/s/ S</w:t>
            </w:r>
            <w:r>
              <w:rPr>
                <w:rFonts w:ascii="Arial" w:cs="Arial" w:eastAsia="Arial" w:hAnsi="Arial"/>
                <w:sz w:val="14"/>
                <w:szCs w:val="14"/>
                <w:color w:val="auto"/>
                <w:w w:val="97"/>
              </w:rPr>
              <w:t>TEPHEN</w:t>
            </w:r>
            <w:r>
              <w:rPr>
                <w:rFonts w:ascii="Arial" w:cs="Arial" w:eastAsia="Arial" w:hAnsi="Arial"/>
                <w:sz w:val="18"/>
                <w:szCs w:val="18"/>
                <w:color w:val="auto"/>
                <w:w w:val="97"/>
              </w:rPr>
              <w:t xml:space="preserve"> A. W</w:t>
            </w:r>
            <w:r>
              <w:rPr>
                <w:rFonts w:ascii="Arial" w:cs="Arial" w:eastAsia="Arial" w:hAnsi="Arial"/>
                <w:sz w:val="14"/>
                <w:szCs w:val="14"/>
                <w:color w:val="auto"/>
                <w:w w:val="97"/>
              </w:rPr>
              <w:t>YNN</w:t>
            </w:r>
          </w:p>
        </w:tc>
      </w:tr>
      <w:tr>
        <w:trPr>
          <w:trHeight w:val="110"/>
        </w:trPr>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00" w:type="dxa"/>
            <w:vAlign w:val="bottom"/>
            <w:tcBorders>
              <w:bottom w:val="single" w:sz="8" w:color="auto"/>
            </w:tcBorders>
          </w:tcPr>
          <w:p>
            <w:pPr>
              <w:spacing w:after="0"/>
              <w:rPr>
                <w:sz w:val="9"/>
                <w:szCs w:val="9"/>
                <w:color w:val="auto"/>
              </w:rPr>
            </w:pPr>
          </w:p>
        </w:tc>
        <w:tc>
          <w:tcPr>
            <w:tcW w:w="2960" w:type="dxa"/>
            <w:vAlign w:val="bottom"/>
          </w:tcPr>
          <w:p>
            <w:pPr>
              <w:spacing w:after="0"/>
              <w:rPr>
                <w:sz w:val="9"/>
                <w:szCs w:val="9"/>
                <w:color w:val="auto"/>
              </w:rPr>
            </w:pPr>
          </w:p>
        </w:tc>
        <w:tc>
          <w:tcPr>
            <w:tcW w:w="4580" w:type="dxa"/>
            <w:vAlign w:val="bottom"/>
            <w:tcBorders>
              <w:bottom w:val="single" w:sz="8" w:color="auto"/>
            </w:tcBorders>
          </w:tcPr>
          <w:p>
            <w:pPr>
              <w:spacing w:after="0"/>
              <w:rPr>
                <w:sz w:val="9"/>
                <w:szCs w:val="9"/>
                <w:color w:val="auto"/>
              </w:rPr>
            </w:pPr>
          </w:p>
        </w:tc>
      </w:tr>
      <w:tr>
        <w:trPr>
          <w:trHeight w:val="251"/>
        </w:trPr>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00" w:type="dxa"/>
            <w:vAlign w:val="bottom"/>
          </w:tcPr>
          <w:p>
            <w:pPr>
              <w:ind w:left="940"/>
              <w:spacing w:after="0"/>
              <w:rPr>
                <w:sz w:val="20"/>
                <w:szCs w:val="20"/>
                <w:color w:val="auto"/>
              </w:rPr>
            </w:pPr>
            <w:r>
              <w:rPr>
                <w:rFonts w:ascii="Arial" w:cs="Arial" w:eastAsia="Arial" w:hAnsi="Arial"/>
                <w:sz w:val="14"/>
                <w:szCs w:val="14"/>
                <w:b w:val="1"/>
                <w:bCs w:val="1"/>
                <w:color w:val="auto"/>
              </w:rPr>
              <w:t>Franco Dragone</w:t>
            </w:r>
          </w:p>
        </w:tc>
        <w:tc>
          <w:tcPr>
            <w:tcW w:w="2960" w:type="dxa"/>
            <w:vAlign w:val="bottom"/>
          </w:tcPr>
          <w:p>
            <w:pPr>
              <w:spacing w:after="0"/>
              <w:rPr>
                <w:sz w:val="21"/>
                <w:szCs w:val="21"/>
                <w:color w:val="auto"/>
              </w:rPr>
            </w:pPr>
          </w:p>
        </w:tc>
        <w:tc>
          <w:tcPr>
            <w:tcW w:w="4580" w:type="dxa"/>
            <w:vAlign w:val="bottom"/>
          </w:tcPr>
          <w:p>
            <w:pPr>
              <w:jc w:val="center"/>
              <w:spacing w:after="0"/>
              <w:rPr>
                <w:sz w:val="20"/>
                <w:szCs w:val="20"/>
                <w:color w:val="auto"/>
              </w:rPr>
            </w:pPr>
            <w:r>
              <w:rPr>
                <w:rFonts w:ascii="Arial" w:cs="Arial" w:eastAsia="Arial" w:hAnsi="Arial"/>
                <w:sz w:val="14"/>
                <w:szCs w:val="14"/>
                <w:b w:val="1"/>
                <w:bCs w:val="1"/>
                <w:color w:val="auto"/>
                <w:w w:val="89"/>
              </w:rPr>
              <w:t>Stephen A. Wynn,</w:t>
            </w:r>
          </w:p>
        </w:tc>
      </w:tr>
      <w:tr>
        <w:trPr>
          <w:trHeight w:val="149"/>
        </w:trPr>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4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Chairman and Chief Executive</w:t>
            </w:r>
          </w:p>
        </w:tc>
      </w:tr>
      <w:tr>
        <w:trPr>
          <w:trHeight w:val="174"/>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580" w:type="dxa"/>
            <w:vAlign w:val="bottom"/>
          </w:tcPr>
          <w:p>
            <w:pPr>
              <w:jc w:val="center"/>
              <w:spacing w:after="0"/>
              <w:rPr>
                <w:sz w:val="20"/>
                <w:szCs w:val="20"/>
                <w:color w:val="auto"/>
              </w:rPr>
            </w:pPr>
            <w:r>
              <w:rPr>
                <w:rFonts w:ascii="Arial" w:cs="Arial" w:eastAsia="Arial" w:hAnsi="Arial"/>
                <w:sz w:val="14"/>
                <w:szCs w:val="14"/>
                <w:b w:val="1"/>
                <w:bCs w:val="1"/>
                <w:color w:val="auto"/>
                <w:w w:val="92"/>
              </w:rPr>
              <w:t>Officer</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As to the personal obligations in Section 1.E):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 F</w:t>
      </w:r>
      <w:r>
        <w:rPr>
          <w:rFonts w:ascii="Arial" w:cs="Arial" w:eastAsia="Arial" w:hAnsi="Arial"/>
          <w:sz w:val="14"/>
          <w:szCs w:val="14"/>
          <w:color w:val="auto"/>
        </w:rPr>
        <w:t>RANCO</w:t>
      </w:r>
      <w:r>
        <w:rPr>
          <w:rFonts w:ascii="Arial" w:cs="Arial" w:eastAsia="Arial" w:hAnsi="Arial"/>
          <w:sz w:val="18"/>
          <w:szCs w:val="18"/>
          <w:color w:val="auto"/>
        </w:rPr>
        <w:t xml:space="preserve"> D</w:t>
      </w:r>
      <w:r>
        <w:rPr>
          <w:rFonts w:ascii="Arial" w:cs="Arial" w:eastAsia="Arial" w:hAnsi="Arial"/>
          <w:sz w:val="14"/>
          <w:szCs w:val="14"/>
          <w:color w:val="auto"/>
        </w:rPr>
        <w:t>RAGONE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68973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14"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Franco Dragone, individually</w:t>
      </w: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THIS AGREEMENT IS STRICTLY CONFIDENTIAL</w:t>
      </w:r>
    </w:p>
    <w:p>
      <w:pPr>
        <w:sectPr>
          <w:pgSz w:w="11900" w:h="16838" w:orient="portrait"/>
          <w:cols w:equalWidth="0" w:num="1">
            <w:col w:w="11320"/>
          </w:cols>
          <w:pgMar w:left="240" w:top="280" w:right="3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5000" w:type="dxa"/>
            <w:vAlign w:val="bottom"/>
          </w:tcPr>
          <w:p>
            <w:pPr>
              <w:jc w:val="right"/>
              <w:ind w:right="2792"/>
              <w:spacing w:after="0"/>
              <w:rPr>
                <w:sz w:val="20"/>
                <w:szCs w:val="20"/>
                <w:color w:val="auto"/>
              </w:rPr>
            </w:pPr>
            <w:r>
              <w:rPr>
                <w:rFonts w:ascii="Arial" w:cs="Arial" w:eastAsia="Arial" w:hAnsi="Arial"/>
                <w:sz w:val="18"/>
                <w:szCs w:val="18"/>
                <w:b w:val="1"/>
                <w:bCs w:val="1"/>
                <w:color w:val="auto"/>
              </w:rPr>
              <w:t>SCHEDULE 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000" w:type="dxa"/>
            <w:vAlign w:val="bottom"/>
          </w:tcPr>
          <w:p>
            <w:pPr>
              <w:jc w:val="right"/>
              <w:ind w:right="2112"/>
              <w:spacing w:after="0"/>
              <w:rPr>
                <w:sz w:val="20"/>
                <w:szCs w:val="20"/>
                <w:color w:val="auto"/>
              </w:rPr>
            </w:pPr>
            <w:r>
              <w:rPr>
                <w:rFonts w:ascii="Arial" w:cs="Arial" w:eastAsia="Arial" w:hAnsi="Arial"/>
                <w:sz w:val="18"/>
                <w:szCs w:val="18"/>
                <w:color w:val="auto"/>
              </w:rPr>
              <w:t>SHOW PRODUCTION BUDGET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Artistic Direction &amp; Development</w:t>
            </w:r>
          </w:p>
        </w:tc>
        <w:tc>
          <w:tcPr>
            <w:tcW w:w="5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5,362,242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Production Development</w:t>
            </w:r>
          </w:p>
        </w:tc>
        <w:tc>
          <w:tcPr>
            <w:tcW w:w="50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6,652,293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Show Components</w:t>
            </w:r>
          </w:p>
        </w:tc>
        <w:tc>
          <w:tcPr>
            <w:tcW w:w="5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4,933,351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Logistics &amp; Travel</w:t>
            </w:r>
          </w:p>
        </w:tc>
        <w:tc>
          <w:tcPr>
            <w:tcW w:w="50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5,452,114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Creation Fee</w:t>
            </w:r>
          </w:p>
        </w:tc>
        <w:tc>
          <w:tcPr>
            <w:tcW w:w="5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b w:val="1"/>
                <w:bCs w:val="1"/>
                <w:color w:val="auto"/>
              </w:rPr>
              <w:t>TOTAL PRODUCTION BUDGET</w:t>
            </w:r>
          </w:p>
        </w:tc>
        <w:tc>
          <w:tcPr>
            <w:tcW w:w="500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12"/>
              <w:spacing w:after="0"/>
              <w:rPr>
                <w:sz w:val="20"/>
                <w:szCs w:val="20"/>
                <w:color w:val="auto"/>
              </w:rPr>
            </w:pPr>
            <w:r>
              <w:rPr>
                <w:rFonts w:ascii="Arial" w:cs="Arial" w:eastAsia="Arial" w:hAnsi="Arial"/>
                <w:sz w:val="18"/>
                <w:szCs w:val="18"/>
                <w:b w:val="1"/>
                <w:bCs w:val="1"/>
                <w:color w:val="auto"/>
              </w:rPr>
              <w:t>24,400,000</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140"/>
          </w:cols>
          <w:pgMar w:left="1380" w:top="382" w:right="137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58" w:name="page159"/>
    <w:bookmarkEnd w:id="158"/>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20" w:type="dxa"/>
            <w:vAlign w:val="bottom"/>
          </w:tcPr>
          <w:p>
            <w:pPr>
              <w:ind w:left="3740"/>
              <w:spacing w:after="0"/>
              <w:rPr>
                <w:sz w:val="20"/>
                <w:szCs w:val="20"/>
                <w:color w:val="auto"/>
              </w:rPr>
            </w:pPr>
            <w:r>
              <w:rPr>
                <w:rFonts w:ascii="Arial" w:cs="Arial" w:eastAsia="Arial" w:hAnsi="Arial"/>
                <w:sz w:val="18"/>
                <w:szCs w:val="18"/>
                <w:b w:val="1"/>
                <w:bCs w:val="1"/>
                <w:color w:val="auto"/>
              </w:rPr>
              <w:t>SCHEDULE 2</w:t>
            </w:r>
          </w:p>
        </w:tc>
        <w:tc>
          <w:tcPr>
            <w:tcW w:w="1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20" w:type="dxa"/>
            <w:vAlign w:val="bottom"/>
          </w:tcPr>
          <w:p>
            <w:pPr>
              <w:ind w:left="3240"/>
              <w:spacing w:after="0"/>
              <w:rPr>
                <w:sz w:val="20"/>
                <w:szCs w:val="20"/>
                <w:color w:val="auto"/>
              </w:rPr>
            </w:pPr>
            <w:r>
              <w:rPr>
                <w:rFonts w:ascii="Arial" w:cs="Arial" w:eastAsia="Arial" w:hAnsi="Arial"/>
                <w:sz w:val="18"/>
                <w:szCs w:val="18"/>
                <w:color w:val="auto"/>
              </w:rPr>
              <w:t>CONSTRUCTION BUDGET</w:t>
            </w: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668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Theater Construction:</w:t>
            </w:r>
          </w:p>
        </w:tc>
        <w:tc>
          <w:tcPr>
            <w:tcW w:w="1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20" w:type="dxa"/>
            <w:vAlign w:val="bottom"/>
          </w:tcPr>
          <w:p>
            <w:pPr>
              <w:ind w:left="40"/>
              <w:spacing w:after="0"/>
              <w:rPr>
                <w:sz w:val="20"/>
                <w:szCs w:val="20"/>
                <w:color w:val="auto"/>
              </w:rPr>
            </w:pPr>
            <w:r>
              <w:rPr>
                <w:rFonts w:ascii="Arial" w:cs="Arial" w:eastAsia="Arial" w:hAnsi="Arial"/>
                <w:sz w:val="18"/>
                <w:szCs w:val="18"/>
                <w:color w:val="auto"/>
              </w:rPr>
              <w:t>Base Construction</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32,259,917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Interiors</w:t>
            </w: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3,341,914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20" w:type="dxa"/>
            <w:vAlign w:val="bottom"/>
          </w:tcPr>
          <w:p>
            <w:pPr>
              <w:ind w:left="40"/>
              <w:spacing w:after="0"/>
              <w:rPr>
                <w:sz w:val="20"/>
                <w:szCs w:val="20"/>
                <w:color w:val="auto"/>
              </w:rPr>
            </w:pPr>
            <w:r>
              <w:rPr>
                <w:rFonts w:ascii="Arial" w:cs="Arial" w:eastAsia="Arial" w:hAnsi="Arial"/>
                <w:sz w:val="18"/>
                <w:szCs w:val="18"/>
                <w:color w:val="auto"/>
              </w:rPr>
              <w:t>Theatrical Equipment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22,784,377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Sub Total</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58,386,208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Soft Costs</w:t>
            </w:r>
          </w:p>
        </w:tc>
        <w:tc>
          <w:tcPr>
            <w:tcW w:w="1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Design/Engineering/CM Expenses</w:t>
            </w: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3,196,197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20" w:type="dxa"/>
            <w:vAlign w:val="bottom"/>
          </w:tcPr>
          <w:p>
            <w:pPr>
              <w:ind w:left="360"/>
              <w:spacing w:after="0"/>
              <w:rPr>
                <w:sz w:val="20"/>
                <w:szCs w:val="20"/>
                <w:color w:val="auto"/>
              </w:rPr>
            </w:pPr>
            <w:r>
              <w:rPr>
                <w:rFonts w:ascii="Arial" w:cs="Arial" w:eastAsia="Arial" w:hAnsi="Arial"/>
                <w:sz w:val="18"/>
                <w:szCs w:val="18"/>
                <w:b w:val="1"/>
                <w:bCs w:val="1"/>
                <w:color w:val="auto"/>
              </w:rPr>
              <w:t>Sub Total</w:t>
            </w:r>
          </w:p>
        </w:tc>
        <w:tc>
          <w:tcPr>
            <w:tcW w:w="134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b w:val="1"/>
                <w:bCs w:val="1"/>
                <w:color w:val="auto"/>
              </w:rPr>
              <w:t>3,196,197</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Project Contingency</w:t>
            </w:r>
          </w:p>
        </w:tc>
        <w:tc>
          <w:tcPr>
            <w:tcW w:w="1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20" w:type="dxa"/>
            <w:vAlign w:val="bottom"/>
          </w:tcPr>
          <w:p>
            <w:pPr>
              <w:ind w:left="40"/>
              <w:spacing w:after="0"/>
              <w:rPr>
                <w:sz w:val="20"/>
                <w:szCs w:val="20"/>
                <w:color w:val="auto"/>
              </w:rPr>
            </w:pPr>
            <w:r>
              <w:rPr>
                <w:rFonts w:ascii="Arial" w:cs="Arial" w:eastAsia="Arial" w:hAnsi="Arial"/>
                <w:sz w:val="18"/>
                <w:szCs w:val="18"/>
                <w:color w:val="auto"/>
              </w:rPr>
              <w:t>Construction Contingency</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2,919,310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 Costs Contingency</w:t>
            </w: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79,905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20" w:type="dxa"/>
            <w:vAlign w:val="bottom"/>
          </w:tcPr>
          <w:p>
            <w:pPr>
              <w:ind w:left="360"/>
              <w:spacing w:after="0"/>
              <w:rPr>
                <w:sz w:val="20"/>
                <w:szCs w:val="20"/>
                <w:color w:val="auto"/>
              </w:rPr>
            </w:pPr>
            <w:r>
              <w:rPr>
                <w:rFonts w:ascii="Arial" w:cs="Arial" w:eastAsia="Arial" w:hAnsi="Arial"/>
                <w:sz w:val="18"/>
                <w:szCs w:val="18"/>
                <w:b w:val="1"/>
                <w:bCs w:val="1"/>
                <w:color w:val="auto"/>
              </w:rPr>
              <w:t>Sub Total</w:t>
            </w:r>
          </w:p>
        </w:tc>
        <w:tc>
          <w:tcPr>
            <w:tcW w:w="134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b w:val="1"/>
                <w:bCs w:val="1"/>
                <w:color w:val="auto"/>
              </w:rPr>
              <w:t>2,999,215</w:t>
            </w:r>
          </w:p>
        </w:tc>
        <w:tc>
          <w:tcPr>
            <w:tcW w:w="0" w:type="dxa"/>
            <w:vAlign w:val="bottom"/>
          </w:tcPr>
          <w:p>
            <w:pPr>
              <w:spacing w:after="0"/>
              <w:rPr>
                <w:sz w:val="1"/>
                <w:szCs w:val="1"/>
                <w:color w:val="auto"/>
              </w:rPr>
            </w:pPr>
          </w:p>
        </w:tc>
      </w:tr>
      <w:tr>
        <w:trPr>
          <w:trHeight w:val="258"/>
        </w:trPr>
        <w:tc>
          <w:tcPr>
            <w:tcW w:w="20" w:type="dxa"/>
            <w:vAlign w:val="bottom"/>
            <w:vMerge w:val="restart"/>
          </w:tcPr>
          <w:p>
            <w:pPr>
              <w:spacing w:after="0"/>
              <w:rPr>
                <w:sz w:val="22"/>
                <w:szCs w:val="22"/>
                <w:color w:val="auto"/>
              </w:rPr>
            </w:pPr>
          </w:p>
        </w:tc>
        <w:tc>
          <w:tcPr>
            <w:tcW w:w="260" w:type="dxa"/>
            <w:vAlign w:val="bottom"/>
          </w:tcPr>
          <w:p>
            <w:pPr>
              <w:spacing w:after="0"/>
              <w:rPr>
                <w:sz w:val="22"/>
                <w:szCs w:val="22"/>
                <w:color w:val="auto"/>
              </w:rPr>
            </w:pPr>
          </w:p>
        </w:tc>
        <w:tc>
          <w:tcPr>
            <w:tcW w:w="6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16.</w:t>
            </w:r>
          </w:p>
        </w:tc>
        <w:tc>
          <w:tcPr>
            <w:tcW w:w="642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Estimated Contractor Fee</w:t>
            </w:r>
          </w:p>
        </w:tc>
        <w:tc>
          <w:tcPr>
            <w:tcW w:w="1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1,335,811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w w:val="95"/>
              </w:rPr>
              <w:t>17.</w:t>
            </w:r>
          </w:p>
        </w:tc>
        <w:tc>
          <w:tcPr>
            <w:tcW w:w="6420" w:type="dxa"/>
            <w:vAlign w:val="bottom"/>
          </w:tcPr>
          <w:p>
            <w:pPr>
              <w:ind w:left="520"/>
              <w:spacing w:after="0"/>
              <w:rPr>
                <w:sz w:val="20"/>
                <w:szCs w:val="20"/>
                <w:color w:val="auto"/>
              </w:rPr>
            </w:pPr>
            <w:r>
              <w:rPr>
                <w:rFonts w:ascii="Arial" w:cs="Arial" w:eastAsia="Arial" w:hAnsi="Arial"/>
                <w:sz w:val="18"/>
                <w:szCs w:val="18"/>
                <w:b w:val="1"/>
                <w:bCs w:val="1"/>
                <w:color w:val="auto"/>
              </w:rPr>
              <w:t>TOTAL DESIGN &amp; CONSTRUCTION</w:t>
            </w: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b w:val="1"/>
                <w:bCs w:val="1"/>
                <w:color w:val="auto"/>
              </w:rPr>
              <w:t>65,917,431</w:t>
            </w:r>
          </w:p>
        </w:tc>
        <w:tc>
          <w:tcPr>
            <w:tcW w:w="0" w:type="dxa"/>
            <w:vAlign w:val="bottom"/>
          </w:tcPr>
          <w:p>
            <w:pPr>
              <w:spacing w:after="0"/>
              <w:rPr>
                <w:sz w:val="1"/>
                <w:szCs w:val="1"/>
                <w:color w:val="auto"/>
              </w:rPr>
            </w:pPr>
          </w:p>
        </w:tc>
      </w:tr>
    </w:tbl>
    <w:p>
      <w:pPr>
        <w:spacing w:after="0" w:line="2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THIS AGREEMENT IS STRICTLY CONFIDENTIAL</w:t>
      </w:r>
    </w:p>
    <w:p>
      <w:pPr>
        <w:sectPr>
          <w:pgSz w:w="11900" w:h="16838" w:orient="portrait"/>
          <w:cols w:equalWidth="0" w:num="1">
            <w:col w:w="9140"/>
          </w:cols>
          <w:pgMar w:left="1380" w:top="382" w:right="137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10.80</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AMENDED AND RESTATED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OPERATING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VALVINO LAMORE,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Nevada limited liability company</w:t>
      </w:r>
    </w:p>
    <w:p>
      <w:pPr>
        <w:spacing w:after="0" w:line="213" w:lineRule="exact"/>
        <w:rPr>
          <w:sz w:val="20"/>
          <w:szCs w:val="20"/>
          <w:color w:val="auto"/>
        </w:rPr>
      </w:pPr>
    </w:p>
    <w:p>
      <w:pPr>
        <w:ind w:right="60" w:firstLine="436"/>
        <w:spacing w:after="0" w:line="262" w:lineRule="auto"/>
        <w:rPr>
          <w:sz w:val="20"/>
          <w:szCs w:val="20"/>
          <w:color w:val="auto"/>
        </w:rPr>
      </w:pPr>
      <w:r>
        <w:rPr>
          <w:rFonts w:ascii="Arial" w:cs="Arial" w:eastAsia="Arial" w:hAnsi="Arial"/>
          <w:sz w:val="18"/>
          <w:szCs w:val="18"/>
          <w:color w:val="auto"/>
        </w:rPr>
        <w:t>This Second Amended and Restated Operating Agreement of Valvino Lamore, LLC, a Nevada limited liability company (the “</w:t>
      </w:r>
      <w:r>
        <w:rPr>
          <w:rFonts w:ascii="Arial" w:cs="Arial" w:eastAsia="Arial" w:hAnsi="Arial"/>
          <w:sz w:val="18"/>
          <w:szCs w:val="18"/>
          <w:b w:val="1"/>
          <w:bCs w:val="1"/>
          <w:color w:val="auto"/>
        </w:rPr>
        <w:t>Company</w:t>
      </w:r>
      <w:r>
        <w:rPr>
          <w:rFonts w:ascii="Arial" w:cs="Arial" w:eastAsia="Arial" w:hAnsi="Arial"/>
          <w:sz w:val="18"/>
          <w:szCs w:val="18"/>
          <w:color w:val="auto"/>
        </w:rPr>
        <w:t>”), is adopted at Las Vegas, Nevada, effective as of September 24, 2002 (the “</w:t>
      </w:r>
      <w:r>
        <w:rPr>
          <w:rFonts w:ascii="Arial" w:cs="Arial" w:eastAsia="Arial" w:hAnsi="Arial"/>
          <w:sz w:val="18"/>
          <w:szCs w:val="18"/>
          <w:b w:val="1"/>
          <w:bCs w:val="1"/>
          <w:color w:val="auto"/>
        </w:rPr>
        <w:t>Effective Date</w:t>
      </w:r>
      <w:r>
        <w:rPr>
          <w:rFonts w:ascii="Arial" w:cs="Arial" w:eastAsia="Arial" w:hAnsi="Arial"/>
          <w:sz w:val="18"/>
          <w:szCs w:val="18"/>
          <w:color w:val="auto"/>
        </w:rPr>
        <w:t>”), by Wynn Resorts, Limited, a Nevada corporation (“</w:t>
      </w:r>
      <w:r>
        <w:rPr>
          <w:rFonts w:ascii="Arial" w:cs="Arial" w:eastAsia="Arial" w:hAnsi="Arial"/>
          <w:sz w:val="18"/>
          <w:szCs w:val="18"/>
          <w:b w:val="1"/>
          <w:bCs w:val="1"/>
          <w:color w:val="auto"/>
        </w:rPr>
        <w:t>WRL</w:t>
      </w:r>
      <w:r>
        <w:rPr>
          <w:rFonts w:ascii="Arial" w:cs="Arial" w:eastAsia="Arial" w:hAnsi="Arial"/>
          <w:sz w:val="18"/>
          <w:szCs w:val="18"/>
          <w:color w:val="auto"/>
        </w:rPr>
        <w:t>”), which constitutes the sole member of the Company, with reference to the recitals set forth below.</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w:t>
      </w:r>
      <w:r>
        <w:rPr>
          <w:rFonts w:ascii="Arial" w:cs="Arial" w:eastAsia="Arial" w:hAnsi="Arial"/>
          <w:sz w:val="18"/>
          <w:szCs w:val="18"/>
          <w:color w:val="auto"/>
        </w:rPr>
        <w:t xml:space="preserve">I </w:t>
      </w:r>
      <w:r>
        <w:rPr>
          <w:rFonts w:ascii="Arial" w:cs="Arial" w:eastAsia="Arial" w:hAnsi="Arial"/>
          <w:sz w:val="18"/>
          <w:szCs w:val="18"/>
          <w:u w:val="single" w:color="auto"/>
          <w:color w:val="auto"/>
        </w:rPr>
        <w:t>T A L S</w:t>
      </w:r>
    </w:p>
    <w:p>
      <w:pPr>
        <w:spacing w:after="0" w:line="225" w:lineRule="exact"/>
        <w:rPr>
          <w:sz w:val="20"/>
          <w:szCs w:val="20"/>
          <w:color w:val="auto"/>
        </w:rPr>
      </w:pPr>
    </w:p>
    <w:p>
      <w:pPr>
        <w:ind w:right="340" w:firstLine="437"/>
        <w:spacing w:after="0" w:line="268" w:lineRule="auto"/>
        <w:tabs>
          <w:tab w:leader="none" w:pos="103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former members of the Company previously entered into the Amended and Restated Operating Agreement of the Company effective as of October 3, 2000, as amended;</w:t>
      </w:r>
    </w:p>
    <w:p>
      <w:pPr>
        <w:spacing w:after="0" w:line="185" w:lineRule="exact"/>
        <w:rPr>
          <w:rFonts w:ascii="Arial" w:cs="Arial" w:eastAsia="Arial" w:hAnsi="Arial"/>
          <w:sz w:val="18"/>
          <w:szCs w:val="18"/>
          <w:color w:val="auto"/>
        </w:rPr>
      </w:pPr>
    </w:p>
    <w:p>
      <w:pPr>
        <w:ind w:right="20" w:firstLine="447"/>
        <w:spacing w:after="0" w:line="259" w:lineRule="auto"/>
        <w:tabs>
          <w:tab w:leader="none" w:pos="1029"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As of the Effective Date, pursuant to that certain Contribution Agreement entered into as of June 10, 2002 among the former members of the Company and WRL, each former member of the Company assigned all of his or its right, title and interest in and to his or its member’s interest in the Company to WRL; and</w:t>
      </w:r>
    </w:p>
    <w:p>
      <w:pPr>
        <w:spacing w:after="0" w:line="194" w:lineRule="exact"/>
        <w:rPr>
          <w:rFonts w:ascii="Arial" w:cs="Arial" w:eastAsia="Arial" w:hAnsi="Arial"/>
          <w:sz w:val="18"/>
          <w:szCs w:val="18"/>
          <w:color w:val="auto"/>
        </w:rPr>
      </w:pPr>
    </w:p>
    <w:p>
      <w:pPr>
        <w:ind w:right="80" w:firstLine="447"/>
        <w:spacing w:after="0" w:line="268" w:lineRule="auto"/>
        <w:tabs>
          <w:tab w:leader="none" w:pos="1039"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Pursuant to subsection 1 of NRS 86.286, WRL desires to amend and restate, in its entirety, the operating agreement of the Company to provide for the conduct of the Company’s business and affairs on and after the Effective Date.</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WRL hereby adopts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Act</w:t>
      </w:r>
      <w:r>
        <w:rPr>
          <w:rFonts w:ascii="Arial" w:cs="Arial" w:eastAsia="Arial" w:hAnsi="Arial"/>
          <w:sz w:val="18"/>
          <w:szCs w:val="18"/>
          <w:color w:val="auto"/>
        </w:rPr>
        <w:t>. “Act” means Chapter 86 of the NRS.</w:t>
      </w:r>
    </w:p>
    <w:p>
      <w:pPr>
        <w:spacing w:after="0" w:line="225" w:lineRule="exact"/>
        <w:rPr>
          <w:sz w:val="20"/>
          <w:szCs w:val="20"/>
          <w:color w:val="auto"/>
        </w:rPr>
      </w:pPr>
    </w:p>
    <w:p>
      <w:pPr>
        <w:ind w:right="140" w:firstLine="439"/>
        <w:spacing w:after="0" w:line="294" w:lineRule="auto"/>
        <w:rPr>
          <w:sz w:val="20"/>
          <w:szCs w:val="20"/>
          <w:color w:val="auto"/>
        </w:rPr>
      </w:pPr>
      <w:r>
        <w:rPr>
          <w:rFonts w:ascii="Arial" w:cs="Arial" w:eastAsia="Arial" w:hAnsi="Arial"/>
          <w:sz w:val="16"/>
          <w:szCs w:val="16"/>
          <w:u w:val="single" w:color="auto"/>
          <w:color w:val="auto"/>
        </w:rPr>
        <w:t>Affiliate</w:t>
      </w:r>
      <w:r>
        <w:rPr>
          <w:rFonts w:ascii="Arial" w:cs="Arial" w:eastAsia="Arial" w:hAnsi="Arial"/>
          <w:sz w:val="16"/>
          <w:szCs w:val="16"/>
          <w:color w:val="auto"/>
        </w:rPr>
        <w:t>. “Affiliate” means with respect to a specified Person, any other Person who or which is (a) directly or indirectly controlling, controlled by or under common control with the specified Person, or (b) any member, stockholder, director, officer, manager, or comparable principal of, or relative or spouse of, the specified Person. For purposes of this definition, “control”, “controlling”, and “controlled” mean the right to exercise, directly or indirectly, more than fifty percent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“Agreement” means this Second Amended and Restated Operating Agreement, as amended from time to time.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125" w:right="239" w:bottom="1440" w:gutter="0" w:footer="0" w:header="0"/>
        </w:sectPr>
      </w:pPr>
    </w:p>
    <w:bookmarkStart w:id="160" w:name="page161"/>
    <w:bookmarkEnd w:id="160"/>
    <w:p>
      <w:pPr>
        <w:ind w:left="440"/>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Articles</w:t>
      </w:r>
      <w:r>
        <w:rPr>
          <w:rFonts w:ascii="Arial" w:cs="Arial" w:eastAsia="Arial" w:hAnsi="Arial"/>
          <w:sz w:val="16"/>
          <w:szCs w:val="16"/>
          <w:color w:val="auto"/>
        </w:rPr>
        <w:t>. “Articles” means the Articles of Organization of the Company as filed with the Secretary of State of Nevada, as amended from time to time.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Capital Contribution</w:t>
      </w:r>
      <w:r>
        <w:rPr>
          <w:rFonts w:ascii="Arial" w:cs="Arial" w:eastAsia="Arial" w:hAnsi="Arial"/>
          <w:sz w:val="18"/>
          <w:szCs w:val="18"/>
          <w:color w:val="auto"/>
        </w:rPr>
        <w:t>. “Capital Contribution” means a contribution to the capital of the Company in cash, property, or otherwise.</w:t>
      </w:r>
    </w:p>
    <w:p>
      <w:pPr>
        <w:spacing w:after="0" w:line="225" w:lineRule="exact"/>
        <w:rPr>
          <w:sz w:val="20"/>
          <w:szCs w:val="20"/>
          <w:color w:val="auto"/>
        </w:rPr>
      </w:pPr>
    </w:p>
    <w:p>
      <w:pPr>
        <w:ind w:right="160" w:firstLine="439"/>
        <w:spacing w:after="0" w:line="256" w:lineRule="auto"/>
        <w:rPr>
          <w:sz w:val="20"/>
          <w:szCs w:val="20"/>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“Code” means the Internal Revenue Code of 1986, as amended from time to time, or any corresponding United States federal tax statute enacted after the date of this Agreement. A reference to a specific section of the Code refers not only to such specific section but also to any corresponding provision of any United States federal tax statute enacted after the date of this Agreement, as such specific section or corresponding provision is in effect on the date of application of the provisions of this Agreement containing such reference.</w:t>
      </w:r>
    </w:p>
    <w:p>
      <w:pPr>
        <w:spacing w:after="0" w:line="197" w:lineRule="exact"/>
        <w:rPr>
          <w:sz w:val="20"/>
          <w:szCs w:val="20"/>
          <w:color w:val="auto"/>
        </w:rPr>
      </w:pPr>
    </w:p>
    <w:p>
      <w:pPr>
        <w:ind w:right="180" w:firstLine="439"/>
        <w:spacing w:after="0" w:line="306" w:lineRule="auto"/>
        <w:rPr>
          <w:sz w:val="20"/>
          <w:szCs w:val="20"/>
          <w:color w:val="auto"/>
        </w:rPr>
      </w:pPr>
      <w:r>
        <w:rPr>
          <w:rFonts w:ascii="Arial" w:cs="Arial" w:eastAsia="Arial" w:hAnsi="Arial"/>
          <w:sz w:val="16"/>
          <w:szCs w:val="16"/>
          <w:u w:val="single" w:color="auto"/>
          <w:color w:val="auto"/>
        </w:rPr>
        <w:t>Gaming Authority</w:t>
      </w:r>
      <w:r>
        <w:rPr>
          <w:rFonts w:ascii="Arial" w:cs="Arial" w:eastAsia="Arial" w:hAnsi="Arial"/>
          <w:sz w:val="16"/>
          <w:szCs w:val="16"/>
          <w:color w:val="auto"/>
        </w:rPr>
        <w:t>. “Gaming Authority” means those national, state, local and other governmental, regulatory and administrative authorities, agencies, boards and officials responsible for or involved in the regulation of gaming or gaming activities in any jurisdiction and, within the State of Nevada, specifically, the Nevada Gaming Commission, the Nevada State Gaming Control Board, and the Clark County Liquor and Gaming Licensing Board.</w:t>
      </w:r>
    </w:p>
    <w:p>
      <w:pPr>
        <w:spacing w:after="0" w:line="161"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u w:val="single" w:color="auto"/>
          <w:color w:val="auto"/>
        </w:rPr>
        <w:t>Gaming Laws</w:t>
      </w:r>
      <w:r>
        <w:rPr>
          <w:rFonts w:ascii="Arial" w:cs="Arial" w:eastAsia="Arial" w:hAnsi="Arial"/>
          <w:sz w:val="18"/>
          <w:szCs w:val="18"/>
          <w:color w:val="auto"/>
        </w:rPr>
        <w:t>. “Gaming Laws” means those laws pursuant to which any Gaming Authority possesses regulatory, licensing or permit authority over gaming within any jurisdiction and, within the State of Nevada, specifically, the Nevada Gaming Control Act, as codified in NRS Chapter 463, as amended from time to time, and the regulations of the Nevada Gaming Commission promulgated thereunder, as amended from time to time, and the Clark County Code, as amended from time to time.</w:t>
      </w:r>
    </w:p>
    <w:p>
      <w:pPr>
        <w:spacing w:after="0" w:line="197" w:lineRule="exact"/>
        <w:rPr>
          <w:sz w:val="20"/>
          <w:szCs w:val="20"/>
          <w:color w:val="auto"/>
        </w:rPr>
      </w:pPr>
    </w:p>
    <w:p>
      <w:pPr>
        <w:ind w:right="820" w:firstLine="439"/>
        <w:spacing w:after="0" w:line="332" w:lineRule="auto"/>
        <w:rPr>
          <w:sz w:val="20"/>
          <w:szCs w:val="20"/>
          <w:color w:val="auto"/>
        </w:rPr>
      </w:pPr>
      <w:r>
        <w:rPr>
          <w:rFonts w:ascii="Arial" w:cs="Arial" w:eastAsia="Arial" w:hAnsi="Arial"/>
          <w:sz w:val="16"/>
          <w:szCs w:val="16"/>
          <w:u w:val="single" w:color="auto"/>
          <w:color w:val="auto"/>
        </w:rPr>
        <w:t>Gaming Licenses</w:t>
      </w:r>
      <w:r>
        <w:rPr>
          <w:rFonts w:ascii="Arial" w:cs="Arial" w:eastAsia="Arial" w:hAnsi="Arial"/>
          <w:sz w:val="16"/>
          <w:szCs w:val="16"/>
          <w:color w:val="auto"/>
        </w:rPr>
        <w:t>. “Gaming Licenses” means all licenses, permits, approvals, authorizations, registrations, findings of suitability, franchises and entitlements issued by any Gaming Authority necessary for or relating to the conduct of activities under the Gaming Laws.</w:t>
      </w:r>
    </w:p>
    <w:p>
      <w:pPr>
        <w:spacing w:after="0" w:line="139" w:lineRule="exact"/>
        <w:rPr>
          <w:sz w:val="20"/>
          <w:szCs w:val="20"/>
          <w:color w:val="auto"/>
        </w:rPr>
      </w:pPr>
    </w:p>
    <w:p>
      <w:pPr>
        <w:ind w:right="560" w:firstLine="439"/>
        <w:spacing w:after="0" w:line="268" w:lineRule="auto"/>
        <w:rPr>
          <w:sz w:val="20"/>
          <w:szCs w:val="20"/>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“Interest” means the entire ownership interest of the Member in the Company at any time, including the right of the Member to any and all benefits to which the Member may be entitled as provided under the Act and this Agreement.</w:t>
      </w:r>
    </w:p>
    <w:p>
      <w:pPr>
        <w:spacing w:after="0" w:line="186" w:lineRule="exact"/>
        <w:rPr>
          <w:sz w:val="20"/>
          <w:szCs w:val="20"/>
          <w:color w:val="auto"/>
        </w:rPr>
      </w:pPr>
    </w:p>
    <w:p>
      <w:pPr>
        <w:ind w:right="80" w:firstLine="439"/>
        <w:spacing w:after="0" w:line="268" w:lineRule="auto"/>
        <w:rPr>
          <w:sz w:val="20"/>
          <w:szCs w:val="20"/>
          <w:color w:val="auto"/>
        </w:rPr>
      </w:pPr>
      <w:r>
        <w:rPr>
          <w:rFonts w:ascii="Arial" w:cs="Arial" w:eastAsia="Arial" w:hAnsi="Arial"/>
          <w:sz w:val="18"/>
          <w:szCs w:val="18"/>
          <w:u w:val="single" w:color="auto"/>
          <w:color w:val="auto"/>
        </w:rPr>
        <w:t>Member</w:t>
      </w:r>
      <w:r>
        <w:rPr>
          <w:rFonts w:ascii="Arial" w:cs="Arial" w:eastAsia="Arial" w:hAnsi="Arial"/>
          <w:sz w:val="18"/>
          <w:szCs w:val="18"/>
          <w:color w:val="auto"/>
        </w:rPr>
        <w:t>. “Member” means the sole member of the Company. As of the Effective Date, the Member’s name, address and ownership interest is as set forth on Schedule I attached hereto.</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NRS</w:t>
      </w:r>
      <w:r>
        <w:rPr>
          <w:rFonts w:ascii="Arial" w:cs="Arial" w:eastAsia="Arial" w:hAnsi="Arial"/>
          <w:sz w:val="18"/>
          <w:szCs w:val="18"/>
          <w:color w:val="auto"/>
        </w:rPr>
        <w:t>. “NRS” means the Nevada Revised Statutes, as amended from time to time.</w:t>
      </w:r>
    </w:p>
    <w:p>
      <w:pPr>
        <w:spacing w:after="0" w:line="225" w:lineRule="exact"/>
        <w:rPr>
          <w:sz w:val="20"/>
          <w:szCs w:val="20"/>
          <w:color w:val="auto"/>
        </w:rPr>
      </w:pPr>
    </w:p>
    <w:p>
      <w:pPr>
        <w:ind w:right="500" w:firstLine="439"/>
        <w:spacing w:after="0" w:line="268" w:lineRule="auto"/>
        <w:rPr>
          <w:sz w:val="20"/>
          <w:szCs w:val="20"/>
          <w:color w:val="auto"/>
        </w:rPr>
      </w:pPr>
      <w:r>
        <w:rPr>
          <w:rFonts w:ascii="Arial" w:cs="Arial" w:eastAsia="Arial" w:hAnsi="Arial"/>
          <w:sz w:val="18"/>
          <w:szCs w:val="18"/>
          <w:u w:val="single" w:color="auto"/>
          <w:color w:val="auto"/>
        </w:rPr>
        <w:t>Person</w:t>
      </w:r>
      <w:r>
        <w:rPr>
          <w:rFonts w:ascii="Arial" w:cs="Arial" w:eastAsia="Arial" w:hAnsi="Arial"/>
          <w:sz w:val="18"/>
          <w:szCs w:val="18"/>
          <w:color w:val="auto"/>
        </w:rPr>
        <w:t>. “Person” means a natural person, any form of business or social organization and any other non-governmental legal entity including, but not limited to, a corporation, partnership, association, trust, unincorporated organization, estate or limited liability company.</w:t>
      </w:r>
    </w:p>
    <w:p>
      <w:pPr>
        <w:spacing w:after="0" w:line="186" w:lineRule="exact"/>
        <w:rPr>
          <w:sz w:val="20"/>
          <w:szCs w:val="20"/>
          <w:color w:val="auto"/>
        </w:rPr>
      </w:pPr>
    </w:p>
    <w:p>
      <w:pPr>
        <w:ind w:right="100" w:firstLine="439"/>
        <w:spacing w:after="0" w:line="259" w:lineRule="auto"/>
        <w:rPr>
          <w:sz w:val="20"/>
          <w:szCs w:val="20"/>
          <w:color w:val="auto"/>
        </w:rPr>
      </w:pPr>
      <w:r>
        <w:rPr>
          <w:rFonts w:ascii="Arial" w:cs="Arial" w:eastAsia="Arial" w:hAnsi="Arial"/>
          <w:sz w:val="18"/>
          <w:szCs w:val="18"/>
          <w:u w:val="single" w:color="auto"/>
          <w:color w:val="auto"/>
        </w:rPr>
        <w:t>Records Office</w:t>
      </w:r>
      <w:r>
        <w:rPr>
          <w:rFonts w:ascii="Arial" w:cs="Arial" w:eastAsia="Arial" w:hAnsi="Arial"/>
          <w:sz w:val="18"/>
          <w:szCs w:val="18"/>
          <w:color w:val="auto"/>
        </w:rPr>
        <w:t>. “Records Office” means an office of the Company in Nevada, which may but need not be a place of its business, at which it shall keep all records identified in NRS 86.241, except that none of the lists required to be maintained pursuant to NRS 86.241 need be maintained in alphabetical order, nor shall the Company be required to maintain at its Records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388" w:right="2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Office copies of powers of attorney except those relating to the execution of the Articles and this Agreement.</w:t>
      </w:r>
    </w:p>
    <w:p>
      <w:pPr>
        <w:spacing w:after="0" w:line="225" w:lineRule="exact"/>
        <w:rPr>
          <w:sz w:val="20"/>
          <w:szCs w:val="20"/>
          <w:color w:val="auto"/>
        </w:rPr>
      </w:pPr>
    </w:p>
    <w:p>
      <w:pPr>
        <w:jc w:val="both"/>
        <w:ind w:right="380" w:firstLine="439"/>
        <w:spacing w:after="0" w:line="298" w:lineRule="auto"/>
        <w:rPr>
          <w:sz w:val="20"/>
          <w:szCs w:val="20"/>
          <w:color w:val="auto"/>
        </w:rPr>
      </w:pPr>
      <w:r>
        <w:rPr>
          <w:rFonts w:ascii="Arial" w:cs="Arial" w:eastAsia="Arial" w:hAnsi="Arial"/>
          <w:sz w:val="16"/>
          <w:szCs w:val="16"/>
          <w:u w:val="single" w:color="auto"/>
          <w:color w:val="auto"/>
        </w:rPr>
        <w:t>Restricted Entities</w:t>
      </w:r>
      <w:r>
        <w:rPr>
          <w:rFonts w:ascii="Arial" w:cs="Arial" w:eastAsia="Arial" w:hAnsi="Arial"/>
          <w:sz w:val="16"/>
          <w:szCs w:val="16"/>
          <w:color w:val="auto"/>
        </w:rPr>
        <w:t>. “Restricted Entities” means: the Company; Wynn Las Vegas Capital Corp., a Nevada corporation; Palo, LLC, a Delaware limited liability company; Wynn Resorts Holdings, LLC, a Nevada limited liability company; Desert Inn Water Company, LLC, a Nevada limited liability company; Desert Inn Improvement Co., a Nevada corporation; Wynn Design &amp; Development, LLC, a Nevada limited liability company; World Travel, LLC, a Nevada limited liability company; Las Vegas Jet, LLC, a Nevada limited liability company; and Wynn Las Vegas, LLC, a Nevada limited liability company.</w:t>
      </w:r>
    </w:p>
    <w:p>
      <w:pPr>
        <w:spacing w:after="0" w:line="167" w:lineRule="exact"/>
        <w:rPr>
          <w:sz w:val="20"/>
          <w:szCs w:val="20"/>
          <w:color w:val="auto"/>
        </w:rPr>
      </w:pPr>
    </w:p>
    <w:p>
      <w:pPr>
        <w:ind w:right="40" w:firstLine="439"/>
        <w:spacing w:after="0" w:line="268" w:lineRule="auto"/>
        <w:rPr>
          <w:sz w:val="20"/>
          <w:szCs w:val="20"/>
          <w:color w:val="auto"/>
        </w:rPr>
      </w:pPr>
      <w:r>
        <w:rPr>
          <w:rFonts w:ascii="Arial" w:cs="Arial" w:eastAsia="Arial" w:hAnsi="Arial"/>
          <w:sz w:val="18"/>
          <w:szCs w:val="18"/>
          <w:u w:val="single" w:color="auto"/>
          <w:color w:val="auto"/>
        </w:rPr>
        <w:t>Treasury Regulations</w:t>
      </w:r>
      <w:r>
        <w:rPr>
          <w:rFonts w:ascii="Arial" w:cs="Arial" w:eastAsia="Arial" w:hAnsi="Arial"/>
          <w:sz w:val="18"/>
          <w:szCs w:val="18"/>
          <w:color w:val="auto"/>
        </w:rPr>
        <w:t>. “Treasury Regulations” means the federal income tax regulations promulgated by the U.S. Treasury Department under the Code and codified at Title 26 of the Code of Federal Regulations, as amended from time to time.</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6"/>
          <w:szCs w:val="16"/>
          <w:u w:val="single" w:color="auto"/>
          <w:color w:val="auto"/>
        </w:rPr>
        <w:t>UCC</w:t>
      </w:r>
      <w:r>
        <w:rPr>
          <w:rFonts w:ascii="Arial" w:cs="Arial" w:eastAsia="Arial" w:hAnsi="Arial"/>
          <w:sz w:val="16"/>
          <w:szCs w:val="16"/>
          <w:color w:val="auto"/>
        </w:rPr>
        <w:t>. ”UCC” means the Uniform Commercial Code as enacted and in effect in the State of Nevada and any other applicable state or jurisdiction.</w:t>
      </w:r>
    </w:p>
    <w:p>
      <w:pPr>
        <w:spacing w:after="0" w:line="248" w:lineRule="exact"/>
        <w:rPr>
          <w:sz w:val="20"/>
          <w:szCs w:val="20"/>
          <w:color w:val="auto"/>
        </w:rPr>
      </w:pPr>
    </w:p>
    <w:p>
      <w:pPr>
        <w:ind w:firstLine="439"/>
        <w:spacing w:after="0" w:line="290" w:lineRule="auto"/>
        <w:rPr>
          <w:sz w:val="20"/>
          <w:szCs w:val="20"/>
          <w:color w:val="auto"/>
        </w:rPr>
      </w:pPr>
      <w:r>
        <w:rPr>
          <w:rFonts w:ascii="Arial" w:cs="Arial" w:eastAsia="Arial" w:hAnsi="Arial"/>
          <w:sz w:val="16"/>
          <w:szCs w:val="16"/>
          <w:u w:val="single" w:color="auto"/>
          <w:color w:val="auto"/>
        </w:rPr>
        <w:t>Unsuitable Person</w:t>
      </w:r>
      <w:r>
        <w:rPr>
          <w:rFonts w:ascii="Arial" w:cs="Arial" w:eastAsia="Arial" w:hAnsi="Arial"/>
          <w:sz w:val="16"/>
          <w:szCs w:val="16"/>
          <w:color w:val="auto"/>
        </w:rPr>
        <w:t>. “Unsuitable Person” means an officer, agent or employee of the Company or an Affiliate of such Person, (i) who is denied a Gaming License by any Gaming Authority, disqualified from eligibility for a Gaming License, determined to be unsuitable to own or control an Interest or determined to be unsuitable to be connected with a Person engaged in gaming activities in any jurisdiction by a Gaming Authority, or (ii) whose continued involvement in the business of the Company as an officer, agent or employee (A) causes the Company or any Affiliate of the Company to lose or to be threatened with the loss of any Gaming License, or (B) is deemed likely, in the sole and absolute discretion of the Member, based on verifiable information or information received from the Gaming Authorities, to jeopardize or adversely affect the likelihood that the Gaming Authorities will issue a Gaming License to the Company or any Affiliate of the Company or to adversely affect the Company’s or any such Affiliate’s use of or entitlement to any Gaming License.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INTRODUCTORY MATTERS</w:t>
      </w:r>
    </w:p>
    <w:p>
      <w:pPr>
        <w:spacing w:after="0" w:line="219" w:lineRule="exact"/>
        <w:rPr>
          <w:sz w:val="20"/>
          <w:szCs w:val="20"/>
          <w:color w:val="auto"/>
        </w:rPr>
      </w:pPr>
    </w:p>
    <w:p>
      <w:pPr>
        <w:ind w:right="160" w:firstLine="439"/>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Formation</w:t>
      </w:r>
      <w:r>
        <w:rPr>
          <w:rFonts w:ascii="Arial" w:cs="Arial" w:eastAsia="Arial" w:hAnsi="Arial"/>
          <w:sz w:val="18"/>
          <w:szCs w:val="18"/>
          <w:color w:val="auto"/>
        </w:rPr>
        <w:t>. Pursuant to the Act, the Company has been formed as a Nevada limited liability company under the laws of the State of Nevada. To the extent that the rights or obligations of the Member are different by reason of any provision of this Agreement than they would be in the absence of such provision, this Agreement shall, to the extent permitted by the Act, control.</w:t>
      </w:r>
    </w:p>
    <w:p>
      <w:pPr>
        <w:spacing w:after="0" w:line="194" w:lineRule="exact"/>
        <w:rPr>
          <w:sz w:val="20"/>
          <w:szCs w:val="20"/>
          <w:color w:val="auto"/>
        </w:rPr>
      </w:pPr>
    </w:p>
    <w:p>
      <w:pPr>
        <w:ind w:right="40" w:firstLine="439"/>
        <w:spacing w:after="0" w:line="26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Name</w:t>
      </w:r>
      <w:r>
        <w:rPr>
          <w:rFonts w:ascii="Arial" w:cs="Arial" w:eastAsia="Arial" w:hAnsi="Arial"/>
          <w:sz w:val="18"/>
          <w:szCs w:val="18"/>
          <w:color w:val="auto"/>
        </w:rPr>
        <w:t>. The name of the Company shall be “Valvino Lamore, LLC.” The business and affairs of the Company may be conducted under that name or any other name that the Member deems appropriate or advisable.</w:t>
      </w:r>
    </w:p>
    <w:p>
      <w:pPr>
        <w:spacing w:after="0" w:line="186"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Records Office</w:t>
      </w:r>
      <w:r>
        <w:rPr>
          <w:rFonts w:ascii="Arial" w:cs="Arial" w:eastAsia="Arial" w:hAnsi="Arial"/>
          <w:sz w:val="16"/>
          <w:szCs w:val="16"/>
          <w:color w:val="auto"/>
        </w:rPr>
        <w:t>. The Company shall continuously maintain in the State of Nevada a Records Office. As of the date hereof, the Records Office 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3145 Las Vegas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388" w:right="239" w:bottom="1440" w:gutter="0" w:footer="0" w:header="0"/>
        </w:sectPr>
      </w:pPr>
    </w:p>
    <w:bookmarkStart w:id="162" w:name="page163"/>
    <w:bookmarkEnd w:id="162"/>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Boulevard South, Las Vegas, Nevada 89109. The Records Office may be changed to another location within the State of Nevada as the Member may from time to time determine.</w:t>
      </w:r>
    </w:p>
    <w:p>
      <w:pPr>
        <w:spacing w:after="0" w:line="186" w:lineRule="exact"/>
        <w:rPr>
          <w:sz w:val="20"/>
          <w:szCs w:val="20"/>
          <w:color w:val="auto"/>
        </w:rPr>
      </w:pPr>
    </w:p>
    <w:p>
      <w:pPr>
        <w:ind w:right="120" w:firstLine="439"/>
        <w:spacing w:after="0" w:line="268"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Company may establish and maintain other offices at any time and at any place or places as the Member may designate or as the business of the Company may require.</w:t>
      </w:r>
    </w:p>
    <w:p>
      <w:pPr>
        <w:spacing w:after="0" w:line="186" w:lineRule="exact"/>
        <w:rPr>
          <w:sz w:val="20"/>
          <w:szCs w:val="20"/>
          <w:color w:val="auto"/>
        </w:rPr>
      </w:pPr>
    </w:p>
    <w:p>
      <w:pPr>
        <w:ind w:right="20" w:firstLine="439"/>
        <w:spacing w:after="0" w:line="332"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Resident Agent and Registered Office</w:t>
      </w:r>
      <w:r>
        <w:rPr>
          <w:rFonts w:ascii="Arial" w:cs="Arial" w:eastAsia="Arial" w:hAnsi="Arial"/>
          <w:sz w:val="16"/>
          <w:szCs w:val="16"/>
          <w:color w:val="auto"/>
        </w:rPr>
        <w:t>. The resident agent of the Company for service of process shall be as set forth in the Articles or as changed by the Member from time to time. The Company shall have as its registered office in the State of Nevada the street address of its resident agent.</w:t>
      </w:r>
    </w:p>
    <w:p>
      <w:pPr>
        <w:spacing w:after="0" w:line="139" w:lineRule="exact"/>
        <w:rPr>
          <w:sz w:val="20"/>
          <w:szCs w:val="20"/>
          <w:color w:val="auto"/>
        </w:rPr>
      </w:pPr>
    </w:p>
    <w:p>
      <w:pPr>
        <w:ind w:right="300" w:firstLine="439"/>
        <w:spacing w:after="0" w:line="332"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Purpose</w:t>
      </w:r>
      <w:r>
        <w:rPr>
          <w:rFonts w:ascii="Arial" w:cs="Arial" w:eastAsia="Arial" w:hAnsi="Arial"/>
          <w:sz w:val="16"/>
          <w:szCs w:val="16"/>
          <w:color w:val="auto"/>
        </w:rPr>
        <w:t>. Except as provided elsewhere in this Agreement, the Company is formed for the object and purpose of engaging in any lawful act or activity for which limited liability companies may be formed under the Act and engaging in any and all activities necessary or incidental to the foregoing.</w:t>
      </w:r>
    </w:p>
    <w:p>
      <w:pPr>
        <w:spacing w:after="0" w:line="139" w:lineRule="exact"/>
        <w:rPr>
          <w:sz w:val="20"/>
          <w:szCs w:val="20"/>
          <w:color w:val="auto"/>
        </w:rPr>
      </w:pPr>
    </w:p>
    <w:p>
      <w:pPr>
        <w:ind w:firstLine="439"/>
        <w:spacing w:after="0" w:line="259"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Powers of the Company</w:t>
      </w:r>
      <w:r>
        <w:rPr>
          <w:rFonts w:ascii="Arial" w:cs="Arial" w:eastAsia="Arial" w:hAnsi="Arial"/>
          <w:sz w:val="18"/>
          <w:szCs w:val="18"/>
          <w:color w:val="auto"/>
        </w:rPr>
        <w:t>. Except as provided elsewhere in this Agreement, the Company shall have the power and authority to take any and all actions necessary, appropriate, advisable, convenient or incidental to or for the furtherance of the purpose set forth in Section 2.6, including, but not limited to, the power and authority to:</w:t>
      </w:r>
    </w:p>
    <w:p>
      <w:pPr>
        <w:spacing w:after="0" w:line="194" w:lineRule="exact"/>
        <w:rPr>
          <w:sz w:val="20"/>
          <w:szCs w:val="20"/>
          <w:color w:val="auto"/>
        </w:rPr>
      </w:pPr>
    </w:p>
    <w:p>
      <w:pPr>
        <w:ind w:left="1740" w:hanging="635"/>
        <w:spacing w:after="0"/>
        <w:tabs>
          <w:tab w:leader="none" w:pos="174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borrow money and issue evidences of indebtedness, and to secure the same by a mortgage, pledge or other lien on any or all of the assets</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of the Company;</w:t>
      </w:r>
    </w:p>
    <w:p>
      <w:pPr>
        <w:spacing w:after="0" w:line="218" w:lineRule="exact"/>
        <w:rPr>
          <w:rFonts w:ascii="Arial" w:cs="Arial" w:eastAsia="Arial" w:hAnsi="Arial"/>
          <w:sz w:val="15"/>
          <w:szCs w:val="15"/>
          <w:color w:val="auto"/>
        </w:rPr>
      </w:pPr>
    </w:p>
    <w:p>
      <w:pPr>
        <w:ind w:right="20" w:firstLine="1105"/>
        <w:spacing w:after="0" w:line="268" w:lineRule="auto"/>
        <w:tabs>
          <w:tab w:leader="none" w:pos="174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conduct its business and operations in any state, territory, district or possession of the United States or in any foreign country that may be necessary or convenient to the accomplishment of the purpose of the Company;</w:t>
      </w:r>
    </w:p>
    <w:p>
      <w:pPr>
        <w:spacing w:after="0" w:line="185" w:lineRule="exact"/>
        <w:rPr>
          <w:rFonts w:ascii="Arial" w:cs="Arial" w:eastAsia="Arial" w:hAnsi="Arial"/>
          <w:sz w:val="18"/>
          <w:szCs w:val="18"/>
          <w:color w:val="auto"/>
        </w:rPr>
      </w:pPr>
    </w:p>
    <w:p>
      <w:pPr>
        <w:ind w:right="120" w:firstLine="1105"/>
        <w:spacing w:after="0" w:line="259" w:lineRule="auto"/>
        <w:tabs>
          <w:tab w:leader="none" w:pos="173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acquire, by purchase, lease, contribution of property or otherwise, and own, hold, maintain, finance, improve, lease, sell, convey, mortgage, transfer, demolish or dispose of any real or personal property that may be necessary, convenient or incidental to the accomplishment of the purpose of the Company;</w:t>
      </w:r>
    </w:p>
    <w:p>
      <w:pPr>
        <w:spacing w:after="0" w:line="194" w:lineRule="exact"/>
        <w:rPr>
          <w:rFonts w:ascii="Arial" w:cs="Arial" w:eastAsia="Arial" w:hAnsi="Arial"/>
          <w:sz w:val="18"/>
          <w:szCs w:val="18"/>
          <w:color w:val="auto"/>
        </w:rPr>
      </w:pPr>
    </w:p>
    <w:p>
      <w:pPr>
        <w:ind w:right="240" w:firstLine="1105"/>
        <w:spacing w:after="0" w:line="332" w:lineRule="auto"/>
        <w:tabs>
          <w:tab w:leader="none" w:pos="1741" w:val="left"/>
        </w:tabs>
        <w:numPr>
          <w:ilvl w:val="0"/>
          <w:numId w:val="141"/>
        </w:numPr>
        <w:rPr>
          <w:rFonts w:ascii="Arial" w:cs="Arial" w:eastAsia="Arial" w:hAnsi="Arial"/>
          <w:sz w:val="16"/>
          <w:szCs w:val="16"/>
          <w:color w:val="auto"/>
        </w:rPr>
      </w:pPr>
      <w:r>
        <w:rPr>
          <w:rFonts w:ascii="Arial" w:cs="Arial" w:eastAsia="Arial" w:hAnsi="Arial"/>
          <w:sz w:val="16"/>
          <w:szCs w:val="16"/>
          <w:color w:val="auto"/>
        </w:rPr>
        <w:t>enter into, perform and carry out contracts of any kind, including without limitation, contracts with the Member or any Affiliate of the Member that are necessary to, in connection with, convenient to, or incidental to the accomplishment of the purpose of the Company;</w:t>
      </w:r>
    </w:p>
    <w:p>
      <w:pPr>
        <w:spacing w:after="0" w:line="139" w:lineRule="exact"/>
        <w:rPr>
          <w:rFonts w:ascii="Arial" w:cs="Arial" w:eastAsia="Arial" w:hAnsi="Arial"/>
          <w:sz w:val="16"/>
          <w:szCs w:val="16"/>
          <w:color w:val="auto"/>
        </w:rPr>
      </w:pPr>
    </w:p>
    <w:p>
      <w:pPr>
        <w:ind w:right="540" w:firstLine="1105"/>
        <w:spacing w:after="0" w:line="332" w:lineRule="auto"/>
        <w:tabs>
          <w:tab w:leader="none" w:pos="1731" w:val="left"/>
        </w:tabs>
        <w:numPr>
          <w:ilvl w:val="0"/>
          <w:numId w:val="141"/>
        </w:numPr>
        <w:rPr>
          <w:rFonts w:ascii="Arial" w:cs="Arial" w:eastAsia="Arial" w:hAnsi="Arial"/>
          <w:sz w:val="16"/>
          <w:szCs w:val="16"/>
          <w:color w:val="auto"/>
        </w:rPr>
      </w:pPr>
      <w:r>
        <w:rPr>
          <w:rFonts w:ascii="Arial" w:cs="Arial" w:eastAsia="Arial" w:hAnsi="Arial"/>
          <w:sz w:val="16"/>
          <w:szCs w:val="16"/>
          <w:color w:val="auto"/>
        </w:rPr>
        <w:t>purchase, take, receive, subscribe for or otherwise acquire, own, hold, vote, use, employ, sell, mortgage, lend, pledge or otherwise dispose of, and otherwise use and deal in and with, shares or other interests in or obligations of domestic or foreign entities;</w:t>
      </w:r>
    </w:p>
    <w:p>
      <w:pPr>
        <w:spacing w:after="0" w:line="139" w:lineRule="exact"/>
        <w:rPr>
          <w:rFonts w:ascii="Arial" w:cs="Arial" w:eastAsia="Arial" w:hAnsi="Arial"/>
          <w:sz w:val="16"/>
          <w:szCs w:val="16"/>
          <w:color w:val="auto"/>
        </w:rPr>
      </w:pPr>
    </w:p>
    <w:p>
      <w:pPr>
        <w:ind w:left="1720" w:hanging="615"/>
        <w:spacing w:after="0"/>
        <w:tabs>
          <w:tab w:leader="none" w:pos="172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lend money for any proper purpose, invest and reinvest its funds and take and hold real and personal property for the payment of funds so</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loaned or invested;</w:t>
      </w:r>
    </w:p>
    <w:p>
      <w:pPr>
        <w:spacing w:after="0" w:line="218" w:lineRule="exact"/>
        <w:rPr>
          <w:rFonts w:ascii="Arial" w:cs="Arial" w:eastAsia="Arial" w:hAnsi="Arial"/>
          <w:sz w:val="15"/>
          <w:szCs w:val="15"/>
          <w:color w:val="auto"/>
        </w:rPr>
      </w:pPr>
    </w:p>
    <w:p>
      <w:pPr>
        <w:ind w:left="1740" w:hanging="635"/>
        <w:spacing w:after="0"/>
        <w:tabs>
          <w:tab w:leader="none" w:pos="17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sue and be sued, complain and defend and participate in administrative or other proceedings, in its name;</w:t>
      </w:r>
    </w:p>
    <w:p>
      <w:pPr>
        <w:spacing w:after="0" w:line="225" w:lineRule="exact"/>
        <w:rPr>
          <w:rFonts w:ascii="Arial" w:cs="Arial" w:eastAsia="Arial" w:hAnsi="Arial"/>
          <w:sz w:val="18"/>
          <w:szCs w:val="18"/>
          <w:color w:val="auto"/>
        </w:rPr>
      </w:pPr>
    </w:p>
    <w:p>
      <w:pPr>
        <w:ind w:left="5680" w:hanging="112"/>
        <w:spacing w:after="0"/>
        <w:tabs>
          <w:tab w:leader="none" w:pos="56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00"/>
          </w:cols>
          <w:pgMar w:left="240" w:top="388" w:right="259" w:bottom="1440" w:gutter="0" w:footer="0" w:header="0"/>
        </w:sectPr>
      </w:pPr>
    </w:p>
    <w:bookmarkStart w:id="163" w:name="page164"/>
    <w:bookmarkEnd w:id="163"/>
    <w:p>
      <w:pPr>
        <w:ind w:left="1740" w:hanging="635"/>
        <w:spacing w:after="0"/>
        <w:tabs>
          <w:tab w:leader="none" w:pos="17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appoint employees, agents and officers of the Company, and define their duties and fix their compensation;</w:t>
      </w:r>
    </w:p>
    <w:p>
      <w:pPr>
        <w:spacing w:after="0" w:line="225" w:lineRule="exact"/>
        <w:rPr>
          <w:rFonts w:ascii="Arial" w:cs="Arial" w:eastAsia="Arial" w:hAnsi="Arial"/>
          <w:sz w:val="18"/>
          <w:szCs w:val="18"/>
          <w:color w:val="auto"/>
        </w:rPr>
      </w:pPr>
    </w:p>
    <w:p>
      <w:pPr>
        <w:ind w:left="1720" w:hanging="615"/>
        <w:spacing w:after="0"/>
        <w:tabs>
          <w:tab w:leader="none" w:pos="17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indemnify any Person and obtain any and all types of insurance;</w:t>
      </w:r>
    </w:p>
    <w:p>
      <w:pPr>
        <w:spacing w:after="0" w:line="225" w:lineRule="exact"/>
        <w:rPr>
          <w:rFonts w:ascii="Arial" w:cs="Arial" w:eastAsia="Arial" w:hAnsi="Arial"/>
          <w:sz w:val="18"/>
          <w:szCs w:val="18"/>
          <w:color w:val="auto"/>
        </w:rPr>
      </w:pPr>
    </w:p>
    <w:p>
      <w:pPr>
        <w:ind w:left="1720" w:hanging="615"/>
        <w:spacing w:after="0"/>
        <w:tabs>
          <w:tab w:leader="none" w:pos="17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cease its activities and cancel its insurance;</w:t>
      </w:r>
    </w:p>
    <w:p>
      <w:pPr>
        <w:spacing w:after="0" w:line="225" w:lineRule="exact"/>
        <w:rPr>
          <w:rFonts w:ascii="Arial" w:cs="Arial" w:eastAsia="Arial" w:hAnsi="Arial"/>
          <w:sz w:val="18"/>
          <w:szCs w:val="18"/>
          <w:color w:val="auto"/>
        </w:rPr>
      </w:pPr>
    </w:p>
    <w:p>
      <w:pPr>
        <w:ind w:right="260" w:firstLine="1105"/>
        <w:spacing w:after="0" w:line="268" w:lineRule="auto"/>
        <w:tabs>
          <w:tab w:leader="none" w:pos="174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negotiate, enter into, renegotiate, extend, renew, terminate, modify, amend, waive, execute, acknowledge or take any other action with respect to any lease, contract or security agreement in respect of any assets of the Company;</w:t>
      </w:r>
    </w:p>
    <w:p>
      <w:pPr>
        <w:spacing w:after="0" w:line="185" w:lineRule="exact"/>
        <w:rPr>
          <w:rFonts w:ascii="Arial" w:cs="Arial" w:eastAsia="Arial" w:hAnsi="Arial"/>
          <w:sz w:val="18"/>
          <w:szCs w:val="18"/>
          <w:color w:val="auto"/>
        </w:rPr>
      </w:pPr>
    </w:p>
    <w:p>
      <w:pPr>
        <w:ind w:right="40" w:firstLine="1105"/>
        <w:spacing w:after="0" w:line="268" w:lineRule="auto"/>
        <w:tabs>
          <w:tab w:leader="none" w:pos="170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pay, collect, compromise, litigate, arbitrate or otherwise adjust or settle any and all other claims or demands of or against the Company or hold such proceeds against the payment of contingent liabilities; and</w:t>
      </w:r>
    </w:p>
    <w:p>
      <w:pPr>
        <w:spacing w:after="0" w:line="185" w:lineRule="exact"/>
        <w:rPr>
          <w:rFonts w:ascii="Arial" w:cs="Arial" w:eastAsia="Arial" w:hAnsi="Arial"/>
          <w:sz w:val="18"/>
          <w:szCs w:val="18"/>
          <w:color w:val="auto"/>
        </w:rPr>
      </w:pPr>
    </w:p>
    <w:p>
      <w:pPr>
        <w:ind w:right="40" w:firstLine="1105"/>
        <w:spacing w:after="0" w:line="268" w:lineRule="auto"/>
        <w:tabs>
          <w:tab w:leader="none" w:pos="179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make, execute, acknowledge and file any and all documents or instruments necessary, convenient or incidental to the accomplishment of the purpose of the Company.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CAPITAL CONTRIBUTIONS</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Member shall not be required to make any additional Capital Contribution to the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PROFITS AND LOSSES</w:t>
      </w:r>
    </w:p>
    <w:p>
      <w:pPr>
        <w:spacing w:after="0" w:line="219"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u w:val="single" w:color="auto"/>
          <w:color w:val="auto"/>
        </w:rPr>
        <w:t>Profits and Losses</w:t>
      </w:r>
      <w:r>
        <w:rPr>
          <w:rFonts w:ascii="Arial" w:cs="Arial" w:eastAsia="Arial" w:hAnsi="Arial"/>
          <w:sz w:val="15"/>
          <w:szCs w:val="15"/>
          <w:color w:val="auto"/>
        </w:rPr>
        <w:t>. The Company’s profits and losses for any period shall be allocated to the Member.</w:t>
      </w:r>
    </w:p>
    <w:p>
      <w:pPr>
        <w:spacing w:after="0" w:line="225" w:lineRule="exact"/>
        <w:rPr>
          <w:sz w:val="20"/>
          <w:szCs w:val="20"/>
          <w:color w:val="auto"/>
        </w:rPr>
      </w:pPr>
    </w:p>
    <w:p>
      <w:pPr>
        <w:ind w:firstLine="439"/>
        <w:spacing w:after="0" w:line="294"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Tax Classification</w:t>
      </w:r>
      <w:r>
        <w:rPr>
          <w:rFonts w:ascii="Arial" w:cs="Arial" w:eastAsia="Arial" w:hAnsi="Arial"/>
          <w:sz w:val="16"/>
          <w:szCs w:val="16"/>
          <w:color w:val="auto"/>
        </w:rPr>
        <w:t xml:space="preserve">. So long as the Company has only one Member, it is intended that the Company be disregarded for federal and all relevant state income tax purposes and that the activities of the Company be deemed to be activities of the Member for such purposes, as provided for by Treasury Regulations Sections 301.7701-1, </w:t>
      </w:r>
      <w:r>
        <w:rPr>
          <w:rFonts w:ascii="Arial" w:cs="Arial" w:eastAsia="Arial" w:hAnsi="Arial"/>
          <w:sz w:val="16"/>
          <w:szCs w:val="16"/>
          <w:i w:val="1"/>
          <w:iCs w:val="1"/>
          <w:color w:val="auto"/>
        </w:rPr>
        <w:t>et seq</w:t>
      </w:r>
      <w:r>
        <w:rPr>
          <w:rFonts w:ascii="Arial" w:cs="Arial" w:eastAsia="Arial" w:hAnsi="Arial"/>
          <w:sz w:val="16"/>
          <w:szCs w:val="16"/>
          <w:color w:val="auto"/>
        </w:rPr>
        <w:t>., and comparable provisions of applicable state tax law. In the event that the Company becomes an entity that has more than one Member, it is intended that the Company be treated as a “partnership” for federal and all relevant state income tax purposes, and all available elections shall be made, and take all available actions shall be taken, to cause the Company to be so treated.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DISTRIBUTIONS</w:t>
      </w:r>
    </w:p>
    <w:p>
      <w:pPr>
        <w:spacing w:after="0" w:line="219" w:lineRule="exact"/>
        <w:rPr>
          <w:sz w:val="20"/>
          <w:szCs w:val="20"/>
          <w:color w:val="auto"/>
        </w:rPr>
      </w:pPr>
    </w:p>
    <w:p>
      <w:pPr>
        <w:ind w:right="260" w:firstLine="439"/>
        <w:spacing w:after="0" w:line="26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Operating Distributions</w:t>
      </w:r>
      <w:r>
        <w:rPr>
          <w:rFonts w:ascii="Arial" w:cs="Arial" w:eastAsia="Arial" w:hAnsi="Arial"/>
          <w:sz w:val="18"/>
          <w:szCs w:val="18"/>
          <w:color w:val="auto"/>
        </w:rPr>
        <w:t>. Subject to Section 5.2, the Company shall from time to time distribute to the Member such amounts in cash and other assets as shall be determined by the Member.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20"/>
          </w:cols>
          <w:pgMar w:left="240" w:top="388" w:right="239" w:bottom="1440" w:gutter="0" w:footer="0" w:header="0"/>
        </w:sectPr>
      </w:pPr>
    </w:p>
    <w:bookmarkStart w:id="164" w:name="page165"/>
    <w:bookmarkEnd w:id="164"/>
    <w:p>
      <w:pPr>
        <w:ind w:right="40" w:firstLine="439"/>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5.2 </w:t>
      </w:r>
      <w:r>
        <w:rPr>
          <w:rFonts w:ascii="Arial" w:cs="Arial" w:eastAsia="Arial" w:hAnsi="Arial"/>
          <w:sz w:val="18"/>
          <w:szCs w:val="18"/>
          <w:u w:val="single" w:color="auto"/>
          <w:color w:val="auto"/>
        </w:rPr>
        <w:t>Limitations on Distribution</w:t>
      </w:r>
      <w:r>
        <w:rPr>
          <w:rFonts w:ascii="Arial" w:cs="Arial" w:eastAsia="Arial" w:hAnsi="Arial"/>
          <w:sz w:val="18"/>
          <w:szCs w:val="18"/>
          <w:color w:val="auto"/>
        </w:rPr>
        <w:t>. Notwithstanding any provision to the contrary contained in this Agreement, the Company shall not make any distribution if such distribution would violate the NRS or other applicable law or would cause a breach or default under any agreement or instrument to which the Company is a party or by which it or its assets are bound, but instead shall make such distribution as soon as practicable such that the making of such distribution would not cause such violation, breach or default.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MEMBERSHIP</w:t>
      </w:r>
    </w:p>
    <w:p>
      <w:pPr>
        <w:spacing w:after="0" w:line="219" w:lineRule="exact"/>
        <w:rPr>
          <w:sz w:val="20"/>
          <w:szCs w:val="20"/>
          <w:color w:val="auto"/>
        </w:rPr>
      </w:pPr>
    </w:p>
    <w:p>
      <w:pPr>
        <w:ind w:firstLine="439"/>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The Member shall not be liable under a judgment, decree or order of a court, or in any other manner, for a debt, obligation or liability of the Company, except to the extent required by law or in an agreement signed by the Member. The Member shall not be required to loan any funds to the Company, nor shall the Member be required to make any contribution to the Company, nor shall the Member be subject to any liability to the Company or any third party, as a result of any deficit of the Company. However, nothing in this Agreement shall prevent the Member from making secured or unsecured loans to the Company by agreement with the Company.</w:t>
      </w:r>
    </w:p>
    <w:p>
      <w:pPr>
        <w:spacing w:after="0" w:line="197" w:lineRule="exact"/>
        <w:rPr>
          <w:sz w:val="20"/>
          <w:szCs w:val="20"/>
          <w:color w:val="auto"/>
        </w:rPr>
      </w:pPr>
    </w:p>
    <w:p>
      <w:pPr>
        <w:ind w:firstLine="439"/>
        <w:spacing w:after="0" w:line="312" w:lineRule="auto"/>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u w:val="single" w:color="auto"/>
          <w:color w:val="auto"/>
        </w:rPr>
        <w:t>Powers of the Member</w:t>
      </w:r>
      <w:r>
        <w:rPr>
          <w:rFonts w:ascii="Arial" w:cs="Arial" w:eastAsia="Arial" w:hAnsi="Arial"/>
          <w:sz w:val="15"/>
          <w:szCs w:val="15"/>
          <w:color w:val="auto"/>
        </w:rPr>
        <w:t>. The Member shall have full, exclusive and complete discretion to manage and control the business and affairs of the Company, to make all decisions affecting the business and affairs of the Company and to take all such actions as it deems necessary, appropriate or convenient to or for the furtherance of the purpose of the Company, including, without limitation, the power and authority to execute all documents and instruments, perform all duties and powers, and do all things on behalf of the Company in all matters necessary, desirable, convenient or incidental to the purpose of the Company. The Member is an agent of the Company’s business and the actions of the Member taken in such capacity and in accordance with this Agreement shall bind the Company. The Member shall be the sole Person with the power to bind the Company except and to the extent that such power is expressly delegated to any other Person by the Member in this Agreement or in writing or by oral communication, and such delegation shall not cause the Member to cease to be the Member.</w:t>
      </w:r>
    </w:p>
    <w:p>
      <w:pPr>
        <w:spacing w:after="0" w:line="159" w:lineRule="exact"/>
        <w:rPr>
          <w:sz w:val="20"/>
          <w:szCs w:val="20"/>
          <w:color w:val="auto"/>
        </w:rPr>
      </w:pPr>
    </w:p>
    <w:p>
      <w:pPr>
        <w:ind w:right="60" w:firstLine="439"/>
        <w:spacing w:after="0" w:line="25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Election of Manager</w:t>
      </w:r>
      <w:r>
        <w:rPr>
          <w:rFonts w:ascii="Arial" w:cs="Arial" w:eastAsia="Arial" w:hAnsi="Arial"/>
          <w:sz w:val="18"/>
          <w:szCs w:val="18"/>
          <w:color w:val="auto"/>
        </w:rPr>
        <w:t>. Initially, there shall not be a “manager” (within the meaning of the Act) of the Company. Subject to the applicable provisions of the Gaming Laws, the Member in its sole discretion may, from time to time, appoint one or more Persons as managers with such duties, authorities, responsibilities and titles as the Member may deem appropriate. Such a manager shall serve until such manager’s successor is duly appointed by the Member or until such manager’s earlier removal or resignation. Any manager appointed by the Member may be removed at any time by the Member. If any Person elected to serve as a manager is found to be an Unsuitable Person, the Member shall immediately remove such Person as a manager and such Person shall thereupon automatically cease to be a manager.</w:t>
      </w:r>
    </w:p>
    <w:p>
      <w:pPr>
        <w:spacing w:after="0" w:line="198" w:lineRule="exact"/>
        <w:rPr>
          <w:sz w:val="20"/>
          <w:szCs w:val="20"/>
          <w:color w:val="auto"/>
        </w:rPr>
      </w:pPr>
    </w:p>
    <w:p>
      <w:pPr>
        <w:ind w:right="120" w:firstLine="439"/>
        <w:spacing w:after="0" w:line="259"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Election of Officers</w:t>
      </w:r>
      <w:r>
        <w:rPr>
          <w:rFonts w:ascii="Arial" w:cs="Arial" w:eastAsia="Arial" w:hAnsi="Arial"/>
          <w:sz w:val="18"/>
          <w:szCs w:val="18"/>
          <w:color w:val="auto"/>
        </w:rPr>
        <w:t>. Subject to the applicable provisions of the Gaming Laws, the Member in its sole discretion may, from time to time, appoint any individuals as officers with such duties, authorities, responsibilities and titles as the Member may deem appropriate. Such officers shall serve until their successors are duly appointed by the Member or until their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00"/>
          </w:cols>
          <w:pgMar w:left="240" w:top="388" w:right="259" w:bottom="1440" w:gutter="0" w:footer="0" w:header="0"/>
        </w:sectPr>
      </w:pPr>
    </w:p>
    <w:bookmarkStart w:id="165" w:name="page166"/>
    <w:bookmarkEnd w:id="165"/>
    <w:p>
      <w:pPr>
        <w:jc w:val="both"/>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earlier removal or resignation. Any officer appointed by the Member may be removed at any time by the Member and any vacancy in any office shall be filled by the Member. If any person elected to serve as an officer is found to be an Unsuitable Person, the Member shall immediately remove such person as an officer and such person shall thereupon automatically cease to be an officer.</w:t>
      </w:r>
    </w:p>
    <w:p>
      <w:pPr>
        <w:spacing w:after="0" w:line="194" w:lineRule="exact"/>
        <w:rPr>
          <w:sz w:val="20"/>
          <w:szCs w:val="20"/>
          <w:color w:val="auto"/>
        </w:rPr>
      </w:pPr>
    </w:p>
    <w:p>
      <w:pPr>
        <w:jc w:val="both"/>
        <w:ind w:right="100" w:firstLine="439"/>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Transfer of Interest</w:t>
      </w:r>
      <w:r>
        <w:rPr>
          <w:rFonts w:ascii="Arial" w:cs="Arial" w:eastAsia="Arial" w:hAnsi="Arial"/>
          <w:sz w:val="18"/>
          <w:szCs w:val="18"/>
          <w:color w:val="auto"/>
        </w:rPr>
        <w:t>. The Interest of the Member is personal property, and such Interest may be transferred or assigned, in whole or in part, in the sole discretion of the Member. Notwithstanding anything to the contrary set forth herein, no Interest in the Company may be issued or transferred in any manner whatsoever except in compliance with all Gaming Licenses and Gaming Laws.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CONDUCT</w:t>
      </w:r>
    </w:p>
    <w:p>
      <w:pPr>
        <w:spacing w:after="0" w:line="219" w:lineRule="exact"/>
        <w:rPr>
          <w:sz w:val="20"/>
          <w:szCs w:val="20"/>
          <w:color w:val="auto"/>
        </w:rPr>
      </w:pPr>
    </w:p>
    <w:p>
      <w:pPr>
        <w:ind w:right="60" w:firstLine="439"/>
        <w:spacing w:after="0" w:line="286"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Conduct</w:t>
      </w:r>
      <w:r>
        <w:rPr>
          <w:rFonts w:ascii="Arial" w:cs="Arial" w:eastAsia="Arial" w:hAnsi="Arial"/>
          <w:sz w:val="16"/>
          <w:szCs w:val="16"/>
          <w:color w:val="auto"/>
        </w:rPr>
        <w:t>. The Company shall (i) conduct business in its own name and hold itself out as a separate entity, (ii) correct any known misunderstanding regarding its separate identity, (iii) maintain a separate office location or, if the Company shares office space with others, pay its fair allocable share of overhead costs, (iii) have separate stationery, and checks in its own name (as well as separate invoices in its own name to the extent that the Company uses invoices in the conduct of its business), and (iv) observe all organizational formalities. The Company shall not use the name of Wynn Resorts, Limited or any other Person, or permit Wynn Resorts, Limited or any other Person to use the name of the Company; or engage in any other action that would reasonably be expected to call into question the separate identity of (i) the Company or any of the other Restricted Entities from (ii) any of the “Wynn NR Entities” (as hereinafter defined), or to create or increase any risk that the assets of the Company will be consolidated with those of the Wynn NR Entities or any other Person (other than a Restricted Entity) under applicable federal or state bankruptcy or insolvency law. The Company will maintain adequate capital in light of its contemplated business purpose, transactions and liabilities; provided, however, that no debt shall be incurred by the Member in order to provide a source of funds therefor, and the Member shall not have any liability (or any liability to make an addition Capital Contribution) on account thereof. For these purposes, the term “</w:t>
      </w:r>
      <w:r>
        <w:rPr>
          <w:rFonts w:ascii="Arial" w:cs="Arial" w:eastAsia="Arial" w:hAnsi="Arial"/>
          <w:sz w:val="16"/>
          <w:szCs w:val="16"/>
          <w:b w:val="1"/>
          <w:bCs w:val="1"/>
          <w:color w:val="auto"/>
        </w:rPr>
        <w:t>Wynn NR Entities</w:t>
      </w:r>
      <w:r>
        <w:rPr>
          <w:rFonts w:ascii="Arial" w:cs="Arial" w:eastAsia="Arial" w:hAnsi="Arial"/>
          <w:sz w:val="16"/>
          <w:szCs w:val="16"/>
          <w:color w:val="auto"/>
        </w:rPr>
        <w:t>” shall mean WRL and any of its Affiliates (excluding, however, the Restricted Entities).</w:t>
      </w:r>
    </w:p>
    <w:p>
      <w:pPr>
        <w:spacing w:after="0" w:line="181" w:lineRule="exact"/>
        <w:rPr>
          <w:sz w:val="20"/>
          <w:szCs w:val="20"/>
          <w:color w:val="auto"/>
        </w:rPr>
      </w:pPr>
    </w:p>
    <w:p>
      <w:pPr>
        <w:ind w:right="60" w:firstLine="439"/>
        <w:spacing w:after="0" w:line="255"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Obligations</w:t>
      </w:r>
      <w:r>
        <w:rPr>
          <w:rFonts w:ascii="Arial" w:cs="Arial" w:eastAsia="Arial" w:hAnsi="Arial"/>
          <w:sz w:val="18"/>
          <w:szCs w:val="18"/>
          <w:color w:val="auto"/>
        </w:rPr>
        <w:t>. All obligations and indebtedness of any kind incurred by the Company shall be paid from the assets of the Company and the Company’s assets shall not be used to pay any obligation or indebtedness of Wynn NR Entities. The Company shall not hold itself out, or permit itself to be held out, as having agreed to pay or be liable for the debts of any of the Wynn NR Entities or hold out its credit or assets as being available to satisfy the obligations of others and shall not cause or permit others to hold out their credit or assets as being available to satisfy its obligations except for guarantees among the Restricted Entities.</w:t>
      </w:r>
    </w:p>
    <w:p>
      <w:pPr>
        <w:spacing w:after="0" w:line="197" w:lineRule="exact"/>
        <w:rPr>
          <w:sz w:val="20"/>
          <w:szCs w:val="20"/>
          <w:color w:val="auto"/>
        </w:rPr>
      </w:pPr>
    </w:p>
    <w:p>
      <w:pPr>
        <w:ind w:firstLine="439"/>
        <w:spacing w:after="0" w:line="259"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Company shall comply in all material respects with all applicable laws, rules, regulations and orders, such compliance to include, without limitation, paying before the same become delinquent all taxes, assessments and governmental charges imposed upon it or upon its property, except to the extent contested in good faith.</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20"/>
          </w:cols>
          <w:pgMar w:left="240" w:top="388" w:right="239" w:bottom="1440" w:gutter="0" w:footer="0" w:header="0"/>
        </w:sectPr>
      </w:pPr>
    </w:p>
    <w:bookmarkStart w:id="166" w:name="page167"/>
    <w:bookmarkEnd w:id="166"/>
    <w:p>
      <w:pPr>
        <w:spacing w:after="0"/>
        <w:tabs>
          <w:tab w:leader="none" w:pos="6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7.4</w:t>
      </w:r>
      <w:r>
        <w:rPr>
          <w:sz w:val="20"/>
          <w:szCs w:val="20"/>
          <w:color w:val="auto"/>
        </w:rPr>
        <w:tab/>
      </w:r>
      <w:r>
        <w:rPr>
          <w:rFonts w:ascii="Arial" w:cs="Arial" w:eastAsia="Arial" w:hAnsi="Arial"/>
          <w:sz w:val="15"/>
          <w:szCs w:val="15"/>
          <w:u w:val="single" w:color="auto"/>
          <w:color w:val="auto"/>
        </w:rPr>
        <w:t>Employees</w:t>
      </w:r>
      <w:r>
        <w:rPr>
          <w:rFonts w:ascii="Arial" w:cs="Arial" w:eastAsia="Arial" w:hAnsi="Arial"/>
          <w:sz w:val="15"/>
          <w:szCs w:val="15"/>
          <w:color w:val="auto"/>
        </w:rPr>
        <w:t>.</w:t>
      </w:r>
    </w:p>
    <w:p>
      <w:pPr>
        <w:spacing w:after="0" w:line="225" w:lineRule="exact"/>
        <w:rPr>
          <w:sz w:val="20"/>
          <w:szCs w:val="20"/>
          <w:color w:val="auto"/>
        </w:rPr>
      </w:pPr>
    </w:p>
    <w:p>
      <w:pPr>
        <w:ind w:left="-440" w:right="120" w:firstLine="1105"/>
        <w:spacing w:after="0" w:line="259" w:lineRule="auto"/>
        <w:tabs>
          <w:tab w:leader="none" w:pos="128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Company shall require that all full-time employees of the Company identify themselves as such and not as employees of any of the Wynn NR Entities (including, without limitation, by means of providing appropriate managers and employees with business or identification cards identifying such managers and employees as the Company’s managers and employees).</w:t>
      </w:r>
    </w:p>
    <w:p>
      <w:pPr>
        <w:spacing w:after="0" w:line="194" w:lineRule="exact"/>
        <w:rPr>
          <w:rFonts w:ascii="Arial" w:cs="Arial" w:eastAsia="Arial" w:hAnsi="Arial"/>
          <w:sz w:val="18"/>
          <w:szCs w:val="18"/>
          <w:color w:val="auto"/>
        </w:rPr>
      </w:pPr>
    </w:p>
    <w:p>
      <w:pPr>
        <w:ind w:left="-440" w:right="260" w:firstLine="1105"/>
        <w:spacing w:after="0" w:line="294" w:lineRule="auto"/>
        <w:tabs>
          <w:tab w:leader="none" w:pos="1298"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To the extent the following Persons provide services to the Company, the Company shall compensate all managers, employees, consultants and agents directly, from Company’s bank accounts, for services provided to the Company by such managers, employees, consultants and agents, except to the extent that any manager, employee, consultant or agent of the Company is also a manager, employee, consultant or agent of any of the Wynn NR Entities and the compensation of such manager, employee, consultant or agent is allocated between the Company and such Wynn NR Entities on a basis that reflects in a reasonable manner the services rendered to the Company and such Wynn NR Entities.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u w:val="single" w:color="auto"/>
          <w:color w:val="auto"/>
        </w:rPr>
        <w:t>Affiliate Transactions</w:t>
      </w:r>
      <w:r>
        <w:rPr>
          <w:rFonts w:ascii="Arial" w:cs="Arial" w:eastAsia="Arial" w:hAnsi="Arial"/>
          <w:sz w:val="16"/>
          <w:szCs w:val="16"/>
          <w:color w:val="auto"/>
        </w:rPr>
        <w:t>.</w:t>
      </w:r>
    </w:p>
    <w:p>
      <w:pPr>
        <w:spacing w:after="0" w:line="225" w:lineRule="exact"/>
        <w:rPr>
          <w:sz w:val="20"/>
          <w:szCs w:val="20"/>
          <w:color w:val="auto"/>
        </w:rPr>
      </w:pPr>
    </w:p>
    <w:p>
      <w:pPr>
        <w:ind w:left="-440" w:firstLine="1105"/>
        <w:spacing w:after="0" w:line="290" w:lineRule="auto"/>
        <w:tabs>
          <w:tab w:leader="none" w:pos="1288"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Company shall conduct all transactions with any Wynn NR Entities on an arms’-length basis, excluding payment of certain management fees or distributions to the extent of available and unrestricted funds, and only as permitted by the agreements governing its indebtedness or other obligations. The Company shall allocate all overhead expenses (including, without limitation, shared office space and telephone and other utility charges) for items shared between the Company and such Wynn NR Entities on the basis of actual use to the extent practicable and, to the extent such allocation is not practicable, on a basis reasonably related to actual use. The Company shall not commingle any funds or other assets with those of any Wynn NR Entities, and the Company shall maintain its books, records, and accounts in a manner that appropriately reflects that its assets and liabilities are separate and apart from those of its Affiliates (including any Wynn NR Entities). The Company will not acquire any obligations or securities of any Wynn NR Entities.</w:t>
      </w:r>
    </w:p>
    <w:p>
      <w:pPr>
        <w:spacing w:after="0" w:line="172" w:lineRule="exact"/>
        <w:rPr>
          <w:rFonts w:ascii="Arial" w:cs="Arial" w:eastAsia="Arial" w:hAnsi="Arial"/>
          <w:sz w:val="16"/>
          <w:szCs w:val="16"/>
          <w:color w:val="auto"/>
        </w:rPr>
      </w:pPr>
    </w:p>
    <w:p>
      <w:pPr>
        <w:ind w:left="-440" w:right="40" w:firstLine="1105"/>
        <w:spacing w:after="0" w:line="256" w:lineRule="auto"/>
        <w:tabs>
          <w:tab w:leader="none" w:pos="1301"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Except for master or blanket policies covering the Company and any Affiliate(s) or the property of the Company and Wynn NR Entities, the costs of which are allocated between the Company and any Wynn NR Entities on a reasonable basis, the Company will not permit itself to be named as an insured on the insurance policy covering the property of any Wynn NR Entities or enter into an agreement with the holder of such policy whereby in the event of a loss in connection with such property, proceeds are paid to the Company.</w:t>
      </w:r>
    </w:p>
    <w:p>
      <w:pPr>
        <w:spacing w:after="0" w:line="197" w:lineRule="exact"/>
        <w:rPr>
          <w:rFonts w:ascii="Arial" w:cs="Arial" w:eastAsia="Arial" w:hAnsi="Arial"/>
          <w:sz w:val="18"/>
          <w:szCs w:val="18"/>
          <w:color w:val="auto"/>
        </w:rPr>
      </w:pPr>
    </w:p>
    <w:p>
      <w:pPr>
        <w:ind w:left="5240" w:hanging="112"/>
        <w:spacing w:after="0"/>
        <w:tabs>
          <w:tab w:leader="none" w:pos="52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940"/>
          </w:cols>
          <w:pgMar w:left="680" w:top="388" w:right="279" w:bottom="1440" w:gutter="0" w:footer="0" w:header="0"/>
        </w:sectPr>
      </w:pPr>
    </w:p>
    <w:bookmarkStart w:id="167" w:name="page168"/>
    <w:bookmarkEnd w:id="167"/>
    <w:p>
      <w:pPr>
        <w:ind w:firstLine="1105"/>
        <w:spacing w:after="0" w:line="268" w:lineRule="auto"/>
        <w:tabs>
          <w:tab w:leader="none" w:pos="1728" w:val="left"/>
        </w:tabs>
        <w:numPr>
          <w:ilvl w:val="0"/>
          <w:numId w:val="1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shall not permit any Wynn NR Entities to pay any part of the Company’s operating expenses except pursuant to allocation arrangements that comply with the requirements of this Article VII.</w:t>
      </w:r>
    </w:p>
    <w:p>
      <w:pPr>
        <w:spacing w:after="0" w:line="186"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u w:val="single" w:color="auto"/>
          <w:color w:val="auto"/>
        </w:rPr>
        <w:t>Other Limitations</w:t>
      </w:r>
      <w:r>
        <w:rPr>
          <w:rFonts w:ascii="Arial" w:cs="Arial" w:eastAsia="Arial" w:hAnsi="Arial"/>
          <w:sz w:val="16"/>
          <w:szCs w:val="16"/>
          <w:color w:val="auto"/>
        </w:rPr>
        <w:t>.</w:t>
      </w:r>
    </w:p>
    <w:p>
      <w:pPr>
        <w:spacing w:after="0" w:line="225" w:lineRule="exact"/>
        <w:rPr>
          <w:sz w:val="20"/>
          <w:szCs w:val="20"/>
          <w:color w:val="auto"/>
        </w:rPr>
      </w:pPr>
    </w:p>
    <w:p>
      <w:pPr>
        <w:ind w:left="1740" w:hanging="635"/>
        <w:spacing w:after="0"/>
        <w:tabs>
          <w:tab w:leader="none" w:pos="17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Company shall not:</w:t>
      </w:r>
    </w:p>
    <w:p>
      <w:pPr>
        <w:spacing w:after="0" w:line="225" w:lineRule="exact"/>
        <w:rPr>
          <w:rFonts w:ascii="Arial" w:cs="Arial" w:eastAsia="Arial" w:hAnsi="Arial"/>
          <w:sz w:val="18"/>
          <w:szCs w:val="18"/>
          <w:color w:val="auto"/>
        </w:rPr>
      </w:pPr>
    </w:p>
    <w:p>
      <w:pPr>
        <w:ind w:left="2420" w:hanging="612"/>
        <w:spacing w:after="0"/>
        <w:tabs>
          <w:tab w:leader="none" w:pos="242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engage, or hold itself out as being engaged, primarily in the business of investing, reinvesting, or trading in securities;</w:t>
      </w:r>
    </w:p>
    <w:p>
      <w:pPr>
        <w:spacing w:after="0" w:line="248" w:lineRule="exact"/>
        <w:rPr>
          <w:rFonts w:ascii="Arial" w:cs="Arial" w:eastAsia="Arial" w:hAnsi="Arial"/>
          <w:sz w:val="16"/>
          <w:szCs w:val="16"/>
          <w:color w:val="auto"/>
        </w:rPr>
      </w:pPr>
    </w:p>
    <w:p>
      <w:pPr>
        <w:ind w:left="2460" w:hanging="652"/>
        <w:spacing w:after="0"/>
        <w:tabs>
          <w:tab w:leader="none" w:pos="246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engage, or propose to engage, in the business of issuing face-amount certificates of the installment type; or</w:t>
      </w:r>
    </w:p>
    <w:p>
      <w:pPr>
        <w:spacing w:after="0" w:line="225" w:lineRule="exact"/>
        <w:rPr>
          <w:rFonts w:ascii="Arial" w:cs="Arial" w:eastAsia="Arial" w:hAnsi="Arial"/>
          <w:sz w:val="18"/>
          <w:szCs w:val="18"/>
          <w:color w:val="auto"/>
        </w:rPr>
      </w:pPr>
    </w:p>
    <w:p>
      <w:pPr>
        <w:ind w:right="100" w:firstLine="1808"/>
        <w:spacing w:after="0" w:line="259" w:lineRule="auto"/>
        <w:tabs>
          <w:tab w:leader="none" w:pos="2502" w:val="left"/>
        </w:tabs>
        <w:numPr>
          <w:ilvl w:val="1"/>
          <w:numId w:val="146"/>
        </w:numPr>
        <w:rPr>
          <w:rFonts w:ascii="Arial" w:cs="Arial" w:eastAsia="Arial" w:hAnsi="Arial"/>
          <w:sz w:val="18"/>
          <w:szCs w:val="18"/>
          <w:color w:val="auto"/>
        </w:rPr>
      </w:pPr>
      <w:r>
        <w:rPr>
          <w:rFonts w:ascii="Arial" w:cs="Arial" w:eastAsia="Arial" w:hAnsi="Arial"/>
          <w:sz w:val="18"/>
          <w:szCs w:val="18"/>
          <w:color w:val="auto"/>
        </w:rPr>
        <w:t>engage or propose to engage, in the business of investing, reinvesting, owning, holding, or trading in securities and own, or propose to acquire, investment securities having a value exceeding 40% of the value of the Company’s total assets (exclusive of government securities and cash items) on an unconsolidated basis.</w:t>
      </w:r>
    </w:p>
    <w:p>
      <w:pPr>
        <w:spacing w:after="0" w:line="194" w:lineRule="exact"/>
        <w:rPr>
          <w:rFonts w:ascii="Arial" w:cs="Arial" w:eastAsia="Arial" w:hAnsi="Arial"/>
          <w:sz w:val="18"/>
          <w:szCs w:val="18"/>
          <w:color w:val="auto"/>
        </w:rPr>
      </w:pPr>
    </w:p>
    <w:p>
      <w:pPr>
        <w:ind w:right="200" w:firstLine="1105"/>
        <w:spacing w:after="0" w:line="332" w:lineRule="auto"/>
        <w:tabs>
          <w:tab w:leader="none" w:pos="1738"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Company shall not be subject to the limitation set forth in Section 7.6(a)(iii) if it shall be primarily engaged, directly or through a wholly-owned subsidiary or subsidiaries in a business or businesses other than that of investing reinvesting, owning, holding, or trading in securities.</w:t>
      </w:r>
    </w:p>
    <w:p>
      <w:pPr>
        <w:spacing w:after="0" w:line="139" w:lineRule="exact"/>
        <w:rPr>
          <w:rFonts w:ascii="Arial" w:cs="Arial" w:eastAsia="Arial" w:hAnsi="Arial"/>
          <w:sz w:val="16"/>
          <w:szCs w:val="16"/>
          <w:color w:val="auto"/>
        </w:rPr>
      </w:pPr>
    </w:p>
    <w:p>
      <w:pPr>
        <w:ind w:right="20" w:firstLine="1105"/>
        <w:spacing w:after="0" w:line="298" w:lineRule="auto"/>
        <w:tabs>
          <w:tab w:leader="none" w:pos="1731" w:val="left"/>
        </w:tabs>
        <w:numPr>
          <w:ilvl w:val="0"/>
          <w:numId w:val="146"/>
        </w:numPr>
        <w:rPr>
          <w:rFonts w:ascii="Arial" w:cs="Arial" w:eastAsia="Arial" w:hAnsi="Arial"/>
          <w:sz w:val="16"/>
          <w:szCs w:val="16"/>
          <w:color w:val="auto"/>
        </w:rPr>
      </w:pPr>
      <w:r>
        <w:rPr>
          <w:rFonts w:ascii="Arial" w:cs="Arial" w:eastAsia="Arial" w:hAnsi="Arial"/>
          <w:sz w:val="16"/>
          <w:szCs w:val="16"/>
          <w:color w:val="auto"/>
        </w:rPr>
        <w:t>For the purpose of this Section 7.6, the terms “face-amount certificates of the installment type”, “government securities”, “investment securities”, “securities”, and “wholly-owned subsidiary” shall have the meanings ascribed to them under the Investment Company Act of 1940, as amended (the “1940 Act”), and the rules and regulations thereunder. This Section 7.6 shall be interpreted and construed so that the Company shall not be an “investment company” as defined in the 1940 Act but shall not otherwise be interpreted or construed to limit otherwise the purposes and powers of the Company.</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VIII</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DISSOLUTION OF THE COMPANY AND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TERMINATION OF A MEMBER’S INTEREST</w:t>
      </w:r>
    </w:p>
    <w:p>
      <w:pPr>
        <w:spacing w:after="0" w:line="219"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Dissolution</w:t>
      </w:r>
      <w:r>
        <w:rPr>
          <w:rFonts w:ascii="Arial" w:cs="Arial" w:eastAsia="Arial" w:hAnsi="Arial"/>
          <w:sz w:val="16"/>
          <w:szCs w:val="16"/>
          <w:color w:val="auto"/>
        </w:rPr>
        <w:t>. The Company shall be dissolved and its affairs wound up as determined by the Member.</w:t>
      </w:r>
    </w:p>
    <w:p>
      <w:pPr>
        <w:spacing w:after="0" w:line="225" w:lineRule="exact"/>
        <w:rPr>
          <w:sz w:val="20"/>
          <w:szCs w:val="20"/>
          <w:color w:val="auto"/>
        </w:rPr>
      </w:pPr>
    </w:p>
    <w:p>
      <w:pPr>
        <w:ind w:right="80" w:firstLine="439"/>
        <w:spacing w:after="0" w:line="268"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Resignation</w:t>
      </w:r>
      <w:r>
        <w:rPr>
          <w:rFonts w:ascii="Arial" w:cs="Arial" w:eastAsia="Arial" w:hAnsi="Arial"/>
          <w:sz w:val="18"/>
          <w:szCs w:val="18"/>
          <w:color w:val="auto"/>
        </w:rPr>
        <w:t>. Subject to Section 6.5 and applicable law, the Member may not resign from the Company before the dissolution and winding up of the Company.</w:t>
      </w:r>
    </w:p>
    <w:p>
      <w:pPr>
        <w:spacing w:after="0" w:line="186"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Distribution on Dissolution and Liquidation</w:t>
      </w:r>
      <w:r>
        <w:rPr>
          <w:rFonts w:ascii="Arial" w:cs="Arial" w:eastAsia="Arial" w:hAnsi="Arial"/>
          <w:sz w:val="18"/>
          <w:szCs w:val="18"/>
          <w:color w:val="auto"/>
        </w:rPr>
        <w:t>. In the event of the dissolution of the Company for any reason, the business of the Company shall be continued to the extent necessary to allow an orderly winding up of its affairs, including the liquidation and</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- 9 - -</w:t>
      </w:r>
    </w:p>
    <w:p>
      <w:pPr>
        <w:sectPr>
          <w:pgSz w:w="11900" w:h="16838" w:orient="portrait"/>
          <w:cols w:equalWidth="0" w:num="1">
            <w:col w:w="11340"/>
          </w:cols>
          <w:pgMar w:left="240" w:top="388" w:right="319" w:bottom="1440" w:gutter="0" w:footer="0" w:header="0"/>
        </w:sectPr>
      </w:pPr>
    </w:p>
    <w:bookmarkStart w:id="168" w:name="page169"/>
    <w:bookmarkEnd w:id="16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of the Company pursuant to the provisions of this Section 8.3, as promptly as practicable thereafter, and each of the following shall be accomplished:</w:t>
      </w:r>
    </w:p>
    <w:p>
      <w:pPr>
        <w:spacing w:after="0" w:line="248" w:lineRule="exact"/>
        <w:rPr>
          <w:sz w:val="20"/>
          <w:szCs w:val="20"/>
          <w:color w:val="auto"/>
        </w:rPr>
      </w:pPr>
    </w:p>
    <w:p>
      <w:pPr>
        <w:ind w:left="1740" w:hanging="635"/>
        <w:spacing w:after="0"/>
        <w:tabs>
          <w:tab w:leader="none" w:pos="17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Member shall oversee the winding up of the Company’s affairs;</w:t>
      </w:r>
    </w:p>
    <w:p>
      <w:pPr>
        <w:spacing w:after="0" w:line="225" w:lineRule="exact"/>
        <w:rPr>
          <w:rFonts w:ascii="Arial" w:cs="Arial" w:eastAsia="Arial" w:hAnsi="Arial"/>
          <w:sz w:val="18"/>
          <w:szCs w:val="18"/>
          <w:color w:val="auto"/>
        </w:rPr>
      </w:pPr>
    </w:p>
    <w:p>
      <w:pPr>
        <w:ind w:right="140" w:firstLine="1105"/>
        <w:spacing w:after="0" w:line="268" w:lineRule="auto"/>
        <w:tabs>
          <w:tab w:leader="none" w:pos="174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assets of the Company shall be liquidated as determined by the Member, or the Member may determine not to sell all or any portion of the assets, in which event such assets shall be distributed in kind; and</w:t>
      </w:r>
    </w:p>
    <w:p>
      <w:pPr>
        <w:spacing w:after="0" w:line="185" w:lineRule="exact"/>
        <w:rPr>
          <w:rFonts w:ascii="Arial" w:cs="Arial" w:eastAsia="Arial" w:hAnsi="Arial"/>
          <w:sz w:val="18"/>
          <w:szCs w:val="18"/>
          <w:color w:val="auto"/>
        </w:rPr>
      </w:pPr>
    </w:p>
    <w:p>
      <w:pPr>
        <w:ind w:left="1740" w:hanging="635"/>
        <w:spacing w:after="0"/>
        <w:tabs>
          <w:tab w:leader="none" w:pos="174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proceeds of sale and all other assets of the Company shall be applied and distributed as follows and in the following order of priority:</w:t>
      </w:r>
    </w:p>
    <w:p>
      <w:pPr>
        <w:spacing w:after="0" w:line="248" w:lineRule="exact"/>
        <w:rPr>
          <w:rFonts w:ascii="Arial" w:cs="Arial" w:eastAsia="Arial" w:hAnsi="Arial"/>
          <w:sz w:val="16"/>
          <w:szCs w:val="16"/>
          <w:color w:val="auto"/>
        </w:rPr>
      </w:pPr>
    </w:p>
    <w:p>
      <w:pPr>
        <w:ind w:left="2420" w:hanging="612"/>
        <w:spacing w:after="0"/>
        <w:tabs>
          <w:tab w:leader="none" w:pos="242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to the expenses of liquidation;</w:t>
      </w:r>
    </w:p>
    <w:p>
      <w:pPr>
        <w:spacing w:after="0" w:line="225" w:lineRule="exact"/>
        <w:rPr>
          <w:rFonts w:ascii="Arial" w:cs="Arial" w:eastAsia="Arial" w:hAnsi="Arial"/>
          <w:sz w:val="18"/>
          <w:szCs w:val="18"/>
          <w:color w:val="auto"/>
        </w:rPr>
      </w:pPr>
    </w:p>
    <w:p>
      <w:pPr>
        <w:ind w:left="2460" w:hanging="652"/>
        <w:spacing w:after="0"/>
        <w:tabs>
          <w:tab w:leader="none" w:pos="246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to the payment of the debts and liabilities of the Company, including any debts and liabilities owed to the Member; and</w:t>
      </w:r>
    </w:p>
    <w:p>
      <w:pPr>
        <w:spacing w:after="0" w:line="248" w:lineRule="exact"/>
        <w:rPr>
          <w:rFonts w:ascii="Arial" w:cs="Arial" w:eastAsia="Arial" w:hAnsi="Arial"/>
          <w:sz w:val="16"/>
          <w:szCs w:val="16"/>
          <w:color w:val="auto"/>
        </w:rPr>
      </w:pPr>
    </w:p>
    <w:p>
      <w:pPr>
        <w:ind w:left="2500" w:hanging="692"/>
        <w:spacing w:after="0"/>
        <w:tabs>
          <w:tab w:leader="none" w:pos="25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balance, if any, to the Member.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LIABILITY, EXCULPATION AND INDEMNIFICATION</w:t>
      </w:r>
    </w:p>
    <w:p>
      <w:pPr>
        <w:spacing w:after="0" w:line="219"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Exculpation</w:t>
      </w:r>
      <w:r>
        <w:rPr>
          <w:rFonts w:ascii="Arial" w:cs="Arial" w:eastAsia="Arial" w:hAnsi="Arial"/>
          <w:sz w:val="16"/>
          <w:szCs w:val="16"/>
          <w:color w:val="auto"/>
        </w:rPr>
        <w:t>.</w:t>
      </w:r>
    </w:p>
    <w:p>
      <w:pPr>
        <w:spacing w:after="0" w:line="225" w:lineRule="exact"/>
        <w:rPr>
          <w:sz w:val="20"/>
          <w:szCs w:val="20"/>
          <w:color w:val="auto"/>
        </w:rPr>
      </w:pPr>
    </w:p>
    <w:p>
      <w:pPr>
        <w:ind w:right="60" w:firstLine="1105"/>
        <w:spacing w:after="0" w:line="256" w:lineRule="auto"/>
        <w:tabs>
          <w:tab w:leader="none" w:pos="172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Member shall not be liable to the Company for any loss, damage or claim incurred by reason of any act or omission performed or omitted by the Member in good faith on behalf of the Company, except that the Member shall be liable for any such loss, damage or claim if a final adjudication by a court of competent jurisdiction establishes that the Member’s acts or omissions involved intentional misconduct, fraud or a knowing violation of the law and was material to the cause of action.</w:t>
      </w:r>
    </w:p>
    <w:p>
      <w:pPr>
        <w:spacing w:after="0" w:line="197" w:lineRule="exact"/>
        <w:rPr>
          <w:rFonts w:ascii="Arial" w:cs="Arial" w:eastAsia="Arial" w:hAnsi="Arial"/>
          <w:sz w:val="18"/>
          <w:szCs w:val="18"/>
          <w:color w:val="auto"/>
        </w:rPr>
      </w:pPr>
    </w:p>
    <w:p>
      <w:pPr>
        <w:ind w:firstLine="1105"/>
        <w:spacing w:after="0" w:line="298" w:lineRule="auto"/>
        <w:tabs>
          <w:tab w:leader="none" w:pos="1738"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Member shall be fully protected in relying in good faith upon the records of the Company and upon such information, opinions, reports or statements presented to the Company by any Person as to matters the Member reasonably believes are within such other Person’s professional or expert competence, including information, opinions, reports or statements as to the value and amount of the assets, liabilities, profits or losses or any other facts pertinent to the existence and amount of assets from which distributions to the Member might properly be paid.</w:t>
      </w:r>
    </w:p>
    <w:p>
      <w:pPr>
        <w:spacing w:after="0" w:line="167" w:lineRule="exact"/>
        <w:rPr>
          <w:sz w:val="20"/>
          <w:szCs w:val="20"/>
          <w:color w:val="auto"/>
        </w:rPr>
      </w:pPr>
    </w:p>
    <w:p>
      <w:pPr>
        <w:ind w:right="60" w:firstLine="439"/>
        <w:spacing w:after="0" w:line="256"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Fiduciary Duty</w:t>
      </w:r>
      <w:r>
        <w:rPr>
          <w:rFonts w:ascii="Arial" w:cs="Arial" w:eastAsia="Arial" w:hAnsi="Arial"/>
          <w:sz w:val="18"/>
          <w:szCs w:val="18"/>
          <w:color w:val="auto"/>
        </w:rPr>
        <w:t>. To the extent that, at law or in equity, the Member has duties (including fiduciary duties) and liabilities relating thereto to the Company, then, to the fullest extent permitted by applicable law, the Member shall not be liable to the Company for its good faith acts or omissions in reliance on the provisions of this Agreement. The provisions of this Agreement, to the extent that they restrict the duties and liabilities of the Member otherwise existing at law or in equity, replace such other duties and liabilities of the Member.</w:t>
      </w:r>
    </w:p>
    <w:p>
      <w:pPr>
        <w:spacing w:after="0" w:line="197"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u w:val="single" w:color="auto"/>
          <w:color w:val="auto"/>
        </w:rPr>
        <w:t>Indemnity</w:t>
      </w:r>
      <w:r>
        <w:rPr>
          <w:rFonts w:ascii="Arial" w:cs="Arial" w:eastAsia="Arial" w:hAnsi="Arial"/>
          <w:sz w:val="16"/>
          <w:szCs w:val="16"/>
          <w:color w:val="auto"/>
        </w:rPr>
        <w:t>. The Company shall indemnify and hold harmless the Member to the fullest extent permitted by NRS 86.411 to 86.451, inclusive.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20"/>
          </w:cols>
          <w:pgMar w:left="240" w:top="388" w:right="239" w:bottom="1440" w:gutter="0" w:footer="0" w:header="0"/>
        </w:sectPr>
      </w:pPr>
    </w:p>
    <w:bookmarkStart w:id="169" w:name="page170"/>
    <w:bookmarkEnd w:id="169"/>
    <w:p>
      <w:pPr>
        <w:ind w:firstLine="439"/>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9.4 </w:t>
      </w:r>
      <w:r>
        <w:rPr>
          <w:rFonts w:ascii="Arial" w:cs="Arial" w:eastAsia="Arial" w:hAnsi="Arial"/>
          <w:sz w:val="18"/>
          <w:szCs w:val="18"/>
          <w:u w:val="single" w:color="auto"/>
          <w:color w:val="auto"/>
        </w:rPr>
        <w:t>Determination of Right to Indemnification</w:t>
      </w:r>
      <w:r>
        <w:rPr>
          <w:rFonts w:ascii="Arial" w:cs="Arial" w:eastAsia="Arial" w:hAnsi="Arial"/>
          <w:sz w:val="18"/>
          <w:szCs w:val="18"/>
          <w:color w:val="auto"/>
        </w:rPr>
        <w:t>. Any indemnification under Section 9.3, unless ordered by a court or advanced pursuant to Section 9.5 below, shall be made by the Company only as authorized in the specific case upon a determination by the Member, in its sole discretion, that indemnification is proper in the circumstances.</w:t>
      </w:r>
    </w:p>
    <w:p>
      <w:pPr>
        <w:spacing w:after="0" w:line="194" w:lineRule="exact"/>
        <w:rPr>
          <w:sz w:val="20"/>
          <w:szCs w:val="20"/>
          <w:color w:val="auto"/>
        </w:rPr>
      </w:pPr>
    </w:p>
    <w:p>
      <w:pPr>
        <w:ind w:firstLine="439"/>
        <w:spacing w:after="0" w:line="255"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Advance Payment of Expenses</w:t>
      </w:r>
      <w:r>
        <w:rPr>
          <w:rFonts w:ascii="Arial" w:cs="Arial" w:eastAsia="Arial" w:hAnsi="Arial"/>
          <w:sz w:val="18"/>
          <w:szCs w:val="18"/>
          <w:color w:val="auto"/>
        </w:rPr>
        <w:t>. The expenses of the Member incurred in defending a civil or criminal action, suit or proceeding shall be paid by the Company as they are incurred and in advance of the final disposition of the action, suit or proceeding, upon receipt of an undertaking by or on behalf of the Member to repay the amount if it is ultimately determined by a court of competent jurisdiction that the Member is not entitled to be indemnified by the Company. The provisions of this section do not affect any rights to advancement of expenses to which personnel of the Company other than the Member may be entitled under any contract or otherwise by law.</w:t>
      </w:r>
    </w:p>
    <w:p>
      <w:pPr>
        <w:spacing w:after="0" w:line="197" w:lineRule="exact"/>
        <w:rPr>
          <w:sz w:val="20"/>
          <w:szCs w:val="20"/>
          <w:color w:val="auto"/>
        </w:rPr>
      </w:pPr>
    </w:p>
    <w:p>
      <w:pPr>
        <w:ind w:right="120" w:firstLine="439"/>
        <w:spacing w:after="0" w:line="259"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Assets of the Company</w:t>
      </w:r>
      <w:r>
        <w:rPr>
          <w:rFonts w:ascii="Arial" w:cs="Arial" w:eastAsia="Arial" w:hAnsi="Arial"/>
          <w:sz w:val="18"/>
          <w:szCs w:val="18"/>
          <w:color w:val="auto"/>
        </w:rPr>
        <w:t>. Any indemnification under this Article IX shall be satisfied solely out of the assets of the Company. No debt shall be incurred by the Company or the Member in order to provide a source of funds for any indemnity, and the Member shall not have any liability (or any liability to make any additional Capital Contribution) on account thereof.</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X</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MISCELLANEOUS PROVISIONS</w:t>
      </w:r>
    </w:p>
    <w:p>
      <w:pPr>
        <w:spacing w:after="0" w:line="219" w:lineRule="exact"/>
        <w:rPr>
          <w:sz w:val="20"/>
          <w:szCs w:val="20"/>
          <w:color w:val="auto"/>
        </w:rPr>
      </w:pPr>
    </w:p>
    <w:p>
      <w:pPr>
        <w:ind w:left="440"/>
        <w:spacing w:after="0"/>
        <w:tabs>
          <w:tab w:leader="none" w:pos="11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u w:val="single" w:color="auto"/>
          <w:color w:val="auto"/>
        </w:rPr>
        <w:t>Ownership Certificates</w:t>
      </w:r>
      <w:r>
        <w:rPr>
          <w:rFonts w:ascii="Arial" w:cs="Arial" w:eastAsia="Arial" w:hAnsi="Arial"/>
          <w:sz w:val="15"/>
          <w:szCs w:val="15"/>
          <w:color w:val="auto"/>
        </w:rPr>
        <w:t>. The Company shall issue a certificate to the Member to evidence the Interest in the Company.</w:t>
      </w:r>
    </w:p>
    <w:p>
      <w:pPr>
        <w:spacing w:after="0" w:line="225" w:lineRule="exact"/>
        <w:rPr>
          <w:sz w:val="20"/>
          <w:szCs w:val="20"/>
          <w:color w:val="auto"/>
        </w:rPr>
      </w:pPr>
    </w:p>
    <w:p>
      <w:pPr>
        <w:ind w:right="40" w:firstLine="439"/>
        <w:spacing w:after="0" w:line="25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Securities Under the UCC</w:t>
      </w:r>
      <w:r>
        <w:rPr>
          <w:rFonts w:ascii="Arial" w:cs="Arial" w:eastAsia="Arial" w:hAnsi="Arial"/>
          <w:sz w:val="18"/>
          <w:szCs w:val="18"/>
          <w:color w:val="auto"/>
        </w:rPr>
        <w:t>. The Interest of a Member shall be considered a “security” as defined in Section 8102(a)(15) of the UCC, and this statement shall constitute an express provision that each such Interest is a security governed by Article 8 of the UCC, within the meaning of 8103(c) of the UCC, solely for the purposes of establishing the applicability thereto of the provisions of Article 8 governing securities. No Interest of the Member shall be considered a “security” for any other purpose, nor shall this statement be construed to suggest that any such Interest should otherwise be considered a “security.” The Company shall imprint or otherwise place, on certificates representing Interests in the Company a legend in substantially the following form (in addition to any other legend required by applicable law or otherwise):</w:t>
      </w:r>
    </w:p>
    <w:p>
      <w:pPr>
        <w:spacing w:after="0" w:line="198" w:lineRule="exact"/>
        <w:rPr>
          <w:sz w:val="20"/>
          <w:szCs w:val="20"/>
          <w:color w:val="auto"/>
        </w:rPr>
      </w:pPr>
    </w:p>
    <w:p>
      <w:pPr>
        <w:ind w:left="460" w:right="100"/>
        <w:spacing w:after="0" w:line="254" w:lineRule="auto"/>
        <w:rPr>
          <w:sz w:val="20"/>
          <w:szCs w:val="20"/>
          <w:color w:val="auto"/>
        </w:rPr>
      </w:pPr>
      <w:r>
        <w:rPr>
          <w:rFonts w:ascii="Arial" w:cs="Arial" w:eastAsia="Arial" w:hAnsi="Arial"/>
          <w:sz w:val="18"/>
          <w:szCs w:val="18"/>
          <w:color w:val="auto"/>
        </w:rPr>
        <w:t>“THE OWNERSHIP INTEREST REPRESENTED BY THIS CERTIFICATE SHALL BE CONSIDERED A ‘SECURITY’ AS DEFINED IN SECTION 8102(a)(15) OF THE NEVADA UCC AND CORRESPONDING PROVISIONS OF THE UCC IN ANY OTHER APPLICABLE STATE OR JURISDICTION, AND THIS STATEMENT SHALL CONSTITUTE AN EXPRESS PROVISION THAT THE OWNERSHIP INTEREST REPRESENTED BY THIS CERTIFICATE IS A SECURITY GOVERNED BY ARTICLE 8 OF THE UCC, WITHIN THE MEANING OF 8103(c) OF THE NEVADA UCC AND CORRESPONDING PROVISIONS OF THE UCC IN ANY OTHER APPLICABLE STATE OR JURSIDICTION, SOLELY FOR THE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360"/>
          </w:cols>
          <w:pgMar w:left="240" w:top="388" w:right="299" w:bottom="1440" w:gutter="0" w:footer="0" w:header="0"/>
        </w:sectPr>
      </w:pPr>
    </w:p>
    <w:bookmarkStart w:id="170" w:name="page171"/>
    <w:bookmarkEnd w:id="170"/>
    <w:p>
      <w:pPr>
        <w:ind w:left="460"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PURPOSES OF ESTABLISHING THE APPLICABILITY THERETO OF THE PROVISIONS OF ARTICLE 8 GOVERNING SECURITIES. THE OWNERSHIP INTEREST REPRESENTED BY THIS CERTIFICATE SHALL NOT BE CONSIDERED A ‘SECURITY’ FOR ANY OTHER PURPOSE, NOR SHALL THIS STATEMENT BE CONSTRUED TO SUGGEST THAT THE OWNERSHIP INTEREST REPRESENTED BY THIS CERTIFICATE SHOULD OTHERWISE BE CONSIDERED A ‘SECURITY.’ FOR PURPOSES HEREOF, ‘UCC’ SHALL MEAN THE UNIFORM COMMERCIAL CODE AS ENACTED AND IN EFFECT IN THE STATE OF NEVADA AND ANY OTHER APPLICABLE STATE OR JURISDICTION.”</w:t>
      </w:r>
    </w:p>
    <w:p>
      <w:pPr>
        <w:spacing w:after="0" w:line="170" w:lineRule="exact"/>
        <w:rPr>
          <w:sz w:val="20"/>
          <w:szCs w:val="20"/>
          <w:color w:val="auto"/>
        </w:rPr>
      </w:pPr>
    </w:p>
    <w:p>
      <w:pPr>
        <w:ind w:right="80" w:firstLine="439"/>
        <w:spacing w:after="0" w:line="259"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Insurance</w:t>
      </w:r>
      <w:r>
        <w:rPr>
          <w:rFonts w:ascii="Arial" w:cs="Arial" w:eastAsia="Arial" w:hAnsi="Arial"/>
          <w:sz w:val="18"/>
          <w:szCs w:val="18"/>
          <w:color w:val="auto"/>
        </w:rPr>
        <w:t>. The Company may purchase and maintain insurance, to the extent and in such amounts as the Member shall, in its sole discretion, deem reasonable, on behalf of such Persons as the Member shall determine, against any liability that may be asserted against or expenses that may be incurred by any such Person in connection with the activities of the Company.</w:t>
      </w:r>
    </w:p>
    <w:p>
      <w:pPr>
        <w:spacing w:after="0" w:line="194" w:lineRule="exact"/>
        <w:rPr>
          <w:sz w:val="20"/>
          <w:szCs w:val="20"/>
          <w:color w:val="auto"/>
        </w:rPr>
      </w:pPr>
    </w:p>
    <w:p>
      <w:pPr>
        <w:ind w:right="100" w:firstLine="439"/>
        <w:spacing w:after="0" w:line="306"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Complete Agreement</w:t>
      </w:r>
      <w:r>
        <w:rPr>
          <w:rFonts w:ascii="Arial" w:cs="Arial" w:eastAsia="Arial" w:hAnsi="Arial"/>
          <w:sz w:val="16"/>
          <w:szCs w:val="16"/>
          <w:color w:val="auto"/>
        </w:rPr>
        <w:t>. This Agreement, including any schedules or exhibits hereto, together with the Articles to the extent referenced herein, constitutes the complete and exclusive agreement and understanding of the Member with respect to the subject matter contained herein. This Agreement and the Articles replace and supersede all prior agreements, negotiations, statements, memoranda and understandings, whether written or oral, by the Member.</w:t>
      </w:r>
    </w:p>
    <w:p>
      <w:pPr>
        <w:spacing w:after="0" w:line="161" w:lineRule="exact"/>
        <w:rPr>
          <w:sz w:val="20"/>
          <w:szCs w:val="20"/>
          <w:color w:val="auto"/>
        </w:rPr>
      </w:pPr>
    </w:p>
    <w:p>
      <w:pPr>
        <w:ind w:left="440"/>
        <w:spacing w:after="0"/>
        <w:tabs>
          <w:tab w:leader="none" w:pos="11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u w:val="single" w:color="auto"/>
          <w:color w:val="auto"/>
        </w:rPr>
        <w:t>Amendments</w:t>
      </w:r>
      <w:r>
        <w:rPr>
          <w:rFonts w:ascii="Arial" w:cs="Arial" w:eastAsia="Arial" w:hAnsi="Arial"/>
          <w:sz w:val="16"/>
          <w:szCs w:val="16"/>
          <w:color w:val="auto"/>
        </w:rPr>
        <w:t>. This Agreement may be amended only by a writing signed by the Member.</w:t>
      </w:r>
    </w:p>
    <w:p>
      <w:pPr>
        <w:spacing w:after="0" w:line="225" w:lineRule="exact"/>
        <w:rPr>
          <w:sz w:val="20"/>
          <w:szCs w:val="20"/>
          <w:color w:val="auto"/>
        </w:rPr>
      </w:pPr>
    </w:p>
    <w:p>
      <w:pPr>
        <w:ind w:right="280" w:firstLine="439"/>
        <w:spacing w:after="0" w:line="268"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Applicable Law; Jurisdiction</w:t>
      </w:r>
      <w:r>
        <w:rPr>
          <w:rFonts w:ascii="Arial" w:cs="Arial" w:eastAsia="Arial" w:hAnsi="Arial"/>
          <w:sz w:val="18"/>
          <w:szCs w:val="18"/>
          <w:color w:val="auto"/>
        </w:rPr>
        <w:t>. This Agreement, and the rights and obligations of the Member, shall be interpreted and enforced in accordance with and governed by the laws of the State of Nevada without regard to the conflict laws of that State.</w:t>
      </w:r>
    </w:p>
    <w:p>
      <w:pPr>
        <w:spacing w:after="0" w:line="186" w:lineRule="exact"/>
        <w:rPr>
          <w:sz w:val="20"/>
          <w:szCs w:val="20"/>
          <w:color w:val="auto"/>
        </w:rPr>
      </w:pPr>
    </w:p>
    <w:p>
      <w:pPr>
        <w:ind w:right="240" w:firstLine="439"/>
        <w:spacing w:after="0" w:line="255"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Interpretation</w:t>
      </w:r>
      <w:r>
        <w:rPr>
          <w:rFonts w:ascii="Arial" w:cs="Arial" w:eastAsia="Arial" w:hAnsi="Arial"/>
          <w:sz w:val="18"/>
          <w:szCs w:val="18"/>
          <w:color w:val="auto"/>
        </w:rPr>
        <w:t xml:space="preserve">. The headings in this Agreement are inserted for convenience only and are in no way intended to describe, interpret, define, or limit the scope, extent or intent of this Agreement or any provisions contained herein. In the interpretation of this Agreement, the singular may be read as the plural, and </w:t>
      </w:r>
      <w:r>
        <w:rPr>
          <w:rFonts w:ascii="Arial" w:cs="Arial" w:eastAsia="Arial" w:hAnsi="Arial"/>
          <w:sz w:val="18"/>
          <w:szCs w:val="18"/>
          <w:i w:val="1"/>
          <w:iCs w:val="1"/>
          <w:color w:val="auto"/>
        </w:rPr>
        <w:t>vice versa</w:t>
      </w:r>
      <w:r>
        <w:rPr>
          <w:rFonts w:ascii="Arial" w:cs="Arial" w:eastAsia="Arial" w:hAnsi="Arial"/>
          <w:sz w:val="18"/>
          <w:szCs w:val="18"/>
          <w:color w:val="auto"/>
        </w:rPr>
        <w:t xml:space="preserve">, the neuter gender as the masculine or feminine, and </w:t>
      </w:r>
      <w:r>
        <w:rPr>
          <w:rFonts w:ascii="Arial" w:cs="Arial" w:eastAsia="Arial" w:hAnsi="Arial"/>
          <w:sz w:val="18"/>
          <w:szCs w:val="18"/>
          <w:i w:val="1"/>
          <w:iCs w:val="1"/>
          <w:color w:val="auto"/>
        </w:rPr>
        <w:t>vice versa</w:t>
      </w:r>
      <w:r>
        <w:rPr>
          <w:rFonts w:ascii="Arial" w:cs="Arial" w:eastAsia="Arial" w:hAnsi="Arial"/>
          <w:sz w:val="18"/>
          <w:szCs w:val="18"/>
          <w:color w:val="auto"/>
        </w:rPr>
        <w:t xml:space="preserve">, and the future tense as the past or present, and </w:t>
      </w:r>
      <w:r>
        <w:rPr>
          <w:rFonts w:ascii="Arial" w:cs="Arial" w:eastAsia="Arial" w:hAnsi="Arial"/>
          <w:sz w:val="18"/>
          <w:szCs w:val="18"/>
          <w:i w:val="1"/>
          <w:iCs w:val="1"/>
          <w:color w:val="auto"/>
        </w:rPr>
        <w:t>vice versa</w:t>
      </w:r>
      <w:r>
        <w:rPr>
          <w:rFonts w:ascii="Arial" w:cs="Arial" w:eastAsia="Arial" w:hAnsi="Arial"/>
          <w:sz w:val="18"/>
          <w:szCs w:val="18"/>
          <w:color w:val="auto"/>
        </w:rPr>
        <w:t>, all interchangeably as the context may require in order to fully effectuate the intent of the Member and the transactions contemplated herein. Syntax shall yield to the substance of the terms and provisions hereof.</w:t>
      </w:r>
    </w:p>
    <w:p>
      <w:pPr>
        <w:spacing w:after="0" w:line="197"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Counterparts and Facsimile Copies</w:t>
      </w:r>
      <w:r>
        <w:rPr>
          <w:rFonts w:ascii="Arial" w:cs="Arial" w:eastAsia="Arial" w:hAnsi="Arial"/>
          <w:sz w:val="18"/>
          <w:szCs w:val="18"/>
          <w:color w:val="auto"/>
        </w:rPr>
        <w:t>. Facsimile copies of this Agreement, any counterpart of this Agreement or any approval or written consent of the Member, and facsimile signatures hereon or thereon, shall have the same force and effect as originals.</w:t>
      </w:r>
    </w:p>
    <w:p>
      <w:pPr>
        <w:spacing w:after="0" w:line="186" w:lineRule="exact"/>
        <w:rPr>
          <w:sz w:val="20"/>
          <w:szCs w:val="20"/>
          <w:color w:val="auto"/>
        </w:rPr>
      </w:pPr>
    </w:p>
    <w:p>
      <w:pPr>
        <w:ind w:right="440" w:firstLine="439"/>
        <w:spacing w:after="0" w:line="259"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any application thereof, is held by a court of competent jurisdiction to be invalid, void, illegal or unenforceable to any extent, that provision, or application thereof, shall be deemed severable and the remainder of this Agreement, and all other applications of such provision, shall not be affected, impaired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20"/>
          </w:cols>
          <w:pgMar w:left="240" w:top="280" w:right="2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invalidated thereby, and shall continue in full force and effect to the fullest extent permitted by law.</w:t>
      </w:r>
    </w:p>
    <w:p>
      <w:pPr>
        <w:spacing w:after="0" w:line="225" w:lineRule="exact"/>
        <w:rPr>
          <w:sz w:val="20"/>
          <w:szCs w:val="20"/>
          <w:color w:val="auto"/>
        </w:rPr>
      </w:pPr>
    </w:p>
    <w:p>
      <w:pPr>
        <w:jc w:val="both"/>
        <w:ind w:firstLine="439"/>
        <w:spacing w:after="0" w:line="259"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Waivers</w:t>
      </w:r>
      <w:r>
        <w:rPr>
          <w:rFonts w:ascii="Arial" w:cs="Arial" w:eastAsia="Arial" w:hAnsi="Arial"/>
          <w:sz w:val="18"/>
          <w:szCs w:val="18"/>
          <w:color w:val="auto"/>
        </w:rPr>
        <w:t>. No waiver of any of the provisions of this Agreement shall be deemed, or shall constitute, a waiver of any other provision, whether or not similar, nor shall any waiver constitute a continuing waiver, and no waiver shall be binding unless evidenced by an instrument in writing and executed by the Member.</w:t>
      </w:r>
    </w:p>
    <w:p>
      <w:pPr>
        <w:spacing w:after="0" w:line="194" w:lineRule="exact"/>
        <w:rPr>
          <w:sz w:val="20"/>
          <w:szCs w:val="20"/>
          <w:color w:val="auto"/>
        </w:rPr>
      </w:pPr>
    </w:p>
    <w:p>
      <w:pPr>
        <w:ind w:firstLine="439"/>
        <w:spacing w:after="0" w:line="259"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is adopted solely by and for the benefit of the Member and its respective successors and assigns, and no other Person shall have any rights, interest or claims hereunder or be entitled to any benefits under or on account of this Agreement as a third party beneficiary or otherwise.</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Member has executed this Agreement as of the date first-above written.</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YNN</w:t>
      </w:r>
      <w:r>
        <w:rPr>
          <w:rFonts w:ascii="Arial" w:cs="Arial" w:eastAsia="Arial" w:hAnsi="Arial"/>
          <w:sz w:val="18"/>
          <w:szCs w:val="18"/>
          <w:color w:val="auto"/>
        </w:rPr>
        <w:t xml:space="preserve"> R</w:t>
      </w:r>
      <w:r>
        <w:rPr>
          <w:rFonts w:ascii="Arial" w:cs="Arial" w:eastAsia="Arial" w:hAnsi="Arial"/>
          <w:sz w:val="14"/>
          <w:szCs w:val="14"/>
          <w:color w:val="auto"/>
        </w:rPr>
        <w:t>ESORTS</w:t>
      </w:r>
      <w:r>
        <w:rPr>
          <w:rFonts w:ascii="Arial" w:cs="Arial" w:eastAsia="Arial" w:hAnsi="Arial"/>
          <w:sz w:val="18"/>
          <w:szCs w:val="18"/>
          <w:color w:val="auto"/>
        </w:rPr>
        <w:t>, L</w:t>
      </w:r>
      <w:r>
        <w:rPr>
          <w:rFonts w:ascii="Arial" w:cs="Arial" w:eastAsia="Arial" w:hAnsi="Arial"/>
          <w:sz w:val="14"/>
          <w:szCs w:val="14"/>
          <w:color w:val="auto"/>
        </w:rPr>
        <w:t>IMITED</w:t>
      </w:r>
    </w:p>
    <w:p>
      <w:pPr>
        <w:spacing w:after="0" w:line="1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 Nevada corporation</w:t>
      </w:r>
    </w:p>
    <w:p>
      <w:pPr>
        <w:spacing w:after="0" w:line="219" w:lineRule="exact"/>
        <w:rPr>
          <w:sz w:val="20"/>
          <w:szCs w:val="20"/>
          <w:color w:val="auto"/>
        </w:rPr>
      </w:pPr>
    </w:p>
    <w:p>
      <w:pPr>
        <w:ind w:left="5540"/>
        <w:spacing w:after="0"/>
        <w:tabs>
          <w:tab w:leader="none" w:pos="7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80010</wp:posOffset>
            </wp:positionV>
            <wp:extent cx="347345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14"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Stephen A. Wynn, CEO</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380"/>
          </w:cols>
          <w:pgMar w:left="240" w:top="388" w:right="279" w:bottom="1440" w:gutter="0" w:footer="0" w:header="0"/>
        </w:sectPr>
      </w:pPr>
    </w:p>
    <w:bookmarkStart w:id="172" w:name="page173"/>
    <w:bookmarkEnd w:id="172"/>
    <w:p>
      <w:pPr>
        <w:ind w:left="52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w:t>
      </w:r>
    </w:p>
    <w:p>
      <w:pPr>
        <w:sectPr>
          <w:pgSz w:w="11900" w:h="16838" w:orient="portrait"/>
          <w:cols w:equalWidth="0" w:num="1">
            <w:col w:w="10219"/>
          </w:cols>
          <w:pgMar w:left="240" w:top="388" w:right="1440"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Member’s 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Member’s Address: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Member’s Ownership Interest: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3145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w:t>
      </w:r>
    </w:p>
    <w:p>
      <w:pPr>
        <w:spacing w:after="0" w:line="200" w:lineRule="exact"/>
        <w:rPr>
          <w:sz w:val="20"/>
          <w:szCs w:val="20"/>
          <w:color w:val="auto"/>
        </w:rPr>
      </w:pPr>
    </w:p>
    <w:p>
      <w:pPr>
        <w:sectPr>
          <w:pgSz w:w="11900" w:h="16838" w:orient="portrait"/>
          <w:cols w:equalWidth="0" w:num="2">
            <w:col w:w="4980" w:space="720"/>
            <w:col w:w="4519"/>
          </w:cols>
          <w:pgMar w:left="240" w:top="388" w:right="1440" w:bottom="1440" w:gutter="0" w:footer="0" w:header="0"/>
          <w:type w:val="continuous"/>
        </w:sectPr>
      </w:pPr>
    </w:p>
    <w:p>
      <w:pPr>
        <w:spacing w:after="0" w:line="19"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- 14 -</w:t>
      </w:r>
    </w:p>
    <w:p>
      <w:pPr>
        <w:sectPr>
          <w:pgSz w:w="11900" w:h="16838" w:orient="portrait"/>
          <w:cols w:equalWidth="0" w:num="1">
            <w:col w:w="10219"/>
          </w:cols>
          <w:pgMar w:left="240" w:top="388" w:right="1440" w:bottom="1440" w:gutter="0" w:footer="0" w:header="0"/>
          <w:type w:val="continuous"/>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10.83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13" w:lineRule="exact"/>
        <w:rPr>
          <w:sz w:val="20"/>
          <w:szCs w:val="20"/>
          <w:color w:val="auto"/>
        </w:rPr>
      </w:pPr>
    </w:p>
    <w:p>
      <w:pPr>
        <w:jc w:val="both"/>
        <w:ind w:right="200" w:firstLine="436"/>
        <w:spacing w:after="0" w:line="262" w:lineRule="auto"/>
        <w:rPr>
          <w:sz w:val="20"/>
          <w:szCs w:val="20"/>
          <w:color w:val="auto"/>
        </w:rPr>
      </w:pPr>
      <w:r>
        <w:rPr>
          <w:rFonts w:ascii="Arial" w:cs="Arial" w:eastAsia="Arial" w:hAnsi="Arial"/>
          <w:sz w:val="18"/>
          <w:szCs w:val="18"/>
          <w:color w:val="auto"/>
        </w:rPr>
        <w:t>This FIRST AMENDMENT TO EMPLOYMENT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as of December 11, 2002, by and between Wynn Resorts, Limited (“</w:t>
      </w:r>
      <w:r>
        <w:rPr>
          <w:rFonts w:ascii="Arial" w:cs="Arial" w:eastAsia="Arial" w:hAnsi="Arial"/>
          <w:sz w:val="18"/>
          <w:szCs w:val="18"/>
          <w:b w:val="1"/>
          <w:bCs w:val="1"/>
          <w:color w:val="auto"/>
        </w:rPr>
        <w:t>Employer</w:t>
      </w:r>
      <w:r>
        <w:rPr>
          <w:rFonts w:ascii="Arial" w:cs="Arial" w:eastAsia="Arial" w:hAnsi="Arial"/>
          <w:sz w:val="18"/>
          <w:szCs w:val="18"/>
          <w:color w:val="auto"/>
        </w:rPr>
        <w:t>”) and John Strzemp (“</w:t>
      </w:r>
      <w:r>
        <w:rPr>
          <w:rFonts w:ascii="Arial" w:cs="Arial" w:eastAsia="Arial" w:hAnsi="Arial"/>
          <w:sz w:val="18"/>
          <w:szCs w:val="18"/>
          <w:b w:val="1"/>
          <w:bCs w:val="1"/>
          <w:color w:val="auto"/>
        </w:rPr>
        <w:t>Employee</w:t>
      </w:r>
      <w:r>
        <w:rPr>
          <w:rFonts w:ascii="Arial" w:cs="Arial" w:eastAsia="Arial" w:hAnsi="Arial"/>
          <w:sz w:val="18"/>
          <w:szCs w:val="18"/>
          <w:color w:val="auto"/>
        </w:rPr>
        <w:t>”). Capitalized terms that are not defined herein shall have the meanings ascribed to them in the Agreement (as defined below).</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Employer and Employee have entered into that certain Employment Agreement, dated as of September 9, 2002 (the “</w:t>
      </w:r>
      <w:r>
        <w:rPr>
          <w:rFonts w:ascii="Arial" w:cs="Arial" w:eastAsia="Arial" w:hAnsi="Arial"/>
          <w:sz w:val="16"/>
          <w:szCs w:val="16"/>
          <w:b w:val="1"/>
          <w:bCs w:val="1"/>
          <w:color w:val="auto"/>
        </w:rPr>
        <w:t>Agreement</w:t>
      </w:r>
      <w:r>
        <w:rPr>
          <w:rFonts w:ascii="Arial" w:cs="Arial" w:eastAsia="Arial" w:hAnsi="Arial"/>
          <w:sz w:val="16"/>
          <w:szCs w:val="16"/>
          <w:color w:val="auto"/>
        </w:rPr>
        <w:t>”); and</w:t>
      </w:r>
    </w:p>
    <w:p>
      <w:pPr>
        <w:spacing w:after="0" w:line="254" w:lineRule="exact"/>
        <w:rPr>
          <w:sz w:val="20"/>
          <w:szCs w:val="20"/>
          <w:color w:val="auto"/>
        </w:rPr>
      </w:pPr>
    </w:p>
    <w:p>
      <w:pPr>
        <w:ind w:right="560" w:firstLine="436"/>
        <w:spacing w:after="0" w:line="332" w:lineRule="auto"/>
        <w:rPr>
          <w:sz w:val="20"/>
          <w:szCs w:val="20"/>
          <w:color w:val="auto"/>
        </w:rPr>
      </w:pPr>
      <w:r>
        <w:rPr>
          <w:rFonts w:ascii="Arial" w:cs="Arial" w:eastAsia="Arial" w:hAnsi="Arial"/>
          <w:sz w:val="16"/>
          <w:szCs w:val="16"/>
          <w:color w:val="auto"/>
        </w:rPr>
        <w:t>WHEREAS, the Agreement provides for Employer to pay Employee a Base Salary of Four Hundred Fifty Thousand Dollars ($459,000.00) until the expiration date of October 31, 2004, unless the Base Salary is increased at the discretion of Employer’s Board of Directors; and</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Employer is willing and Employee desires to extend the Term of the Agreement on the terms and pursuant to the conditions set forth herein;</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NOW, THEREFORE, in consideration of the foregoing and the respective representations, warranties, covenants and agreements set forth in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Amendment, the parties hereto agree as follows:</w:t>
      </w:r>
    </w:p>
    <w:p>
      <w:pPr>
        <w:spacing w:after="0" w:line="219" w:lineRule="exact"/>
        <w:rPr>
          <w:sz w:val="20"/>
          <w:szCs w:val="20"/>
          <w:color w:val="auto"/>
        </w:rPr>
      </w:pPr>
    </w:p>
    <w:p>
      <w:pPr>
        <w:ind w:left="1020" w:hanging="573"/>
        <w:spacing w:after="0"/>
        <w:tabs>
          <w:tab w:leader="none" w:pos="10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Section 6 of the Agreement is hereby amended to read as follows:</w:t>
      </w:r>
    </w:p>
    <w:p>
      <w:pPr>
        <w:spacing w:after="0" w:line="219" w:lineRule="exact"/>
        <w:rPr>
          <w:sz w:val="20"/>
          <w:szCs w:val="20"/>
          <w:color w:val="auto"/>
        </w:rPr>
      </w:pPr>
    </w:p>
    <w:p>
      <w:pPr>
        <w:ind w:left="580" w:right="380" w:firstLine="527"/>
        <w:spacing w:after="0" w:line="275" w:lineRule="auto"/>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Unless sooner terminated as provided in this Agreement, the Term of the Agreement shall commence on the Effective Date and terminate at the end of the day on October 31, 2005.”</w:t>
      </w:r>
    </w:p>
    <w:p>
      <w:pPr>
        <w:spacing w:after="0" w:line="180" w:lineRule="exact"/>
        <w:rPr>
          <w:sz w:val="20"/>
          <w:szCs w:val="20"/>
          <w:color w:val="auto"/>
        </w:rPr>
      </w:pPr>
    </w:p>
    <w:p>
      <w:pPr>
        <w:ind w:left="1020" w:hanging="573"/>
        <w:spacing w:after="0"/>
        <w:tabs>
          <w:tab w:leader="none" w:pos="10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Effective November 1, 2002, Subsection 8(a) of the Agreement is hereby amended to read as follows:</w:t>
      </w:r>
    </w:p>
    <w:p>
      <w:pPr>
        <w:spacing w:after="0" w:line="219" w:lineRule="exact"/>
        <w:rPr>
          <w:sz w:val="20"/>
          <w:szCs w:val="20"/>
          <w:color w:val="auto"/>
        </w:rPr>
      </w:pPr>
    </w:p>
    <w:p>
      <w:pPr>
        <w:ind w:left="580" w:right="80" w:firstLine="527"/>
        <w:spacing w:after="0" w:line="293"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u w:val="single" w:color="auto"/>
          <w:color w:val="auto"/>
        </w:rPr>
        <w:t>BASE SALARY</w:t>
      </w:r>
      <w:r>
        <w:rPr>
          <w:rFonts w:ascii="Arial" w:cs="Arial" w:eastAsia="Arial" w:hAnsi="Arial"/>
          <w:sz w:val="16"/>
          <w:szCs w:val="16"/>
          <w:color w:val="auto"/>
        </w:rPr>
        <w:t>. Employer hereby covenants and agrees to pay to Employee, and Employee hereby covenants and agrees to accept from Employer, a base salary at the rate of Five Hundred Nine Thousand Dollars ($509,000.00) per annum during the Term, payable in such weekly, bi-weekly or semi-monthly installments as shall be convenient to Employer (the “</w:t>
      </w:r>
      <w:r>
        <w:rPr>
          <w:rFonts w:ascii="Arial" w:cs="Arial" w:eastAsia="Arial" w:hAnsi="Arial"/>
          <w:sz w:val="16"/>
          <w:szCs w:val="16"/>
          <w:b w:val="1"/>
          <w:bCs w:val="1"/>
          <w:color w:val="auto"/>
        </w:rPr>
        <w:t>Base Salary</w:t>
      </w:r>
      <w:r>
        <w:rPr>
          <w:rFonts w:ascii="Arial" w:cs="Arial" w:eastAsia="Arial" w:hAnsi="Arial"/>
          <w:sz w:val="16"/>
          <w:szCs w:val="16"/>
          <w:color w:val="auto"/>
        </w:rPr>
        <w:t>”). Employee’s Base Salary shall be exclusive of and in addition to any other benefits which Employer, in its sole discretion, may make available to Employee, including, but not limited to, those benefits described in Subparagraphs 8(b) through (e) of this Agreement. Employee’s Base Salary shall be subject to merit review by Employer’s Board of Directors periodically, and may be increased, but not decreased, as a result of any such review.”</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125" w:right="239" w:bottom="1440" w:gutter="0" w:footer="0" w:header="0"/>
        </w:sectPr>
      </w:pPr>
    </w:p>
    <w:bookmarkStart w:id="174" w:name="page175"/>
    <w:bookmarkEnd w:id="174"/>
    <w:p>
      <w:pPr>
        <w:jc w:val="both"/>
        <w:ind w:right="280" w:firstLine="447"/>
        <w:spacing w:after="0" w:line="306" w:lineRule="auto"/>
        <w:tabs>
          <w:tab w:leader="none" w:pos="1010"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Provisions of Original Letter of Intent</w:t>
      </w:r>
      <w:r>
        <w:rPr>
          <w:rFonts w:ascii="Arial" w:cs="Arial" w:eastAsia="Arial" w:hAnsi="Arial"/>
          <w:sz w:val="16"/>
          <w:szCs w:val="16"/>
          <w:color w:val="auto"/>
        </w:rPr>
        <w:t>. Notwithstanding any of the foregoing, the parties hereto acknowledge that the Agreement is being modified only as stated herein, and agree that nothing else in the Agreement shall be affected by this Amendment. Specifically, nothing in this Amendment is intended to alter the vesting date of any restricted stock heretofore granted or promised to be granted by Employer to Employee.</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parties hereto have caused this Amendment to be executed as of the date first written above.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YNN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ESORTS</w:t>
            </w:r>
            <w:r>
              <w:rPr>
                <w:rFonts w:ascii="Arial" w:cs="Arial" w:eastAsia="Arial" w:hAnsi="Arial"/>
                <w:sz w:val="18"/>
                <w:szCs w:val="18"/>
                <w:b w:val="1"/>
                <w:bCs w:val="1"/>
                <w:color w:val="auto"/>
              </w:rPr>
              <w:t>, L</w:t>
            </w:r>
            <w:r>
              <w:rPr>
                <w:rFonts w:ascii="Arial" w:cs="Arial" w:eastAsia="Arial" w:hAnsi="Arial"/>
                <w:sz w:val="14"/>
                <w:szCs w:val="14"/>
                <w:b w:val="1"/>
                <w:bCs w:val="1"/>
                <w:color w:val="auto"/>
              </w:rPr>
              <w:t>IMITED</w:t>
            </w:r>
          </w:p>
        </w:tc>
        <w:tc>
          <w:tcPr>
            <w:tcW w:w="2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EMPLOYEE</w:t>
            </w:r>
          </w:p>
        </w:tc>
      </w:tr>
      <w:tr>
        <w:trPr>
          <w:trHeight w:val="432"/>
        </w:trPr>
        <w:tc>
          <w:tcPr>
            <w:tcW w:w="2140" w:type="dxa"/>
            <w:vAlign w:val="bottom"/>
            <w:gridSpan w:val="2"/>
          </w:tcPr>
          <w:p>
            <w:pPr>
              <w:spacing w:after="0"/>
              <w:rPr>
                <w:sz w:val="20"/>
                <w:szCs w:val="20"/>
                <w:color w:val="auto"/>
              </w:rPr>
            </w:pPr>
            <w:r>
              <w:rPr>
                <w:rFonts w:ascii="Arial" w:cs="Arial" w:eastAsia="Arial" w:hAnsi="Arial"/>
                <w:sz w:val="18"/>
                <w:szCs w:val="18"/>
                <w:color w:val="auto"/>
              </w:rPr>
              <w:t>By:</w:t>
            </w:r>
          </w:p>
        </w:tc>
        <w:tc>
          <w:tcPr>
            <w:tcW w:w="2540" w:type="dxa"/>
            <w:vAlign w:val="bottom"/>
          </w:tcPr>
          <w:p>
            <w:pPr>
              <w:jc w:val="center"/>
              <w:ind w:right="706"/>
              <w:spacing w:after="0"/>
              <w:rPr>
                <w:sz w:val="20"/>
                <w:szCs w:val="20"/>
                <w:color w:val="auto"/>
              </w:rPr>
            </w:pPr>
            <w:r>
              <w:rPr>
                <w:rFonts w:ascii="Arial" w:cs="Arial" w:eastAsia="Arial" w:hAnsi="Arial"/>
                <w:sz w:val="18"/>
                <w:szCs w:val="18"/>
                <w:color w:val="auto"/>
                <w:w w:val="95"/>
              </w:rPr>
              <w:t>/s/ M</w:t>
            </w:r>
            <w:r>
              <w:rPr>
                <w:rFonts w:ascii="Arial" w:cs="Arial" w:eastAsia="Arial" w:hAnsi="Arial"/>
                <w:sz w:val="14"/>
                <w:szCs w:val="14"/>
                <w:color w:val="auto"/>
                <w:w w:val="95"/>
              </w:rPr>
              <w:t>ARC</w:t>
            </w:r>
            <w:r>
              <w:rPr>
                <w:rFonts w:ascii="Arial" w:cs="Arial" w:eastAsia="Arial" w:hAnsi="Arial"/>
                <w:sz w:val="18"/>
                <w:szCs w:val="18"/>
                <w:color w:val="auto"/>
                <w:w w:val="95"/>
              </w:rPr>
              <w:t xml:space="preserve"> D. S</w:t>
            </w:r>
            <w:r>
              <w:rPr>
                <w:rFonts w:ascii="Arial" w:cs="Arial" w:eastAsia="Arial" w:hAnsi="Arial"/>
                <w:sz w:val="14"/>
                <w:szCs w:val="14"/>
                <w:color w:val="auto"/>
                <w:w w:val="95"/>
              </w:rPr>
              <w:t>CHORR</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20" w:type="dxa"/>
            <w:vAlign w:val="bottom"/>
          </w:tcPr>
          <w:p>
            <w:pPr>
              <w:jc w:val="center"/>
              <w:spacing w:after="0"/>
              <w:rPr>
                <w:sz w:val="20"/>
                <w:szCs w:val="20"/>
                <w:color w:val="auto"/>
              </w:rPr>
            </w:pPr>
            <w:r>
              <w:rPr>
                <w:rFonts w:ascii="Arial" w:cs="Arial" w:eastAsia="Arial" w:hAnsi="Arial"/>
                <w:sz w:val="18"/>
                <w:szCs w:val="18"/>
                <w:color w:val="auto"/>
                <w:w w:val="93"/>
              </w:rPr>
              <w:t>/s/ J</w:t>
            </w:r>
            <w:r>
              <w:rPr>
                <w:rFonts w:ascii="Arial" w:cs="Arial" w:eastAsia="Arial" w:hAnsi="Arial"/>
                <w:sz w:val="14"/>
                <w:szCs w:val="14"/>
                <w:color w:val="auto"/>
                <w:w w:val="93"/>
              </w:rPr>
              <w:t>OHN</w:t>
            </w:r>
            <w:r>
              <w:rPr>
                <w:rFonts w:ascii="Arial" w:cs="Arial" w:eastAsia="Arial" w:hAnsi="Arial"/>
                <w:sz w:val="18"/>
                <w:szCs w:val="18"/>
                <w:color w:val="auto"/>
                <w:w w:val="93"/>
              </w:rPr>
              <w:t xml:space="preserve"> S</w:t>
            </w:r>
            <w:r>
              <w:rPr>
                <w:rFonts w:ascii="Arial" w:cs="Arial" w:eastAsia="Arial" w:hAnsi="Arial"/>
                <w:sz w:val="14"/>
                <w:szCs w:val="14"/>
                <w:color w:val="auto"/>
                <w:w w:val="93"/>
              </w:rPr>
              <w:t>TRZEMP</w:t>
            </w:r>
          </w:p>
        </w:tc>
      </w:tr>
      <w:tr>
        <w:trPr>
          <w:trHeight w:val="110"/>
        </w:trPr>
        <w:tc>
          <w:tcPr>
            <w:tcW w:w="340" w:type="dxa"/>
            <w:vAlign w:val="bottom"/>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25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520" w:type="dxa"/>
            <w:vAlign w:val="bottom"/>
            <w:tcBorders>
              <w:bottom w:val="single" w:sz="8" w:color="auto"/>
            </w:tcBorders>
          </w:tcPr>
          <w:p>
            <w:pPr>
              <w:spacing w:after="0"/>
              <w:rPr>
                <w:sz w:val="9"/>
                <w:szCs w:val="9"/>
                <w:color w:val="auto"/>
              </w:rPr>
            </w:pPr>
          </w:p>
        </w:tc>
      </w:tr>
      <w:tr>
        <w:trPr>
          <w:trHeight w:val="237"/>
        </w:trPr>
        <w:tc>
          <w:tcPr>
            <w:tcW w:w="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540" w:type="dxa"/>
            <w:vAlign w:val="bottom"/>
          </w:tcPr>
          <w:p>
            <w:pPr>
              <w:jc w:val="center"/>
              <w:ind w:right="686"/>
              <w:spacing w:after="0"/>
              <w:rPr>
                <w:sz w:val="20"/>
                <w:szCs w:val="20"/>
                <w:color w:val="auto"/>
              </w:rPr>
            </w:pPr>
            <w:r>
              <w:rPr>
                <w:rFonts w:ascii="Arial" w:cs="Arial" w:eastAsia="Arial" w:hAnsi="Arial"/>
                <w:sz w:val="14"/>
                <w:szCs w:val="14"/>
                <w:b w:val="1"/>
                <w:bCs w:val="1"/>
                <w:color w:val="auto"/>
                <w:w w:val="90"/>
              </w:rPr>
              <w:t>Marc D. Schorr</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tcPr>
          <w:p>
            <w:pPr>
              <w:jc w:val="center"/>
              <w:spacing w:after="0"/>
              <w:rPr>
                <w:sz w:val="20"/>
                <w:szCs w:val="20"/>
                <w:color w:val="auto"/>
              </w:rPr>
            </w:pPr>
            <w:r>
              <w:rPr>
                <w:rFonts w:ascii="Arial" w:cs="Arial" w:eastAsia="Arial" w:hAnsi="Arial"/>
                <w:sz w:val="14"/>
                <w:szCs w:val="14"/>
                <w:b w:val="1"/>
                <w:bCs w:val="1"/>
                <w:color w:val="auto"/>
                <w:w w:val="88"/>
              </w:rPr>
              <w:t>John Strzemp</w:t>
            </w:r>
          </w:p>
        </w:tc>
      </w:tr>
      <w:tr>
        <w:trPr>
          <w:trHeight w:val="174"/>
        </w:trPr>
        <w:tc>
          <w:tcPr>
            <w:tcW w:w="3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540" w:type="dxa"/>
            <w:vAlign w:val="bottom"/>
          </w:tcPr>
          <w:p>
            <w:pPr>
              <w:jc w:val="center"/>
              <w:ind w:right="686"/>
              <w:spacing w:after="0"/>
              <w:rPr>
                <w:sz w:val="20"/>
                <w:szCs w:val="20"/>
                <w:color w:val="auto"/>
              </w:rPr>
            </w:pPr>
            <w:r>
              <w:rPr>
                <w:rFonts w:ascii="Arial" w:cs="Arial" w:eastAsia="Arial" w:hAnsi="Arial"/>
                <w:sz w:val="14"/>
                <w:szCs w:val="14"/>
                <w:b w:val="1"/>
                <w:bCs w:val="1"/>
                <w:color w:val="auto"/>
                <w:w w:val="89"/>
              </w:rPr>
              <w:t>Chief Operating Officer</w:t>
            </w: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520" w:type="dxa"/>
            <w:vAlign w:val="bottom"/>
          </w:tcPr>
          <w:p>
            <w:pPr>
              <w:spacing w:after="0"/>
              <w:rPr>
                <w:sz w:val="15"/>
                <w:szCs w:val="15"/>
                <w:color w:val="auto"/>
              </w:rPr>
            </w:pPr>
          </w:p>
        </w:tc>
      </w:tr>
      <w:tr>
        <w:trPr>
          <w:trHeight w:val="417"/>
        </w:trPr>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- 2 -</w:t>
            </w:r>
          </w:p>
        </w:tc>
        <w:tc>
          <w:tcPr>
            <w:tcW w:w="5520" w:type="dxa"/>
            <w:vAlign w:val="bottom"/>
          </w:tcPr>
          <w:p>
            <w:pPr>
              <w:spacing w:after="0"/>
              <w:rPr>
                <w:sz w:val="24"/>
                <w:szCs w:val="24"/>
                <w:color w:val="auto"/>
              </w:rPr>
            </w:pPr>
          </w:p>
        </w:tc>
      </w:tr>
    </w:tbl>
    <w:p>
      <w:pPr>
        <w:sectPr>
          <w:pgSz w:w="11900" w:h="16838" w:orient="portrait"/>
          <w:cols w:equalWidth="0" w:num="1">
            <w:col w:w="11440"/>
          </w:cols>
          <w:pgMar w:left="240" w:top="388" w:right="219" w:bottom="1440" w:gutter="0" w:footer="0" w:header="0"/>
        </w:sectPr>
      </w:pPr>
    </w:p>
    <w:bookmarkStart w:id="175" w:name="page176"/>
    <w:bookmarkEnd w:id="175"/>
    <w:p>
      <w:pPr>
        <w:jc w:val="center"/>
        <w:ind w:right="-459"/>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SUBSIDIARIES OF WYNN RESORTS, LIMITED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Wynn Design &amp; Development, LLC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Desert Inn Water Company, LLC</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Desert Inn Improvement Co.</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Wynn Resorts Holdings, LLC</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Palo, LLC (a Delaware limited liability company)</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Wynn Las Vegas, LLC (dba Le Rêve)</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Wynn Completion Guarantor, LLC</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Las Vegas Jet, LLC</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World Travel,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Toasty,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Rambas Marketing,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Worldwide Wynn,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Kevyn,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Group Asia, Inc.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Wynn Resorts, International (an Isle of Man corporation)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Wynn Resorts (Macau) Holdings, Ltd. (an Isle of Man corporation – 65.7% of value; 79.3% of votes)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Wynn Resorts (Macau), Ltd. (1)</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Wynn Resorts (Macau), S.A. (2) (51%; 39% of capital and 49% of dividends owned by Wynn Resorts International, Ltd.)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subsidiaries are formed in the State of Nevada and wholly-owned unless otherwise specifically identified.</w:t>
      </w:r>
    </w:p>
    <w:p>
      <w:pPr>
        <w:spacing w:after="0" w:line="231" w:lineRule="exact"/>
        <w:rPr>
          <w:sz w:val="20"/>
          <w:szCs w:val="20"/>
          <w:color w:val="auto"/>
        </w:rPr>
      </w:pPr>
    </w:p>
    <w:p>
      <w:pPr>
        <w:ind w:left="460" w:hanging="452"/>
        <w:spacing w:after="0"/>
        <w:tabs>
          <w:tab w:leader="none" w:pos="4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 company organized and existing under the laws of Hong Kong Special Administrative Region of the People’s Republic of China</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 company organized and existing under the laws of Macau Special Administrative Region of the People’s Republic of China</w:t>
      </w:r>
    </w:p>
    <w:p>
      <w:pPr>
        <w:sectPr>
          <w:pgSz w:w="11900" w:h="16838" w:orient="portrait"/>
          <w:cols w:equalWidth="0" w:num="1">
            <w:col w:w="10960"/>
          </w:cols>
          <w:pgMar w:left="240" w:top="125" w:right="699" w:bottom="1440" w:gutter="0" w:footer="0" w:header="0"/>
        </w:sectPr>
      </w:pPr>
    </w:p>
    <w:bookmarkStart w:id="176" w:name="page177"/>
    <w:bookmarkEnd w:id="176"/>
    <w:p>
      <w:pPr>
        <w:jc w:val="center"/>
        <w:ind w:right="-139"/>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AUDITORS’ CONSENT</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consent to the incorporation by reference in Registration Statement No. 333-100891 of Wynn Resorts, Limited on Form S-8 of our report dated February 21, 2003 appearing in this Annual Report on Form 10-K of Wynn Resorts, Limited for the year ended December 31, 2002.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45630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28, 2003</w:t>
      </w:r>
    </w:p>
    <w:p>
      <w:pPr>
        <w:sectPr>
          <w:pgSz w:w="11900" w:h="16838" w:orient="portrait"/>
          <w:cols w:equalWidth="0" w:num="1">
            <w:col w:w="11280"/>
          </w:cols>
          <w:pgMar w:left="240" w:top="125" w:right="37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9" w:lineRule="exact"/>
        <w:rPr>
          <w:sz w:val="20"/>
          <w:szCs w:val="20"/>
          <w:color w:val="auto"/>
        </w:rPr>
      </w:pPr>
    </w:p>
    <w:p>
      <w:pPr>
        <w:ind w:right="340" w:firstLine="439"/>
        <w:spacing w:after="0" w:line="268" w:lineRule="auto"/>
        <w:rPr>
          <w:sz w:val="20"/>
          <w:szCs w:val="20"/>
          <w:color w:val="auto"/>
        </w:rPr>
      </w:pPr>
      <w:r>
        <w:rPr>
          <w:rFonts w:ascii="Arial" w:cs="Arial" w:eastAsia="Arial" w:hAnsi="Arial"/>
          <w:sz w:val="18"/>
          <w:szCs w:val="18"/>
          <w:color w:val="auto"/>
        </w:rPr>
        <w:t>Pursuant to the requirements of Section 906 of the Sarbanes-Oxley Act of 2002 (18 U.S.C. Sections 1350(a) and (b)), the undersigned hereby certify as follows:</w:t>
      </w:r>
    </w:p>
    <w:p>
      <w:pPr>
        <w:spacing w:after="0" w:line="186" w:lineRule="exact"/>
        <w:rPr>
          <w:sz w:val="20"/>
          <w:szCs w:val="20"/>
          <w:color w:val="auto"/>
        </w:rPr>
      </w:pPr>
    </w:p>
    <w:p>
      <w:pPr>
        <w:ind w:left="440" w:hanging="432"/>
        <w:spacing w:after="0"/>
        <w:tabs>
          <w:tab w:leader="none" w:pos="4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Stephen A. Wynn is the Chief Executive Officer of Wynn Resorts, Limited (the “Company”).</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undersigned certifies to the best of his knowledge:</w:t>
      </w:r>
    </w:p>
    <w:p>
      <w:pPr>
        <w:spacing w:after="0" w:line="225" w:lineRule="exact"/>
        <w:rPr>
          <w:rFonts w:ascii="Arial" w:cs="Arial" w:eastAsia="Arial" w:hAnsi="Arial"/>
          <w:sz w:val="18"/>
          <w:szCs w:val="18"/>
          <w:color w:val="auto"/>
        </w:rPr>
      </w:pPr>
    </w:p>
    <w:p>
      <w:pPr>
        <w:ind w:left="1260" w:right="240" w:hanging="806"/>
        <w:spacing w:after="0" w:line="253" w:lineRule="auto"/>
        <w:tabs>
          <w:tab w:leader="none" w:pos="126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The Company’s Form 10-K for the annual period ended December 31, 2002 accompanying this Certification, in the form filed with the Securities and Exchange Commission (the “Report”) fully complies with the requirements of Section 13(a) of the Securities Exchange Act of 1934 (the “Exchange Act”); and</w:t>
      </w:r>
    </w:p>
    <w:p>
      <w:pPr>
        <w:ind w:left="1260" w:hanging="806"/>
        <w:spacing w:after="0"/>
        <w:tabs>
          <w:tab w:leader="none" w:pos="126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The information in the Report fairly presents, in all material respects, the financial condition and results of operations of the Company.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Dated: March 26, 2003</w:t>
      </w:r>
    </w:p>
    <w:p>
      <w:pPr>
        <w:spacing w:after="0" w:line="225"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80010</wp:posOffset>
            </wp:positionV>
            <wp:extent cx="363601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214" w:lineRule="exact"/>
        <w:rPr>
          <w:sz w:val="20"/>
          <w:szCs w:val="20"/>
          <w:color w:val="auto"/>
        </w:rPr>
      </w:pPr>
    </w:p>
    <w:p>
      <w:pPr>
        <w:jc w:val="center"/>
        <w:ind w:left="5680"/>
        <w:spacing w:after="0"/>
        <w:rPr>
          <w:sz w:val="20"/>
          <w:szCs w:val="20"/>
          <w:color w:val="auto"/>
        </w:rPr>
      </w:pPr>
      <w:r>
        <w:rPr>
          <w:rFonts w:ascii="Arial" w:cs="Arial" w:eastAsia="Arial" w:hAnsi="Arial"/>
          <w:sz w:val="14"/>
          <w:szCs w:val="14"/>
          <w:b w:val="1"/>
          <w:bCs w:val="1"/>
          <w:color w:val="auto"/>
        </w:rPr>
        <w:t>Stephen A. Wynn</w:t>
      </w:r>
    </w:p>
    <w:p>
      <w:pPr>
        <w:jc w:val="center"/>
        <w:ind w:left="5720"/>
        <w:spacing w:after="0" w:line="223" w:lineRule="auto"/>
        <w:rPr>
          <w:sz w:val="20"/>
          <w:szCs w:val="20"/>
          <w:color w:val="auto"/>
        </w:rPr>
      </w:pPr>
      <w:r>
        <w:rPr>
          <w:rFonts w:ascii="Arial" w:cs="Arial" w:eastAsia="Arial" w:hAnsi="Arial"/>
          <w:sz w:val="14"/>
          <w:szCs w:val="14"/>
          <w:b w:val="1"/>
          <w:bCs w:val="1"/>
          <w:color w:val="auto"/>
        </w:rPr>
        <w:t>Chairman of the Board and Chief Executive Officer</w:t>
      </w:r>
    </w:p>
    <w:p>
      <w:pPr>
        <w:jc w:val="center"/>
        <w:ind w:left="57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9" w:lineRule="exact"/>
        <w:rPr>
          <w:sz w:val="20"/>
          <w:szCs w:val="20"/>
          <w:color w:val="auto"/>
        </w:rPr>
      </w:pPr>
    </w:p>
    <w:p>
      <w:pPr>
        <w:ind w:right="340" w:firstLine="439"/>
        <w:spacing w:after="0" w:line="268" w:lineRule="auto"/>
        <w:rPr>
          <w:sz w:val="20"/>
          <w:szCs w:val="20"/>
          <w:color w:val="auto"/>
        </w:rPr>
      </w:pPr>
      <w:r>
        <w:rPr>
          <w:rFonts w:ascii="Arial" w:cs="Arial" w:eastAsia="Arial" w:hAnsi="Arial"/>
          <w:sz w:val="18"/>
          <w:szCs w:val="18"/>
          <w:color w:val="auto"/>
        </w:rPr>
        <w:t>Pursuant to the requirements of Section 906 of the Sarbanes-Oxley Act of 2002 (18 U.S.C. Sections 1350(a) and (b)), the undersigned hereby certify as follows:</w:t>
      </w:r>
    </w:p>
    <w:p>
      <w:pPr>
        <w:spacing w:after="0" w:line="186" w:lineRule="exact"/>
        <w:rPr>
          <w:sz w:val="20"/>
          <w:szCs w:val="20"/>
          <w:color w:val="auto"/>
        </w:rPr>
      </w:pPr>
    </w:p>
    <w:p>
      <w:pPr>
        <w:ind w:left="440" w:hanging="432"/>
        <w:spacing w:after="0"/>
        <w:tabs>
          <w:tab w:leader="none" w:pos="4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John Strzemp is the Chief Financial Officer of Wynn Resorts, Limited (the “Company”).</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undersigned certifies to the best of his knowledge:</w:t>
      </w:r>
    </w:p>
    <w:p>
      <w:pPr>
        <w:spacing w:after="0" w:line="225" w:lineRule="exact"/>
        <w:rPr>
          <w:rFonts w:ascii="Arial" w:cs="Arial" w:eastAsia="Arial" w:hAnsi="Arial"/>
          <w:sz w:val="18"/>
          <w:szCs w:val="18"/>
          <w:color w:val="auto"/>
        </w:rPr>
      </w:pPr>
    </w:p>
    <w:p>
      <w:pPr>
        <w:ind w:left="1260" w:right="240" w:hanging="806"/>
        <w:spacing w:after="0" w:line="253" w:lineRule="auto"/>
        <w:tabs>
          <w:tab w:leader="none" w:pos="12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Company’s Form 10-K for the annual period ended December 31, 2002 accompanying this Certification, in the form filed with the Securities and Exchange Commission (the “Report”) fully complies with the requirements of Section 13(a) of the Securities Exchange Act of 1934 (the “Exchange Act”); and</w:t>
      </w:r>
    </w:p>
    <w:p>
      <w:pPr>
        <w:ind w:left="1260" w:hanging="806"/>
        <w:spacing w:after="0"/>
        <w:tabs>
          <w:tab w:leader="none" w:pos="126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The information in the Report fairly presents, in all material respects, the financial condition and results of operations of the Company.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Dated: March 26, 2003</w:t>
      </w:r>
    </w:p>
    <w:p>
      <w:pPr>
        <w:spacing w:after="0" w:line="225"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OHN</w:t>
      </w:r>
      <w:r>
        <w:rPr>
          <w:rFonts w:ascii="Arial" w:cs="Arial" w:eastAsia="Arial" w:hAnsi="Arial"/>
          <w:sz w:val="18"/>
          <w:szCs w:val="18"/>
          <w:color w:val="auto"/>
        </w:rPr>
        <w:t xml:space="preserve"> S</w:t>
      </w:r>
      <w:r>
        <w:rPr>
          <w:rFonts w:ascii="Arial" w:cs="Arial" w:eastAsia="Arial" w:hAnsi="Arial"/>
          <w:sz w:val="14"/>
          <w:szCs w:val="14"/>
          <w:color w:val="auto"/>
        </w:rPr>
        <w:t>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80010</wp:posOffset>
            </wp:positionV>
            <wp:extent cx="363601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214" w:lineRule="exact"/>
        <w:rPr>
          <w:sz w:val="20"/>
          <w:szCs w:val="20"/>
          <w:color w:val="auto"/>
        </w:rPr>
      </w:pPr>
    </w:p>
    <w:p>
      <w:pPr>
        <w:jc w:val="center"/>
        <w:ind w:left="5720"/>
        <w:spacing w:after="0"/>
        <w:rPr>
          <w:sz w:val="20"/>
          <w:szCs w:val="20"/>
          <w:color w:val="auto"/>
        </w:rPr>
      </w:pPr>
      <w:r>
        <w:rPr>
          <w:rFonts w:ascii="Arial" w:cs="Arial" w:eastAsia="Arial" w:hAnsi="Arial"/>
          <w:sz w:val="14"/>
          <w:szCs w:val="14"/>
          <w:b w:val="1"/>
          <w:bCs w:val="1"/>
          <w:color w:val="auto"/>
        </w:rPr>
        <w:t>John Strzemp</w:t>
      </w:r>
    </w:p>
    <w:p>
      <w:pPr>
        <w:jc w:val="center"/>
        <w:ind w:left="5720"/>
        <w:spacing w:after="0" w:line="223" w:lineRule="auto"/>
        <w:rPr>
          <w:sz w:val="20"/>
          <w:szCs w:val="20"/>
          <w:color w:val="auto"/>
        </w:rPr>
      </w:pPr>
      <w:r>
        <w:rPr>
          <w:rFonts w:ascii="Arial" w:cs="Arial" w:eastAsia="Arial" w:hAnsi="Arial"/>
          <w:sz w:val="14"/>
          <w:szCs w:val="14"/>
          <w:b w:val="1"/>
          <w:bCs w:val="1"/>
          <w:color w:val="auto"/>
        </w:rPr>
        <w:t>Executive Vice President and</w:t>
      </w:r>
    </w:p>
    <w:p>
      <w:pPr>
        <w:jc w:val="center"/>
        <w:ind w:left="5720"/>
        <w:spacing w:after="0" w:line="222" w:lineRule="auto"/>
        <w:rPr>
          <w:sz w:val="20"/>
          <w:szCs w:val="20"/>
          <w:color w:val="auto"/>
        </w:rPr>
      </w:pPr>
      <w:r>
        <w:rPr>
          <w:rFonts w:ascii="Arial" w:cs="Arial" w:eastAsia="Arial" w:hAnsi="Arial"/>
          <w:sz w:val="14"/>
          <w:szCs w:val="14"/>
          <w:b w:val="1"/>
          <w:bCs w:val="1"/>
          <w:color w:val="auto"/>
        </w:rPr>
        <w:t>Chief Financial Officer</w:t>
      </w:r>
    </w:p>
    <w:p>
      <w:pPr>
        <w:jc w:val="center"/>
        <w:ind w:left="5720"/>
        <w:spacing w:after="0"/>
        <w:rPr>
          <w:sz w:val="20"/>
          <w:szCs w:val="20"/>
          <w:color w:val="auto"/>
        </w:rPr>
      </w:pPr>
      <w:r>
        <w:rPr>
          <w:rFonts w:ascii="Arial" w:cs="Arial" w:eastAsia="Arial" w:hAnsi="Arial"/>
          <w:sz w:val="14"/>
          <w:szCs w:val="14"/>
          <w:b w:val="1"/>
          <w:bCs w:val="1"/>
          <w:color w:val="auto"/>
        </w:rPr>
        <w:t>(Principal Financial Officer and Principal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963E5A"/>
    <w:multiLevelType w:val="hybridMultilevel"/>
    <w:lvl w:ilvl="0">
      <w:lvlJc w:val="left"/>
      <w:lvlText w:val="☒"/>
      <w:numFmt w:val="bullet"/>
      <w:start w:val="1"/>
    </w:lvl>
  </w:abstractNum>
  <w:abstractNum w:abstractNumId="1">
    <w:nsid w:val="A0382C5"/>
    <w:multiLevelType w:val="hybridMultilevel"/>
    <w:lvl w:ilvl="0">
      <w:lvlJc w:val="left"/>
      <w:lvlText w:val="☐"/>
      <w:numFmt w:val="bullet"/>
      <w:start w:val="1"/>
    </w:lvl>
  </w:abstractNum>
  <w:abstractNum w:abstractNumId="2">
    <w:nsid w:val="8F2B15E"/>
    <w:multiLevelType w:val="hybridMultilevel"/>
    <w:lvl w:ilvl="0">
      <w:lvlJc w:val="left"/>
      <w:lvlText w:val="•"/>
      <w:numFmt w:val="bullet"/>
      <w:start w:val="1"/>
    </w:lvl>
  </w:abstractNum>
  <w:abstractNum w:abstractNumId="3">
    <w:nsid w:val="1A32234B"/>
    <w:multiLevelType w:val="hybridMultilevel"/>
    <w:lvl w:ilvl="0">
      <w:lvlJc w:val="left"/>
      <w:lvlText w:val="•"/>
      <w:numFmt w:val="bullet"/>
      <w:start w:val="1"/>
    </w:lvl>
  </w:abstractNum>
  <w:abstractNum w:abstractNumId="4">
    <w:nsid w:val="3B0FD379"/>
    <w:multiLevelType w:val="hybridMultilevel"/>
    <w:lvl w:ilvl="0">
      <w:lvlJc w:val="left"/>
      <w:lvlText w:val="•"/>
      <w:numFmt w:val="bullet"/>
      <w:start w:val="1"/>
    </w:lvl>
  </w:abstractNum>
  <w:abstractNum w:abstractNumId="5">
    <w:nsid w:val="68EB2F63"/>
    <w:multiLevelType w:val="hybridMultilevel"/>
    <w:lvl w:ilvl="0">
      <w:lvlJc w:val="left"/>
      <w:lvlText w:val="•"/>
      <w:numFmt w:val="bullet"/>
      <w:start w:val="1"/>
    </w:lvl>
  </w:abstractNum>
  <w:abstractNum w:abstractNumId="6">
    <w:nsid w:val="4962813B"/>
    <w:multiLevelType w:val="hybridMultilevel"/>
    <w:lvl w:ilvl="0">
      <w:lvlJc w:val="left"/>
      <w:lvlText w:val="(%1)"/>
      <w:numFmt w:val="decimal"/>
      <w:start w:val="2"/>
    </w:lvl>
  </w:abstractNum>
  <w:abstractNum w:abstractNumId="7">
    <w:nsid w:val="60B6DF70"/>
    <w:multiLevelType w:val="hybridMultilevel"/>
    <w:lvl w:ilvl="0">
      <w:lvlJc w:val="left"/>
      <w:lvlText w:val="•"/>
      <w:numFmt w:val="bullet"/>
      <w:start w:val="1"/>
    </w:lvl>
  </w:abstractNum>
  <w:abstractNum w:abstractNumId="8">
    <w:nsid w:val="6A5EE64"/>
    <w:multiLevelType w:val="hybridMultilevel"/>
    <w:lvl w:ilvl="0">
      <w:lvlJc w:val="left"/>
      <w:lvlText w:val="•"/>
      <w:numFmt w:val="bullet"/>
      <w:start w:val="1"/>
    </w:lvl>
  </w:abstractNum>
  <w:abstractNum w:abstractNumId="9">
    <w:nsid w:val="14330624"/>
    <w:multiLevelType w:val="hybridMultilevel"/>
    <w:lvl w:ilvl="0">
      <w:lvlJc w:val="left"/>
      <w:lvlText w:val="•"/>
      <w:numFmt w:val="bullet"/>
      <w:start w:val="1"/>
    </w:lvl>
  </w:abstractNum>
  <w:abstractNum w:abstractNumId="10">
    <w:nsid w:val="7FFFCA11"/>
    <w:multiLevelType w:val="hybridMultilevel"/>
    <w:lvl w:ilvl="0">
      <w:lvlJc w:val="left"/>
      <w:lvlText w:val="•"/>
      <w:numFmt w:val="bullet"/>
      <w:start w:val="1"/>
    </w:lvl>
  </w:abstractNum>
  <w:abstractNum w:abstractNumId="11">
    <w:nsid w:val="1A27709E"/>
    <w:multiLevelType w:val="hybridMultilevel"/>
    <w:lvl w:ilvl="0">
      <w:lvlJc w:val="left"/>
      <w:lvlText w:val="•"/>
      <w:numFmt w:val="bullet"/>
      <w:start w:val="1"/>
    </w:lvl>
  </w:abstractNum>
  <w:abstractNum w:abstractNumId="12">
    <w:nsid w:val="71EA1109"/>
    <w:multiLevelType w:val="hybridMultilevel"/>
    <w:lvl w:ilvl="0">
      <w:lvlJc w:val="left"/>
      <w:lvlText w:val="•"/>
      <w:numFmt w:val="bullet"/>
      <w:start w:val="1"/>
    </w:lvl>
  </w:abstractNum>
  <w:abstractNum w:abstractNumId="13">
    <w:nsid w:val="100F59DC"/>
    <w:multiLevelType w:val="hybridMultilevel"/>
    <w:lvl w:ilvl="0">
      <w:lvlJc w:val="left"/>
      <w:lvlText w:val="•"/>
      <w:numFmt w:val="bullet"/>
      <w:start w:val="1"/>
    </w:lvl>
  </w:abstractNum>
  <w:abstractNum w:abstractNumId="14">
    <w:nsid w:val="7FB7E0AA"/>
    <w:multiLevelType w:val="hybridMultilevel"/>
    <w:lvl w:ilvl="0">
      <w:lvlJc w:val="left"/>
      <w:lvlText w:val="•"/>
      <w:numFmt w:val="bullet"/>
      <w:start w:val="1"/>
    </w:lvl>
  </w:abstractNum>
  <w:abstractNum w:abstractNumId="15">
    <w:nsid w:val="6EB5BD4"/>
    <w:multiLevelType w:val="hybridMultilevel"/>
    <w:lvl w:ilvl="0">
      <w:lvlJc w:val="left"/>
      <w:lvlText w:val="•"/>
      <w:numFmt w:val="bullet"/>
      <w:start w:val="1"/>
    </w:lvl>
  </w:abstractNum>
  <w:abstractNum w:abstractNumId="16">
    <w:nsid w:val="6F6DD9AC"/>
    <w:multiLevelType w:val="hybridMultilevel"/>
    <w:lvl w:ilvl="0">
      <w:lvlJc w:val="left"/>
      <w:lvlText w:val="•"/>
      <w:numFmt w:val="bullet"/>
      <w:start w:val="1"/>
    </w:lvl>
  </w:abstractNum>
  <w:abstractNum w:abstractNumId="17">
    <w:nsid w:val="94211F2"/>
    <w:multiLevelType w:val="hybridMultilevel"/>
    <w:lvl w:ilvl="0">
      <w:lvlJc w:val="left"/>
      <w:lvlText w:val="•"/>
      <w:numFmt w:val="bullet"/>
      <w:start w:val="1"/>
    </w:lvl>
  </w:abstractNum>
  <w:abstractNum w:abstractNumId="18">
    <w:nsid w:val="885E1B"/>
    <w:multiLevelType w:val="hybridMultilevel"/>
    <w:lvl w:ilvl="0">
      <w:lvlJc w:val="left"/>
      <w:lvlText w:val="•"/>
      <w:numFmt w:val="bullet"/>
      <w:start w:val="1"/>
    </w:lvl>
  </w:abstractNum>
  <w:abstractNum w:abstractNumId="19">
    <w:nsid w:val="76272110"/>
    <w:multiLevelType w:val="hybridMultilevel"/>
    <w:lvl w:ilvl="0">
      <w:lvlJc w:val="left"/>
      <w:lvlText w:val="•"/>
      <w:numFmt w:val="bullet"/>
      <w:start w:val="1"/>
    </w:lvl>
  </w:abstractNum>
  <w:abstractNum w:abstractNumId="20">
    <w:nsid w:val="4C04A8AF"/>
    <w:multiLevelType w:val="hybridMultilevel"/>
    <w:lvl w:ilvl="0">
      <w:lvlJc w:val="left"/>
      <w:lvlText w:val="•"/>
      <w:numFmt w:val="bullet"/>
      <w:start w:val="1"/>
    </w:lvl>
  </w:abstractNum>
  <w:abstractNum w:abstractNumId="21">
    <w:nsid w:val="1716703B"/>
    <w:multiLevelType w:val="hybridMultilevel"/>
    <w:lvl w:ilvl="0">
      <w:lvlJc w:val="left"/>
      <w:lvlText w:val="•"/>
      <w:numFmt w:val="bullet"/>
      <w:start w:val="1"/>
    </w:lvl>
  </w:abstractNum>
  <w:abstractNum w:abstractNumId="22">
    <w:nsid w:val="14E17E33"/>
    <w:multiLevelType w:val="hybridMultilevel"/>
    <w:lvl w:ilvl="0">
      <w:lvlJc w:val="left"/>
      <w:lvlText w:val="•"/>
      <w:numFmt w:val="bullet"/>
      <w:start w:val="1"/>
    </w:lvl>
  </w:abstractNum>
  <w:abstractNum w:abstractNumId="23">
    <w:nsid w:val="3222E7CD"/>
    <w:multiLevelType w:val="hybridMultilevel"/>
    <w:lvl w:ilvl="0">
      <w:lvlJc w:val="left"/>
      <w:lvlText w:val="•"/>
      <w:numFmt w:val="bullet"/>
      <w:start w:val="1"/>
    </w:lvl>
  </w:abstractNum>
  <w:abstractNum w:abstractNumId="24">
    <w:nsid w:val="74DE0EE3"/>
    <w:multiLevelType w:val="hybridMultilevel"/>
    <w:lvl w:ilvl="0">
      <w:lvlJc w:val="left"/>
      <w:lvlText w:val="•"/>
      <w:numFmt w:val="bullet"/>
      <w:start w:val="1"/>
    </w:lvl>
  </w:abstractNum>
  <w:abstractNum w:abstractNumId="25">
    <w:nsid w:val="68EBC550"/>
    <w:multiLevelType w:val="hybridMultilevel"/>
    <w:lvl w:ilvl="0">
      <w:lvlJc w:val="left"/>
      <w:lvlText w:val="•"/>
      <w:numFmt w:val="bullet"/>
      <w:start w:val="1"/>
    </w:lvl>
  </w:abstractNum>
  <w:abstractNum w:abstractNumId="26">
    <w:nsid w:val="2DF6D648"/>
    <w:multiLevelType w:val="hybridMultilevel"/>
    <w:lvl w:ilvl="0">
      <w:lvlJc w:val="left"/>
      <w:lvlText w:val="•"/>
      <w:numFmt w:val="bullet"/>
      <w:start w:val="1"/>
    </w:lvl>
  </w:abstractNum>
  <w:abstractNum w:abstractNumId="27">
    <w:nsid w:val="46B7D447"/>
    <w:multiLevelType w:val="hybridMultilevel"/>
    <w:lvl w:ilvl="0">
      <w:lvlJc w:val="left"/>
      <w:lvlText w:val="(%1)"/>
      <w:numFmt w:val="decimal"/>
      <w:start w:val="1"/>
    </w:lvl>
  </w:abstractNum>
  <w:abstractNum w:abstractNumId="28">
    <w:nsid w:val="4A2AC315"/>
    <w:multiLevelType w:val="hybridMultilevel"/>
    <w:lvl w:ilvl="0">
      <w:lvlJc w:val="left"/>
      <w:lvlText w:val="•"/>
      <w:numFmt w:val="bullet"/>
      <w:start w:val="1"/>
    </w:lvl>
  </w:abstractNum>
  <w:abstractNum w:abstractNumId="29">
    <w:nsid w:val="39EE015C"/>
    <w:multiLevelType w:val="hybridMultilevel"/>
    <w:lvl w:ilvl="0">
      <w:lvlJc w:val="left"/>
      <w:lvlText w:val="•"/>
      <w:numFmt w:val="bullet"/>
      <w:start w:val="1"/>
    </w:lvl>
  </w:abstractNum>
  <w:abstractNum w:abstractNumId="30">
    <w:nsid w:val="57FC4FBB"/>
    <w:multiLevelType w:val="hybridMultilevel"/>
    <w:lvl w:ilvl="0">
      <w:lvlJc w:val="left"/>
      <w:lvlText w:val="(%1)"/>
      <w:numFmt w:val="decimal"/>
      <w:start w:val="1"/>
    </w:lvl>
  </w:abstractNum>
  <w:abstractNum w:abstractNumId="31">
    <w:nsid w:val="CC1016F"/>
    <w:multiLevelType w:val="hybridMultilevel"/>
    <w:lvl w:ilvl="0">
      <w:lvlJc w:val="left"/>
      <w:lvlText w:val="(%1)"/>
      <w:numFmt w:val="decimal"/>
      <w:start w:val="2"/>
    </w:lvl>
  </w:abstractNum>
  <w:abstractNum w:abstractNumId="32">
    <w:nsid w:val="43F18422"/>
    <w:multiLevelType w:val="hybridMultilevel"/>
    <w:lvl w:ilvl="0">
      <w:lvlJc w:val="left"/>
      <w:lvlText w:val="%1."/>
      <w:numFmt w:val="decimal"/>
      <w:start w:val="2"/>
    </w:lvl>
  </w:abstractNum>
  <w:abstractNum w:abstractNumId="33">
    <w:nsid w:val="60EF0119"/>
    <w:multiLevelType w:val="hybridMultilevel"/>
    <w:lvl w:ilvl="0">
      <w:lvlJc w:val="left"/>
      <w:lvlText w:val="%1."/>
      <w:numFmt w:val="decimal"/>
      <w:start w:val="3"/>
    </w:lvl>
  </w:abstractNum>
  <w:abstractNum w:abstractNumId="34">
    <w:nsid w:val="26F324BA"/>
    <w:multiLevelType w:val="hybridMultilevel"/>
    <w:lvl w:ilvl="0">
      <w:lvlJc w:val="left"/>
      <w:lvlText w:val="*"/>
      <w:numFmt w:val="bullet"/>
      <w:start w:val="1"/>
    </w:lvl>
  </w:abstractNum>
  <w:abstractNum w:abstractNumId="35">
    <w:nsid w:val="7F01579B"/>
    <w:multiLevelType w:val="hybridMultilevel"/>
    <w:lvl w:ilvl="0">
      <w:lvlJc w:val="left"/>
      <w:lvlText w:val="(%1)"/>
      <w:numFmt w:val="decimal"/>
      <w:start w:val="1"/>
    </w:lvl>
    <w:lvl w:ilvl="1">
      <w:lvlJc w:val="left"/>
      <w:lvlText w:val="(%2)"/>
      <w:numFmt w:val="lowerLetter"/>
      <w:start w:val="2"/>
    </w:lvl>
  </w:abstractNum>
  <w:abstractNum w:abstractNumId="36">
    <w:nsid w:val="49DA307D"/>
    <w:multiLevelType w:val="hybridMultilevel"/>
    <w:lvl w:ilvl="0">
      <w:lvlJc w:val="left"/>
      <w:lvlText w:val="%1."/>
      <w:numFmt w:val="decimal"/>
      <w:start w:val="1"/>
    </w:lvl>
  </w:abstractNum>
  <w:abstractNum w:abstractNumId="37">
    <w:nsid w:val="7055A5F5"/>
    <w:multiLevelType w:val="hybridMultilevel"/>
    <w:lvl w:ilvl="0">
      <w:lvlJc w:val="left"/>
      <w:lvlText w:val="%1."/>
      <w:numFmt w:val="decimal"/>
      <w:start w:val="2"/>
    </w:lvl>
  </w:abstractNum>
  <w:abstractNum w:abstractNumId="38">
    <w:nsid w:val="5FB8370B"/>
    <w:multiLevelType w:val="hybridMultilevel"/>
    <w:lvl w:ilvl="0">
      <w:lvlJc w:val="left"/>
      <w:lvlText w:val="%1."/>
      <w:numFmt w:val="decimal"/>
      <w:start w:val="4"/>
    </w:lvl>
  </w:abstractNum>
  <w:abstractNum w:abstractNumId="39">
    <w:nsid w:val="50801EE1"/>
    <w:multiLevelType w:val="hybridMultilevel"/>
    <w:lvl w:ilvl="0">
      <w:lvlJc w:val="left"/>
      <w:lvlText w:val="%1."/>
      <w:numFmt w:val="decimal"/>
      <w:start w:val="7"/>
    </w:lvl>
  </w:abstractNum>
  <w:abstractNum w:abstractNumId="40">
    <w:nsid w:val="488AC1A"/>
    <w:multiLevelType w:val="hybridMultilevel"/>
    <w:lvl w:ilvl="0">
      <w:lvlJc w:val="left"/>
      <w:lvlText w:val="%1."/>
      <w:numFmt w:val="decimal"/>
      <w:start w:val="8"/>
    </w:lvl>
  </w:abstractNum>
  <w:abstractNum w:abstractNumId="41">
    <w:nsid w:val="5FB8011C"/>
    <w:multiLevelType w:val="hybridMultilevel"/>
    <w:lvl w:ilvl="0">
      <w:lvlJc w:val="left"/>
      <w:lvlText w:val="%1."/>
      <w:numFmt w:val="decimal"/>
      <w:start w:val="11"/>
    </w:lvl>
  </w:abstractNum>
  <w:abstractNum w:abstractNumId="42">
    <w:nsid w:val="6AA78F7F"/>
    <w:multiLevelType w:val="hybridMultilevel"/>
    <w:lvl w:ilvl="0">
      <w:lvlJc w:val="left"/>
      <w:lvlText w:val="%1."/>
      <w:numFmt w:val="decimal"/>
      <w:start w:val="1"/>
    </w:lvl>
    <w:lvl w:ilvl="1">
      <w:lvlJc w:val="left"/>
      <w:lvlText w:val="%2)"/>
      <w:numFmt w:val="lowerLetter"/>
      <w:start w:val="1"/>
    </w:lvl>
  </w:abstractNum>
  <w:abstractNum w:abstractNumId="43">
    <w:nsid w:val="7672BD23"/>
    <w:multiLevelType w:val="hybridMultilevel"/>
    <w:lvl w:ilvl="0">
      <w:lvlJc w:val="left"/>
      <w:lvlText w:val="%1."/>
      <w:numFmt w:val="decimal"/>
      <w:start w:val="1"/>
    </w:lvl>
    <w:lvl w:ilvl="1">
      <w:lvlJc w:val="left"/>
      <w:lvlText w:val="%2)"/>
      <w:numFmt w:val="lowerLetter"/>
      <w:start w:val="1"/>
    </w:lvl>
  </w:abstractNum>
  <w:abstractNum w:abstractNumId="44">
    <w:nsid w:val="6FC75AF8"/>
    <w:multiLevelType w:val="hybridMultilevel"/>
    <w:lvl w:ilvl="0">
      <w:lvlJc w:val="left"/>
      <w:lvlText w:val="%1."/>
      <w:numFmt w:val="decimal"/>
      <w:start w:val="1"/>
    </w:lvl>
  </w:abstractNum>
  <w:abstractNum w:abstractNumId="45">
    <w:nsid w:val="6A5F7029"/>
    <w:multiLevelType w:val="hybridMultilevel"/>
    <w:lvl w:ilvl="0">
      <w:lvlJc w:val="left"/>
      <w:lvlText w:val="%1."/>
      <w:numFmt w:val="decimal"/>
      <w:start w:val="2"/>
    </w:lvl>
  </w:abstractNum>
  <w:abstractNum w:abstractNumId="46">
    <w:nsid w:val="7D5E18F8"/>
    <w:multiLevelType w:val="hybridMultilevel"/>
    <w:lvl w:ilvl="0">
      <w:lvlJc w:val="left"/>
      <w:lvlText w:val="%1)"/>
      <w:numFmt w:val="upperLetter"/>
      <w:start w:val="1"/>
    </w:lvl>
    <w:lvl w:ilvl="1">
      <w:lvlJc w:val="left"/>
      <w:lvlText w:val="(%2)"/>
      <w:numFmt w:val="decimal"/>
      <w:start w:val="1"/>
    </w:lvl>
  </w:abstractNum>
  <w:abstractNum w:abstractNumId="47">
    <w:nsid w:val="5F3534A4"/>
    <w:multiLevelType w:val="hybridMultilevel"/>
    <w:lvl w:ilvl="0">
      <w:lvlJc w:val="left"/>
      <w:lvlText w:val="%1)"/>
      <w:numFmt w:val="upperLetter"/>
      <w:start w:val="5"/>
    </w:lvl>
    <w:lvl w:ilvl="1">
      <w:lvlJc w:val="left"/>
      <w:lvlText w:val="(%2)"/>
      <w:numFmt w:val="decimal"/>
      <w:start w:val="1"/>
    </w:lvl>
  </w:abstractNum>
  <w:abstractNum w:abstractNumId="48">
    <w:nsid w:val="73A1821B"/>
    <w:multiLevelType w:val="hybridMultilevel"/>
    <w:lvl w:ilvl="0">
      <w:lvlJc w:val="left"/>
      <w:lvlText w:val="%1."/>
      <w:numFmt w:val="decimal"/>
      <w:start w:val="3"/>
    </w:lvl>
  </w:abstractNum>
  <w:abstractNum w:abstractNumId="49">
    <w:nsid w:val="7DE67713"/>
    <w:multiLevelType w:val="hybridMultilevel"/>
    <w:lvl w:ilvl="0">
      <w:lvlJc w:val="left"/>
      <w:lvlText w:val="%1."/>
      <w:numFmt w:val="decimal"/>
      <w:start w:val="4"/>
    </w:lvl>
  </w:abstractNum>
  <w:abstractNum w:abstractNumId="50">
    <w:nsid w:val="555C55B5"/>
    <w:multiLevelType w:val="hybridMultilevel"/>
    <w:lvl w:ilvl="0">
      <w:lvlJc w:val="left"/>
      <w:lvlText w:val="%1."/>
      <w:numFmt w:val="decimal"/>
      <w:start w:val="5"/>
    </w:lvl>
  </w:abstractNum>
  <w:abstractNum w:abstractNumId="51">
    <w:nsid w:val="3FA62ACA"/>
    <w:multiLevelType w:val="hybridMultilevel"/>
    <w:lvl w:ilvl="0">
      <w:lvlJc w:val="left"/>
      <w:lvlText w:val="%1."/>
      <w:numFmt w:val="decimal"/>
      <w:start w:val="6"/>
    </w:lvl>
  </w:abstractNum>
  <w:abstractNum w:abstractNumId="52">
    <w:nsid w:val="14FCE74E"/>
    <w:multiLevelType w:val="hybridMultilevel"/>
    <w:lvl w:ilvl="0">
      <w:lvlJc w:val="left"/>
      <w:lvlText w:val="%1."/>
      <w:numFmt w:val="decimal"/>
      <w:start w:val="7"/>
    </w:lvl>
  </w:abstractNum>
  <w:abstractNum w:abstractNumId="53">
    <w:nsid w:val="6A3DD3E8"/>
    <w:multiLevelType w:val="hybridMultilevel"/>
    <w:lvl w:ilvl="0">
      <w:lvlJc w:val="left"/>
      <w:lvlText w:val="%1)"/>
      <w:numFmt w:val="upperLetter"/>
      <w:start w:val="1"/>
    </w:lvl>
  </w:abstractNum>
  <w:abstractNum w:abstractNumId="54">
    <w:nsid w:val="71C91298"/>
    <w:multiLevelType w:val="hybridMultilevel"/>
    <w:lvl w:ilvl="0">
      <w:lvlJc w:val="left"/>
      <w:lvlText w:val="%1."/>
      <w:numFmt w:val="decimal"/>
      <w:start w:val="8"/>
    </w:lvl>
  </w:abstractNum>
  <w:abstractNum w:abstractNumId="55">
    <w:nsid w:val="9DAF632"/>
    <w:multiLevelType w:val="hybridMultilevel"/>
    <w:lvl w:ilvl="0">
      <w:lvlJc w:val="left"/>
      <w:lvlText w:val="%1."/>
      <w:numFmt w:val="decimal"/>
      <w:start w:val="9"/>
    </w:lvl>
  </w:abstractNum>
  <w:abstractNum w:abstractNumId="56">
    <w:nsid w:val="53299938"/>
    <w:multiLevelType w:val="hybridMultilevel"/>
    <w:lvl w:ilvl="0">
      <w:lvlJc w:val="left"/>
      <w:lvlText w:val="%1)"/>
      <w:numFmt w:val="upperLetter"/>
      <w:start w:val="1"/>
    </w:lvl>
  </w:abstractNum>
  <w:abstractNum w:abstractNumId="57">
    <w:nsid w:val="1FBFE8E0"/>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2"/>
    </w:lvl>
  </w:abstractNum>
  <w:abstractNum w:abstractNumId="58">
    <w:nsid w:val="5092CA79"/>
    <w:multiLevelType w:val="hybridMultilevel"/>
    <w:lvl w:ilvl="0">
      <w:lvlJc w:val="left"/>
      <w:lvlText w:val="%1)"/>
      <w:numFmt w:val="upperLetter"/>
      <w:start w:val="2"/>
    </w:lvl>
    <w:lvl w:ilvl="1">
      <w:lvlJc w:val="left"/>
      <w:lvlText w:val="(%2)"/>
      <w:numFmt w:val="decimal"/>
      <w:start w:val="1"/>
    </w:lvl>
    <w:lvl w:ilvl="2">
      <w:lvlJc w:val="left"/>
      <w:lvlText w:val="%3"/>
      <w:numFmt w:val="lowerRoman"/>
      <w:start w:val="1"/>
    </w:lvl>
  </w:abstractNum>
  <w:abstractNum w:abstractNumId="59">
    <w:nsid w:val="1D545C4D"/>
    <w:multiLevelType w:val="hybridMultilevel"/>
    <w:lvl w:ilvl="0">
      <w:lvlJc w:val="left"/>
      <w:lvlText w:val="%1."/>
      <w:numFmt w:val="decimal"/>
      <w:start w:val="10"/>
    </w:lvl>
  </w:abstractNum>
  <w:abstractNum w:abstractNumId="60">
    <w:nsid w:val="59ADEA3D"/>
    <w:multiLevelType w:val="hybridMultilevel"/>
    <w:lvl w:ilvl="0">
      <w:lvlJc w:val="left"/>
      <w:lvlText w:val="%1."/>
      <w:numFmt w:val="decimal"/>
      <w:start w:val="11"/>
    </w:lvl>
  </w:abstractNum>
  <w:abstractNum w:abstractNumId="61">
    <w:nsid w:val="288F1A34"/>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62">
    <w:nsid w:val="2A155DBC"/>
    <w:multiLevelType w:val="hybridMultilevel"/>
    <w:lvl w:ilvl="0">
      <w:lvlJc w:val="left"/>
      <w:lvlText w:val="%1)"/>
      <w:numFmt w:val="upperLetter"/>
      <w:start w:val="2"/>
    </w:lvl>
  </w:abstractNum>
  <w:abstractNum w:abstractNumId="63">
    <w:nsid w:val="1D9F6E5F"/>
    <w:multiLevelType w:val="hybridMultilevel"/>
    <w:lvl w:ilvl="0">
      <w:lvlJc w:val="left"/>
      <w:lvlText w:val="%1."/>
      <w:numFmt w:val="decimal"/>
      <w:start w:val="12"/>
    </w:lvl>
  </w:abstractNum>
  <w:abstractNum w:abstractNumId="64">
    <w:nsid w:val="97E1B4E"/>
    <w:multiLevelType w:val="hybridMultilevel"/>
    <w:lvl w:ilvl="0">
      <w:lvlJc w:val="left"/>
      <w:lvlText w:val="%1)"/>
      <w:numFmt w:val="upperLetter"/>
      <w:start w:val="1"/>
    </w:lvl>
    <w:lvl w:ilvl="1">
      <w:lvlJc w:val="left"/>
      <w:lvlText w:val="(%2)"/>
      <w:numFmt w:val="decimal"/>
      <w:start w:val="1"/>
    </w:lvl>
  </w:abstractNum>
  <w:abstractNum w:abstractNumId="65">
    <w:nsid w:val="51088277"/>
    <w:multiLevelType w:val="hybridMultilevel"/>
    <w:lvl w:ilvl="0">
      <w:lvlJc w:val="left"/>
      <w:lvlText w:val="%1)"/>
      <w:numFmt w:val="upperLetter"/>
      <w:start w:val="3"/>
    </w:lvl>
    <w:lvl w:ilvl="1">
      <w:lvlJc w:val="left"/>
      <w:lvlText w:val="(%2)"/>
      <w:numFmt w:val="decimal"/>
      <w:start w:val="1"/>
    </w:lvl>
  </w:abstractNum>
  <w:abstractNum w:abstractNumId="66">
    <w:nsid w:val="1CA0C5FA"/>
    <w:multiLevelType w:val="hybridMultilevel"/>
    <w:lvl w:ilvl="0">
      <w:lvlJc w:val="left"/>
      <w:lvlText w:val="%1)"/>
      <w:numFmt w:val="upperLetter"/>
      <w:start w:val="6"/>
    </w:lvl>
    <w:lvl w:ilvl="1">
      <w:lvlJc w:val="left"/>
      <w:lvlText w:val="(%2)"/>
      <w:numFmt w:val="decimal"/>
      <w:start w:val="1"/>
    </w:lvl>
  </w:abstractNum>
  <w:abstractNum w:abstractNumId="67">
    <w:nsid w:val="53584BCB"/>
    <w:multiLevelType w:val="hybridMultilevel"/>
    <w:lvl w:ilvl="0">
      <w:lvlJc w:val="left"/>
      <w:lvlText w:val="%1."/>
      <w:numFmt w:val="decimal"/>
      <w:start w:val="13"/>
    </w:lvl>
  </w:abstractNum>
  <w:abstractNum w:abstractNumId="68">
    <w:nsid w:val="415E286C"/>
    <w:multiLevelType w:val="hybridMultilevel"/>
    <w:lvl w:ilvl="0">
      <w:lvlJc w:val="left"/>
      <w:lvlText w:val="%1."/>
      <w:numFmt w:val="decimal"/>
      <w:start w:val="14"/>
    </w:lvl>
  </w:abstractNum>
  <w:abstractNum w:abstractNumId="69">
    <w:nsid w:val="7C58FD05"/>
    <w:multiLevelType w:val="hybridMultilevel"/>
    <w:lvl w:ilvl="0">
      <w:lvlJc w:val="left"/>
      <w:lvlText w:val="%1)"/>
      <w:numFmt w:val="upperLetter"/>
      <w:start w:val="1"/>
    </w:lvl>
  </w:abstractNum>
  <w:abstractNum w:abstractNumId="70">
    <w:nsid w:val="23D86AAC"/>
    <w:multiLevelType w:val="hybridMultilevel"/>
    <w:lvl w:ilvl="0">
      <w:lvlJc w:val="left"/>
      <w:lvlText w:val="%1)"/>
      <w:numFmt w:val="upperLetter"/>
      <w:start w:val="2"/>
    </w:lvl>
    <w:lvl w:ilvl="1">
      <w:lvlJc w:val="left"/>
      <w:lvlText w:val="(%2)"/>
      <w:numFmt w:val="decimal"/>
      <w:start w:val="1"/>
    </w:lvl>
  </w:abstractNum>
  <w:abstractNum w:abstractNumId="71">
    <w:nsid w:val="45E6D486"/>
    <w:multiLevelType w:val="hybridMultilevel"/>
    <w:lvl w:ilvl="0">
      <w:lvlJc w:val="left"/>
      <w:lvlText w:val="%1."/>
      <w:numFmt w:val="decimal"/>
      <w:start w:val="15"/>
    </w:lvl>
  </w:abstractNum>
  <w:abstractNum w:abstractNumId="72">
    <w:nsid w:val="5C10FE21"/>
    <w:multiLevelType w:val="hybridMultilevel"/>
    <w:lvl w:ilvl="0">
      <w:lvlJc w:val="left"/>
      <w:lvlText w:val="%1)"/>
      <w:numFmt w:val="upperLetter"/>
      <w:start w:val="1"/>
    </w:lvl>
    <w:lvl w:ilvl="1">
      <w:lvlJc w:val="left"/>
      <w:lvlText w:val="(%2)"/>
      <w:numFmt w:val="decimal"/>
      <w:start w:val="1"/>
    </w:lvl>
  </w:abstractNum>
  <w:abstractNum w:abstractNumId="73">
    <w:nsid w:val="E7FFA2B"/>
    <w:multiLevelType w:val="hybridMultilevel"/>
    <w:lvl w:ilvl="0">
      <w:lvlJc w:val="left"/>
      <w:lvlText w:val="%1."/>
      <w:numFmt w:val="decimal"/>
      <w:start w:val="16"/>
    </w:lvl>
  </w:abstractNum>
  <w:abstractNum w:abstractNumId="74">
    <w:nsid w:val="3C5991AA"/>
    <w:multiLevelType w:val="hybridMultilevel"/>
    <w:lvl w:ilvl="0">
      <w:lvlJc w:val="left"/>
      <w:lvlText w:val="%1)"/>
      <w:numFmt w:val="upperLetter"/>
      <w:start w:val="1"/>
    </w:lvl>
  </w:abstractNum>
  <w:abstractNum w:abstractNumId="75">
    <w:nsid w:val="4BD8591A"/>
    <w:multiLevelType w:val="hybridMultilevel"/>
    <w:lvl w:ilvl="0">
      <w:lvlJc w:val="left"/>
      <w:lvlText w:val="%1)"/>
      <w:numFmt w:val="upperLetter"/>
      <w:start w:val="2"/>
    </w:lvl>
  </w:abstractNum>
  <w:abstractNum w:abstractNumId="76">
    <w:nsid w:val="78DF6A55"/>
    <w:multiLevelType w:val="hybridMultilevel"/>
    <w:lvl w:ilvl="0">
      <w:lvlJc w:val="left"/>
      <w:lvlText w:val="%1."/>
      <w:numFmt w:val="decimal"/>
      <w:start w:val="17"/>
    </w:lvl>
  </w:abstractNum>
  <w:abstractNum w:abstractNumId="77">
    <w:nsid w:val="39B7AAA2"/>
    <w:multiLevelType w:val="hybridMultilevel"/>
    <w:lvl w:ilvl="0">
      <w:lvlJc w:val="left"/>
      <w:lvlText w:val="%1)"/>
      <w:numFmt w:val="upperLetter"/>
      <w:start w:val="1"/>
    </w:lvl>
  </w:abstractNum>
  <w:abstractNum w:abstractNumId="78">
    <w:nsid w:val="2B0D8DBE"/>
    <w:multiLevelType w:val="hybridMultilevel"/>
    <w:lvl w:ilvl="0">
      <w:lvlJc w:val="left"/>
      <w:lvlText w:val="%1."/>
      <w:numFmt w:val="decimal"/>
      <w:start w:val="18"/>
    </w:lvl>
  </w:abstractNum>
  <w:abstractNum w:abstractNumId="79">
    <w:nsid w:val="6C80EC70"/>
    <w:multiLevelType w:val="hybridMultilevel"/>
    <w:lvl w:ilvl="0">
      <w:lvlJc w:val="left"/>
      <w:lvlText w:val="%1)"/>
      <w:numFmt w:val="upperLetter"/>
      <w:start w:val="1"/>
    </w:lvl>
  </w:abstractNum>
  <w:abstractNum w:abstractNumId="80">
    <w:nsid w:val="379E21B5"/>
    <w:multiLevelType w:val="hybridMultilevel"/>
    <w:lvl w:ilvl="0">
      <w:lvlJc w:val="left"/>
      <w:lvlText w:val="%1."/>
      <w:numFmt w:val="decimal"/>
      <w:start w:val="19"/>
    </w:lvl>
  </w:abstractNum>
  <w:abstractNum w:abstractNumId="81">
    <w:nsid w:val="69E373"/>
    <w:multiLevelType w:val="hybridMultilevel"/>
    <w:lvl w:ilvl="0">
      <w:lvlJc w:val="left"/>
      <w:lvlText w:val="%1)"/>
      <w:numFmt w:val="upperLetter"/>
      <w:start w:val="1"/>
    </w:lvl>
  </w:abstractNum>
  <w:abstractNum w:abstractNumId="82">
    <w:nsid w:val="2C27173B"/>
    <w:multiLevelType w:val="hybridMultilevel"/>
    <w:lvl w:ilvl="0">
      <w:lvlJc w:val="left"/>
      <w:lvlText w:val="%1."/>
      <w:numFmt w:val="decimal"/>
      <w:start w:val="20"/>
    </w:lvl>
  </w:abstractNum>
  <w:abstractNum w:abstractNumId="83">
    <w:nsid w:val="4C9B0904"/>
    <w:multiLevelType w:val="hybridMultilevel"/>
    <w:lvl w:ilvl="0">
      <w:lvlJc w:val="left"/>
      <w:lvlText w:val="%1."/>
      <w:numFmt w:val="decimal"/>
      <w:start w:val="21"/>
    </w:lvl>
  </w:abstractNum>
  <w:abstractNum w:abstractNumId="84">
    <w:nsid w:val="6AA7B75C"/>
    <w:multiLevelType w:val="hybridMultilevel"/>
    <w:lvl w:ilvl="0">
      <w:lvlJc w:val="left"/>
      <w:lvlText w:val="%1)"/>
      <w:numFmt w:val="upperLetter"/>
      <w:start w:val="1"/>
    </w:lvl>
  </w:abstractNum>
  <w:abstractNum w:abstractNumId="85">
    <w:nsid w:val="1DF029D3"/>
    <w:multiLevelType w:val="hybridMultilevel"/>
    <w:lvl w:ilvl="0">
      <w:lvlJc w:val="left"/>
      <w:lvlText w:val="%1)"/>
      <w:numFmt w:val="upperLetter"/>
      <w:start w:val="4"/>
    </w:lvl>
  </w:abstractNum>
  <w:abstractNum w:abstractNumId="86">
    <w:nsid w:val="5675FF36"/>
    <w:multiLevelType w:val="hybridMultilevel"/>
    <w:lvl w:ilvl="0">
      <w:lvlJc w:val="left"/>
      <w:lvlText w:val="%1."/>
      <w:numFmt w:val="decimal"/>
      <w:start w:val="1"/>
    </w:lvl>
  </w:abstractNum>
  <w:abstractNum w:abstractNumId="87">
    <w:nsid w:val="3DD1509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88">
    <w:nsid w:val="3DB012B3"/>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4"/>
    </w:lvl>
  </w:abstractNum>
  <w:abstractNum w:abstractNumId="89">
    <w:nsid w:val="2708C9AF"/>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90">
    <w:nsid w:val="5B25ACE2"/>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91">
    <w:nsid w:val="175DFCF0"/>
    <w:multiLevelType w:val="hybridMultilevel"/>
    <w:lvl w:ilvl="0">
      <w:lvlJc w:val="left"/>
      <w:lvlText w:val="(%1)"/>
      <w:numFmt w:val="decimal"/>
      <w:start w:val="1"/>
    </w:lvl>
  </w:abstractNum>
  <w:abstractNum w:abstractNumId="92">
    <w:nsid w:val="4F97E3E4"/>
    <w:multiLevelType w:val="hybridMultilevel"/>
    <w:lvl w:ilvl="0">
      <w:lvlJc w:val="left"/>
      <w:lvlText w:val="(%1)"/>
      <w:numFmt w:val="decimal"/>
      <w:start w:val="7"/>
    </w:lvl>
    <w:lvl w:ilvl="1">
      <w:lvlJc w:val="left"/>
      <w:lvlText w:val="%2)"/>
      <w:numFmt w:val="lowerLetter"/>
      <w:start w:val="1"/>
    </w:lvl>
  </w:abstractNum>
  <w:abstractNum w:abstractNumId="93">
    <w:nsid w:val="53B0A9E"/>
    <w:multiLevelType w:val="hybridMultilevel"/>
    <w:lvl w:ilvl="0">
      <w:lvlJc w:val="left"/>
      <w:lvlText w:val="%1)"/>
      <w:numFmt w:val="upperLetter"/>
      <w:start w:val="3"/>
    </w:lvl>
  </w:abstractNum>
  <w:abstractNum w:abstractNumId="94">
    <w:nsid w:val="34FD6B4F"/>
    <w:multiLevelType w:val="hybridMultilevel"/>
    <w:lvl w:ilvl="0">
      <w:lvlJc w:val="left"/>
      <w:lvlText w:val="%1."/>
      <w:numFmt w:val="decimal"/>
      <w:start w:val="2"/>
    </w:lvl>
  </w:abstractNum>
  <w:abstractNum w:abstractNumId="95">
    <w:nsid w:val="5915FF32"/>
    <w:multiLevelType w:val="hybridMultilevel"/>
    <w:lvl w:ilvl="0">
      <w:lvlJc w:val="left"/>
      <w:lvlText w:val="%1)"/>
      <w:numFmt w:val="upperLetter"/>
      <w:start w:val="1"/>
    </w:lvl>
  </w:abstractNum>
  <w:abstractNum w:abstractNumId="96">
    <w:nsid w:val="56438D15"/>
    <w:multiLevelType w:val="hybridMultilevel"/>
    <w:lvl w:ilvl="0">
      <w:lvlJc w:val="left"/>
      <w:lvlText w:val="%1."/>
      <w:numFmt w:val="decimal"/>
      <w:start w:val="3"/>
    </w:lvl>
  </w:abstractNum>
  <w:abstractNum w:abstractNumId="97">
    <w:nsid w:val="519E3149"/>
    <w:multiLevelType w:val="hybridMultilevel"/>
    <w:lvl w:ilvl="0">
      <w:lvlJc w:val="left"/>
      <w:lvlText w:val="%1)"/>
      <w:numFmt w:val="upperLetter"/>
      <w:start w:val="1"/>
    </w:lvl>
  </w:abstractNum>
  <w:abstractNum w:abstractNumId="98">
    <w:nsid w:val="2C6E4AFD"/>
    <w:multiLevelType w:val="hybridMultilevel"/>
    <w:lvl w:ilvl="0">
      <w:lvlJc w:val="left"/>
      <w:lvlText w:val="%1."/>
      <w:numFmt w:val="decimal"/>
      <w:start w:val="4"/>
    </w:lvl>
  </w:abstractNum>
  <w:abstractNum w:abstractNumId="99">
    <w:nsid w:val="17A1B582"/>
    <w:multiLevelType w:val="hybridMultilevel"/>
    <w:lvl w:ilvl="0">
      <w:lvlJc w:val="left"/>
      <w:lvlText w:val="%1)"/>
      <w:numFmt w:val="upperLetter"/>
      <w:start w:val="1"/>
    </w:lvl>
  </w:abstractNum>
  <w:abstractNum w:abstractNumId="100">
    <w:nsid w:val="4DF72E4E"/>
    <w:multiLevelType w:val="hybridMultilevel"/>
    <w:lvl w:ilvl="0">
      <w:lvlJc w:val="left"/>
      <w:lvlText w:val="%1)"/>
      <w:numFmt w:val="upperLetter"/>
      <w:start w:val="2"/>
    </w:lvl>
  </w:abstractNum>
  <w:abstractNum w:abstractNumId="101">
    <w:nsid w:val="5046B5A9"/>
    <w:multiLevelType w:val="hybridMultilevel"/>
    <w:lvl w:ilvl="0">
      <w:lvlJc w:val="left"/>
      <w:lvlText w:val="%1."/>
      <w:numFmt w:val="decimal"/>
      <w:start w:val="5"/>
    </w:lvl>
  </w:abstractNum>
  <w:abstractNum w:abstractNumId="102">
    <w:nsid w:val="5D888A08"/>
    <w:multiLevelType w:val="hybridMultilevel"/>
    <w:lvl w:ilvl="0">
      <w:lvlJc w:val="left"/>
      <w:lvlText w:val="%1)"/>
      <w:numFmt w:val="upperLetter"/>
      <w:start w:val="1"/>
    </w:lvl>
    <w:lvl w:ilvl="1">
      <w:lvlJc w:val="left"/>
      <w:lvlText w:val="(%2)"/>
      <w:numFmt w:val="decimal"/>
      <w:start w:val="1"/>
    </w:lvl>
  </w:abstractNum>
  <w:abstractNum w:abstractNumId="103">
    <w:nsid w:val="2A082C70"/>
    <w:multiLevelType w:val="hybridMultilevel"/>
    <w:lvl w:ilvl="0">
      <w:lvlJc w:val="left"/>
      <w:lvlText w:val="%1"/>
      <w:numFmt w:val="upperLetter"/>
      <w:start w:val="1"/>
    </w:lvl>
    <w:lvl w:ilvl="1">
      <w:lvlJc w:val="left"/>
      <w:lvlText w:val="(%2)"/>
      <w:numFmt w:val="decimal"/>
      <w:start w:val="1"/>
    </w:lvl>
  </w:abstractNum>
  <w:abstractNum w:abstractNumId="104">
    <w:nsid w:val="5EC6AFD4"/>
    <w:multiLevelType w:val="hybridMultilevel"/>
    <w:lvl w:ilvl="0">
      <w:lvlJc w:val="left"/>
      <w:lvlText w:val="%1)"/>
      <w:numFmt w:val="upperLetter"/>
      <w:start w:val="2"/>
    </w:lvl>
    <w:lvl w:ilvl="1">
      <w:lvlJc w:val="left"/>
      <w:lvlText w:val="(%2)"/>
      <w:numFmt w:val="decimal"/>
      <w:start w:val="1"/>
    </w:lvl>
  </w:abstractNum>
  <w:abstractNum w:abstractNumId="105">
    <w:nsid w:val="19E21BB2"/>
    <w:multiLevelType w:val="hybridMultilevel"/>
    <w:lvl w:ilvl="0">
      <w:lvlJc w:val="left"/>
      <w:lvlText w:val="%1."/>
      <w:numFmt w:val="decimal"/>
      <w:start w:val="6"/>
    </w:lvl>
  </w:abstractNum>
  <w:abstractNum w:abstractNumId="106">
    <w:nsid w:val="75E0858A"/>
    <w:multiLevelType w:val="hybridMultilevel"/>
    <w:lvl w:ilvl="0">
      <w:lvlJc w:val="left"/>
      <w:lvlText w:val="%1)"/>
      <w:numFmt w:val="upperLetter"/>
      <w:start w:val="1"/>
    </w:lvl>
  </w:abstractNum>
  <w:abstractNum w:abstractNumId="107">
    <w:nsid w:val="57A61A29"/>
    <w:multiLevelType w:val="hybridMultilevel"/>
    <w:lvl w:ilvl="0">
      <w:lvlJc w:val="left"/>
      <w:lvlText w:val="%1)"/>
      <w:numFmt w:val="upperLetter"/>
      <w:start w:val="2"/>
    </w:lvl>
    <w:lvl w:ilvl="1">
      <w:lvlJc w:val="left"/>
      <w:lvlText w:val="(%2)"/>
      <w:numFmt w:val="decimal"/>
      <w:start w:val="1"/>
    </w:lvl>
  </w:abstractNum>
  <w:abstractNum w:abstractNumId="108">
    <w:nsid w:val="5399C654"/>
    <w:multiLevelType w:val="hybridMultilevel"/>
    <w:lvl w:ilvl="0">
      <w:lvlJc w:val="left"/>
      <w:lvlText w:val="%1)"/>
      <w:numFmt w:val="upperLetter"/>
      <w:start w:val="4"/>
    </w:lvl>
  </w:abstractNum>
  <w:abstractNum w:abstractNumId="109">
    <w:nsid w:val="20EE1348"/>
    <w:multiLevelType w:val="hybridMultilevel"/>
    <w:lvl w:ilvl="0">
      <w:lvlJc w:val="left"/>
      <w:lvlText w:val="%1)"/>
      <w:numFmt w:val="upperLetter"/>
      <w:start w:val="8"/>
    </w:lvl>
  </w:abstractNum>
  <w:abstractNum w:abstractNumId="110">
    <w:nsid w:val="4427069A"/>
    <w:multiLevelType w:val="hybridMultilevel"/>
    <w:lvl w:ilvl="0">
      <w:lvlJc w:val="left"/>
      <w:lvlText w:val="%1."/>
      <w:numFmt w:val="decimal"/>
      <w:start w:val="7"/>
    </w:lvl>
  </w:abstractNum>
  <w:abstractNum w:abstractNumId="111">
    <w:nsid w:val="B37E80A"/>
    <w:multiLevelType w:val="hybridMultilevel"/>
    <w:lvl w:ilvl="0">
      <w:lvlJc w:val="left"/>
      <w:lvlText w:val="%1."/>
      <w:numFmt w:val="decimal"/>
      <w:start w:val="8"/>
    </w:lvl>
  </w:abstractNum>
  <w:abstractNum w:abstractNumId="112">
    <w:nsid w:val="2157F6BC"/>
    <w:multiLevelType w:val="hybridMultilevel"/>
    <w:lvl w:ilvl="0">
      <w:lvlJc w:val="left"/>
      <w:lvlText w:val="%1)"/>
      <w:numFmt w:val="upperLetter"/>
      <w:start w:val="1"/>
    </w:lvl>
  </w:abstractNum>
  <w:abstractNum w:abstractNumId="113">
    <w:nsid w:val="704E1DD5"/>
    <w:multiLevelType w:val="hybridMultilevel"/>
    <w:lvl w:ilvl="0">
      <w:lvlJc w:val="left"/>
      <w:lvlText w:val="(%1)"/>
      <w:numFmt w:val="decimal"/>
      <w:start w:val="1"/>
    </w:lvl>
  </w:abstractNum>
  <w:abstractNum w:abstractNumId="114">
    <w:nsid w:val="57D2F10E"/>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lvl w:ilvl="3">
      <w:lvlJc w:val="left"/>
      <w:lvlText w:val="%4"/>
      <w:numFmt w:val="lowerLetter"/>
      <w:start w:val="1"/>
    </w:lvl>
  </w:abstractNum>
  <w:abstractNum w:abstractNumId="115">
    <w:nsid w:val="BFFAE18"/>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16">
    <w:nsid w:val="E3E47A8"/>
    <w:multiLevelType w:val="hybridMultilevel"/>
    <w:lvl w:ilvl="0">
      <w:lvlJc w:val="left"/>
      <w:lvlText w:val="%1)"/>
      <w:numFmt w:val="lowerLetter"/>
      <w:start w:val="5"/>
    </w:lvl>
    <w:lvl w:ilvl="1">
      <w:lvlJc w:val="left"/>
      <w:lvlText w:val="(%2)"/>
      <w:numFmt w:val="lowerRoman"/>
      <w:start w:val="1"/>
    </w:lvl>
  </w:abstractNum>
  <w:abstractNum w:abstractNumId="117">
    <w:nsid w:val="2E48F044"/>
    <w:multiLevelType w:val="hybridMultilevel"/>
    <w:lvl w:ilvl="0">
      <w:lvlJc w:val="left"/>
      <w:lvlText w:val="%1)"/>
      <w:numFmt w:val="lowerLetter"/>
      <w:start w:val="6"/>
    </w:lvl>
  </w:abstractNum>
  <w:abstractNum w:abstractNumId="118">
    <w:nsid w:val="49D0FEAC"/>
    <w:multiLevelType w:val="hybridMultilevel"/>
    <w:lvl w:ilvl="0">
      <w:lvlJc w:val="left"/>
      <w:lvlText w:val="%1"/>
      <w:numFmt w:val="upperLetter"/>
      <w:start w:val="1"/>
    </w:lvl>
    <w:lvl w:ilvl="1">
      <w:lvlJc w:val="left"/>
      <w:lvlText w:val="(%2)"/>
      <w:numFmt w:val="decimal"/>
      <w:start w:val="3"/>
    </w:lvl>
  </w:abstractNum>
  <w:abstractNum w:abstractNumId="119">
    <w:nsid w:val="4BEE5A5B"/>
    <w:multiLevelType w:val="hybridMultilevel"/>
    <w:lvl w:ilvl="0">
      <w:lvlJc w:val="left"/>
      <w:lvlText w:val="%1)"/>
      <w:numFmt w:val="upperLetter"/>
      <w:start w:val="4"/>
    </w:lvl>
    <w:lvl w:ilvl="1">
      <w:lvlJc w:val="left"/>
      <w:lvlText w:val="(%2)"/>
      <w:numFmt w:val="decimal"/>
      <w:start w:val="1"/>
    </w:lvl>
  </w:abstractNum>
  <w:abstractNum w:abstractNumId="120">
    <w:nsid w:val="5551B9F3"/>
    <w:multiLevelType w:val="hybridMultilevel"/>
    <w:lvl w:ilvl="0">
      <w:lvlJc w:val="left"/>
      <w:lvlText w:val="%1)"/>
      <w:numFmt w:val="upperLetter"/>
      <w:start w:val="4"/>
    </w:lvl>
  </w:abstractNum>
  <w:abstractNum w:abstractNumId="121">
    <w:nsid w:val="24F6AB8E"/>
    <w:multiLevelType w:val="hybridMultilevel"/>
    <w:lvl w:ilvl="0">
      <w:lvlJc w:val="left"/>
      <w:lvlText w:val="%1)"/>
      <w:numFmt w:val="upperLetter"/>
      <w:start w:val="5"/>
    </w:lvl>
  </w:abstractNum>
  <w:abstractNum w:abstractNumId="122">
    <w:nsid w:val="634C574C"/>
    <w:multiLevelType w:val="hybridMultilevel"/>
    <w:lvl w:ilvl="0">
      <w:lvlJc w:val="left"/>
      <w:lvlText w:val="%1."/>
      <w:numFmt w:val="decimal"/>
      <w:start w:val="9"/>
    </w:lvl>
  </w:abstractNum>
  <w:abstractNum w:abstractNumId="123">
    <w:nsid w:val="24E99DD7"/>
    <w:multiLevelType w:val="hybridMultilevel"/>
    <w:lvl w:ilvl="0">
      <w:lvlJc w:val="left"/>
      <w:lvlText w:val="%1)"/>
      <w:numFmt w:val="upperLetter"/>
      <w:start w:val="1"/>
    </w:lvl>
    <w:lvl w:ilvl="1">
      <w:lvlJc w:val="left"/>
      <w:lvlText w:val="(%2)"/>
      <w:numFmt w:val="decimal"/>
      <w:start w:val="1"/>
    </w:lvl>
  </w:abstractNum>
  <w:abstractNum w:abstractNumId="124">
    <w:nsid w:val="2A31B62D"/>
    <w:multiLevelType w:val="hybridMultilevel"/>
    <w:lvl w:ilvl="0">
      <w:lvlJc w:val="left"/>
      <w:lvlText w:val="%1)"/>
      <w:numFmt w:val="upperLetter"/>
      <w:start w:val="2"/>
    </w:lvl>
  </w:abstractNum>
  <w:abstractNum w:abstractNumId="125">
    <w:nsid w:val="1849C29B"/>
    <w:multiLevelType w:val="hybridMultilevel"/>
    <w:lvl w:ilvl="0">
      <w:lvlJc w:val="left"/>
      <w:lvlText w:val="%1."/>
      <w:numFmt w:val="decimal"/>
      <w:start w:val="10"/>
    </w:lvl>
  </w:abstractNum>
  <w:abstractNum w:abstractNumId="126">
    <w:nsid w:val="7DFF9D09"/>
    <w:multiLevelType w:val="hybridMultilevel"/>
    <w:lvl w:ilvl="0">
      <w:lvlJc w:val="left"/>
      <w:lvlText w:val="%1)"/>
      <w:numFmt w:val="upperLetter"/>
      <w:start w:val="1"/>
    </w:lvl>
  </w:abstractNum>
  <w:abstractNum w:abstractNumId="127">
    <w:nsid w:val="754342"/>
    <w:multiLevelType w:val="hybridMultilevel"/>
    <w:lvl w:ilvl="0">
      <w:lvlJc w:val="left"/>
      <w:lvlText w:val="%1."/>
      <w:numFmt w:val="decimal"/>
      <w:start w:val="11"/>
    </w:lvl>
  </w:abstractNum>
  <w:abstractNum w:abstractNumId="128">
    <w:nsid w:val="69E7F3E5"/>
    <w:multiLevelType w:val="hybridMultilevel"/>
    <w:lvl w:ilvl="0">
      <w:lvlJc w:val="left"/>
      <w:lvlText w:val="%1)"/>
      <w:numFmt w:val="upperLetter"/>
      <w:start w:val="1"/>
    </w:lvl>
  </w:abstractNum>
  <w:abstractNum w:abstractNumId="129">
    <w:nsid w:val="2A6DE806"/>
    <w:multiLevelType w:val="hybridMultilevel"/>
    <w:lvl w:ilvl="0">
      <w:lvlJc w:val="left"/>
      <w:lvlText w:val="%1."/>
      <w:numFmt w:val="decimal"/>
      <w:start w:val="12"/>
    </w:lvl>
  </w:abstractNum>
  <w:abstractNum w:abstractNumId="130">
    <w:nsid w:val="1816F8C4"/>
    <w:multiLevelType w:val="hybridMultilevel"/>
    <w:lvl w:ilvl="0">
      <w:lvlJc w:val="left"/>
      <w:lvlText w:val="%1)"/>
      <w:numFmt w:val="upperLetter"/>
      <w:start w:val="1"/>
    </w:lvl>
  </w:abstractNum>
  <w:abstractNum w:abstractNumId="131">
    <w:nsid w:val="37DF2233"/>
    <w:multiLevelType w:val="hybridMultilevel"/>
    <w:lvl w:ilvl="0">
      <w:lvlJc w:val="left"/>
      <w:lvlText w:val="%1)"/>
      <w:numFmt w:val="upperLetter"/>
      <w:start w:val="2"/>
    </w:lvl>
  </w:abstractNum>
  <w:abstractNum w:abstractNumId="132">
    <w:nsid w:val="7AB49DAF"/>
    <w:multiLevelType w:val="hybridMultilevel"/>
    <w:lvl w:ilvl="0">
      <w:lvlJc w:val="left"/>
      <w:lvlText w:val="%1."/>
      <w:numFmt w:val="decimal"/>
      <w:start w:val="13"/>
    </w:lvl>
  </w:abstractNum>
  <w:abstractNum w:abstractNumId="133">
    <w:nsid w:val="759F82CD"/>
    <w:multiLevelType w:val="hybridMultilevel"/>
    <w:lvl w:ilvl="0">
      <w:lvlJc w:val="left"/>
      <w:lvlText w:val="%1)"/>
      <w:numFmt w:val="upperLetter"/>
      <w:start w:val="1"/>
    </w:lvl>
  </w:abstractNum>
  <w:abstractNum w:abstractNumId="134">
    <w:nsid w:val="61E74EA3"/>
    <w:multiLevelType w:val="hybridMultilevel"/>
    <w:lvl w:ilvl="0">
      <w:lvlJc w:val="left"/>
      <w:lvlText w:val="%1."/>
      <w:numFmt w:val="decimal"/>
      <w:start w:val="14"/>
    </w:lvl>
  </w:abstractNum>
  <w:abstractNum w:abstractNumId="135">
    <w:nsid w:val="597B4D84"/>
    <w:multiLevelType w:val="hybridMultilevel"/>
    <w:lvl w:ilvl="0">
      <w:lvlJc w:val="left"/>
      <w:lvlText w:val="%1."/>
      <w:numFmt w:val="decimal"/>
      <w:start w:val="15"/>
    </w:lvl>
  </w:abstractNum>
  <w:abstractNum w:abstractNumId="136">
    <w:nsid w:val="F819E7F"/>
    <w:multiLevelType w:val="hybridMultilevel"/>
    <w:lvl w:ilvl="0">
      <w:lvlJc w:val="left"/>
      <w:lvlText w:val="%1)"/>
      <w:numFmt w:val="upperLetter"/>
      <w:start w:val="1"/>
    </w:lvl>
  </w:abstractNum>
  <w:abstractNum w:abstractNumId="137">
    <w:nsid w:val="57C7D42D"/>
    <w:multiLevelType w:val="hybridMultilevel"/>
    <w:lvl w:ilvl="0">
      <w:lvlJc w:val="left"/>
      <w:lvlText w:val="%1)"/>
      <w:numFmt w:val="upperLetter"/>
      <w:start w:val="4"/>
    </w:lvl>
  </w:abstractNum>
  <w:abstractNum w:abstractNumId="138">
    <w:nsid w:val="312167AD"/>
    <w:multiLevelType w:val="hybridMultilevel"/>
    <w:lvl w:ilvl="0">
      <w:lvlJc w:val="left"/>
      <w:lvlText w:val="%1)"/>
      <w:numFmt w:val="upperLetter"/>
      <w:start w:val="10"/>
    </w:lvl>
  </w:abstractNum>
  <w:abstractNum w:abstractNumId="139">
    <w:nsid w:val="631B64D4"/>
    <w:multiLevelType w:val="hybridMultilevel"/>
    <w:lvl w:ilvl="0">
      <w:lvlJc w:val="left"/>
      <w:lvlText w:val="%1."/>
      <w:numFmt w:val="upperLetter"/>
      <w:start w:val="1"/>
    </w:lvl>
  </w:abstractNum>
  <w:abstractNum w:abstractNumId="140">
    <w:nsid w:val="78B5E776"/>
    <w:multiLevelType w:val="hybridMultilevel"/>
    <w:lvl w:ilvl="0">
      <w:lvlJc w:val="left"/>
      <w:lvlText w:val="(%1)"/>
      <w:numFmt w:val="lowerLetter"/>
      <w:start w:val="1"/>
    </w:lvl>
    <w:lvl w:ilvl="1">
      <w:lvlJc w:val="left"/>
      <w:lvlText w:val="-"/>
      <w:numFmt w:val="bullet"/>
      <w:start w:val="1"/>
    </w:lvl>
  </w:abstractNum>
  <w:abstractNum w:abstractNumId="141">
    <w:nsid w:val="75486E47"/>
    <w:multiLevelType w:val="hybridMultilevel"/>
    <w:lvl w:ilvl="0">
      <w:lvlJc w:val="left"/>
      <w:lvlText w:val="(%1)"/>
      <w:numFmt w:val="lowerLetter"/>
      <w:start w:val="8"/>
    </w:lvl>
  </w:abstractNum>
  <w:abstractNum w:abstractNumId="142">
    <w:nsid w:val="6E534CDE"/>
    <w:multiLevelType w:val="hybridMultilevel"/>
    <w:lvl w:ilvl="0">
      <w:lvlJc w:val="left"/>
      <w:lvlText w:val="(%1)"/>
      <w:numFmt w:val="lowerLetter"/>
      <w:start w:val="1"/>
    </w:lvl>
  </w:abstractNum>
  <w:abstractNum w:abstractNumId="143">
    <w:nsid w:val="1A0DDE32"/>
    <w:multiLevelType w:val="hybridMultilevel"/>
    <w:lvl w:ilvl="0">
      <w:lvlJc w:val="left"/>
      <w:lvlText w:val="(%1)"/>
      <w:numFmt w:val="lowerLetter"/>
      <w:start w:val="1"/>
    </w:lvl>
    <w:lvl w:ilvl="1">
      <w:lvlJc w:val="left"/>
      <w:lvlText w:val="-"/>
      <w:numFmt w:val="bullet"/>
      <w:start w:val="1"/>
    </w:lvl>
  </w:abstractNum>
  <w:abstractNum w:abstractNumId="144">
    <w:nsid w:val="65968C1C"/>
    <w:multiLevelType w:val="hybridMultilevel"/>
    <w:lvl w:ilvl="0">
      <w:lvlJc w:val="left"/>
      <w:lvlText w:val="(%1)"/>
      <w:numFmt w:val="lowerLetter"/>
      <w:start w:val="3"/>
    </w:lvl>
  </w:abstractNum>
  <w:abstractNum w:abstractNumId="145">
    <w:nsid w:val="46263DEC"/>
    <w:multiLevelType w:val="hybridMultilevel"/>
    <w:lvl w:ilvl="0">
      <w:lvlJc w:val="left"/>
      <w:lvlText w:val="(%1)"/>
      <w:numFmt w:val="lowerLetter"/>
      <w:start w:val="1"/>
    </w:lvl>
    <w:lvl w:ilvl="1">
      <w:lvlJc w:val="left"/>
      <w:lvlText w:val="(%2)"/>
      <w:numFmt w:val="lowerRoman"/>
      <w:start w:val="1"/>
    </w:lvl>
  </w:abstractNum>
  <w:abstractNum w:abstractNumId="146">
    <w:nsid w:val="260D8C4A"/>
    <w:multiLevelType w:val="hybridMultilevel"/>
    <w:lvl w:ilvl="0">
      <w:lvlJc w:val="left"/>
      <w:lvlText w:val="(%1)"/>
      <w:numFmt w:val="lowerLetter"/>
      <w:start w:val="1"/>
    </w:lvl>
    <w:lvl w:ilvl="1">
      <w:lvlJc w:val="left"/>
      <w:lvlText w:val="(%2)"/>
      <w:numFmt w:val="lowerRoman"/>
      <w:start w:val="1"/>
    </w:lvl>
  </w:abstractNum>
  <w:abstractNum w:abstractNumId="147">
    <w:nsid w:val="73D4D3C4"/>
    <w:multiLevelType w:val="hybridMultilevel"/>
    <w:lvl w:ilvl="0">
      <w:lvlJc w:val="left"/>
      <w:lvlText w:val="(%1)"/>
      <w:numFmt w:val="lowerLetter"/>
      <w:start w:val="1"/>
    </w:lvl>
  </w:abstractNum>
  <w:abstractNum w:abstractNumId="148">
    <w:nsid w:val="746F2E30"/>
    <w:multiLevelType w:val="hybridMultilevel"/>
    <w:lvl w:ilvl="0">
      <w:lvlJc w:val="left"/>
      <w:lvlText w:val="%1."/>
      <w:numFmt w:val="decimal"/>
      <w:start w:val="1"/>
    </w:lvl>
  </w:abstractNum>
  <w:abstractNum w:abstractNumId="149">
    <w:nsid w:val="6FDE8AF6"/>
    <w:multiLevelType w:val="hybridMultilevel"/>
    <w:lvl w:ilvl="0">
      <w:lvlJc w:val="left"/>
      <w:lvlText w:val="%1."/>
      <w:numFmt w:val="decimal"/>
      <w:start w:val="2"/>
    </w:lvl>
  </w:abstractNum>
  <w:abstractNum w:abstractNumId="150">
    <w:nsid w:val="3FC32E20"/>
    <w:multiLevelType w:val="hybridMultilevel"/>
    <w:lvl w:ilvl="0">
      <w:lvlJc w:val="left"/>
      <w:lvlText w:val="%1."/>
      <w:numFmt w:val="decimal"/>
      <w:start w:val="3"/>
    </w:lvl>
  </w:abstractNum>
  <w:abstractNum w:abstractNumId="151">
    <w:nsid w:val="49C0E823"/>
    <w:multiLevelType w:val="hybridMultilevel"/>
    <w:lvl w:ilvl="0">
      <w:lvlJc w:val="left"/>
      <w:lvlText w:val="(%1)"/>
      <w:numFmt w:val="decimal"/>
      <w:start w:val="1"/>
    </w:lvl>
  </w:abstractNum>
  <w:abstractNum w:abstractNumId="152">
    <w:nsid w:val="14D53685"/>
    <w:multiLevelType w:val="hybridMultilevel"/>
    <w:lvl w:ilvl="0">
      <w:lvlJc w:val="left"/>
      <w:lvlText w:val="%1."/>
      <w:numFmt w:val="decimal"/>
      <w:start w:val="1"/>
    </w:lvl>
    <w:lvl w:ilvl="1">
      <w:lvlJc w:val="left"/>
      <w:lvlText w:val="(%2)"/>
      <w:numFmt w:val="upperLetter"/>
      <w:start w:val="1"/>
    </w:lvl>
  </w:abstractNum>
  <w:abstractNum w:abstractNumId="153">
    <w:nsid w:val="230F856C"/>
    <w:multiLevelType w:val="hybridMultilevel"/>
    <w:lvl w:ilvl="0">
      <w:lvlJc w:val="left"/>
      <w:lvlText w:val="%1."/>
      <w:numFmt w:val="decimal"/>
      <w:start w:val="1"/>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2019-12-15T07:29:43Z</dcterms:created>
  <dcterms:modified xsi:type="dcterms:W3CDTF">2019-12-15T07:29:43Z</dcterms:modified>
</cp:coreProperties>
</file>