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20, 2014</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5340" w:type="dxa"/>
            <w:vAlign w:val="bottom"/>
          </w:tcPr>
          <w:p>
            <w:pPr>
              <w:jc w:val="center"/>
              <w:ind w:left="4114"/>
              <w:spacing w:after="0"/>
              <w:rPr>
                <w:sz w:val="20"/>
                <w:szCs w:val="20"/>
                <w:color w:val="auto"/>
              </w:rPr>
            </w:pPr>
            <w:r>
              <w:rPr>
                <w:rFonts w:ascii="Arial" w:cs="Arial" w:eastAsia="Arial" w:hAnsi="Arial"/>
                <w:sz w:val="18"/>
                <w:szCs w:val="18"/>
                <w:b w:val="1"/>
                <w:bCs w:val="1"/>
                <w:color w:val="auto"/>
                <w:w w:val="89"/>
              </w:rPr>
              <w:t>46-0484987</w:t>
            </w:r>
          </w:p>
        </w:tc>
      </w:tr>
      <w:tr>
        <w:trPr>
          <w:trHeight w:val="149"/>
        </w:trPr>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40" w:type="dxa"/>
            <w:vAlign w:val="bottom"/>
          </w:tcPr>
          <w:p>
            <w:pPr>
              <w:jc w:val="center"/>
              <w:ind w:left="413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340" w:type="dxa"/>
            <w:vAlign w:val="bottom"/>
          </w:tcPr>
          <w:p>
            <w:pPr>
              <w:jc w:val="center"/>
              <w:ind w:left="4114"/>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1920" w:type="dxa"/>
            <w:vAlign w:val="bottom"/>
          </w:tcPr>
          <w:p>
            <w:pPr>
              <w:spacing w:after="0"/>
              <w:rPr>
                <w:sz w:val="24"/>
                <w:szCs w:val="24"/>
                <w:color w:val="auto"/>
              </w:rPr>
            </w:pPr>
          </w:p>
        </w:tc>
        <w:tc>
          <w:tcPr>
            <w:tcW w:w="5340" w:type="dxa"/>
            <w:vAlign w:val="bottom"/>
          </w:tcPr>
          <w:p>
            <w:pPr>
              <w:jc w:val="center"/>
              <w:ind w:right="1574"/>
              <w:spacing w:after="0"/>
              <w:rPr>
                <w:sz w:val="20"/>
                <w:szCs w:val="20"/>
                <w:color w:val="auto"/>
              </w:rPr>
            </w:pPr>
            <w:r>
              <w:rPr>
                <w:rFonts w:ascii="Arial" w:cs="Arial" w:eastAsia="Arial" w:hAnsi="Arial"/>
                <w:sz w:val="18"/>
                <w:szCs w:val="18"/>
                <w:b w:val="1"/>
                <w:bCs w:val="1"/>
                <w:color w:val="auto"/>
                <w:w w:val="88"/>
              </w:rPr>
              <w:t>3131 Las Vegas Boulevard South</w:t>
            </w:r>
          </w:p>
        </w:tc>
      </w:tr>
      <w:tr>
        <w:trPr>
          <w:trHeight w:val="212"/>
        </w:trPr>
        <w:tc>
          <w:tcPr>
            <w:tcW w:w="1920" w:type="dxa"/>
            <w:vAlign w:val="bottom"/>
          </w:tcPr>
          <w:p>
            <w:pPr>
              <w:spacing w:after="0"/>
              <w:rPr>
                <w:sz w:val="18"/>
                <w:szCs w:val="18"/>
                <w:color w:val="auto"/>
              </w:rPr>
            </w:pPr>
          </w:p>
        </w:tc>
        <w:tc>
          <w:tcPr>
            <w:tcW w:w="5340" w:type="dxa"/>
            <w:vAlign w:val="bottom"/>
          </w:tcPr>
          <w:p>
            <w:pPr>
              <w:jc w:val="center"/>
              <w:ind w:right="1594"/>
              <w:spacing w:after="0"/>
              <w:rPr>
                <w:sz w:val="20"/>
                <w:szCs w:val="20"/>
                <w:color w:val="auto"/>
              </w:rPr>
            </w:pPr>
            <w:r>
              <w:rPr>
                <w:rFonts w:ascii="Arial" w:cs="Arial" w:eastAsia="Arial" w:hAnsi="Arial"/>
                <w:sz w:val="18"/>
                <w:szCs w:val="18"/>
                <w:b w:val="1"/>
                <w:bCs w:val="1"/>
                <w:color w:val="auto"/>
                <w:w w:val="88"/>
              </w:rPr>
              <w:t>Las Vegas, Nevada 89109</w:t>
            </w:r>
          </w:p>
        </w:tc>
      </w:tr>
      <w:tr>
        <w:trPr>
          <w:trHeight w:val="186"/>
        </w:trPr>
        <w:tc>
          <w:tcPr>
            <w:tcW w:w="1920" w:type="dxa"/>
            <w:vAlign w:val="bottom"/>
          </w:tcPr>
          <w:p>
            <w:pPr>
              <w:spacing w:after="0"/>
              <w:rPr>
                <w:sz w:val="16"/>
                <w:szCs w:val="16"/>
                <w:color w:val="auto"/>
              </w:rPr>
            </w:pPr>
          </w:p>
        </w:tc>
        <w:tc>
          <w:tcPr>
            <w:tcW w:w="5340" w:type="dxa"/>
            <w:vAlign w:val="bottom"/>
          </w:tcPr>
          <w:p>
            <w:pPr>
              <w:jc w:val="center"/>
              <w:ind w:right="1574"/>
              <w:spacing w:after="0"/>
              <w:rPr>
                <w:sz w:val="20"/>
                <w:szCs w:val="20"/>
                <w:color w:val="auto"/>
              </w:rPr>
            </w:pPr>
            <w:r>
              <w:rPr>
                <w:rFonts w:ascii="Arial" w:cs="Arial" w:eastAsia="Arial" w:hAnsi="Arial"/>
                <w:sz w:val="14"/>
                <w:szCs w:val="14"/>
                <w:b w:val="1"/>
                <w:bCs w:val="1"/>
                <w:color w:val="auto"/>
                <w:w w:val="91"/>
              </w:rPr>
              <w:t>(Address, including zip code, of principal executive offices)</w:t>
            </w:r>
          </w:p>
        </w:tc>
      </w:tr>
      <w:tr>
        <w:trPr>
          <w:trHeight w:val="394"/>
        </w:trPr>
        <w:tc>
          <w:tcPr>
            <w:tcW w:w="1920" w:type="dxa"/>
            <w:vAlign w:val="bottom"/>
          </w:tcPr>
          <w:p>
            <w:pPr>
              <w:spacing w:after="0"/>
              <w:rPr>
                <w:sz w:val="24"/>
                <w:szCs w:val="24"/>
                <w:color w:val="auto"/>
              </w:rPr>
            </w:pPr>
          </w:p>
        </w:tc>
        <w:tc>
          <w:tcPr>
            <w:tcW w:w="5340" w:type="dxa"/>
            <w:vAlign w:val="bottom"/>
          </w:tcPr>
          <w:p>
            <w:pPr>
              <w:jc w:val="center"/>
              <w:ind w:right="1594"/>
              <w:spacing w:after="0"/>
              <w:rPr>
                <w:sz w:val="20"/>
                <w:szCs w:val="20"/>
                <w:color w:val="auto"/>
              </w:rPr>
            </w:pPr>
            <w:r>
              <w:rPr>
                <w:rFonts w:ascii="Arial" w:cs="Arial" w:eastAsia="Arial" w:hAnsi="Arial"/>
                <w:sz w:val="18"/>
                <w:szCs w:val="18"/>
                <w:b w:val="1"/>
                <w:bCs w:val="1"/>
                <w:color w:val="auto"/>
                <w:w w:val="90"/>
              </w:rPr>
              <w:t>2014 Omnibus Incentive Plan</w:t>
            </w:r>
          </w:p>
        </w:tc>
      </w:tr>
      <w:tr>
        <w:trPr>
          <w:trHeight w:val="186"/>
        </w:trPr>
        <w:tc>
          <w:tcPr>
            <w:tcW w:w="1920" w:type="dxa"/>
            <w:vAlign w:val="bottom"/>
          </w:tcPr>
          <w:p>
            <w:pPr>
              <w:spacing w:after="0"/>
              <w:rPr>
                <w:sz w:val="16"/>
                <w:szCs w:val="16"/>
                <w:color w:val="auto"/>
              </w:rPr>
            </w:pPr>
          </w:p>
        </w:tc>
        <w:tc>
          <w:tcPr>
            <w:tcW w:w="5340" w:type="dxa"/>
            <w:vAlign w:val="bottom"/>
          </w:tcPr>
          <w:p>
            <w:pPr>
              <w:jc w:val="center"/>
              <w:ind w:right="1594"/>
              <w:spacing w:after="0"/>
              <w:rPr>
                <w:sz w:val="20"/>
                <w:szCs w:val="20"/>
                <w:color w:val="auto"/>
              </w:rPr>
            </w:pPr>
            <w:r>
              <w:rPr>
                <w:rFonts w:ascii="Arial" w:cs="Arial" w:eastAsia="Arial" w:hAnsi="Arial"/>
                <w:sz w:val="14"/>
                <w:szCs w:val="14"/>
                <w:b w:val="1"/>
                <w:bCs w:val="1"/>
                <w:color w:val="auto"/>
                <w:w w:val="94"/>
              </w:rPr>
              <w:t>(Full title of the plan)</w:t>
            </w:r>
          </w:p>
        </w:tc>
      </w:tr>
      <w:tr>
        <w:trPr>
          <w:trHeight w:val="399"/>
        </w:trPr>
        <w:tc>
          <w:tcPr>
            <w:tcW w:w="1920" w:type="dxa"/>
            <w:vAlign w:val="bottom"/>
          </w:tcPr>
          <w:p>
            <w:pPr>
              <w:spacing w:after="0"/>
              <w:rPr>
                <w:sz w:val="24"/>
                <w:szCs w:val="24"/>
                <w:color w:val="auto"/>
              </w:rPr>
            </w:pPr>
          </w:p>
        </w:tc>
        <w:tc>
          <w:tcPr>
            <w:tcW w:w="5340" w:type="dxa"/>
            <w:vAlign w:val="bottom"/>
          </w:tcPr>
          <w:p>
            <w:pPr>
              <w:jc w:val="center"/>
              <w:ind w:right="1574"/>
              <w:spacing w:after="0"/>
              <w:rPr>
                <w:sz w:val="20"/>
                <w:szCs w:val="20"/>
                <w:color w:val="auto"/>
              </w:rPr>
            </w:pPr>
            <w:r>
              <w:rPr>
                <w:rFonts w:ascii="Arial" w:cs="Arial" w:eastAsia="Arial" w:hAnsi="Arial"/>
                <w:sz w:val="18"/>
                <w:szCs w:val="18"/>
                <w:b w:val="1"/>
                <w:bCs w:val="1"/>
                <w:color w:val="auto"/>
                <w:w w:val="95"/>
              </w:rPr>
              <w:t>Kim Sinatra</w:t>
            </w:r>
          </w:p>
        </w:tc>
      </w:tr>
      <w:tr>
        <w:trPr>
          <w:trHeight w:val="216"/>
        </w:trPr>
        <w:tc>
          <w:tcPr>
            <w:tcW w:w="1920" w:type="dxa"/>
            <w:vAlign w:val="bottom"/>
          </w:tcPr>
          <w:p>
            <w:pPr>
              <w:spacing w:after="0"/>
              <w:rPr>
                <w:sz w:val="18"/>
                <w:szCs w:val="18"/>
                <w:color w:val="auto"/>
              </w:rPr>
            </w:pPr>
          </w:p>
        </w:tc>
        <w:tc>
          <w:tcPr>
            <w:tcW w:w="5340" w:type="dxa"/>
            <w:vAlign w:val="bottom"/>
          </w:tcPr>
          <w:p>
            <w:pPr>
              <w:jc w:val="center"/>
              <w:ind w:right="1574"/>
              <w:spacing w:after="0"/>
              <w:rPr>
                <w:sz w:val="20"/>
                <w:szCs w:val="20"/>
                <w:color w:val="auto"/>
              </w:rPr>
            </w:pPr>
            <w:r>
              <w:rPr>
                <w:rFonts w:ascii="Arial" w:cs="Arial" w:eastAsia="Arial" w:hAnsi="Arial"/>
                <w:sz w:val="18"/>
                <w:szCs w:val="18"/>
                <w:b w:val="1"/>
                <w:bCs w:val="1"/>
                <w:color w:val="auto"/>
                <w:w w:val="89"/>
              </w:rPr>
              <w:t>General Counsel and Secretary</w:t>
            </w:r>
          </w:p>
        </w:tc>
      </w:tr>
      <w:tr>
        <w:trPr>
          <w:trHeight w:val="216"/>
        </w:trPr>
        <w:tc>
          <w:tcPr>
            <w:tcW w:w="1920" w:type="dxa"/>
            <w:vAlign w:val="bottom"/>
          </w:tcPr>
          <w:p>
            <w:pPr>
              <w:spacing w:after="0"/>
              <w:rPr>
                <w:sz w:val="18"/>
                <w:szCs w:val="18"/>
                <w:color w:val="auto"/>
              </w:rPr>
            </w:pPr>
          </w:p>
        </w:tc>
        <w:tc>
          <w:tcPr>
            <w:tcW w:w="5340" w:type="dxa"/>
            <w:vAlign w:val="bottom"/>
          </w:tcPr>
          <w:p>
            <w:pPr>
              <w:jc w:val="center"/>
              <w:ind w:right="1594"/>
              <w:spacing w:after="0"/>
              <w:rPr>
                <w:sz w:val="20"/>
                <w:szCs w:val="20"/>
                <w:color w:val="auto"/>
              </w:rPr>
            </w:pPr>
            <w:r>
              <w:rPr>
                <w:rFonts w:ascii="Arial" w:cs="Arial" w:eastAsia="Arial" w:hAnsi="Arial"/>
                <w:sz w:val="18"/>
                <w:szCs w:val="18"/>
                <w:b w:val="1"/>
                <w:bCs w:val="1"/>
                <w:color w:val="auto"/>
                <w:w w:val="91"/>
              </w:rPr>
              <w:t>Wynn Resorts, Limited</w:t>
            </w:r>
          </w:p>
        </w:tc>
      </w:tr>
      <w:tr>
        <w:trPr>
          <w:trHeight w:val="216"/>
        </w:trPr>
        <w:tc>
          <w:tcPr>
            <w:tcW w:w="1920" w:type="dxa"/>
            <w:vAlign w:val="bottom"/>
          </w:tcPr>
          <w:p>
            <w:pPr>
              <w:spacing w:after="0"/>
              <w:rPr>
                <w:sz w:val="18"/>
                <w:szCs w:val="18"/>
                <w:color w:val="auto"/>
              </w:rPr>
            </w:pPr>
          </w:p>
        </w:tc>
        <w:tc>
          <w:tcPr>
            <w:tcW w:w="5340" w:type="dxa"/>
            <w:vAlign w:val="bottom"/>
          </w:tcPr>
          <w:p>
            <w:pPr>
              <w:jc w:val="center"/>
              <w:ind w:right="1574"/>
              <w:spacing w:after="0"/>
              <w:rPr>
                <w:sz w:val="20"/>
                <w:szCs w:val="20"/>
                <w:color w:val="auto"/>
              </w:rPr>
            </w:pPr>
            <w:r>
              <w:rPr>
                <w:rFonts w:ascii="Arial" w:cs="Arial" w:eastAsia="Arial" w:hAnsi="Arial"/>
                <w:sz w:val="18"/>
                <w:szCs w:val="18"/>
                <w:b w:val="1"/>
                <w:bCs w:val="1"/>
                <w:color w:val="auto"/>
                <w:w w:val="88"/>
              </w:rPr>
              <w:t>3131 Las Vegas Boulevard South</w:t>
            </w:r>
          </w:p>
        </w:tc>
      </w:tr>
      <w:tr>
        <w:trPr>
          <w:trHeight w:val="216"/>
        </w:trPr>
        <w:tc>
          <w:tcPr>
            <w:tcW w:w="1920" w:type="dxa"/>
            <w:vAlign w:val="bottom"/>
          </w:tcPr>
          <w:p>
            <w:pPr>
              <w:spacing w:after="0"/>
              <w:rPr>
                <w:sz w:val="18"/>
                <w:szCs w:val="18"/>
                <w:color w:val="auto"/>
              </w:rPr>
            </w:pPr>
          </w:p>
        </w:tc>
        <w:tc>
          <w:tcPr>
            <w:tcW w:w="5340" w:type="dxa"/>
            <w:vAlign w:val="bottom"/>
          </w:tcPr>
          <w:p>
            <w:pPr>
              <w:jc w:val="center"/>
              <w:ind w:right="1594"/>
              <w:spacing w:after="0"/>
              <w:rPr>
                <w:sz w:val="20"/>
                <w:szCs w:val="20"/>
                <w:color w:val="auto"/>
              </w:rPr>
            </w:pPr>
            <w:r>
              <w:rPr>
                <w:rFonts w:ascii="Arial" w:cs="Arial" w:eastAsia="Arial" w:hAnsi="Arial"/>
                <w:sz w:val="18"/>
                <w:szCs w:val="18"/>
                <w:b w:val="1"/>
                <w:bCs w:val="1"/>
                <w:color w:val="auto"/>
                <w:w w:val="88"/>
              </w:rPr>
              <w:t>Las Vegas, Nevada 89109</w:t>
            </w:r>
          </w:p>
        </w:tc>
      </w:tr>
      <w:tr>
        <w:trPr>
          <w:trHeight w:val="212"/>
        </w:trPr>
        <w:tc>
          <w:tcPr>
            <w:tcW w:w="1920" w:type="dxa"/>
            <w:vAlign w:val="bottom"/>
          </w:tcPr>
          <w:p>
            <w:pPr>
              <w:spacing w:after="0"/>
              <w:rPr>
                <w:sz w:val="18"/>
                <w:szCs w:val="18"/>
                <w:color w:val="auto"/>
              </w:rPr>
            </w:pPr>
          </w:p>
        </w:tc>
        <w:tc>
          <w:tcPr>
            <w:tcW w:w="5340" w:type="dxa"/>
            <w:vAlign w:val="bottom"/>
          </w:tcPr>
          <w:p>
            <w:pPr>
              <w:jc w:val="center"/>
              <w:ind w:right="1574"/>
              <w:spacing w:after="0"/>
              <w:rPr>
                <w:sz w:val="20"/>
                <w:szCs w:val="20"/>
                <w:color w:val="auto"/>
              </w:rPr>
            </w:pPr>
            <w:r>
              <w:rPr>
                <w:rFonts w:ascii="Arial" w:cs="Arial" w:eastAsia="Arial" w:hAnsi="Arial"/>
                <w:sz w:val="18"/>
                <w:szCs w:val="18"/>
                <w:b w:val="1"/>
                <w:bCs w:val="1"/>
                <w:color w:val="auto"/>
                <w:w w:val="90"/>
              </w:rPr>
              <w:t>(702) 770-7555</w:t>
            </w:r>
          </w:p>
        </w:tc>
      </w:tr>
      <w:tr>
        <w:trPr>
          <w:trHeight w:val="186"/>
        </w:trPr>
        <w:tc>
          <w:tcPr>
            <w:tcW w:w="1920" w:type="dxa"/>
            <w:vAlign w:val="bottom"/>
          </w:tcPr>
          <w:p>
            <w:pPr>
              <w:spacing w:after="0"/>
              <w:rPr>
                <w:sz w:val="16"/>
                <w:szCs w:val="16"/>
                <w:color w:val="auto"/>
              </w:rPr>
            </w:pPr>
          </w:p>
        </w:tc>
        <w:tc>
          <w:tcPr>
            <w:tcW w:w="5340" w:type="dxa"/>
            <w:vAlign w:val="bottom"/>
          </w:tcPr>
          <w:p>
            <w:pPr>
              <w:jc w:val="center"/>
              <w:ind w:right="1574"/>
              <w:spacing w:after="0"/>
              <w:rPr>
                <w:sz w:val="20"/>
                <w:szCs w:val="20"/>
                <w:color w:val="auto"/>
              </w:rPr>
            </w:pPr>
            <w:r>
              <w:rPr>
                <w:rFonts w:ascii="Arial" w:cs="Arial" w:eastAsia="Arial" w:hAnsi="Arial"/>
                <w:sz w:val="14"/>
                <w:szCs w:val="14"/>
                <w:b w:val="1"/>
                <w:bCs w:val="1"/>
                <w:color w:val="auto"/>
                <w:w w:val="91"/>
              </w:rPr>
              <w:t>(Name and address of agent for service)</w:t>
            </w:r>
          </w:p>
        </w:tc>
      </w:tr>
      <w:tr>
        <w:trPr>
          <w:trHeight w:val="399"/>
        </w:trPr>
        <w:tc>
          <w:tcPr>
            <w:tcW w:w="1920" w:type="dxa"/>
            <w:vAlign w:val="bottom"/>
          </w:tcPr>
          <w:p>
            <w:pPr>
              <w:spacing w:after="0"/>
              <w:rPr>
                <w:sz w:val="24"/>
                <w:szCs w:val="24"/>
                <w:color w:val="auto"/>
              </w:rPr>
            </w:pPr>
          </w:p>
        </w:tc>
        <w:tc>
          <w:tcPr>
            <w:tcW w:w="5340" w:type="dxa"/>
            <w:vAlign w:val="bottom"/>
          </w:tcPr>
          <w:p>
            <w:pPr>
              <w:jc w:val="center"/>
              <w:ind w:right="1594"/>
              <w:spacing w:after="0"/>
              <w:rPr>
                <w:sz w:val="20"/>
                <w:szCs w:val="20"/>
                <w:color w:val="auto"/>
              </w:rPr>
            </w:pPr>
            <w:r>
              <w:rPr>
                <w:rFonts w:ascii="Arial" w:cs="Arial" w:eastAsia="Arial" w:hAnsi="Arial"/>
                <w:sz w:val="18"/>
                <w:szCs w:val="18"/>
                <w:b w:val="1"/>
                <w:bCs w:val="1"/>
                <w:i w:val="1"/>
                <w:iCs w:val="1"/>
                <w:color w:val="auto"/>
                <w:w w:val="84"/>
              </w:rPr>
              <w:t>Copies to</w:t>
            </w:r>
            <w:r>
              <w:rPr>
                <w:rFonts w:ascii="Arial" w:cs="Arial" w:eastAsia="Arial" w:hAnsi="Arial"/>
                <w:sz w:val="18"/>
                <w:szCs w:val="18"/>
                <w:color w:val="auto"/>
                <w:w w:val="84"/>
              </w:rPr>
              <w:t>:</w:t>
            </w:r>
          </w:p>
        </w:tc>
      </w:tr>
      <w:tr>
        <w:trPr>
          <w:trHeight w:val="216"/>
        </w:trPr>
        <w:tc>
          <w:tcPr>
            <w:tcW w:w="1920" w:type="dxa"/>
            <w:vAlign w:val="bottom"/>
          </w:tcPr>
          <w:p>
            <w:pPr>
              <w:spacing w:after="0"/>
              <w:rPr>
                <w:sz w:val="18"/>
                <w:szCs w:val="18"/>
                <w:color w:val="auto"/>
              </w:rPr>
            </w:pPr>
          </w:p>
        </w:tc>
        <w:tc>
          <w:tcPr>
            <w:tcW w:w="5340" w:type="dxa"/>
            <w:vAlign w:val="bottom"/>
          </w:tcPr>
          <w:p>
            <w:pPr>
              <w:jc w:val="center"/>
              <w:ind w:right="1594"/>
              <w:spacing w:after="0"/>
              <w:rPr>
                <w:sz w:val="20"/>
                <w:szCs w:val="20"/>
                <w:color w:val="auto"/>
              </w:rPr>
            </w:pPr>
            <w:r>
              <w:rPr>
                <w:rFonts w:ascii="Arial" w:cs="Arial" w:eastAsia="Arial" w:hAnsi="Arial"/>
                <w:sz w:val="18"/>
                <w:szCs w:val="18"/>
                <w:b w:val="1"/>
                <w:bCs w:val="1"/>
                <w:color w:val="auto"/>
                <w:w w:val="92"/>
              </w:rPr>
              <w:t>Ronald O. Mueller, Esq.</w:t>
            </w:r>
          </w:p>
        </w:tc>
      </w:tr>
      <w:tr>
        <w:trPr>
          <w:trHeight w:val="216"/>
        </w:trPr>
        <w:tc>
          <w:tcPr>
            <w:tcW w:w="1920" w:type="dxa"/>
            <w:vAlign w:val="bottom"/>
          </w:tcPr>
          <w:p>
            <w:pPr>
              <w:spacing w:after="0"/>
              <w:rPr>
                <w:sz w:val="18"/>
                <w:szCs w:val="18"/>
                <w:color w:val="auto"/>
              </w:rPr>
            </w:pPr>
          </w:p>
        </w:tc>
        <w:tc>
          <w:tcPr>
            <w:tcW w:w="5340" w:type="dxa"/>
            <w:vAlign w:val="bottom"/>
          </w:tcPr>
          <w:p>
            <w:pPr>
              <w:jc w:val="center"/>
              <w:ind w:right="1594"/>
              <w:spacing w:after="0"/>
              <w:rPr>
                <w:sz w:val="20"/>
                <w:szCs w:val="20"/>
                <w:color w:val="auto"/>
              </w:rPr>
            </w:pPr>
            <w:r>
              <w:rPr>
                <w:rFonts w:ascii="Arial" w:cs="Arial" w:eastAsia="Arial" w:hAnsi="Arial"/>
                <w:sz w:val="18"/>
                <w:szCs w:val="18"/>
                <w:b w:val="1"/>
                <w:bCs w:val="1"/>
                <w:color w:val="auto"/>
                <w:w w:val="94"/>
              </w:rPr>
              <w:t>Gibson, Dunn &amp; Crutcher LLP</w:t>
            </w:r>
          </w:p>
        </w:tc>
      </w:tr>
      <w:tr>
        <w:trPr>
          <w:trHeight w:val="216"/>
        </w:trPr>
        <w:tc>
          <w:tcPr>
            <w:tcW w:w="1920" w:type="dxa"/>
            <w:vAlign w:val="bottom"/>
          </w:tcPr>
          <w:p>
            <w:pPr>
              <w:spacing w:after="0"/>
              <w:rPr>
                <w:sz w:val="18"/>
                <w:szCs w:val="18"/>
                <w:color w:val="auto"/>
              </w:rPr>
            </w:pPr>
          </w:p>
        </w:tc>
        <w:tc>
          <w:tcPr>
            <w:tcW w:w="5340" w:type="dxa"/>
            <w:vAlign w:val="bottom"/>
          </w:tcPr>
          <w:p>
            <w:pPr>
              <w:jc w:val="center"/>
              <w:ind w:right="1594"/>
              <w:spacing w:after="0"/>
              <w:rPr>
                <w:sz w:val="20"/>
                <w:szCs w:val="20"/>
                <w:color w:val="auto"/>
              </w:rPr>
            </w:pPr>
            <w:r>
              <w:rPr>
                <w:rFonts w:ascii="Arial" w:cs="Arial" w:eastAsia="Arial" w:hAnsi="Arial"/>
                <w:sz w:val="18"/>
                <w:szCs w:val="18"/>
                <w:b w:val="1"/>
                <w:bCs w:val="1"/>
                <w:color w:val="auto"/>
                <w:w w:val="90"/>
              </w:rPr>
              <w:t>1050 Connecticut Avenue N.W.</w:t>
            </w:r>
          </w:p>
        </w:tc>
      </w:tr>
      <w:tr>
        <w:trPr>
          <w:trHeight w:val="216"/>
        </w:trPr>
        <w:tc>
          <w:tcPr>
            <w:tcW w:w="1920" w:type="dxa"/>
            <w:vAlign w:val="bottom"/>
          </w:tcPr>
          <w:p>
            <w:pPr>
              <w:spacing w:after="0"/>
              <w:rPr>
                <w:sz w:val="18"/>
                <w:szCs w:val="18"/>
                <w:color w:val="auto"/>
              </w:rPr>
            </w:pPr>
          </w:p>
        </w:tc>
        <w:tc>
          <w:tcPr>
            <w:tcW w:w="5340" w:type="dxa"/>
            <w:vAlign w:val="bottom"/>
          </w:tcPr>
          <w:p>
            <w:pPr>
              <w:jc w:val="center"/>
              <w:ind w:right="1594"/>
              <w:spacing w:after="0"/>
              <w:rPr>
                <w:sz w:val="20"/>
                <w:szCs w:val="20"/>
                <w:color w:val="auto"/>
              </w:rPr>
            </w:pPr>
            <w:r>
              <w:rPr>
                <w:rFonts w:ascii="Arial" w:cs="Arial" w:eastAsia="Arial" w:hAnsi="Arial"/>
                <w:sz w:val="18"/>
                <w:szCs w:val="18"/>
                <w:b w:val="1"/>
                <w:bCs w:val="1"/>
                <w:color w:val="auto"/>
                <w:w w:val="91"/>
              </w:rPr>
              <w:t>Washington, D.C. 20036</w:t>
            </w:r>
          </w:p>
        </w:tc>
      </w:tr>
      <w:tr>
        <w:trPr>
          <w:trHeight w:val="234"/>
        </w:trPr>
        <w:tc>
          <w:tcPr>
            <w:tcW w:w="1920" w:type="dxa"/>
            <w:vAlign w:val="bottom"/>
          </w:tcPr>
          <w:p>
            <w:pPr>
              <w:spacing w:after="0"/>
              <w:rPr>
                <w:sz w:val="20"/>
                <w:szCs w:val="20"/>
                <w:color w:val="auto"/>
              </w:rPr>
            </w:pPr>
          </w:p>
        </w:tc>
        <w:tc>
          <w:tcPr>
            <w:tcW w:w="5340" w:type="dxa"/>
            <w:vAlign w:val="bottom"/>
          </w:tcPr>
          <w:p>
            <w:pPr>
              <w:jc w:val="center"/>
              <w:ind w:right="1574"/>
              <w:spacing w:after="0"/>
              <w:rPr>
                <w:sz w:val="20"/>
                <w:szCs w:val="20"/>
                <w:color w:val="auto"/>
              </w:rPr>
            </w:pPr>
            <w:r>
              <w:rPr>
                <w:rFonts w:ascii="Arial" w:cs="Arial" w:eastAsia="Arial" w:hAnsi="Arial"/>
                <w:sz w:val="18"/>
                <w:szCs w:val="18"/>
                <w:b w:val="1"/>
                <w:bCs w:val="1"/>
                <w:color w:val="auto"/>
                <w:w w:val="90"/>
              </w:rPr>
              <w:t>(202) 955-8500</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gridSpan w:val="2"/>
          </w:tcPr>
          <w:p>
            <w:pPr>
              <w:spacing w:after="0"/>
              <w:rPr>
                <w:sz w:val="20"/>
                <w:szCs w:val="20"/>
                <w:color w:val="auto"/>
              </w:rPr>
            </w:pPr>
            <w:r>
              <w:rPr>
                <w:rFonts w:ascii="Arial" w:cs="Arial" w:eastAsia="Arial" w:hAnsi="Arial"/>
                <w:sz w:val="18"/>
                <w:szCs w:val="18"/>
                <w:color w:val="auto"/>
                <w:w w:val="98"/>
              </w:rPr>
              <w:t>Large accelerated filer</w:t>
            </w:r>
          </w:p>
        </w:tc>
        <w:tc>
          <w:tcPr>
            <w:tcW w:w="17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2"/>
          </w:tcPr>
          <w:p>
            <w:pPr>
              <w:ind w:left="600"/>
              <w:spacing w:after="0"/>
              <w:rPr>
                <w:sz w:val="20"/>
                <w:szCs w:val="20"/>
                <w:color w:val="auto"/>
              </w:rPr>
            </w:pPr>
            <w:r>
              <w:rPr>
                <w:rFonts w:ascii="Arial" w:cs="Arial" w:eastAsia="Arial" w:hAnsi="Arial"/>
                <w:sz w:val="18"/>
                <w:szCs w:val="18"/>
                <w:color w:val="auto"/>
                <w:w w:val="92"/>
              </w:rPr>
              <w:t>Accelerated filer</w:t>
            </w:r>
          </w:p>
        </w:tc>
        <w:tc>
          <w:tcPr>
            <w:tcW w:w="1120" w:type="dxa"/>
            <w:vAlign w:val="bottom"/>
          </w:tcPr>
          <w:p>
            <w:pPr>
              <w:spacing w:after="0"/>
              <w:rPr>
                <w:sz w:val="24"/>
                <w:szCs w:val="24"/>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17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gridSpan w:val="5"/>
          </w:tcPr>
          <w:p>
            <w:pPr>
              <w:ind w:left="4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40" w:type="dxa"/>
            <w:vAlign w:val="bottom"/>
          </w:tcPr>
          <w:p>
            <w:pPr>
              <w:jc w:val="center"/>
              <w:ind w:right="179"/>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0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6"/>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2"/>
              <w:spacing w:after="0" w:line="158"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3"/>
                <w:szCs w:val="13"/>
                <w:color w:val="auto"/>
              </w:rPr>
            </w:pPr>
          </w:p>
        </w:tc>
        <w:tc>
          <w:tcPr>
            <w:tcW w:w="112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1"/>
              </w:rPr>
              <w:t>to be Registered</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Per Share (2)</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5"/>
              </w:rPr>
              <w:t>Offering Price (2)</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3"/>
              </w:rPr>
              <w:t>Registration Fee (2)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00" w:type="dxa"/>
            <w:vAlign w:val="bottom"/>
            <w:gridSpan w:val="2"/>
          </w:tcPr>
          <w:p>
            <w:pPr>
              <w:spacing w:after="0" w:line="195" w:lineRule="exact"/>
              <w:rPr>
                <w:sz w:val="20"/>
                <w:szCs w:val="20"/>
                <w:color w:val="auto"/>
              </w:rPr>
            </w:pPr>
            <w:r>
              <w:rPr>
                <w:rFonts w:ascii="Arial" w:cs="Arial" w:eastAsia="Arial" w:hAnsi="Arial"/>
                <w:sz w:val="18"/>
                <w:szCs w:val="18"/>
                <w:color w:val="auto"/>
              </w:rPr>
              <w:t>Common Stock, $0.01 par value</w:t>
            </w:r>
          </w:p>
        </w:tc>
        <w:tc>
          <w:tcPr>
            <w:tcW w:w="10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4,409,390 shares</w:t>
            </w:r>
          </w:p>
        </w:tc>
        <w:tc>
          <w:tcPr>
            <w:tcW w:w="240" w:type="dxa"/>
            <w:vAlign w:val="bottom"/>
          </w:tcPr>
          <w:p>
            <w:pPr>
              <w:spacing w:after="0"/>
              <w:rPr>
                <w:sz w:val="16"/>
                <w:szCs w:val="16"/>
                <w:color w:val="auto"/>
              </w:rPr>
            </w:pPr>
          </w:p>
        </w:tc>
        <w:tc>
          <w:tcPr>
            <w:tcW w:w="1360" w:type="dxa"/>
            <w:vAlign w:val="bottom"/>
            <w:tcBorders>
              <w:right w:val="single" w:sz="8" w:color="auto"/>
            </w:tcBorders>
          </w:tcPr>
          <w:p>
            <w:pPr>
              <w:jc w:val="center"/>
              <w:ind w:right="66"/>
              <w:spacing w:after="0" w:line="195" w:lineRule="exact"/>
              <w:rPr>
                <w:sz w:val="20"/>
                <w:szCs w:val="20"/>
                <w:color w:val="auto"/>
              </w:rPr>
            </w:pPr>
            <w:r>
              <w:rPr>
                <w:rFonts w:ascii="Arial" w:cs="Arial" w:eastAsia="Arial" w:hAnsi="Arial"/>
                <w:sz w:val="18"/>
                <w:szCs w:val="18"/>
                <w:color w:val="auto"/>
                <w:w w:val="89"/>
              </w:rPr>
              <w:t>$198.72</w:t>
            </w:r>
          </w:p>
        </w:tc>
        <w:tc>
          <w:tcPr>
            <w:tcW w:w="1600" w:type="dxa"/>
            <w:vAlign w:val="bottom"/>
            <w:tcBorders>
              <w:right w:val="single" w:sz="8" w:color="auto"/>
            </w:tcBorders>
          </w:tcPr>
          <w:p>
            <w:pPr>
              <w:jc w:val="center"/>
              <w:ind w:left="22"/>
              <w:spacing w:after="0" w:line="195" w:lineRule="exact"/>
              <w:rPr>
                <w:sz w:val="20"/>
                <w:szCs w:val="20"/>
                <w:color w:val="auto"/>
              </w:rPr>
            </w:pPr>
            <w:r>
              <w:rPr>
                <w:rFonts w:ascii="Arial" w:cs="Arial" w:eastAsia="Arial" w:hAnsi="Arial"/>
                <w:sz w:val="18"/>
                <w:szCs w:val="18"/>
                <w:color w:val="auto"/>
                <w:w w:val="90"/>
              </w:rPr>
              <w:t>$876,233,980.80</w:t>
            </w:r>
          </w:p>
        </w:tc>
        <w:tc>
          <w:tcPr>
            <w:tcW w:w="220" w:type="dxa"/>
            <w:vAlign w:val="bottom"/>
          </w:tcPr>
          <w:p>
            <w:pPr>
              <w:spacing w:after="0"/>
              <w:rPr>
                <w:sz w:val="16"/>
                <w:szCs w:val="16"/>
                <w:color w:val="auto"/>
              </w:rPr>
            </w:pPr>
          </w:p>
        </w:tc>
        <w:tc>
          <w:tcPr>
            <w:tcW w:w="1120" w:type="dxa"/>
            <w:vAlign w:val="bottom"/>
          </w:tcPr>
          <w:p>
            <w:pPr>
              <w:jc w:val="center"/>
              <w:ind w:left="22"/>
              <w:spacing w:after="0" w:line="195" w:lineRule="exact"/>
              <w:rPr>
                <w:sz w:val="20"/>
                <w:szCs w:val="20"/>
                <w:color w:val="auto"/>
              </w:rPr>
            </w:pPr>
            <w:r>
              <w:rPr>
                <w:rFonts w:ascii="Arial" w:cs="Arial" w:eastAsia="Arial" w:hAnsi="Arial"/>
                <w:sz w:val="18"/>
                <w:szCs w:val="18"/>
                <w:color w:val="auto"/>
                <w:w w:val="89"/>
              </w:rPr>
              <w:t>$112,858.94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80" w:type="dxa"/>
            <w:vAlign w:val="bottom"/>
            <w:gridSpan w:val="2"/>
          </w:tcPr>
          <w:p>
            <w:pPr>
              <w:spacing w:after="0"/>
              <w:rPr>
                <w:sz w:val="20"/>
                <w:szCs w:val="20"/>
                <w:color w:val="auto"/>
              </w:rPr>
            </w:pPr>
            <w:r>
              <w:rPr>
                <w:rFonts w:ascii="Arial" w:cs="Arial" w:eastAsia="Arial" w:hAnsi="Arial"/>
                <w:sz w:val="18"/>
                <w:szCs w:val="18"/>
                <w:color w:val="auto"/>
              </w:rPr>
              <w:t>per share</w:t>
            </w: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the Registrant’s Common Stock in respect of the securities identified in the above table as a result of any stock dividend, stock split, recapitalization or other similar transaction.</w:t>
      </w:r>
    </w:p>
    <w:p>
      <w:pPr>
        <w:spacing w:after="0" w:line="1" w:lineRule="exact"/>
        <w:rPr>
          <w:rFonts w:ascii="Arial" w:cs="Arial" w:eastAsia="Arial" w:hAnsi="Arial"/>
          <w:sz w:val="18"/>
          <w:szCs w:val="18"/>
          <w:color w:val="auto"/>
        </w:rPr>
      </w:pPr>
    </w:p>
    <w:p>
      <w:pPr>
        <w:ind w:left="460" w:right="60" w:hanging="452"/>
        <w:spacing w:after="0" w:line="30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and Rule 457(h)(1) under the Securities Act, the proposed maximum offering price per share, the proposed maximum aggregate offering price and the amount of registration fee have been computed on the basis of the average of the high and low prices of the Common Stock reported on the NASDAQ Global Select Market on May 15,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719"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STATEMENT</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Registration Statement on Form S-8 is filed by Wynn Resorts, Limited, a Nevada corporation (the “Company” or the “Registrant”), relating to 4,409,390 shares of its common stock, par value $0.01 per share (the “Common Stock”), to be issued pursuant to the Company’s 2014 Omnibus Incentive Plan (the “Plan”). The Plan will replace the Company’s (a) Amended and Restated Annual Performance-Based Incentive Plan for Executive Officers (the “Existing Annual Incentive Plan”), and (b) 2002 Stock Incentive Plan (the “Existing Stock Plan” and, together with the Existing Annual Incentive Plan, the “Existing Plans”). No new awards will be issued under the Existing Plans, provided that awards outstanding under the Existing Stock Plan will remain pursuant to the terms of the plan and related award agreements.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accordance with the Note to Part I of Form S-8, as promulgated by the Securities and Exchange Commission (the “Commission”), the information specified by Part I of Form S-8 has been omitted from this Registration Statement.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documents filed by the Company with the Commission pursuant to the Securities Exchange Act of 1934, as amended (the “Exchange Act”), are hereby incorporated by reference in this Registration Statement:</w:t>
      </w:r>
    </w:p>
    <w:p>
      <w:pPr>
        <w:spacing w:after="0" w:line="76" w:lineRule="exact"/>
        <w:rPr>
          <w:sz w:val="20"/>
          <w:szCs w:val="20"/>
          <w:color w:val="auto"/>
        </w:rPr>
      </w:pPr>
    </w:p>
    <w:p>
      <w:pPr>
        <w:ind w:left="900" w:right="20" w:hanging="446"/>
        <w:spacing w:after="0" w:line="34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latest Annual Report pursuant to Sections 13(a) or 15(d) of the Exchange Act or latest prospectus filed pursuant to Rule 424(b) under the Securities Act that contains audited financial statements for the Registrant’s latest fiscal year for which such statements have been filed;</w:t>
      </w:r>
    </w:p>
    <w:p>
      <w:pPr>
        <w:spacing w:after="0" w:line="29" w:lineRule="exact"/>
        <w:rPr>
          <w:rFonts w:ascii="Arial" w:cs="Arial" w:eastAsia="Arial" w:hAnsi="Arial"/>
          <w:sz w:val="16"/>
          <w:szCs w:val="16"/>
          <w:color w:val="auto"/>
        </w:rPr>
      </w:pPr>
    </w:p>
    <w:p>
      <w:pPr>
        <w:ind w:left="900" w:right="2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Registrant’s latest Annual Report or prospectus referred to in (1) above; and</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Company’s Common Stock contained in the Registration Statement on Form 8-A filed on October 7, 2002 (File No. 000-50028), including any amendment or report filed for the purpose of updating the description of Common Stock contained therein.</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all documents subsequently filed by the Company with the Commission pursuant to Sections 13(a), 13(c), 14 or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 Notwithstanding the foregoing, unless specifically stated to the contrary, none of the information that the Company discloses under Items 2.02 or 7.01 of any Current Report on Form 8-K that it may from time to time furnish to the Commission will be incorporated by reference into, or otherwise included in, this Registration Statement.</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Any statement, including financial statements,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Exchange Act file number with the Commission is 000-50028.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Kim Sinatra, General Counsel and Secretary of the Company, has rendered an opinion as to the validity of the Common Stock offered hereby. As of May 19, 2014, Ms. Sinatra owned 81,407 shares of Common Stock (including 25,000 shares of restricted stock) and held options to purchase 200,000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in settlement, unless a court also determines that the officer or director is fairly and reasonably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Company’s bylaws provide that it will indemnify its directors and officers to the fullest extent permitted by Nevada law, including in circumstances in which indemnification otherwise would be discretionary under Nevada law as described above. In addition, the Company has entered into separate indemnification agreements with certain of its directors and officers that require the Company, among other things, to indemnify such directors and officers against certain liabilities that may arise by reason of their status or service. The Company also intends to maintain director and officer liability insurance, if available on reasonable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6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0"/>
              </w:rPr>
              <w:t>Second Amended and Restated Articles of Incorporation of the Company dated September 16, 2002 (incorporated by reference to Exhibit 3.1 of</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the Company’s Amendment No. 4 to the Form S-1 filed on October 7, 2002 (File No. 333-90600))</w:t>
            </w:r>
          </w:p>
        </w:tc>
        <w:tc>
          <w:tcPr>
            <w:tcW w:w="0" w:type="dxa"/>
            <w:vAlign w:val="bottom"/>
          </w:tcPr>
          <w:p>
            <w:pPr>
              <w:spacing w:after="0"/>
              <w:rPr>
                <w:sz w:val="1"/>
                <w:szCs w:val="1"/>
                <w:color w:val="auto"/>
              </w:rPr>
            </w:pPr>
          </w:p>
        </w:tc>
      </w:tr>
      <w:tr>
        <w:trPr>
          <w:trHeight w:val="310"/>
        </w:trPr>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2"/>
              </w:rPr>
              <w:t>Sixth Amended and Restated Bylaws of the registrant (incorporated by reference to Exhibit 3.1 to the Current Report on Form 8-K filed by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registrant on September 12, 2013 (File No. 000-50028))</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Opinion of Kim Sinatra, General Counsel and Secretary</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2014 Omnibus Incentive Plan effective May 16, 2014</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Consent of Kim Sinatra (included in Exhibit 5.1)</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Power of Attorney (contained on signature page hereto)</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20" w:hanging="440"/>
        <w:spacing w:after="0" w:line="291" w:lineRule="auto"/>
        <w:tabs>
          <w:tab w:leader="none" w:pos="192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2" w:lineRule="exact"/>
        <w:rPr>
          <w:rFonts w:ascii="Arial" w:cs="Arial" w:eastAsia="Arial" w:hAnsi="Arial"/>
          <w:sz w:val="16"/>
          <w:szCs w:val="16"/>
          <w:color w:val="auto"/>
        </w:rPr>
      </w:pPr>
    </w:p>
    <w:p>
      <w:pPr>
        <w:ind w:left="1920" w:right="160" w:hanging="440"/>
        <w:spacing w:after="0" w:line="277" w:lineRule="auto"/>
        <w:tabs>
          <w:tab w:leader="none" w:pos="1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1500" w:right="120"/>
        <w:spacing w:after="0" w:line="28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and (a)(1)(ii)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periodic reports filed with or furnished to the Commission by the Registrant pursuant to Section 13 or Section 15(d) of the Exchange Act that are incorporated by reference in this Registration Statement.</w:t>
      </w:r>
    </w:p>
    <w:p>
      <w:pPr>
        <w:sectPr>
          <w:pgSz w:w="11900" w:h="16838" w:orient="portrait"/>
          <w:cols w:equalWidth="0" w:num="1">
            <w:col w:w="11400"/>
          </w:cols>
          <w:pgMar w:left="240" w:top="270" w:right="259" w:bottom="1440" w:gutter="0" w:footer="0" w:header="0"/>
        </w:sectPr>
      </w:pPr>
    </w:p>
    <w:bookmarkStart w:id="4" w:name="page5"/>
    <w:bookmarkEnd w:id="4"/>
    <w:p>
      <w:pPr>
        <w:jc w:val="both"/>
        <w:ind w:left="1026" w:right="180" w:hanging="567"/>
        <w:spacing w:after="0" w:line="264" w:lineRule="auto"/>
        <w:tabs>
          <w:tab w:leader="none" w:pos="1026" w:val="left"/>
        </w:tabs>
        <w:numPr>
          <w:ilvl w:val="1"/>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6" w:lineRule="exact"/>
        <w:rPr>
          <w:rFonts w:ascii="Arial" w:cs="Arial" w:eastAsia="Arial" w:hAnsi="Arial"/>
          <w:sz w:val="18"/>
          <w:szCs w:val="18"/>
          <w:color w:val="auto"/>
        </w:rPr>
      </w:pPr>
    </w:p>
    <w:p>
      <w:pPr>
        <w:ind w:left="1026" w:right="260" w:hanging="567"/>
        <w:spacing w:after="0" w:line="277" w:lineRule="auto"/>
        <w:tabs>
          <w:tab w:leader="none" w:pos="1026"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26" w:right="40" w:hanging="567"/>
        <w:spacing w:after="0" w:line="270" w:lineRule="auto"/>
        <w:tabs>
          <w:tab w:leader="none" w:pos="1026" w:val="left"/>
        </w:tabs>
        <w:numPr>
          <w:ilvl w:val="1"/>
          <w:numId w:val="4"/>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83" w:lineRule="exact"/>
        <w:rPr>
          <w:rFonts w:ascii="Arial" w:cs="Arial" w:eastAsia="Arial" w:hAnsi="Arial"/>
          <w:sz w:val="17"/>
          <w:szCs w:val="17"/>
          <w:color w:val="auto"/>
        </w:rPr>
      </w:pPr>
    </w:p>
    <w:p>
      <w:pPr>
        <w:ind w:left="446" w:right="240" w:hanging="446"/>
        <w:spacing w:after="0" w:line="259"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the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2" w:lineRule="exact"/>
        <w:rPr>
          <w:rFonts w:ascii="Arial" w:cs="Arial" w:eastAsia="Arial" w:hAnsi="Arial"/>
          <w:sz w:val="18"/>
          <w:szCs w:val="18"/>
          <w:color w:val="auto"/>
        </w:rPr>
      </w:pPr>
    </w:p>
    <w:p>
      <w:pPr>
        <w:ind w:left="446" w:hanging="446"/>
        <w:spacing w:after="0" w:line="271" w:lineRule="auto"/>
        <w:tabs>
          <w:tab w:leader="none" w:pos="446"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66"/>
          </w:cols>
          <w:pgMar w:left="694"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Las Vegas, state of Nevada, on this 20</w:t>
      </w:r>
      <w:r>
        <w:rPr>
          <w:rFonts w:ascii="Arial" w:cs="Arial" w:eastAsia="Arial" w:hAnsi="Arial"/>
          <w:sz w:val="15"/>
          <w:szCs w:val="15"/>
          <w:color w:val="auto"/>
        </w:rPr>
        <w:t>th</w:t>
      </w:r>
      <w:r>
        <w:rPr>
          <w:rFonts w:ascii="Arial" w:cs="Arial" w:eastAsia="Arial" w:hAnsi="Arial"/>
          <w:sz w:val="18"/>
          <w:szCs w:val="18"/>
          <w:color w:val="auto"/>
        </w:rPr>
        <w:t xml:space="preserve"> day of May, 2014.</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RESORTS, LIMITED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Stephen Cootey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Each person whose signature appears below constitutes and appoints Stephen A. Wynn, Kim Sinatra and Matt Maddox and each of them, his or her true and lawful attorneys-in-fact and agents, each with full power of substitution and resubstitution, severally,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ectPr>
          <w:pgSz w:w="11900" w:h="16838" w:orient="portrait"/>
          <w:cols w:equalWidth="0" w:num="1">
            <w:col w:w="11400"/>
          </w:cols>
          <w:pgMar w:left="240" w:top="270" w:right="25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Signature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0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Stephen A. Wynn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 John Hagenbuch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7101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John Hagenbuch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Ray R. Irani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Ray R. Irani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 Miller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Alvin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7101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Alvin V. Shoemaker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 J. Edward Virtue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7101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J. Edward Virtue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D. Boone Wayson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01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 Boone Wayson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Elaine P. Wynn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01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Stephen Cootey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2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38"/>
        </w:trPr>
        <w:tc>
          <w:tcPr>
            <w:tcW w:w="5300" w:type="dxa"/>
            <w:vAlign w:val="bottom"/>
            <w:gridSpan w:val="2"/>
          </w:tcPr>
          <w:p>
            <w:pPr>
              <w:spacing w:after="0"/>
              <w:rPr>
                <w:sz w:val="20"/>
                <w:szCs w:val="20"/>
                <w:color w:val="auto"/>
              </w:rPr>
            </w:pPr>
            <w:r>
              <w:rPr>
                <w:rFonts w:ascii="Arial" w:cs="Arial" w:eastAsia="Arial" w:hAnsi="Arial"/>
                <w:sz w:val="18"/>
                <w:szCs w:val="18"/>
                <w:color w:val="auto"/>
              </w:rPr>
              <w:t>Chairman of the Board and</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20, 2014</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59"/>
        </w:trPr>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20, 2014</w:t>
            </w:r>
          </w:p>
        </w:tc>
      </w:tr>
      <w:tr>
        <w:trPr>
          <w:trHeight w:val="675"/>
        </w:trPr>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20, 2014</w:t>
            </w:r>
          </w:p>
        </w:tc>
      </w:tr>
      <w:tr>
        <w:trPr>
          <w:trHeight w:val="675"/>
        </w:trPr>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20, 2014</w:t>
            </w:r>
          </w:p>
        </w:tc>
      </w:tr>
      <w:tr>
        <w:trPr>
          <w:trHeight w:val="675"/>
        </w:trPr>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20, 2014</w:t>
            </w:r>
          </w:p>
        </w:tc>
      </w:tr>
      <w:tr>
        <w:trPr>
          <w:trHeight w:val="675"/>
        </w:trPr>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20, 2014</w:t>
            </w:r>
          </w:p>
        </w:tc>
      </w:tr>
      <w:tr>
        <w:trPr>
          <w:trHeight w:val="675"/>
        </w:trPr>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20, 2014</w:t>
            </w:r>
          </w:p>
        </w:tc>
      </w:tr>
      <w:tr>
        <w:trPr>
          <w:trHeight w:val="675"/>
        </w:trPr>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20, 2014</w:t>
            </w:r>
          </w:p>
        </w:tc>
      </w:tr>
      <w:tr>
        <w:trPr>
          <w:trHeight w:val="661"/>
        </w:trPr>
        <w:tc>
          <w:tcPr>
            <w:tcW w:w="530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May 20, 2014</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ectPr>
          <w:pgSz w:w="11900" w:h="16838" w:orient="portrait"/>
          <w:cols w:equalWidth="0" w:num="2">
            <w:col w:w="3660" w:space="720"/>
            <w:col w:w="7020"/>
          </w:cols>
          <w:pgMar w:left="240" w:top="270" w:right="259" w:bottom="1440" w:gutter="0" w:footer="0" w:header="0"/>
          <w:type w:val="continuous"/>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60" w:type="dxa"/>
            <w:vAlign w:val="bottom"/>
          </w:tcPr>
          <w:p>
            <w:pPr>
              <w:ind w:left="3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6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0"/>
              </w:rPr>
              <w:t>Second Amended and Restated Articles of Incorporation of the Company dated September 16, 2002 (incorporated by reference to Exhibit 3.1 of</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the Company’s Amendment No. 4 to the Form S-1 filed on October 7, 2002 (File No. 333-90600))</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2"/>
              </w:rPr>
              <w:t>Sixth Amended and Restated Bylaws of the registrant (incorporated by reference to Exhibit 3.1 to the Current Report on Form 8-K filed by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registrant on September 12, 2013 (File No. 000-50028))</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Opinion of Kim Sinatra, General Counsel and Secretary</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2014 Omnibus Incentive Plan effective May 16, 2014</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Consent of Kim Sinatra (included in Exhibit 5.1)</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24.1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Power of Attorney (contained on signature page hereto)</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20,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am General Counsel and Secretary of Wynn Resorts, Limited, a Nevada corporation (the “Corporation”). The Corporation is about to register with the Securities and Exchange Commission on a registration statement on Form S-8 (the “Registration Statement”) under the Securities Act of l933, as amended, 4,409,390 shares of the Company’s Common Stock, par value $0.01 per share (“Common Stock”), to be issued under the 2014 Omnibus Incentive Plan (the “Plan”). The shares registered (the “Shares”) may be offered and sold under the Plan.</w:t>
      </w:r>
    </w:p>
    <w:p>
      <w:pPr>
        <w:spacing w:after="0" w:line="18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rendering the opinions hereinafter expressed, I have examined the Registration Statement, the Plan, and the Corporation’s Articles of Incorporation and Bylaws, each as amended to date. I have also examined and relied upon such corporate records of the Corporation and other documents and certificates with respect to factual matters as I have deemed necessary to render the opinion expressed herein. Without limiting the generality of the foregoing, I have assumed without independent verification, that (i) each document I reviewed has been duly and validly executed and delivered by each party thereto to the extent due execution and delivery are a prerequisite to the effectiveness thereof, (ii) each natural person executing a document has sufficient legal capacity to do so, and</w:t>
      </w:r>
    </w:p>
    <w:p>
      <w:pPr>
        <w:spacing w:after="0" w:line="2" w:lineRule="exact"/>
        <w:rPr>
          <w:sz w:val="20"/>
          <w:szCs w:val="20"/>
          <w:color w:val="auto"/>
        </w:rPr>
      </w:pPr>
    </w:p>
    <w:p>
      <w:pPr>
        <w:ind w:right="660" w:firstLine="8"/>
        <w:spacing w:after="0" w:line="261"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original documents reviewed are authentic, the signatures on all documents examined are genuine, and all certified, conformed, photostatic or facsimile copies of documents reviewed conform to the original document.</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the basis of the foregoing, and in reliance thereon, and having regard to legal considerations and other relevant information, I am of the opinion that the Shares, when and to the extent issued and sold in accordance with the Registration Statement and the Plan, will be validly issued, fully paid and non-assessable provided that any Shares issued pursuant to certain deferred payment arrangements will be fully paid when such deferred payments are made in full pursuant to the Registration Statement and the Plan.</w:t>
      </w:r>
    </w:p>
    <w:p>
      <w:pPr>
        <w:spacing w:after="0" w:line="18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opinions set forth herein are expressly limited to the effect of the general corporate laws of the State of Nevada as in effect as of the date hereof and does not extend to or express any opinion concerning any other laws, including any federal securities law, or any state securities or “blue sky” laws or regulations.</w:t>
      </w:r>
    </w:p>
    <w:p>
      <w:pPr>
        <w:spacing w:after="0" w:line="1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 hereby consent to the filing of this opinion as part of the Registration Statement. In giving this consent, I do not thereby admit that I am within the category of persons whose consent is required under Section 7 of the Securities Act of 1933, as amended, or the Rules and Regulations of the Securities and Exchange Commission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Kim Sinatra</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purpose of the Wynn Resorts, Limited 2014 Omnibus Incentive Plan (as it may be amended or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Parent or Subsidiary.</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Applicable Law</w:t>
      </w:r>
      <w:r>
        <w:rPr>
          <w:rFonts w:ascii="Arial" w:cs="Arial" w:eastAsia="Arial" w:hAnsi="Arial"/>
          <w:sz w:val="16"/>
          <w:szCs w:val="16"/>
          <w:color w:val="auto"/>
        </w:rPr>
        <w:t>” shall mean any applicable law, including without limitation: (i) provisions of the Code, the Securities Act, the Exchange Act and any rules or regulations thereunder; (ii) corporate, securities, tax, gaming or other laws, statutes, rules, requirements or regulations, whether federal, state, local or foreign; and (iii) rules of any securities exchange or automated quotation system on which the Shares are listed, quoted or traded.</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9" w:name="page10"/>
    <w:bookmarkEnd w:id="9"/>
    <w:p>
      <w:pPr>
        <w:ind w:right="2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2.9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the occurrence of any one of the following events: (a) 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 (b) the direct or indirect sale or transfer by the Company of substantially all of its assets to one or more unrelated Persons or Groups in a single transaction or a series of related transactions; (c) 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 (d) 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Arial" w:cs="Arial" w:eastAsia="Arial" w:hAnsi="Arial"/>
          <w:sz w:val="17"/>
          <w:szCs w:val="17"/>
          <w:u w:val="single" w:color="auto"/>
          <w:color w:val="auto"/>
        </w:rPr>
        <w:t>Approved</w:t>
      </w:r>
      <w:r>
        <w:rPr>
          <w:rFonts w:ascii="Arial" w:cs="Arial" w:eastAsia="Arial" w:hAnsi="Arial"/>
          <w:sz w:val="17"/>
          <w:szCs w:val="17"/>
          <w:color w:val="auto"/>
        </w:rPr>
        <w:t xml:space="preserve"> </w:t>
      </w:r>
      <w:r>
        <w:rPr>
          <w:rFonts w:ascii="Arial" w:cs="Arial" w:eastAsia="Arial" w:hAnsi="Arial"/>
          <w:sz w:val="17"/>
          <w:szCs w:val="17"/>
          <w:u w:val="single" w:color="auto"/>
          <w:color w:val="auto"/>
        </w:rPr>
        <w:t>Directors</w:t>
      </w:r>
      <w:r>
        <w:rPr>
          <w:rFonts w:ascii="Arial" w:cs="Arial" w:eastAsia="Arial" w:hAnsi="Arial"/>
          <w:sz w:val="17"/>
          <w:szCs w:val="17"/>
          <w:color w:val="auto"/>
        </w:rPr>
        <w:t>”).</w:t>
      </w:r>
    </w:p>
    <w:p>
      <w:pPr>
        <w:spacing w:after="0" w:line="1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purposes of determining whether a Change in Control has occurred, the following Persons and Groups shall not be deemed to be “unrelated”: (i) Stephen A. Wynn, the spouse, siblings, children, grandchildren or great grandchildren of Stephen A. Wynn, any trust primarily for the benefit of the foregoing persons, or any Affiliate of any of the foregoing persons, (ii) any Person or Group directly or indirectly having Beneficial Ownership of more than fifty percent</w:t>
      </w:r>
    </w:p>
    <w:p>
      <w:pPr>
        <w:ind w:right="40"/>
        <w:spacing w:after="0" w:line="270" w:lineRule="auto"/>
        <w:rPr>
          <w:sz w:val="20"/>
          <w:szCs w:val="20"/>
          <w:color w:val="auto"/>
        </w:rPr>
      </w:pPr>
      <w:r>
        <w:rPr>
          <w:rFonts w:ascii="Arial" w:cs="Arial" w:eastAsia="Arial" w:hAnsi="Arial"/>
          <w:sz w:val="17"/>
          <w:szCs w:val="17"/>
          <w:color w:val="auto"/>
        </w:rPr>
        <w:t>(50%) of the issued and outstanding voting power of Company’s voting securities immediately before the transaction in question, (iii) any Person or Group of which the Company has Beneficial Ownership of more than fifty percent (50%) of the voting power of the issued and outstanding voting securities immediately before the transaction in question, and (iv)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Exchange Act and the rules and regulations promulgated thereunder.</w:t>
      </w:r>
    </w:p>
    <w:p>
      <w:pPr>
        <w:sectPr>
          <w:pgSz w:w="11900" w:h="16838" w:orient="portrait"/>
          <w:cols w:equalWidth="0" w:num="1">
            <w:col w:w="11420"/>
          </w:cols>
          <w:pgMar w:left="240" w:top="274" w:right="239" w:bottom="1440" w:gutter="0" w:footer="0" w:header="0"/>
        </w:sectPr>
      </w:pPr>
    </w:p>
    <w:bookmarkStart w:id="10" w:name="page11"/>
    <w:bookmarkEnd w:id="1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w:t>
      </w:r>
      <w:r>
        <w:rPr>
          <w:rFonts w:ascii="Arial" w:cs="Arial" w:eastAsia="Arial" w:hAnsi="Arial"/>
          <w:sz w:val="18"/>
          <w:szCs w:val="18"/>
          <w:u w:val="single" w:color="auto"/>
          <w:color w:val="auto"/>
        </w:rPr>
        <w:t>Proxy Contest</w:t>
      </w:r>
      <w:r>
        <w:rPr>
          <w:rFonts w:ascii="Arial" w:cs="Arial" w:eastAsia="Arial" w:hAnsi="Arial"/>
          <w:sz w:val="18"/>
          <w:szCs w:val="18"/>
          <w:color w:val="auto"/>
        </w:rPr>
        <w:t>”), or as a result of an agreement to avoid or settle an Election Contest or Proxy Contest.</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if a Change in Control constitutes a payment event with respect to any portion of an Award which provides for the deferral of compensation and is subject to Section 409A of the Code, the transaction or event described in subsection (a), (b), (c) or (d) with respect to such Award (or portion thereof) must also constitute a “change in control event,” as defined in Treasury Regulation §1.409A-3(i)(5) to the extent required by Section 409A.</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the Treasury Regulation §1.409A-3(i)(5) shall be consistent with such regulation.</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appointed as provided in Section 13.1.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w:t>
      </w:r>
    </w:p>
    <w:p>
      <w:pPr>
        <w:spacing w:after="0" w:line="22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Consultant</w:t>
      </w:r>
      <w:r>
        <w:rPr>
          <w:rFonts w:ascii="Arial" w:cs="Arial" w:eastAsia="Arial" w:hAnsi="Arial"/>
          <w:sz w:val="17"/>
          <w:szCs w:val="17"/>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mean any Employee who is, or could be, a “covered employee” within the meaning of Section 162(m) of the Code.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Deferred Stock</w:t>
      </w:r>
      <w:r>
        <w:rPr>
          <w:rFonts w:ascii="Arial" w:cs="Arial" w:eastAsia="Arial" w:hAnsi="Arial"/>
          <w:sz w:val="18"/>
          <w:szCs w:val="18"/>
          <w:color w:val="auto"/>
        </w:rPr>
        <w:t>” shall mean a right to receive Shares awarded under Section 10.4.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Deferred Stock Unit</w:t>
      </w:r>
      <w:r>
        <w:rPr>
          <w:rFonts w:ascii="Arial" w:cs="Arial" w:eastAsia="Arial" w:hAnsi="Arial"/>
          <w:sz w:val="18"/>
          <w:szCs w:val="18"/>
          <w:color w:val="auto"/>
        </w:rPr>
        <w:t>” shall mean a right to receive Shares awarded under Section 10.5.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225"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10.2.</w:t>
      </w:r>
    </w:p>
    <w:p>
      <w:pPr>
        <w:sectPr>
          <w:pgSz w:w="11900" w:h="16838" w:orient="portrait"/>
          <w:cols w:equalWidth="0" w:num="1">
            <w:col w:w="11420"/>
          </w:cols>
          <w:pgMar w:left="240" w:top="274" w:right="239" w:bottom="1440" w:gutter="0" w:footer="0" w:header="0"/>
        </w:sectPr>
      </w:pPr>
    </w:p>
    <w:bookmarkStart w:id="11" w:name="page12"/>
    <w:bookmarkEnd w:id="11"/>
    <w:p>
      <w:pPr>
        <w:ind w:right="4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2.20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2.21 “</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mean the date the Plan is approved by the Board, subject to approval of the Plan by the Company’s stockholders.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2.22 “</w:t>
      </w:r>
      <w:r>
        <w:rPr>
          <w:rFonts w:ascii="Arial" w:cs="Arial" w:eastAsia="Arial" w:hAnsi="Arial"/>
          <w:sz w:val="16"/>
          <w:szCs w:val="16"/>
          <w:u w:val="single" w:color="auto"/>
          <w:color w:val="auto"/>
        </w:rPr>
        <w:t>Eligible Individual</w:t>
      </w:r>
      <w:r>
        <w:rPr>
          <w:rFonts w:ascii="Arial" w:cs="Arial" w:eastAsia="Arial" w:hAnsi="Arial"/>
          <w:sz w:val="16"/>
          <w:szCs w:val="16"/>
          <w:color w:val="auto"/>
        </w:rPr>
        <w:t>” shall mean any person who is an Employee, a Consultant or a Non-Employee Director, as determined by the Committee.</w:t>
      </w:r>
    </w:p>
    <w:p>
      <w:pPr>
        <w:spacing w:after="0" w:line="248"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Affiliate.</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2.24 “</w:t>
      </w:r>
      <w:r>
        <w:rPr>
          <w:rFonts w:ascii="Arial" w:cs="Arial" w:eastAsia="Arial" w:hAnsi="Arial"/>
          <w:sz w:val="17"/>
          <w:szCs w:val="17"/>
          <w:u w:val="single" w:color="auto"/>
          <w:color w:val="auto"/>
        </w:rPr>
        <w:t>Equity Restructuring</w:t>
      </w:r>
      <w:r>
        <w:rPr>
          <w:rFonts w:ascii="Arial" w:cs="Arial" w:eastAsia="Arial" w:hAnsi="Arial"/>
          <w:sz w:val="17"/>
          <w:szCs w:val="17"/>
          <w:color w:val="auto"/>
        </w:rPr>
        <w:t>” shall mean a nonreciprocal transaction between the Company and its stockholders, such as a stock dividend, stock split, spin-off, rights offering or recapitalization, that affects the number or kind of Shares (or other securities of the Company) or the share price of Common Stock (or other securities) and causes a change in the per share value of the Common Stock underlying outstanding Awards.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set forth in Section 14.1.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225" w:lineRule="exact"/>
        <w:rPr>
          <w:sz w:val="20"/>
          <w:szCs w:val="20"/>
          <w:color w:val="auto"/>
        </w:rPr>
      </w:pPr>
    </w:p>
    <w:p>
      <w:pPr>
        <w:ind w:right="60" w:firstLine="921"/>
        <w:spacing w:after="0" w:line="257" w:lineRule="auto"/>
        <w:tabs>
          <w:tab w:leader="none" w:pos="115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or such other source as the Administrator deems reliable;</w:t>
      </w:r>
    </w:p>
    <w:p>
      <w:pPr>
        <w:spacing w:after="0" w:line="188" w:lineRule="exact"/>
        <w:rPr>
          <w:rFonts w:ascii="Arial" w:cs="Arial" w:eastAsia="Arial" w:hAnsi="Arial"/>
          <w:sz w:val="18"/>
          <w:szCs w:val="18"/>
          <w:color w:val="auto"/>
        </w:rPr>
      </w:pPr>
    </w:p>
    <w:p>
      <w:pPr>
        <w:ind w:right="280" w:firstLine="921"/>
        <w:spacing w:after="0" w:line="302" w:lineRule="auto"/>
        <w:tabs>
          <w:tab w:leader="none" w:pos="1168"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154" w:lineRule="exact"/>
        <w:rPr>
          <w:rFonts w:ascii="Arial" w:cs="Arial" w:eastAsia="Arial" w:hAnsi="Arial"/>
          <w:sz w:val="16"/>
          <w:szCs w:val="16"/>
          <w:color w:val="auto"/>
        </w:rPr>
      </w:pPr>
    </w:p>
    <w:p>
      <w:pPr>
        <w:ind w:right="480" w:firstLine="921"/>
        <w:spacing w:after="0" w:line="308" w:lineRule="auto"/>
        <w:tabs>
          <w:tab w:leader="none" w:pos="1158"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ectPr>
          <w:pgSz w:w="11900" w:h="16838" w:orient="portrait"/>
          <w:cols w:equalWidth="0" w:num="1">
            <w:col w:w="11380"/>
          </w:cols>
          <w:pgMar w:left="240" w:top="274" w:right="279" w:bottom="1440" w:gutter="0" w:footer="0" w:header="0"/>
        </w:sectPr>
      </w:pPr>
    </w:p>
    <w:bookmarkStart w:id="12" w:name="page13"/>
    <w:bookmarkEnd w:id="12"/>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2.28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Non-Employee Director Equity Compensation Policy</w:t>
      </w:r>
      <w:r>
        <w:rPr>
          <w:rFonts w:ascii="Arial" w:cs="Arial" w:eastAsia="Arial" w:hAnsi="Arial"/>
          <w:sz w:val="18"/>
          <w:szCs w:val="18"/>
          <w:color w:val="auto"/>
        </w:rPr>
        <w:t>” shall have the meaning set forth in Section 4.6.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6.4.</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2.36 “</w:t>
      </w:r>
      <w:r>
        <w:rPr>
          <w:rFonts w:ascii="Arial" w:cs="Arial" w:eastAsia="Arial" w:hAnsi="Arial"/>
          <w:sz w:val="17"/>
          <w:szCs w:val="17"/>
          <w:u w:val="single" w:color="auto"/>
          <w:color w:val="auto"/>
        </w:rPr>
        <w:t>Parent</w:t>
      </w:r>
      <w:r>
        <w:rPr>
          <w:rFonts w:ascii="Arial" w:cs="Arial" w:eastAsia="Arial" w:hAnsi="Arial"/>
          <w:sz w:val="17"/>
          <w:szCs w:val="17"/>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Performance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10.1.</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2.39 “</w:t>
      </w:r>
      <w:r>
        <w:rPr>
          <w:rFonts w:ascii="Arial" w:cs="Arial" w:eastAsia="Arial" w:hAnsi="Arial"/>
          <w:sz w:val="17"/>
          <w:szCs w:val="17"/>
          <w:u w:val="single" w:color="auto"/>
          <w:color w:val="auto"/>
        </w:rPr>
        <w:t>Performance Criteria</w:t>
      </w:r>
      <w:r>
        <w:rPr>
          <w:rFonts w:ascii="Arial" w:cs="Arial" w:eastAsia="Arial" w:hAnsi="Arial"/>
          <w:sz w:val="17"/>
          <w:szCs w:val="17"/>
          <w:color w:val="auto"/>
        </w:rPr>
        <w:t>” shall mean the criteria (and adjustments) that the Committee selects for an Award for purposes of establishing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or Performance Goals for a Performance Period, determined as follows:</w:t>
      </w:r>
    </w:p>
    <w:p>
      <w:pPr>
        <w:spacing w:after="0" w:line="211" w:lineRule="exact"/>
        <w:rPr>
          <w:sz w:val="20"/>
          <w:szCs w:val="20"/>
          <w:color w:val="auto"/>
        </w:rPr>
      </w:pPr>
    </w:p>
    <w:p>
      <w:pPr>
        <w:ind w:right="40" w:firstLine="921"/>
        <w:spacing w:after="0" w:line="277" w:lineRule="auto"/>
        <w:tabs>
          <w:tab w:leader="none" w:pos="115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Criteria that shall be used to establish Performance Goals are limited to the following: (i) operating income (either before or after one or more of the</w:t>
      </w:r>
    </w:p>
    <w:p>
      <w:pPr>
        <w:sectPr>
          <w:pgSz w:w="11900" w:h="16838" w:orient="portrait"/>
          <w:cols w:equalWidth="0" w:num="1">
            <w:col w:w="11420"/>
          </w:cols>
          <w:pgMar w:left="240" w:top="274" w:right="239" w:bottom="1440" w:gutter="0" w:footer="0" w:header="0"/>
        </w:sectPr>
      </w:pPr>
    </w:p>
    <w:bookmarkStart w:id="13" w:name="page14"/>
    <w:bookmarkEnd w:id="13"/>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(a) depreciation, (b) amortization, (c) pre-opening costs, (d) property charges and other corporate expenses, (e) 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w:t>
      </w:r>
    </w:p>
    <w:p>
      <w:pPr>
        <w:spacing w:after="0" w:line="6" w:lineRule="exact"/>
        <w:rPr>
          <w:sz w:val="20"/>
          <w:szCs w:val="20"/>
          <w:color w:val="auto"/>
        </w:rPr>
      </w:pPr>
    </w:p>
    <w:p>
      <w:pPr>
        <w:ind w:firstLine="8"/>
        <w:spacing w:after="0" w:line="253" w:lineRule="auto"/>
        <w:tabs>
          <w:tab w:leader="none" w:pos="44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any of which may be measured either in absolute terms or as compared to any incremental increase or decrease or as compared to results of a peer group or to market performance indicators or indices.</w:t>
      </w:r>
    </w:p>
    <w:p>
      <w:pPr>
        <w:spacing w:after="0" w:line="191" w:lineRule="exact"/>
        <w:rPr>
          <w:rFonts w:ascii="Arial" w:cs="Arial" w:eastAsia="Arial" w:hAnsi="Arial"/>
          <w:sz w:val="18"/>
          <w:szCs w:val="18"/>
          <w:color w:val="auto"/>
        </w:rPr>
      </w:pPr>
    </w:p>
    <w:p>
      <w:pPr>
        <w:ind w:firstLine="921"/>
        <w:spacing w:after="0" w:line="268" w:lineRule="auto"/>
        <w:tabs>
          <w:tab w:leader="none" w:pos="1168"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 accounting principles or business conditions. For all Awards intended to qualify as Performance-Based Compensation, such determinations shall be made within the time prescribed by, and otherwise in compliance with, Section 162(m) of the Code.</w:t>
      </w:r>
    </w:p>
    <w:p>
      <w:pPr>
        <w:sectPr>
          <w:pgSz w:w="11900" w:h="16838" w:orient="portrait"/>
          <w:cols w:equalWidth="0" w:num="1">
            <w:col w:w="11400"/>
          </w:cols>
          <w:pgMar w:left="240" w:top="274" w:right="259" w:bottom="1440" w:gutter="0" w:footer="0" w:header="0"/>
        </w:sectPr>
      </w:pPr>
    </w:p>
    <w:bookmarkStart w:id="14" w:name="page15"/>
    <w:bookmarkEnd w:id="14"/>
    <w:p>
      <w:pPr>
        <w:ind w:right="30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2.40 “</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an Award.</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Performance Stock Unit</w:t>
      </w:r>
      <w:r>
        <w:rPr>
          <w:rFonts w:ascii="Arial" w:cs="Arial" w:eastAsia="Arial" w:hAnsi="Arial"/>
          <w:sz w:val="18"/>
          <w:szCs w:val="18"/>
          <w:color w:val="auto"/>
        </w:rPr>
        <w:t>” shall mean a Performance Award awarded under Section 10.1 which is denominated in units of value including dollar value of Shares.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2.45 “</w:t>
      </w:r>
      <w:r>
        <w:rPr>
          <w:rFonts w:ascii="Arial" w:cs="Arial" w:eastAsia="Arial" w:hAnsi="Arial"/>
          <w:sz w:val="16"/>
          <w:szCs w:val="16"/>
          <w:u w:val="single" w:color="auto"/>
          <w:color w:val="auto"/>
        </w:rPr>
        <w:t>Prior Plan</w:t>
      </w:r>
      <w:r>
        <w:rPr>
          <w:rFonts w:ascii="Arial" w:cs="Arial" w:eastAsia="Arial" w:hAnsi="Arial"/>
          <w:sz w:val="16"/>
          <w:szCs w:val="16"/>
          <w:color w:val="auto"/>
        </w:rPr>
        <w:t>” shall mean the Amended and Restated Wynn Resorts, Limited 2002 Stock Incentive Plan, as may be amended from time to time.</w:t>
      </w:r>
    </w:p>
    <w:p>
      <w:pPr>
        <w:spacing w:after="0" w:line="248"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2.46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8 that is subject to certain restrictions and may be subject to risk of forfeiture or repurchase.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Article 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2.51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 stock appreciation right granted under Article 11.</w:t>
      </w:r>
    </w:p>
    <w:p>
      <w:pPr>
        <w:sectPr>
          <w:pgSz w:w="11900" w:h="16838" w:orient="portrait"/>
          <w:cols w:equalWidth="0" w:num="1">
            <w:col w:w="11400"/>
          </w:cols>
          <w:pgMar w:left="240" w:top="274" w:right="25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2.52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shall have the meaning set forth in Section 11.4.</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Stock Payment</w:t>
      </w:r>
      <w:r>
        <w:rPr>
          <w:rFonts w:ascii="Arial" w:cs="Arial" w:eastAsia="Arial" w:hAnsi="Arial"/>
          <w:sz w:val="18"/>
          <w:szCs w:val="18"/>
          <w:color w:val="auto"/>
        </w:rPr>
        <w:t>” shall mean (a) a payment in the form of Shares, or (b) an option or other right to purchase Shares, as part of a bonus, deferred compensation or other arrangement, awarded under Section 10.3.</w:t>
      </w:r>
    </w:p>
    <w:p>
      <w:pPr>
        <w:spacing w:after="0" w:line="17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2.54 “</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4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2.55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225" w:lineRule="exact"/>
        <w:rPr>
          <w:sz w:val="20"/>
          <w:szCs w:val="20"/>
          <w:color w:val="auto"/>
        </w:rPr>
      </w:pPr>
    </w:p>
    <w:p>
      <w:pPr>
        <w:ind w:right="240" w:firstLine="921"/>
        <w:spacing w:after="0" w:line="264" w:lineRule="auto"/>
        <w:tabs>
          <w:tab w:leader="none" w:pos="11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81"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81" w:lineRule="exact"/>
        <w:rPr>
          <w:rFonts w:ascii="Arial" w:cs="Arial" w:eastAsia="Arial" w:hAnsi="Arial"/>
          <w:sz w:val="18"/>
          <w:szCs w:val="18"/>
          <w:color w:val="auto"/>
        </w:rPr>
      </w:pPr>
    </w:p>
    <w:p>
      <w:pPr>
        <w:jc w:val="both"/>
        <w:ind w:right="40" w:firstLine="921"/>
        <w:spacing w:after="0" w:line="264" w:lineRule="auto"/>
        <w:tabs>
          <w:tab w:leader="none" w:pos="11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w:t>
      </w:r>
    </w:p>
    <w:p>
      <w:pPr>
        <w:sectPr>
          <w:pgSz w:w="11900" w:h="16838" w:orient="portrait"/>
          <w:cols w:equalWidth="0" w:num="1">
            <w:col w:w="11400"/>
          </w:cols>
          <w:pgMar w:left="240" w:top="274" w:right="259" w:bottom="1440" w:gutter="0" w:footer="0" w:header="0"/>
        </w:sectPr>
      </w:pPr>
    </w:p>
    <w:bookmarkStart w:id="16" w:name="page17"/>
    <w:bookmarkEnd w:id="16"/>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7" w:lineRule="auto"/>
        <w:tabs>
          <w:tab w:leader="none" w:pos="11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Section 14.2 and Section 3.1(b) the aggregate number of Shares which may be issued or transferred pursuant to Awards under the Plan is the sum of any of the 4,467,690 Shares that were available for issuance as of the Effective Date under the Prior Plan that remain available for issuance under the Prior Plan as of the date of stockholder approval of the Plan, plus any Shares which as of the date of stockholder approval of the Plan are subject to awards under the Prior Plan which are forfeited or lapse unexercised and which following the date of stockholder approval of the Plan are not issued under the Prior Plan; provided, however, no more than 4,467,690 Shares may be issued upon the exercise of Incentive Stock Options.</w:t>
      </w:r>
    </w:p>
    <w:p>
      <w:pPr>
        <w:spacing w:after="0" w:line="158" w:lineRule="exact"/>
        <w:rPr>
          <w:rFonts w:ascii="Arial" w:cs="Arial" w:eastAsia="Arial" w:hAnsi="Arial"/>
          <w:sz w:val="16"/>
          <w:szCs w:val="16"/>
          <w:color w:val="auto"/>
        </w:rPr>
      </w:pPr>
    </w:p>
    <w:p>
      <w:pPr>
        <w:ind w:right="20" w:firstLine="921"/>
        <w:spacing w:after="0" w:line="283" w:lineRule="auto"/>
        <w:tabs>
          <w:tab w:leader="none" w:pos="11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w:t>
      </w:r>
    </w:p>
    <w:p>
      <w:pPr>
        <w:spacing w:after="0" w:line="6"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Section 3.1(b), no Shares may again be optioned, granted or awarded if such action would cause an Incentive Stock Option to fail to qualify as an incentive stock option under Section 422 of the Code.</w:t>
      </w:r>
    </w:p>
    <w:p>
      <w:pPr>
        <w:spacing w:after="0" w:line="183" w:lineRule="exact"/>
        <w:rPr>
          <w:rFonts w:ascii="Arial" w:cs="Arial" w:eastAsia="Arial" w:hAnsi="Arial"/>
          <w:sz w:val="16"/>
          <w:szCs w:val="16"/>
          <w:color w:val="auto"/>
        </w:rPr>
      </w:pPr>
    </w:p>
    <w:p>
      <w:pPr>
        <w:ind w:right="200" w:firstLine="921"/>
        <w:spacing w:after="0" w:line="277" w:lineRule="auto"/>
        <w:tabs>
          <w:tab w:leader="none" w:pos="11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Additionally, in the event that a company acquired by the Company or any Affiliate or with which the Company or any Affiliate combines has shares available under a pre-existing</w:t>
      </w:r>
    </w:p>
    <w:p>
      <w:pPr>
        <w:sectPr>
          <w:pgSz w:w="11900" w:h="16838" w:orient="portrait"/>
          <w:cols w:equalWidth="0" w:num="1">
            <w:col w:w="11420"/>
          </w:cols>
          <w:pgMar w:left="240" w:top="274" w:right="239" w:bottom="1440" w:gutter="0" w:footer="0" w:header="0"/>
        </w:sectPr>
      </w:pPr>
    </w:p>
    <w:bookmarkStart w:id="17" w:name="page18"/>
    <w:bookmarkEnd w:id="1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8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Shares distributed pursuant to an Award may consist, in whole or in part, of authorized and unissued Common Stock, treasury Common Stock or Common Stock purchased on the open market.</w:t>
      </w:r>
    </w:p>
    <w:p>
      <w:pPr>
        <w:spacing w:after="0" w:line="17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Limitation on Number of Shares Subject to Awards</w:t>
      </w:r>
      <w:r>
        <w:rPr>
          <w:rFonts w:ascii="Arial" w:cs="Arial" w:eastAsia="Arial" w:hAnsi="Arial"/>
          <w:sz w:val="17"/>
          <w:szCs w:val="17"/>
          <w:color w:val="auto"/>
        </w:rPr>
        <w:t xml:space="preserve">. Notwithstanding any provision in the Plan to the contrary, and subject to Section 14.2, the maximum aggregate number of Shares with respect to one or more Awards that may be granted to any one person during any calendar year shall be 1,500,000, and the maximum aggregate amount of cash that may be paid in cash to any person during any calendar year with respect to one or more Awards payable in cash shall be $20,000,000;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maximum aggregate number of Shares with respect to one or more Awards that may be granted to any Non-Employee Director during any calendar year shall be 50,000. To the extent required by Section 162(m) of the Code, Shares subject to Awards which are canceled shall continue to be counted against the Award Limit.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GRANTING OF AWARDS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regarding the grant of Awards pursuant to the Non-Employee Director Equity Compensation Policy, no Eligible Individual shall have any right to be granted an Award pursuant to the Plan.</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ectPr>
          <w:pgSz w:w="11900" w:h="16838" w:orient="portrait"/>
          <w:cols w:equalWidth="0" w:num="1">
            <w:col w:w="11400"/>
          </w:cols>
          <w:pgMar w:left="240" w:top="274" w:right="259" w:bottom="1440" w:gutter="0" w:footer="0" w:header="0"/>
        </w:sectPr>
      </w:pPr>
    </w:p>
    <w:bookmarkStart w:id="18" w:name="page19"/>
    <w:bookmarkEnd w:id="18"/>
    <w:p>
      <w:pPr>
        <w:ind w:right="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At-Will Employment; Voluntary Participation</w:t>
      </w:r>
      <w:r>
        <w:rPr>
          <w:rFonts w:ascii="Arial" w:cs="Arial" w:eastAsia="Arial" w:hAnsi="Arial"/>
          <w:sz w:val="17"/>
          <w:szCs w:val="17"/>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Foreign Holders</w:t>
      </w:r>
      <w:r>
        <w:rPr>
          <w:rFonts w:ascii="Arial" w:cs="Arial" w:eastAsia="Arial" w:hAnsi="Arial"/>
          <w:sz w:val="16"/>
          <w:szCs w:val="16"/>
          <w:color w:val="auto"/>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6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Non-Employee Director Awards</w:t>
      </w:r>
      <w:r>
        <w:rPr>
          <w:rFonts w:ascii="Arial" w:cs="Arial" w:eastAsia="Arial" w:hAnsi="Arial"/>
          <w:sz w:val="18"/>
          <w:szCs w:val="18"/>
          <w:color w:val="auto"/>
        </w:rPr>
        <w:t>. The Administrator may, in its discretion, provide that Awards granted to Non-Employee Directors shall be granted pursuant to a written non-discretionary formula established by the Administrator (the “</w:t>
      </w:r>
      <w:r>
        <w:rPr>
          <w:rFonts w:ascii="Arial" w:cs="Arial" w:eastAsia="Arial" w:hAnsi="Arial"/>
          <w:sz w:val="18"/>
          <w:szCs w:val="18"/>
          <w:u w:val="single" w:color="auto"/>
          <w:color w:val="auto"/>
        </w:rPr>
        <w:t>Non-Employee Director Equity Compensation Policy</w:t>
      </w:r>
      <w:r>
        <w:rPr>
          <w:rFonts w:ascii="Arial" w:cs="Arial" w:eastAsia="Arial" w:hAnsi="Arial"/>
          <w:sz w:val="18"/>
          <w:szCs w:val="18"/>
          <w:color w:val="auto"/>
        </w:rPr>
        <w:t>”), subject to the limitations of the Plan. The Non-Employee Director Equity Compensation Policy shall set forth the type of Award(s) to be granted to Non-Employee Directors, the number of Shares to be subject to Non-Employee Director Awards,</w:t>
      </w:r>
    </w:p>
    <w:p>
      <w:pPr>
        <w:sectPr>
          <w:pgSz w:w="11900" w:h="16838" w:orient="portrait"/>
          <w:cols w:equalWidth="0" w:num="1">
            <w:col w:w="11400"/>
          </w:cols>
          <w:pgMar w:left="240" w:top="274" w:right="259" w:bottom="1440" w:gutter="0" w:footer="0" w:header="0"/>
        </w:sectPr>
      </w:pPr>
    </w:p>
    <w:bookmarkStart w:id="19" w:name="page20"/>
    <w:bookmarkEnd w:id="19"/>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APPLICABLE TO AWARDS INTENDED TO QUALIFY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COMPENSATION.</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Purpose</w:t>
      </w:r>
      <w:r>
        <w:rPr>
          <w:rFonts w:ascii="Arial" w:cs="Arial" w:eastAsia="Arial" w:hAnsi="Arial"/>
          <w:sz w:val="17"/>
          <w:szCs w:val="17"/>
          <w:color w:val="auto"/>
        </w:rPr>
        <w:t>.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Applicability</w:t>
      </w:r>
      <w:r>
        <w:rPr>
          <w:rFonts w:ascii="Arial" w:cs="Arial" w:eastAsia="Arial" w:hAnsi="Arial"/>
          <w:sz w:val="18"/>
          <w:szCs w:val="18"/>
          <w:color w:val="auto"/>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Types of Awards</w:t>
      </w:r>
      <w:r>
        <w:rPr>
          <w:rFonts w:ascii="Arial" w:cs="Arial" w:eastAsia="Arial" w:hAnsi="Arial"/>
          <w:sz w:val="16"/>
          <w:szCs w:val="16"/>
          <w:color w:val="auto"/>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 Awards described in Article 10 that vest or become exercisable or payable upon the attainment of one or more specified Performance Goals.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Procedures with Respect to Performance-Based Awards</w:t>
      </w:r>
      <w:r>
        <w:rPr>
          <w:rFonts w:ascii="Arial" w:cs="Arial" w:eastAsia="Arial" w:hAnsi="Arial"/>
          <w:sz w:val="18"/>
          <w:szCs w:val="18"/>
          <w:color w:val="auto"/>
        </w:rPr>
        <w:t>. To the extent necessary to comply with the requirements of Section 162(m)(4)(C) of the Code, with respect to any Award granted to one or more Eligible Individuals which is intended to qualify as Performance-Based Compensation, no later than 90 days following the commencement of any</w:t>
      </w:r>
    </w:p>
    <w:p>
      <w:pPr>
        <w:sectPr>
          <w:pgSz w:w="11900" w:h="16838" w:orient="portrait"/>
          <w:cols w:equalWidth="0" w:num="1">
            <w:col w:w="11420"/>
          </w:cols>
          <w:pgMar w:left="240" w:top="274" w:right="239" w:bottom="1440" w:gutter="0" w:footer="0" w:header="0"/>
        </w:sectPr>
      </w:pPr>
    </w:p>
    <w:bookmarkStart w:id="20" w:name="page21"/>
    <w:bookmarkEnd w:id="20"/>
    <w:p>
      <w:pPr>
        <w:ind w:right="5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w:t>
      </w:r>
    </w:p>
    <w:p>
      <w:pPr>
        <w:ind w:right="20" w:firstLine="8"/>
        <w:spacing w:after="0" w:line="252"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w:t>
      </w:r>
    </w:p>
    <w:p>
      <w:pPr>
        <w:spacing w:after="0" w:line="188"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Additional Limitations</w:t>
      </w:r>
      <w:r>
        <w:rPr>
          <w:rFonts w:ascii="Arial" w:cs="Arial" w:eastAsia="Arial" w:hAnsi="Arial"/>
          <w:sz w:val="16"/>
          <w:szCs w:val="16"/>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GRANTING OF OPTIONS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to Eligible Individuals</w:t>
      </w:r>
      <w:r>
        <w:rPr>
          <w:rFonts w:ascii="Arial" w:cs="Arial" w:eastAsia="Arial" w:hAnsi="Arial"/>
          <w:sz w:val="18"/>
          <w:szCs w:val="18"/>
          <w:color w:val="auto"/>
        </w:rPr>
        <w:t>. The Administrator is authorized to grant Options to Eligible Individuals from time to time, in its sole discretion, on such terms and conditions as it may determine which shall not be inconsistent with the Plan.</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Qualification of Incentive Stock Options</w:t>
      </w:r>
      <w:r>
        <w:rPr>
          <w:rFonts w:ascii="Arial" w:cs="Arial" w:eastAsia="Arial" w:hAnsi="Arial"/>
          <w:sz w:val="18"/>
          <w:szCs w:val="18"/>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w:t>
      </w:r>
    </w:p>
    <w:p>
      <w:pPr>
        <w:sectPr>
          <w:pgSz w:w="11900" w:h="16838" w:orient="portrait"/>
          <w:cols w:equalWidth="0" w:num="1">
            <w:col w:w="11420"/>
          </w:cols>
          <w:pgMar w:left="240" w:top="274" w:right="239" w:bottom="1440" w:gutter="0" w:footer="0" w:header="0"/>
        </w:sectPr>
      </w:pPr>
    </w:p>
    <w:bookmarkStart w:id="21" w:name="page22"/>
    <w:bookmarkEnd w:id="21"/>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78"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Option (the “</w:t>
      </w:r>
      <w:r>
        <w:rPr>
          <w:rFonts w:ascii="Arial" w:cs="Arial" w:eastAsia="Arial" w:hAnsi="Arial"/>
          <w:sz w:val="18"/>
          <w:szCs w:val="18"/>
          <w:u w:val="single" w:color="auto"/>
          <w:color w:val="auto"/>
        </w:rPr>
        <w:t>Option Term</w:t>
      </w:r>
      <w:r>
        <w:rPr>
          <w:rFonts w:ascii="Arial" w:cs="Arial" w:eastAsia="Arial" w:hAnsi="Arial"/>
          <w:sz w:val="18"/>
          <w:szCs w:val="18"/>
          <w:color w:val="auto"/>
        </w:rPr>
        <w:t xml:space="preserve">”)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or the first sentence of this Section 6.4, the Administrator may extend the Option Term of any outstanding Option, and may extend the time period during which vested Options may be exercised, in connection with any Termination of Service of the Holder, and may amend, subject to Section 14.1, any other term or condition of such Option relating to such a Termination of Service.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Vesting</w:t>
      </w:r>
      <w:r>
        <w:rPr>
          <w:rFonts w:ascii="Arial" w:cs="Arial" w:eastAsia="Arial" w:hAnsi="Arial"/>
          <w:sz w:val="18"/>
          <w:szCs w:val="18"/>
          <w:color w:val="auto"/>
        </w:rPr>
        <w:t>.</w:t>
      </w:r>
    </w:p>
    <w:p>
      <w:pPr>
        <w:spacing w:after="0" w:line="225" w:lineRule="exact"/>
        <w:rPr>
          <w:sz w:val="20"/>
          <w:szCs w:val="20"/>
          <w:color w:val="auto"/>
        </w:rPr>
      </w:pPr>
    </w:p>
    <w:p>
      <w:pPr>
        <w:ind w:right="160" w:firstLine="921"/>
        <w:spacing w:after="0" w:line="286" w:lineRule="auto"/>
        <w:tabs>
          <w:tab w:leader="none" w:pos="115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w:t>
      </w:r>
    </w:p>
    <w:p>
      <w:pPr>
        <w:spacing w:after="0" w:line="165" w:lineRule="exact"/>
        <w:rPr>
          <w:rFonts w:ascii="Arial" w:cs="Arial" w:eastAsia="Arial" w:hAnsi="Arial"/>
          <w:sz w:val="17"/>
          <w:szCs w:val="17"/>
          <w:color w:val="auto"/>
        </w:rPr>
      </w:pPr>
    </w:p>
    <w:p>
      <w:pPr>
        <w:ind w:right="240" w:firstLine="921"/>
        <w:spacing w:after="0" w:line="342" w:lineRule="auto"/>
        <w:tabs>
          <w:tab w:leader="none" w:pos="11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ectPr>
          <w:pgSz w:w="11900" w:h="16838" w:orient="portrait"/>
          <w:cols w:equalWidth="0" w:num="1">
            <w:col w:w="11420"/>
          </w:cols>
          <w:pgMar w:left="240" w:top="274" w:right="239" w:bottom="1440" w:gutter="0" w:footer="0" w:header="0"/>
        </w:sectPr>
      </w:pPr>
    </w:p>
    <w:bookmarkStart w:id="22" w:name="page23"/>
    <w:bookmarkEnd w:id="22"/>
    <w:p>
      <w:pPr>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6.6 </w:t>
      </w:r>
      <w:r>
        <w:rPr>
          <w:rFonts w:ascii="Arial" w:cs="Arial" w:eastAsia="Arial" w:hAnsi="Arial"/>
          <w:sz w:val="17"/>
          <w:szCs w:val="17"/>
          <w:u w:val="single" w:color="auto"/>
          <w:color w:val="auto"/>
        </w:rPr>
        <w:t>Substitute Awards</w:t>
      </w:r>
      <w:r>
        <w:rPr>
          <w:rFonts w:ascii="Arial" w:cs="Arial" w:eastAsia="Arial" w:hAnsi="Arial"/>
          <w:sz w:val="17"/>
          <w:szCs w:val="17"/>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Substitution of Stock Appreciation Rights</w:t>
      </w:r>
      <w:r>
        <w:rPr>
          <w:rFonts w:ascii="Arial" w:cs="Arial" w:eastAsia="Arial" w:hAnsi="Arial"/>
          <w:sz w:val="18"/>
          <w:szCs w:val="18"/>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OF OPTIONS</w:t>
      </w:r>
    </w:p>
    <w:p>
      <w:pPr>
        <w:spacing w:after="0" w:line="229"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Partial Exercise</w:t>
      </w:r>
      <w:r>
        <w:rPr>
          <w:rFonts w:ascii="Arial" w:cs="Arial" w:eastAsia="Arial" w:hAnsi="Arial"/>
          <w:sz w:val="16"/>
          <w:szCs w:val="16"/>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Manner of Exercise</w:t>
      </w:r>
      <w:r>
        <w:rPr>
          <w:rFonts w:ascii="Arial" w:cs="Arial" w:eastAsia="Arial" w:hAnsi="Arial"/>
          <w:sz w:val="16"/>
          <w:szCs w:val="16"/>
          <w:color w:val="auto"/>
        </w:rPr>
        <w:t>. All or a portion of an exercisable Option shall be deemed exercised upon delivery of all of the following to the Secretary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 the stock administrator of the Company or such other person or entity designated by the Administrator, or his, her or its office, as applicable:</w:t>
      </w:r>
    </w:p>
    <w:p>
      <w:pPr>
        <w:spacing w:after="0" w:line="222" w:lineRule="exact"/>
        <w:rPr>
          <w:sz w:val="20"/>
          <w:szCs w:val="20"/>
          <w:color w:val="auto"/>
        </w:rPr>
      </w:pPr>
    </w:p>
    <w:p>
      <w:pPr>
        <w:ind w:right="520" w:firstLine="921"/>
        <w:spacing w:after="0" w:line="342" w:lineRule="auto"/>
        <w:tabs>
          <w:tab w:leader="none" w:pos="11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23" w:lineRule="exact"/>
        <w:rPr>
          <w:rFonts w:ascii="Arial" w:cs="Arial" w:eastAsia="Arial" w:hAnsi="Arial"/>
          <w:sz w:val="16"/>
          <w:szCs w:val="16"/>
          <w:color w:val="auto"/>
        </w:rPr>
      </w:pPr>
    </w:p>
    <w:p>
      <w:pPr>
        <w:ind w:right="20" w:firstLine="921"/>
        <w:spacing w:after="0" w:line="286" w:lineRule="auto"/>
        <w:tabs>
          <w:tab w:leader="none" w:pos="11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65" w:lineRule="exact"/>
        <w:rPr>
          <w:rFonts w:ascii="Arial" w:cs="Arial" w:eastAsia="Arial" w:hAnsi="Arial"/>
          <w:sz w:val="17"/>
          <w:szCs w:val="17"/>
          <w:color w:val="auto"/>
        </w:rPr>
      </w:pPr>
    </w:p>
    <w:p>
      <w:pPr>
        <w:ind w:right="180" w:firstLine="921"/>
        <w:spacing w:after="0" w:line="277" w:lineRule="auto"/>
        <w:tabs>
          <w:tab w:leader="none" w:pos="11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12.3 by any person or persons other than the Holder, appropriate proof of the right of such person or persons to exercise the Option, as determined in the sole discretion of the Administrator; and</w:t>
      </w:r>
    </w:p>
    <w:p>
      <w:pPr>
        <w:sectPr>
          <w:pgSz w:w="11900" w:h="16838" w:orient="portrait"/>
          <w:cols w:equalWidth="0" w:num="1">
            <w:col w:w="11400"/>
          </w:cols>
          <w:pgMar w:left="240" w:top="274" w:right="259" w:bottom="1440" w:gutter="0" w:footer="0" w:header="0"/>
        </w:sectPr>
      </w:pPr>
    </w:p>
    <w:bookmarkStart w:id="23" w:name="page24"/>
    <w:bookmarkEnd w:id="23"/>
    <w:p>
      <w:pPr>
        <w:ind w:right="80" w:firstLine="921"/>
        <w:spacing w:after="0" w:line="277" w:lineRule="auto"/>
        <w:tabs>
          <w:tab w:leader="none" w:pos="1168"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payment of the exercise price and applicable withholding taxes to the stock administrator of the Company for the Shares with respect to which the Option, or portion thereof, is exercised, in a manner permitted by Sections 12.1 and 12.2.</w:t>
      </w:r>
    </w:p>
    <w:p>
      <w:pPr>
        <w:spacing w:after="0" w:line="17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Notification Regarding Disposition</w:t>
      </w:r>
      <w:r>
        <w:rPr>
          <w:rFonts w:ascii="Arial" w:cs="Arial" w:eastAsia="Arial" w:hAnsi="Arial"/>
          <w:sz w:val="16"/>
          <w:szCs w:val="16"/>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AWARD OF RESTRICTED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64" w:lineRule="auto"/>
        <w:tabs>
          <w:tab w:leader="none" w:pos="11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81" w:lineRule="exact"/>
        <w:rPr>
          <w:rFonts w:ascii="Arial" w:cs="Arial" w:eastAsia="Arial" w:hAnsi="Arial"/>
          <w:sz w:val="18"/>
          <w:szCs w:val="18"/>
          <w:color w:val="auto"/>
        </w:rPr>
      </w:pPr>
    </w:p>
    <w:p>
      <w:pPr>
        <w:jc w:val="both"/>
        <w:ind w:right="60" w:firstLine="921"/>
        <w:spacing w:after="0" w:line="264" w:lineRule="auto"/>
        <w:tabs>
          <w:tab w:leader="none" w:pos="11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Administrator shall establish the purchase price, if any, and form of payment for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w:t>
      </w:r>
    </w:p>
    <w:p>
      <w:pPr>
        <w:spacing w:after="0" w:line="18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Rights as Stockholders</w:t>
      </w:r>
      <w:r>
        <w:rPr>
          <w:rFonts w:ascii="Arial" w:cs="Arial" w:eastAsia="Arial" w:hAnsi="Arial"/>
          <w:sz w:val="16"/>
          <w:szCs w:val="16"/>
          <w:color w:val="auto"/>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6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w:t>
      </w:r>
    </w:p>
    <w:p>
      <w:pPr>
        <w:sectPr>
          <w:pgSz w:w="11900" w:h="16838" w:orient="portrait"/>
          <w:cols w:equalWidth="0" w:num="1">
            <w:col w:w="11360"/>
          </w:cols>
          <w:pgMar w:left="240" w:top="274" w:right="299" w:bottom="1440" w:gutter="0" w:footer="0" w:header="0"/>
        </w:sectPr>
      </w:pPr>
    </w:p>
    <w:bookmarkStart w:id="24" w:name="page25"/>
    <w:bookmarkEnd w:id="2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Repurchase or Forfeiture of Restricted Stock</w:t>
      </w:r>
      <w:r>
        <w:rPr>
          <w:rFonts w:ascii="Arial" w:cs="Arial" w:eastAsia="Arial" w:hAnsi="Arial"/>
          <w:sz w:val="17"/>
          <w:szCs w:val="17"/>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8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Certificates for Restricted Stock</w:t>
      </w:r>
      <w:r>
        <w:rPr>
          <w:rFonts w:ascii="Arial" w:cs="Arial" w:eastAsia="Arial" w:hAnsi="Arial"/>
          <w:sz w:val="17"/>
          <w:szCs w:val="17"/>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Section 83(b) Election</w:t>
      </w:r>
      <w:r>
        <w:rPr>
          <w:rFonts w:ascii="Arial" w:cs="Arial" w:eastAsia="Arial" w:hAnsi="Arial"/>
          <w:sz w:val="16"/>
          <w:szCs w:val="16"/>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ectPr>
          <w:pgSz w:w="11900" w:h="16838" w:orient="portrait"/>
          <w:cols w:equalWidth="0" w:num="1">
            <w:col w:w="11380"/>
          </w:cols>
          <w:pgMar w:left="240" w:top="274" w:right="27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 OF RESTRICTED STOCK UNITS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Term</w:t>
      </w:r>
      <w:r>
        <w:rPr>
          <w:rFonts w:ascii="Arial" w:cs="Arial" w:eastAsia="Arial" w:hAnsi="Arial"/>
          <w:sz w:val="17"/>
          <w:szCs w:val="17"/>
          <w:color w:val="auto"/>
        </w:rPr>
        <w:t>. Except as otherwise provided herein, the term of a Restricted Stock Unit award shall be set by the Administrator in its sole discretion.</w:t>
      </w:r>
    </w:p>
    <w:p>
      <w:pPr>
        <w:spacing w:after="0" w:line="23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shall specify the purchase price, if any, to be paid by the Holder to the Company with respect to any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Maturity and Payment</w:t>
      </w:r>
      <w:r>
        <w:rPr>
          <w:rFonts w:ascii="Arial" w:cs="Arial" w:eastAsia="Arial" w:hAnsi="Arial"/>
          <w:sz w:val="17"/>
          <w:szCs w:val="17"/>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calendar year in which the Restricted Stock Unit vests; or (b)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Company’s fiscal year in which the Restricted Stock Unit vests. On the maturity date, the Company shall, subject to Section 12.4(e),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8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Payment upon Termination of Service</w:t>
      </w:r>
      <w:r>
        <w:rPr>
          <w:rFonts w:ascii="Arial" w:cs="Arial" w:eastAsia="Arial" w:hAnsi="Arial"/>
          <w:sz w:val="18"/>
          <w:szCs w:val="18"/>
          <w:color w:val="auto"/>
        </w:rPr>
        <w:t xml:space="preserve">. An Award of Restricted Stock Units shall only be payable while the Holder is an Employee, a Consultant or a member of the Board,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ectPr>
          <w:pgSz w:w="11900" w:h="16838" w:orient="portrait"/>
          <w:cols w:equalWidth="0" w:num="1">
            <w:col w:w="11400"/>
          </w:cols>
          <w:pgMar w:left="240" w:top="270" w:right="259" w:bottom="1440" w:gutter="0" w:footer="0" w:header="0"/>
        </w:sectPr>
      </w:pPr>
    </w:p>
    <w:bookmarkStart w:id="26" w:name="page27"/>
    <w:bookmarkEnd w:id="26"/>
    <w:p>
      <w:pPr>
        <w:jc w:val="both"/>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9.8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Subject to Section 10.2,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PERFORMANCE AWARDS, DIVIDEND EQUIVALENTS,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DEFERRED STOCK, DEFERRED STOCK UNITS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76" w:lineRule="auto"/>
        <w:tabs>
          <w:tab w:leader="none" w:pos="115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72" w:lineRule="exact"/>
        <w:rPr>
          <w:rFonts w:ascii="Arial" w:cs="Arial" w:eastAsia="Arial" w:hAnsi="Arial"/>
          <w:sz w:val="17"/>
          <w:szCs w:val="17"/>
          <w:color w:val="auto"/>
        </w:rPr>
      </w:pPr>
    </w:p>
    <w:p>
      <w:pPr>
        <w:ind w:firstLine="921"/>
        <w:spacing w:after="0" w:line="257" w:lineRule="auto"/>
        <w:tabs>
          <w:tab w:leader="none" w:pos="11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5" w:lineRule="auto"/>
        <w:tabs>
          <w:tab w:leader="none" w:pos="11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by such formula and at such time and subject to such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the foregoing, no Dividend Equivalents shall be payable with respect to Options or Stock Appreciation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Stock Payments</w:t>
      </w:r>
      <w:r>
        <w:rPr>
          <w:rFonts w:ascii="Arial" w:cs="Arial" w:eastAsia="Arial" w:hAnsi="Arial"/>
          <w:sz w:val="18"/>
          <w:szCs w:val="18"/>
          <w:color w:val="auto"/>
        </w:rPr>
        <w:t>. The Administrator is authorized to make Stock Payments to any Eligible Individual. The number or value of Shares of any Stock Payment shall be</w:t>
      </w:r>
    </w:p>
    <w:p>
      <w:pPr>
        <w:sectPr>
          <w:pgSz w:w="11900" w:h="16838" w:orient="portrait"/>
          <w:cols w:equalWidth="0" w:num="1">
            <w:col w:w="11400"/>
          </w:cols>
          <w:pgMar w:left="240" w:top="274" w:right="25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Deferred Stock</w:t>
      </w:r>
      <w:r>
        <w:rPr>
          <w:rFonts w:ascii="Arial" w:cs="Arial" w:eastAsia="Arial" w:hAnsi="Arial"/>
          <w:sz w:val="16"/>
          <w:szCs w:val="16"/>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Deferred Stock Units</w:t>
      </w:r>
      <w:r>
        <w:rPr>
          <w:rFonts w:ascii="Arial" w:cs="Arial" w:eastAsia="Arial" w:hAnsi="Arial"/>
          <w:sz w:val="16"/>
          <w:szCs w:val="16"/>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16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Term</w:t>
      </w:r>
      <w:r>
        <w:rPr>
          <w:rFonts w:ascii="Arial" w:cs="Arial" w:eastAsia="Arial" w:hAnsi="Arial"/>
          <w:sz w:val="18"/>
          <w:szCs w:val="18"/>
          <w:color w:val="auto"/>
        </w:rPr>
        <w:t>. The term of a Performance Award, Dividend Equivalent award, Stock Payment award, Deferred Stock award and/or Deferred Stock Unit award shall be set by the Administrator in its sole discretion.</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may establish the purchase price of a Performance Award, Shares distributed as a Stock Payment award, shares of Deferred Stock or Shares distributed pursuant to a Deferred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ectPr>
          <w:pgSz w:w="11900" w:h="16838" w:orient="portrait"/>
          <w:cols w:equalWidth="0" w:num="1">
            <w:col w:w="11400"/>
          </w:cols>
          <w:pgMar w:left="240" w:top="274" w:right="259" w:bottom="1440" w:gutter="0" w:footer="0" w:header="0"/>
        </w:sectPr>
      </w:pPr>
    </w:p>
    <w:bookmarkStart w:id="28" w:name="page29"/>
    <w:bookmarkEnd w:id="28"/>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10.8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STOCK APPRECIATION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w:t>
      </w:r>
    </w:p>
    <w:p>
      <w:pPr>
        <w:spacing w:after="0" w:line="225" w:lineRule="exact"/>
        <w:rPr>
          <w:sz w:val="20"/>
          <w:szCs w:val="20"/>
          <w:color w:val="auto"/>
        </w:rPr>
      </w:pPr>
    </w:p>
    <w:p>
      <w:pPr>
        <w:ind w:right="260" w:firstLine="921"/>
        <w:spacing w:after="0" w:line="277" w:lineRule="auto"/>
        <w:tabs>
          <w:tab w:leader="none" w:pos="11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Administrator is authorized to grant Stock Appreciation Rights to Eligible Individuals from time to time, in its sole discretion, on such terms and conditions as it may determine consistent with the Plan.</w:t>
      </w:r>
    </w:p>
    <w:p>
      <w:pPr>
        <w:spacing w:after="0" w:line="170" w:lineRule="exact"/>
        <w:rPr>
          <w:rFonts w:ascii="Arial" w:cs="Arial" w:eastAsia="Arial" w:hAnsi="Arial"/>
          <w:sz w:val="18"/>
          <w:szCs w:val="18"/>
          <w:color w:val="auto"/>
        </w:rPr>
      </w:pPr>
    </w:p>
    <w:p>
      <w:pPr>
        <w:ind w:right="60" w:firstLine="921"/>
        <w:spacing w:after="0" w:line="255" w:lineRule="auto"/>
        <w:tabs>
          <w:tab w:leader="none" w:pos="11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89" w:lineRule="exact"/>
        <w:rPr>
          <w:rFonts w:ascii="Arial" w:cs="Arial" w:eastAsia="Arial" w:hAnsi="Arial"/>
          <w:sz w:val="18"/>
          <w:szCs w:val="18"/>
          <w:color w:val="auto"/>
        </w:rPr>
      </w:pPr>
    </w:p>
    <w:p>
      <w:pPr>
        <w:ind w:right="100" w:firstLine="921"/>
        <w:spacing w:after="0" w:line="293" w:lineRule="auto"/>
        <w:tabs>
          <w:tab w:leader="none" w:pos="11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Section 11.1(b) to the contrary, in the case of a Stock Appreciation Right that is a Substitute Award, the price per share of the Shares subject to such Stock Appreciation Right may be less than 100% of the Fair Market Value per share on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Stock Appreciation Right Vesting</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29" w:name="page30"/>
    <w:bookmarkEnd w:id="29"/>
    <w:p>
      <w:pPr>
        <w:ind w:right="120" w:firstLine="921"/>
        <w:spacing w:after="0" w:line="257" w:lineRule="auto"/>
        <w:tabs>
          <w:tab w:leader="none" w:pos="1158"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88"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Stock Appreciation Right shall be deemed exercised upon delivery of all of the following to the Secretary of the Company, the stock administrator of the Company, or such other person or entity designated by the Administrator, or his, her or its office, as applicable:</w:t>
      </w:r>
    </w:p>
    <w:p>
      <w:pPr>
        <w:spacing w:after="0" w:line="181" w:lineRule="exact"/>
        <w:rPr>
          <w:sz w:val="20"/>
          <w:szCs w:val="20"/>
          <w:color w:val="auto"/>
        </w:rPr>
      </w:pPr>
    </w:p>
    <w:p>
      <w:pPr>
        <w:ind w:right="80" w:firstLine="921"/>
        <w:spacing w:after="0" w:line="264" w:lineRule="auto"/>
        <w:tabs>
          <w:tab w:leader="none" w:pos="11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81" w:lineRule="exact"/>
        <w:rPr>
          <w:rFonts w:ascii="Arial" w:cs="Arial" w:eastAsia="Arial" w:hAnsi="Arial"/>
          <w:sz w:val="18"/>
          <w:szCs w:val="18"/>
          <w:color w:val="auto"/>
        </w:rPr>
      </w:pPr>
    </w:p>
    <w:p>
      <w:pPr>
        <w:jc w:val="both"/>
        <w:ind w:right="460" w:firstLine="921"/>
        <w:spacing w:after="0" w:line="342" w:lineRule="auto"/>
        <w:tabs>
          <w:tab w:leader="none" w:pos="11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123" w:lineRule="exact"/>
        <w:rPr>
          <w:rFonts w:ascii="Arial" w:cs="Arial" w:eastAsia="Arial" w:hAnsi="Arial"/>
          <w:sz w:val="16"/>
          <w:szCs w:val="16"/>
          <w:color w:val="auto"/>
        </w:rPr>
      </w:pPr>
    </w:p>
    <w:p>
      <w:pPr>
        <w:ind w:right="60" w:firstLine="921"/>
        <w:spacing w:after="0" w:line="277" w:lineRule="auto"/>
        <w:tabs>
          <w:tab w:leader="none" w:pos="11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that the Stock Appreciation Right shall be exercised pursuant to this Section 11.3 by any person or persons other than the Holder, appropriate proof of the right of such person or persons to exercise the Stock Appreciation Right.</w:t>
      </w:r>
    </w:p>
    <w:p>
      <w:pPr>
        <w:spacing w:after="0" w:line="170"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Stock Appreciation Right Term</w:t>
      </w:r>
      <w:r>
        <w:rPr>
          <w:rFonts w:ascii="Arial" w:cs="Arial" w:eastAsia="Arial" w:hAnsi="Arial"/>
          <w:sz w:val="17"/>
          <w:szCs w:val="17"/>
          <w:color w:val="auto"/>
        </w:rPr>
        <w:t>. The term of each Stock Appreciation Right (the “</w:t>
      </w:r>
      <w:r>
        <w:rPr>
          <w:rFonts w:ascii="Arial" w:cs="Arial" w:eastAsia="Arial" w:hAnsi="Arial"/>
          <w:sz w:val="17"/>
          <w:szCs w:val="17"/>
          <w:u w:val="single" w:color="auto"/>
          <w:color w:val="auto"/>
        </w:rPr>
        <w:t>Stock Appreciation Right Term</w:t>
      </w:r>
      <w:r>
        <w:rPr>
          <w:rFonts w:ascii="Arial" w:cs="Arial" w:eastAsia="Arial" w:hAnsi="Arial"/>
          <w:sz w:val="17"/>
          <w:szCs w:val="17"/>
          <w:color w:val="auto"/>
        </w:rPr>
        <w:t xml:space="preserve">”) shall be set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and may extend the time period during which vested Stock Appreciation Rights may be exercised, in connection with any Termination of Service of the Holder, and may amend, subject to Section 14.1, any other term or condition of such Stock Appreciation Right relating to such a Termination of Service.</w:t>
      </w:r>
    </w:p>
    <w:p>
      <w:pPr>
        <w:sectPr>
          <w:pgSz w:w="11900" w:h="16838" w:orient="portrait"/>
          <w:cols w:equalWidth="0" w:num="1">
            <w:col w:w="11420"/>
          </w:cols>
          <w:pgMar w:left="240" w:top="274" w:right="239" w:bottom="1440" w:gutter="0" w:footer="0" w:header="0"/>
        </w:sectPr>
      </w:pPr>
    </w:p>
    <w:bookmarkStart w:id="30" w:name="page31"/>
    <w:bookmarkEnd w:id="30"/>
    <w:p>
      <w:pPr>
        <w:ind w:right="10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11.5 </w:t>
      </w:r>
      <w:r>
        <w:rPr>
          <w:rFonts w:ascii="Arial" w:cs="Arial" w:eastAsia="Arial" w:hAnsi="Arial"/>
          <w:sz w:val="16"/>
          <w:szCs w:val="16"/>
          <w:u w:val="single" w:color="auto"/>
          <w:color w:val="auto"/>
        </w:rPr>
        <w:t>Payment</w:t>
      </w:r>
      <w:r>
        <w:rPr>
          <w:rFonts w:ascii="Arial" w:cs="Arial" w:eastAsia="Arial" w:hAnsi="Arial"/>
          <w:sz w:val="16"/>
          <w:szCs w:val="16"/>
          <w:color w:val="auto"/>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ectPr>
          <w:pgSz w:w="11900" w:h="16838" w:orient="portrait"/>
          <w:cols w:equalWidth="0" w:num="1">
            <w:col w:w="11420"/>
          </w:cols>
          <w:pgMar w:left="240" w:top="274" w:right="239" w:bottom="1440" w:gutter="0" w:footer="0" w:header="0"/>
        </w:sectPr>
      </w:pPr>
    </w:p>
    <w:bookmarkStart w:id="31" w:name="page32"/>
    <w:bookmarkEnd w:id="31"/>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225" w:lineRule="exact"/>
        <w:rPr>
          <w:sz w:val="20"/>
          <w:szCs w:val="20"/>
          <w:color w:val="auto"/>
        </w:rPr>
      </w:pPr>
    </w:p>
    <w:p>
      <w:pPr>
        <w:ind w:left="1152" w:hanging="239"/>
        <w:spacing w:after="0"/>
        <w:tabs>
          <w:tab w:leader="none" w:pos="11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as otherwise provided in Section 12.3(b):</w:t>
      </w:r>
    </w:p>
    <w:p>
      <w:pPr>
        <w:spacing w:after="0" w:line="225" w:lineRule="exact"/>
        <w:rPr>
          <w:rFonts w:ascii="Arial" w:cs="Arial" w:eastAsia="Arial" w:hAnsi="Arial"/>
          <w:sz w:val="18"/>
          <w:szCs w:val="18"/>
          <w:color w:val="auto"/>
        </w:rPr>
      </w:pPr>
    </w:p>
    <w:p>
      <w:pPr>
        <w:ind w:left="-8" w:right="20" w:firstLine="1492"/>
        <w:spacing w:after="0" w:line="264" w:lineRule="auto"/>
        <w:tabs>
          <w:tab w:leader="none" w:pos="1690" w:val="left"/>
        </w:tabs>
        <w:numPr>
          <w:ilvl w:val="2"/>
          <w:numId w:val="22"/>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81" w:lineRule="exact"/>
        <w:rPr>
          <w:rFonts w:ascii="Arial" w:cs="Arial" w:eastAsia="Arial" w:hAnsi="Arial"/>
          <w:sz w:val="18"/>
          <w:szCs w:val="18"/>
          <w:color w:val="auto"/>
        </w:rPr>
      </w:pPr>
    </w:p>
    <w:p>
      <w:pPr>
        <w:ind w:left="-8" w:firstLine="1492"/>
        <w:spacing w:after="0" w:line="257" w:lineRule="auto"/>
        <w:tabs>
          <w:tab w:leader="none" w:pos="17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88" w:lineRule="exact"/>
        <w:rPr>
          <w:rFonts w:ascii="Arial" w:cs="Arial" w:eastAsia="Arial" w:hAnsi="Arial"/>
          <w:sz w:val="18"/>
          <w:szCs w:val="18"/>
          <w:color w:val="auto"/>
        </w:rPr>
      </w:pPr>
    </w:p>
    <w:p>
      <w:pPr>
        <w:ind w:left="-8" w:right="20" w:firstLine="1492"/>
        <w:spacing w:after="0" w:line="279" w:lineRule="auto"/>
        <w:tabs>
          <w:tab w:leader="none" w:pos="179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71" w:lineRule="exact"/>
        <w:rPr>
          <w:rFonts w:ascii="Arial" w:cs="Arial" w:eastAsia="Arial" w:hAnsi="Arial"/>
          <w:sz w:val="17"/>
          <w:szCs w:val="17"/>
          <w:color w:val="auto"/>
        </w:rPr>
      </w:pPr>
    </w:p>
    <w:p>
      <w:pPr>
        <w:ind w:left="-8" w:right="40" w:firstLine="921"/>
        <w:spacing w:after="0" w:line="288" w:lineRule="auto"/>
        <w:tabs>
          <w:tab w:leader="none" w:pos="1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or pursuant to a DRO;</w:t>
      </w:r>
    </w:p>
    <w:p>
      <w:pPr>
        <w:ind w:left="-8" w:right="140" w:firstLine="8"/>
        <w:spacing w:after="0" w:line="254" w:lineRule="auto"/>
        <w:tabs>
          <w:tab w:leader="none" w:pos="2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spacing w:after="0" w:line="189" w:lineRule="exact"/>
        <w:rPr>
          <w:rFonts w:ascii="Arial" w:cs="Arial" w:eastAsia="Arial" w:hAnsi="Arial"/>
          <w:sz w:val="18"/>
          <w:szCs w:val="18"/>
          <w:color w:val="auto"/>
        </w:rPr>
      </w:pPr>
    </w:p>
    <w:p>
      <w:pPr>
        <w:ind w:left="-8" w:right="60" w:firstLine="921"/>
        <w:spacing w:after="0" w:line="276" w:lineRule="auto"/>
        <w:tabs>
          <w:tab w:leader="none" w:pos="1150" w:val="left"/>
        </w:tabs>
        <w:numPr>
          <w:ilvl w:val="1"/>
          <w:numId w:val="23"/>
        </w:numPr>
        <w:rPr>
          <w:rFonts w:ascii="Arial" w:cs="Arial" w:eastAsia="Arial" w:hAnsi="Arial"/>
          <w:sz w:val="17"/>
          <w:szCs w:val="17"/>
          <w:color w:val="auto"/>
        </w:rPr>
      </w:pPr>
      <w:r>
        <w:rPr>
          <w:rFonts w:ascii="Arial" w:cs="Arial" w:eastAsia="Arial" w:hAnsi="Arial"/>
          <w:sz w:val="17"/>
          <w:szCs w:val="17"/>
          <w:color w:val="auto"/>
        </w:rPr>
        <w:t>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has a domestic partner in a domestic partnership</w:t>
      </w:r>
    </w:p>
    <w:p>
      <w:pPr>
        <w:sectPr>
          <w:pgSz w:w="11900" w:h="16838" w:orient="portrait"/>
          <w:cols w:equalWidth="0" w:num="1">
            <w:col w:w="11372"/>
          </w:cols>
          <w:pgMar w:left="248" w:top="274" w:right="279" w:bottom="1440" w:gutter="0" w:footer="0" w:header="0"/>
        </w:sectPr>
      </w:pPr>
    </w:p>
    <w:bookmarkStart w:id="32" w:name="page33"/>
    <w:bookmarkEnd w:id="32"/>
    <w:p>
      <w:pPr>
        <w:ind w:right="2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change or revocation is filed with the Administrator prior to the Holder’s death.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7" w:lineRule="auto"/>
        <w:tabs>
          <w:tab w:leader="none" w:pos="11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58" w:lineRule="exact"/>
        <w:rPr>
          <w:rFonts w:ascii="Arial" w:cs="Arial" w:eastAsia="Arial" w:hAnsi="Arial"/>
          <w:sz w:val="16"/>
          <w:szCs w:val="16"/>
          <w:color w:val="auto"/>
        </w:rPr>
      </w:pPr>
    </w:p>
    <w:p>
      <w:pPr>
        <w:ind w:right="40" w:firstLine="921"/>
        <w:spacing w:after="0" w:line="264"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81" w:lineRule="exact"/>
        <w:rPr>
          <w:rFonts w:ascii="Arial" w:cs="Arial" w:eastAsia="Arial" w:hAnsi="Arial"/>
          <w:sz w:val="18"/>
          <w:szCs w:val="18"/>
          <w:color w:val="auto"/>
        </w:rPr>
      </w:pPr>
    </w:p>
    <w:p>
      <w:pPr>
        <w:ind w:right="280" w:firstLine="921"/>
        <w:spacing w:after="0" w:line="342" w:lineRule="auto"/>
        <w:tabs>
          <w:tab w:leader="none" w:pos="11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23" w:lineRule="exact"/>
        <w:rPr>
          <w:rFonts w:ascii="Arial" w:cs="Arial" w:eastAsia="Arial" w:hAnsi="Arial"/>
          <w:sz w:val="16"/>
          <w:szCs w:val="16"/>
          <w:color w:val="auto"/>
        </w:rPr>
      </w:pPr>
    </w:p>
    <w:p>
      <w:pPr>
        <w:ind w:right="560" w:firstLine="921"/>
        <w:spacing w:after="0" w:line="277"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70" w:lineRule="exact"/>
        <w:rPr>
          <w:rFonts w:ascii="Arial" w:cs="Arial" w:eastAsia="Arial" w:hAnsi="Arial"/>
          <w:sz w:val="18"/>
          <w:szCs w:val="18"/>
          <w:color w:val="auto"/>
        </w:rPr>
      </w:pPr>
    </w:p>
    <w:p>
      <w:pPr>
        <w:ind w:right="80" w:firstLine="921"/>
        <w:spacing w:after="0" w:line="264"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Forfeiture and Claw-Back Provisions</w:t>
      </w:r>
      <w:r>
        <w:rPr>
          <w:rFonts w:ascii="Arial" w:cs="Arial" w:eastAsia="Arial" w:hAnsi="Arial"/>
          <w:sz w:val="18"/>
          <w:szCs w:val="18"/>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(a)(i) Any proceeds, gains or other economic benefit actually or constructively received by the Holder upon any receipt or exercise of the Award,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upon the</w:t>
      </w:r>
    </w:p>
    <w:p>
      <w:pPr>
        <w:sectPr>
          <w:pgSz w:w="11900" w:h="16838" w:orient="portrait"/>
          <w:cols w:equalWidth="0" w:num="1">
            <w:col w:w="11400"/>
          </w:cols>
          <w:pgMar w:left="240" w:top="274" w:right="259" w:bottom="1440" w:gutter="0" w:footer="0" w:header="0"/>
        </w:sectPr>
      </w:pPr>
    </w:p>
    <w:bookmarkStart w:id="33" w:name="page34"/>
    <w:bookmarkEnd w:id="33"/>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193" w:lineRule="exact"/>
        <w:rPr>
          <w:sz w:val="20"/>
          <w:szCs w:val="20"/>
          <w:color w:val="auto"/>
        </w:rPr>
      </w:pPr>
    </w:p>
    <w:p>
      <w:pPr>
        <w:ind w:right="260" w:firstLine="921"/>
        <w:spacing w:after="0" w:line="257"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Prohibition on Repricing</w:t>
      </w:r>
      <w:r>
        <w:rPr>
          <w:rFonts w:ascii="Arial" w:cs="Arial" w:eastAsia="Arial" w:hAnsi="Arial"/>
          <w:sz w:val="17"/>
          <w:szCs w:val="17"/>
          <w:color w:val="auto"/>
        </w:rPr>
        <w:t>. Subject to Section 14.2, the Administrator shall not, without the approval of the stockholders of the Company,</w:t>
      </w:r>
    </w:p>
    <w:p>
      <w:pPr>
        <w:spacing w:after="0" w:line="35" w:lineRule="exact"/>
        <w:rPr>
          <w:sz w:val="20"/>
          <w:szCs w:val="20"/>
          <w:color w:val="auto"/>
        </w:rPr>
      </w:pPr>
    </w:p>
    <w:p>
      <w:pPr>
        <w:ind w:firstLine="8"/>
        <w:spacing w:after="0" w:line="253"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14.2,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Administrator</w:t>
      </w:r>
      <w:r>
        <w:rPr>
          <w:rFonts w:ascii="Arial" w:cs="Arial" w:eastAsia="Arial" w:hAnsi="Arial"/>
          <w:sz w:val="18"/>
          <w:szCs w:val="18"/>
          <w:color w:val="auto"/>
        </w:rPr>
        <w:t>. The Committee (or another committee or a subcommittee of the Board assuming the functions of the Committee under the Plan)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(or another committee or subcommittee of the Board assuming the functions of the Committee under the Plan) shall take all action with respect to such Awards, and the individuals taking such action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w:t>
      </w:r>
    </w:p>
    <w:p>
      <w:pPr>
        <w:sectPr>
          <w:pgSz w:w="11900" w:h="16838" w:orient="portrait"/>
          <w:cols w:equalWidth="0" w:num="1">
            <w:col w:w="11400"/>
          </w:cols>
          <w:pgMar w:left="240" w:top="274" w:right="259" w:bottom="1440" w:gutter="0" w:footer="0" w:header="0"/>
        </w:sectPr>
      </w:pPr>
    </w:p>
    <w:bookmarkStart w:id="34" w:name="page35"/>
    <w:bookmarkEnd w:id="34"/>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are listed, quoted or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Duties and Powers of Committee</w:t>
      </w:r>
      <w:r>
        <w:rPr>
          <w:rFonts w:ascii="Arial" w:cs="Arial" w:eastAsia="Arial" w:hAnsi="Arial"/>
          <w:sz w:val="16"/>
          <w:szCs w:val="16"/>
          <w:color w:val="auto"/>
        </w:rPr>
        <w:t>. It shall be the duty of the Committee to conduct the general administration of the Plan in accordance with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provisions. The Committee shall have the power to interpret the Plan, the Program and the Award Agreement, and to adopt such rules for the administration,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interpretation and application of the Plan as are not inconsistent therewith, to interpret, amend or revoke any such rules and to amend any Program or Award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rights or obligations of the Holder of the Award that is the subject of any such Program or Award Agreement are not affected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adversely by such amendment, unless the consent of the Holder is obtained or such amendment is otherwise permitted under Section 14.10. Any such grant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under the Plan need not be the same with respect to each Holder. Any such interpretations and rules with respect to Incentive Stock Options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provisions of Section 422 of the Code. In its sole discretion, the Board may at any time and from time to time exercise any and all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duties of the Committee under the Plan except with respect to matters which under Rule 16b-3 under the Exchange Act or any successor rule,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162(m) of the Code, or any regulations or rules issued thereunder, or the rules of any securities exchange or automated quotation system on which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are listed, quoted or traded are required to be determined in the sole discretion of the Committee.</w:t>
      </w:r>
    </w:p>
    <w:p>
      <w:pPr>
        <w:spacing w:after="0" w:line="21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Subject to the Company’s Bylaws, the Committee’s Charter and any specific designation in the Plan,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Designate Eligible Individuals to receive Awards;</w:t>
      </w:r>
    </w:p>
    <w:p>
      <w:pPr>
        <w:sectPr>
          <w:pgSz w:w="11900" w:h="16838" w:orient="portrait"/>
          <w:cols w:equalWidth="0" w:num="1">
            <w:col w:w="11400"/>
          </w:cols>
          <w:pgMar w:left="240" w:top="274" w:right="259" w:bottom="1440" w:gutter="0" w:footer="0" w:header="0"/>
        </w:sectPr>
      </w:pPr>
    </w:p>
    <w:bookmarkStart w:id="35" w:name="page36"/>
    <w:bookmarkEnd w:id="35"/>
    <w:p>
      <w:pPr>
        <w:ind w:left="1180" w:hanging="259"/>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 the type or types of Awards to be granted to each Eligible Individual;</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ind w:right="20" w:firstLine="921"/>
        <w:spacing w:after="0" w:line="279" w:lineRule="auto"/>
        <w:tabs>
          <w:tab w:leader="none" w:pos="11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71" w:lineRule="exact"/>
        <w:rPr>
          <w:rFonts w:ascii="Arial" w:cs="Arial" w:eastAsia="Arial" w:hAnsi="Arial"/>
          <w:sz w:val="17"/>
          <w:szCs w:val="17"/>
          <w:color w:val="auto"/>
        </w:rPr>
      </w:pPr>
    </w:p>
    <w:p>
      <w:pPr>
        <w:ind w:right="40" w:firstLine="921"/>
        <w:spacing w:after="0" w:line="277" w:lineRule="auto"/>
        <w:tabs>
          <w:tab w:leader="none" w:pos="11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w:t>
      </w:r>
    </w:p>
    <w:p>
      <w:pPr>
        <w:spacing w:after="0" w:line="225" w:lineRule="exact"/>
        <w:rPr>
          <w:rFonts w:ascii="Arial" w:cs="Arial" w:eastAsia="Arial" w:hAnsi="Arial"/>
          <w:sz w:val="18"/>
          <w:szCs w:val="18"/>
          <w:color w:val="auto"/>
        </w:rPr>
      </w:pPr>
    </w:p>
    <w:p>
      <w:pPr>
        <w:ind w:firstLine="921"/>
        <w:spacing w:after="0" w:line="277" w:lineRule="auto"/>
        <w:tabs>
          <w:tab w:leader="none" w:pos="11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 and</w:t>
      </w:r>
    </w:p>
    <w:p>
      <w:pPr>
        <w:spacing w:after="0" w:line="170" w:lineRule="exact"/>
        <w:rPr>
          <w:rFonts w:ascii="Arial" w:cs="Arial" w:eastAsia="Arial" w:hAnsi="Arial"/>
          <w:sz w:val="18"/>
          <w:szCs w:val="18"/>
          <w:color w:val="auto"/>
        </w:rPr>
      </w:pPr>
    </w:p>
    <w:p>
      <w:pPr>
        <w:ind w:right="380" w:firstLine="921"/>
        <w:spacing w:after="0" w:line="277" w:lineRule="auto"/>
        <w:tabs>
          <w:tab w:leader="none" w:pos="11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Accelerate wholly or partially the vesting or lapse of restrictions of any Award or portion thereof at any time after the grant of an Award, subject to whatever terms and conditions it selects and Section 14.2.</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4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officer of the Company be delegated the authority to grant awards to, or amend</w:t>
      </w:r>
    </w:p>
    <w:p>
      <w:pPr>
        <w:sectPr>
          <w:pgSz w:w="11900" w:h="16838" w:orient="portrait"/>
          <w:cols w:equalWidth="0" w:num="1">
            <w:col w:w="11400"/>
          </w:cols>
          <w:pgMar w:left="240" w:top="274" w:right="259" w:bottom="1440" w:gutter="0" w:footer="0" w:header="0"/>
        </w:sectPr>
      </w:pPr>
    </w:p>
    <w:bookmarkStart w:id="36" w:name="page37"/>
    <w:bookmarkEnd w:id="36"/>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awards held by, the following individuals: (a) individuals who are subject to Section 16 of the Exchange Act, (b) Covered Employees, or (c) officers of the Company (or Directors) to whom authority to grant or amend Awards has been delegated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delegation of administrative authority shall only be permitted to the extent it is permissible under Section 162(m) of the Code and other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13.6 shall serve in such capacity at the pleasure of the Board and the Committee.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Amendment, Suspension or Termination of the Plan</w:t>
      </w:r>
      <w:r>
        <w:rPr>
          <w:rFonts w:ascii="Arial" w:cs="Arial" w:eastAsia="Arial" w:hAnsi="Arial"/>
          <w:sz w:val="17"/>
          <w:szCs w:val="17"/>
          <w:color w:val="auto"/>
        </w:rPr>
        <w:t>.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 under the Plan, (b) reduce the price per share of any outstanding Option or Stock Appreciation Right granted under the Plan or take any 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w:t>
      </w:r>
      <w:r>
        <w:rPr>
          <w:rFonts w:ascii="Arial" w:cs="Arial" w:eastAsia="Arial" w:hAnsi="Arial"/>
          <w:sz w:val="14"/>
          <w:szCs w:val="14"/>
          <w:color w:val="auto"/>
        </w:rPr>
        <w:t>th</w:t>
      </w:r>
      <w:r>
        <w:rPr>
          <w:rFonts w:ascii="Arial" w:cs="Arial" w:eastAsia="Arial" w:hAnsi="Arial"/>
          <w:sz w:val="17"/>
          <w:szCs w:val="17"/>
          <w:color w:val="auto"/>
        </w:rPr>
        <w:t>) anniversary of the Effective Date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Any Awards that are outstanding on the Expiration Date shall remain in force according to the terms of the Plan and the applicable Award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93" w:lineRule="auto"/>
        <w:tabs>
          <w:tab w:leader="none" w:pos="11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event of any stock dividend, stock split, combination or exchange of shares, merger, consolidation or other distribution (other than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Sections 3.1 and 3.3 on the maximum number and kind of Shares which may be issued under the Plan, adjustments of the Award Limit); (ii) the number and kind of Shares (or other securities or property) subject to outstanding Awards; (iii) the terms and conditions of any outstanding Awards (including, without limitation, any applicable</w:t>
      </w:r>
    </w:p>
    <w:p>
      <w:pPr>
        <w:sectPr>
          <w:pgSz w:w="11900" w:h="16838" w:orient="portrait"/>
          <w:cols w:equalWidth="0" w:num="1">
            <w:col w:w="11420"/>
          </w:cols>
          <w:pgMar w:left="240" w:top="274" w:right="239" w:bottom="1440" w:gutter="0" w:footer="0" w:header="0"/>
        </w:sectPr>
      </w:pPr>
    </w:p>
    <w:bookmarkStart w:id="37" w:name="page38"/>
    <w:bookmarkEnd w:id="37"/>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w:t>
      </w:r>
    </w:p>
    <w:p>
      <w:pPr>
        <w:spacing w:after="0" w:line="124" w:lineRule="exact"/>
        <w:rPr>
          <w:sz w:val="20"/>
          <w:szCs w:val="20"/>
          <w:color w:val="auto"/>
        </w:rPr>
      </w:pPr>
    </w:p>
    <w:p>
      <w:pPr>
        <w:ind w:right="20" w:firstLine="921"/>
        <w:spacing w:after="0" w:line="272" w:lineRule="auto"/>
        <w:tabs>
          <w:tab w:leader="none" w:pos="11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event of any transaction or event described in Section 14.2(a) or any unusual or nonrecurring transactions or events affecting the Company, any Affiliate of the Company, or the financial statements of the Company or any Affiliate, or of changes in Applicable Law,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77" w:lineRule="exact"/>
        <w:rPr>
          <w:rFonts w:ascii="Arial" w:cs="Arial" w:eastAsia="Arial" w:hAnsi="Arial"/>
          <w:sz w:val="17"/>
          <w:szCs w:val="17"/>
          <w:color w:val="auto"/>
        </w:rPr>
      </w:pPr>
    </w:p>
    <w:p>
      <w:pPr>
        <w:ind w:right="60" w:firstLine="1492"/>
        <w:spacing w:after="0" w:line="293" w:lineRule="auto"/>
        <w:tabs>
          <w:tab w:leader="none" w:pos="1698"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64" w:lineRule="exact"/>
        <w:rPr>
          <w:rFonts w:ascii="Arial" w:cs="Arial" w:eastAsia="Arial" w:hAnsi="Arial"/>
          <w:sz w:val="16"/>
          <w:szCs w:val="16"/>
          <w:color w:val="auto"/>
        </w:rPr>
      </w:pPr>
    </w:p>
    <w:p>
      <w:pPr>
        <w:ind w:right="620" w:firstLine="1492"/>
        <w:spacing w:after="0" w:line="264" w:lineRule="auto"/>
        <w:tabs>
          <w:tab w:leader="none" w:pos="17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81" w:lineRule="exact"/>
        <w:rPr>
          <w:rFonts w:ascii="Arial" w:cs="Arial" w:eastAsia="Arial" w:hAnsi="Arial"/>
          <w:sz w:val="18"/>
          <w:szCs w:val="18"/>
          <w:color w:val="auto"/>
        </w:rPr>
      </w:pPr>
    </w:p>
    <w:p>
      <w:pPr>
        <w:ind w:right="120" w:firstLine="1492"/>
        <w:spacing w:after="0" w:line="264" w:lineRule="auto"/>
        <w:tabs>
          <w:tab w:leader="none" w:pos="17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81" w:lineRule="exact"/>
        <w:rPr>
          <w:rFonts w:ascii="Arial" w:cs="Arial" w:eastAsia="Arial" w:hAnsi="Arial"/>
          <w:sz w:val="18"/>
          <w:szCs w:val="18"/>
          <w:color w:val="auto"/>
        </w:rPr>
      </w:pPr>
    </w:p>
    <w:p>
      <w:pPr>
        <w:ind w:firstLine="1492"/>
        <w:spacing w:after="0" w:line="277" w:lineRule="auto"/>
        <w:tabs>
          <w:tab w:leader="none" w:pos="17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ectPr>
          <w:pgSz w:w="11900" w:h="16838" w:orient="portrait"/>
          <w:cols w:equalWidth="0" w:num="1">
            <w:col w:w="11420"/>
          </w:cols>
          <w:pgMar w:left="240" w:top="274" w:right="239" w:bottom="1440" w:gutter="0" w:footer="0" w:header="0"/>
        </w:sectPr>
      </w:pPr>
    </w:p>
    <w:bookmarkStart w:id="38" w:name="page39"/>
    <w:bookmarkEnd w:id="38"/>
    <w:p>
      <w:pPr>
        <w:ind w:left="239" w:hanging="239"/>
        <w:spacing w:after="0"/>
        <w:tabs>
          <w:tab w:leader="none" w:pos="239"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occurrence of any Equity Restructuring, and notwithstanding anything to the contrary in Sections 14.2(a) and 14.2(b):</w:t>
      </w:r>
    </w:p>
    <w:p>
      <w:pPr>
        <w:spacing w:after="0" w:line="248" w:lineRule="exact"/>
        <w:rPr>
          <w:rFonts w:ascii="Arial" w:cs="Arial" w:eastAsia="Arial" w:hAnsi="Arial"/>
          <w:sz w:val="16"/>
          <w:szCs w:val="16"/>
          <w:color w:val="auto"/>
        </w:rPr>
      </w:pPr>
    </w:p>
    <w:p>
      <w:pPr>
        <w:ind w:left="-921" w:right="140" w:firstLine="1492"/>
        <w:spacing w:after="0" w:line="277" w:lineRule="auto"/>
        <w:tabs>
          <w:tab w:leader="none" w:pos="7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170" w:lineRule="exact"/>
        <w:rPr>
          <w:rFonts w:ascii="Arial" w:cs="Arial" w:eastAsia="Arial" w:hAnsi="Arial"/>
          <w:sz w:val="18"/>
          <w:szCs w:val="18"/>
          <w:color w:val="auto"/>
        </w:rPr>
      </w:pPr>
    </w:p>
    <w:p>
      <w:pPr>
        <w:ind w:left="-921" w:right="300" w:firstLine="1492"/>
        <w:spacing w:after="0" w:line="257" w:lineRule="auto"/>
        <w:tabs>
          <w:tab w:leader="none" w:pos="8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Sections 3.1 and 3.3 on the maximum number and kind of Shares which may be issued under the Plan, adjustments of the Award Limit). The adjustments provided under this Section 14.2(c) shall be nondiscretionary and shall be final and binding on the affected Holder and the Company.</w:t>
      </w:r>
    </w:p>
    <w:p>
      <w:pPr>
        <w:spacing w:after="0" w:line="188" w:lineRule="exact"/>
        <w:rPr>
          <w:rFonts w:ascii="Arial" w:cs="Arial" w:eastAsia="Arial" w:hAnsi="Arial"/>
          <w:sz w:val="18"/>
          <w:szCs w:val="18"/>
          <w:color w:val="auto"/>
        </w:rPr>
      </w:pPr>
    </w:p>
    <w:p>
      <w:pPr>
        <w:ind w:left="-921" w:firstLine="921"/>
        <w:spacing w:after="0" w:line="268" w:lineRule="auto"/>
        <w:tabs>
          <w:tab w:leader="none" w:pos="247"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Upon a Change in Control, the Administrator, may, in its sole discretion, do one or more of the following: (i) shorten the period during which Options or Stock Appreciation Rights are exercisable (provided they remain exercisable for at least 30 days after the date notice of such shortening is given to the holders of the Options or Stock Appreciation Rights); (ii) accelerate any vesting schedule to which an Award is subject; (iii) arrange to have the surviving or successor entity or any parent entity thereof assume the Awards; or (iv) cancel Awards upon payment to the holders of the Awards in cash, with respect to each Award to the extent then exercisable or vested (including, if applicable, any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or Stock Appreciation Rights) the exercise price of the Option or Stock Appreciation Right. The Administrator may also provide for one or more of the foregoing alternatives in any particular Award Agreement. For the purposes of this Section 14.2(d),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 share consideration received by holders of Common Stock in the Change in Control.</w:t>
      </w:r>
    </w:p>
    <w:p>
      <w:pPr>
        <w:spacing w:after="0" w:line="180" w:lineRule="exact"/>
        <w:rPr>
          <w:rFonts w:ascii="Arial" w:cs="Arial" w:eastAsia="Arial" w:hAnsi="Arial"/>
          <w:sz w:val="17"/>
          <w:szCs w:val="17"/>
          <w:color w:val="auto"/>
        </w:rPr>
      </w:pPr>
    </w:p>
    <w:p>
      <w:pPr>
        <w:ind w:left="-921" w:right="60" w:firstLine="921"/>
        <w:spacing w:after="0" w:line="277" w:lineRule="auto"/>
        <w:tabs>
          <w:tab w:leader="none" w:pos="2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ectPr>
          <w:pgSz w:w="11900" w:h="16838" w:orient="portrait"/>
          <w:cols w:equalWidth="0" w:num="1">
            <w:col w:w="10499"/>
          </w:cols>
          <w:pgMar w:left="1161" w:top="274" w:right="239" w:bottom="1440" w:gutter="0" w:footer="0" w:header="0"/>
        </w:sectPr>
      </w:pPr>
    </w:p>
    <w:bookmarkStart w:id="39" w:name="page40"/>
    <w:bookmarkEnd w:id="39"/>
    <w:p>
      <w:pPr>
        <w:ind w:right="40" w:firstLine="921"/>
        <w:spacing w:after="0" w:line="272" w:lineRule="auto"/>
        <w:tabs>
          <w:tab w:leader="none" w:pos="1138"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77" w:lineRule="exact"/>
        <w:rPr>
          <w:rFonts w:ascii="Arial" w:cs="Arial" w:eastAsia="Arial" w:hAnsi="Arial"/>
          <w:sz w:val="17"/>
          <w:szCs w:val="17"/>
          <w:color w:val="auto"/>
        </w:rPr>
      </w:pPr>
    </w:p>
    <w:p>
      <w:pPr>
        <w:ind w:right="60" w:firstLine="921"/>
        <w:spacing w:after="0" w:line="273" w:lineRule="auto"/>
        <w:tabs>
          <w:tab w:leader="none" w:pos="1168"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8" w:lineRule="exact"/>
        <w:rPr>
          <w:rFonts w:ascii="Arial" w:cs="Arial" w:eastAsia="Arial" w:hAnsi="Arial"/>
          <w:sz w:val="17"/>
          <w:szCs w:val="17"/>
          <w:color w:val="auto"/>
        </w:rPr>
      </w:pPr>
    </w:p>
    <w:p>
      <w:pPr>
        <w:ind w:right="60" w:firstLine="921"/>
        <w:spacing w:after="0" w:line="277" w:lineRule="auto"/>
        <w:tabs>
          <w:tab w:leader="none" w:pos="11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action shall be taken under this Section 14.2 which shall cause an Award to fail to comply with Section 409A of the Code or the Treasury Regulations thereunder, to the extent applicable to such Award.</w:t>
      </w:r>
    </w:p>
    <w:p>
      <w:pPr>
        <w:spacing w:after="0" w:line="170" w:lineRule="exact"/>
        <w:rPr>
          <w:rFonts w:ascii="Arial" w:cs="Arial" w:eastAsia="Arial" w:hAnsi="Arial"/>
          <w:sz w:val="18"/>
          <w:szCs w:val="18"/>
          <w:color w:val="auto"/>
        </w:rPr>
      </w:pPr>
    </w:p>
    <w:p>
      <w:pPr>
        <w:jc w:val="both"/>
        <w:ind w:right="140" w:firstLine="921"/>
        <w:spacing w:after="0" w:line="259" w:lineRule="auto"/>
        <w:tabs>
          <w:tab w:leader="none" w:pos="11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Approval of Plan by Stockholders</w:t>
      </w:r>
      <w:r>
        <w:rPr>
          <w:rFonts w:ascii="Arial" w:cs="Arial" w:eastAsia="Arial" w:hAnsi="Arial"/>
          <w:sz w:val="17"/>
          <w:szCs w:val="17"/>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approval has not been obtained at the end of said twelve (12) month period, all Awards previously granted or awarded under the Plan shall thereupon be canceled and become null and void.</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No Stockholders Rights</w:t>
      </w:r>
      <w:r>
        <w:rPr>
          <w:rFonts w:ascii="Arial" w:cs="Arial" w:eastAsia="Arial" w:hAnsi="Arial"/>
          <w:sz w:val="18"/>
          <w:szCs w:val="18"/>
          <w:color w:val="auto"/>
        </w:rPr>
        <w:t>. Except as otherwise provided herein, a Holder shall have none of the rights of a stockholder with respect to Shares covered by any Award until the Holder becomes the record owner of such Shares.</w:t>
      </w:r>
    </w:p>
    <w:p>
      <w:pPr>
        <w:sectPr>
          <w:pgSz w:w="11900" w:h="16838" w:orient="portrait"/>
          <w:cols w:equalWidth="0" w:num="1">
            <w:col w:w="11380"/>
          </w:cols>
          <w:pgMar w:left="240" w:top="274" w:right="279" w:bottom="1440" w:gutter="0" w:footer="0" w:header="0"/>
        </w:sectPr>
      </w:pPr>
    </w:p>
    <w:bookmarkStart w:id="40" w:name="page41"/>
    <w:bookmarkEnd w:id="40"/>
    <w:p>
      <w:pPr>
        <w:jc w:val="both"/>
        <w:ind w:right="20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6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Nevada without regard to conflicts of laws thereof or of any other jurisdiction.</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14.10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w:t>
      </w:r>
    </w:p>
    <w:p>
      <w:pPr>
        <w:sectPr>
          <w:pgSz w:w="11900" w:h="16838" w:orient="portrait"/>
          <w:cols w:equalWidth="0" w:num="1">
            <w:col w:w="11380"/>
          </w:cols>
          <w:pgMar w:left="240" w:top="274" w:right="279" w:bottom="1440" w:gutter="0" w:footer="0" w:header="0"/>
        </w:sectPr>
      </w:pPr>
    </w:p>
    <w:bookmarkStart w:id="41" w:name="page42"/>
    <w:bookmarkEnd w:id="41"/>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w:t>
      </w:r>
    </w:p>
    <w:p>
      <w:pPr>
        <w:spacing w:after="0" w:line="17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Affiliates.</w:t>
      </w:r>
    </w:p>
    <w:p>
      <w:pPr>
        <w:sectPr>
          <w:pgSz w:w="11900" w:h="16838" w:orient="portrait"/>
          <w:cols w:equalWidth="0" w:num="1">
            <w:col w:w="11380"/>
          </w:cols>
          <w:pgMar w:left="240" w:top="274" w:right="2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2014 Omnibus Incentive Plan of Wynn Resorts, Limited of our reports dated February 28, 2014, with respect to the consolidated financial statements and schedules of Wynn Resorts, Limited and the effectiveness of internal control over financial reporting of Wynn Resorts, Limited included in its Annual Report (Form 10-K) for the year ended December 31, 2013,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16,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519B500D"/>
    <w:multiLevelType w:val="hybridMultilevel"/>
    <w:lvl w:ilvl="0">
      <w:lvlJc w:val="left"/>
      <w:lvlText w:val="%1"/>
      <w:numFmt w:val="lowerLetter"/>
      <w:start w:val="1"/>
    </w:lvl>
    <w:lvl w:ilvl="1">
      <w:lvlJc w:val="left"/>
      <w:lvlText w:val="(%2)"/>
      <w:numFmt w:val="decimal"/>
      <w:start w:val="2"/>
    </w:lvl>
  </w:abstractNum>
  <w:abstractNum w:abstractNumId="4">
    <w:nsid w:val="431BD7B7"/>
    <w:multiLevelType w:val="hybridMultilevel"/>
    <w:lvl w:ilvl="0">
      <w:lvlJc w:val="left"/>
      <w:lvlText w:val="(%1)"/>
      <w:numFmt w:val="lowerLetter"/>
      <w:start w:val="2"/>
    </w:lvl>
    <w:lvl w:ilvl="1">
      <w:lvlJc w:val="left"/>
      <w:lvlText w:val="%2"/>
      <w:numFmt w:val="decimal"/>
      <w:start w:val="1"/>
    </w:lvl>
  </w:abstractNum>
  <w:abstractNum w:abstractNumId="5">
    <w:nsid w:val="3F2DBA31"/>
    <w:multiLevelType w:val="hybridMultilevel"/>
    <w:lvl w:ilvl="0">
      <w:lvlJc w:val="left"/>
      <w:lvlText w:val="(%1)"/>
      <w:numFmt w:val="lowerRoman"/>
      <w:start w:val="3"/>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Roman"/>
      <w:start w:val="22"/>
    </w:lvl>
    <w:lvl w:ilvl="1">
      <w:lvlJc w:val="left"/>
      <w:lvlText w:val="(%2)"/>
      <w:numFmt w:val="lowerLetter"/>
      <w:start w:val="2"/>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3"/>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4"/>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
    <w:nsid w:val="54E49EB4"/>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2"/>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2"/>
    </w:lvl>
    <w:lvl w:ilvl="1">
      <w:lvlJc w:val="left"/>
      <w:lvlText w:val="(%2)"/>
      <w:numFmt w:val="lowerRoman"/>
      <w:start w:val="1"/>
    </w:lvl>
  </w:abstractNum>
  <w:abstractNum w:abstractNumId="29">
    <w:nsid w:val="1E7FF521"/>
    <w:multiLevelType w:val="hybridMultilevel"/>
    <w:lvl w:ilvl="0">
      <w:lvlJc w:val="left"/>
      <w:lvlText w:val="(%1)"/>
      <w:numFmt w:val="lowerLetter"/>
      <w:start w:val="3"/>
    </w:lvl>
    <w:lvl w:ilvl="1">
      <w:lvlJc w:val="left"/>
      <w:lvlText w:val="(%2)"/>
      <w:numFmt w:val="lowerRoman"/>
      <w:start w:val="1"/>
    </w:lvl>
  </w:abstractNum>
  <w:abstractNum w:abstractNumId="30">
    <w:nsid w:val="7C3DBD3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2019-12-07T03:39:38Z</dcterms:created>
  <dcterms:modified xsi:type="dcterms:W3CDTF">2019-12-07T03:39:38Z</dcterms:modified>
</cp:coreProperties>
</file>